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European Parliament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Výbor pro práva žen a rovnost pohlaví</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26.05.2025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STANOVISKO</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Výboru pro práva žen a rovnost pohlaví</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pro Výbor pro rozvoj a Výbor pro životní prostředí, klima a bezpečnost potravin</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k provádění a plnění cílů udržitelného rozvoje s ohledem na politické fórum na vysoké úrovni o udržitelném rozvoji v roce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Zpravodajka</w:t>
      </w:r>
      <w:r>
        <w:t xml:space="preserve">: </w:t>
      </w:r>
      <w:r>
        <w:rPr>
          <w:rStyle w:val="HideTWBExt"/>
        </w:rPr>
        <w:t>&lt;</w:t>
      </w:r>
      <w:r>
        <w:rPr>
          <w:rStyle w:val="HideTWBExt"/>
        </w:rPr>
        <w:t>Depute</w:t>
      </w:r>
      <w:r>
        <w:rPr>
          <w:rStyle w:val="HideTWBExt"/>
        </w:rPr>
        <w:t>&gt;</w:t>
      </w:r>
      <w:r>
        <w:t>Lina Gálvez</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POZMĚŇOVACÍ NÁVRH</w:t>
      </w:r>
    </w:p>
    <w:p>
      <w:pPr>
        <w:pStyle w:val="Normal12a"/>
      </w:pPr>
      <w:r>
        <w:t>Výbor pro práva žen a rovnost pohlaví</w:t>
      </w:r>
      <w:r>
        <w:t xml:space="preserve"> </w:t>
      </w:r>
      <w:r>
        <w:t>předkládá Výboru pro rozvoj a Výboru pro životní prostředí, klima a bezpečnost potravin jako příslušným výborům</w:t>
      </w:r>
      <w:r>
        <w:t xml:space="preserve"> </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1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své usnesení ze dne 24. června 2021 o stavu sexuálního a reprodukčního zdraví a práv v EU v rámci zdraví žen</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Úř. věst. C 81, 18.2.2022, s. 43.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2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své usnesení ze dne 11. dubna 2024 o zahrnutí práva na umělé přerušení těhotenství do Listiny základních práv EU</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Úř. věst. C, C/2025/1279, 13.3.2025,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3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plán EU pro práva žen, který vypracovala Komise,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4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Mezinárodní konferenci o populaci a rozvoji, která se konala v roce 1994 v Káhiře, a na její akční program a na výsledky hodnotících konferencí,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5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Pekingskou deklaraci z roku 2015 a akční platformu a výsledky jejích hodnotících konferencí,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6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zprávu sdružení Equal Measures 2030 z roku 2024 „Findings from the 2024 SDG Gender Index: A gender equal future in crisis?“ (Zjištění indexu rovnosti v rámci cílů udržitelného rozvoje za rok 2024: genderově rovná budoucnost v krizi?),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7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společnou zprávu UN Women, Rozvojového programu OSN, Populačního fondu OSN, UNICEF a Světového potravinového programu z roku 2024 „Are we getting there? A synthesis of the UN evaluations of SDG 5“ (Podaří se nám to? Shrnutí hodnocení cíle udržitelného rozvoje č. 5 ze strany OSN),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8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dobrovolné pokyny Organizace pro výživu a zemědělství z roku 2015 pro zajištění udržitelného drobného rybolovu v souvislosti se zajištěním potravin a vymýcením chudoby, včetně jejich kapitoly 8 o rovnosti a rovnoprávnosti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31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své doporučení Radě ze dne 19. prosince 2024 k prioritám EU pro 69. zasedání Komise OSN pro postavení žen</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Úř. věst. C, C/2025/1971, 11.4.2025,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55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„Devátou zprávu o hospodářské, sociální a územní soudržnosti“, kterou Komise předložila v březnu 2024,</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55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zprávu Evropského institutu pro rovnost žen a mužů nazvanou „Gender Equality Reports 2023 – Towards a green transition in transport and energy“ (Výroční zprávy o rovnosti žen a mužů 2023 – Uskutečňování ekologické transformace v dopravě a energetice),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B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vzhledem k tomu, že podle světového mírového indexu z roku 2024 se průměrná úroveň celosvětového míru snížila o 0,56 %, a zhoršuje se tedy již pátým rokem po sobě; vzhledem k tomu, že s ohledem na tento trend by měl být cíl udržitelného rozvoje č. 16 začleněn do hloubkového přezkumu, aby bylo možné řešit rostoucí ohrožení míru a bezpečnosti na celém světě;</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B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vzhledem k tomu, že nárůst obchodování s lidmi je i nadále kritickou hrozbou pro celosvětový mír a bezpečnost; vzhledem k tomu, že posílení mechanismů mezinárodní spolupráce a prosazování v rámci cíle udržitelného rozvoje č. 16 má zásadní význam pro boj proti sítím obchodníků s lidmi, ochranu obětí a dodržování lidských práv;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vzhledem k tomu, že v současné době panuje nedostatek investic do cílů udržitelného rozvoje ve výši 4 biliony USD ročně; vzhledem k tomu, že překážkou investic nutných k dosažení cílů udržitelného rozvoje je vysoká míra zadlužení zemí s nízkými a středními příjmy;</w:t>
            </w:r>
          </w:p>
        </w:tc>
        <w:tc>
          <w:tcPr>
            <w:tcW w:w="4876" w:type="dxa"/>
            <w:vAlign w:val="top"/>
          </w:tcPr>
          <w:p>
            <w:pPr>
              <w:pStyle w:val="Normal6a"/>
            </w:pPr>
            <w:r>
              <w:t>C.</w:t>
            </w:r>
            <w:r>
              <w:tab/>
            </w:r>
            <w:r>
              <w:t>vzhledem k tomu, že v současné době panuje nedostatek investic do cílů udržitelného rozvoje ve výši 4 biliony USD ročně; vzhledem k tomu, že překážkou investic nutných k dosažení cílů udržitelného rozvoje je vysoká míra zadlužení zemí s nízkými a středními příjmy</w:t>
            </w:r>
            <w:r>
              <w:rPr>
                <w:b/>
                <w:i/>
                <w:strike w:val="0"/>
                <w:color w:val="auto"/>
                <w:highlight w:val="none"/>
                <w:u w:val="none" w:color="auto"/>
                <w:vertAlign w:val="baseline"/>
              </w:rPr>
              <w:t>, kterou podporují programy některých finančních institucí</w:t>
            </w:r>
            <w:r>
              <w:t>;</w:t>
            </w:r>
            <w:r>
              <w:rPr>
                <w:b/>
                <w:i/>
                <w:strike w:val="0"/>
                <w:color w:val="auto"/>
                <w:highlight w:val="none"/>
                <w:u w:val="none" w:color="auto"/>
                <w:vertAlign w:val="baseline"/>
              </w:rPr>
              <w:t xml:space="preserve"> vzhledem k tomu, že to souvisí také s rostoucí mírou chudoby; vzhledem k tomu, že ženy a dívky jsou na celém světě neúměrně postiženy chudobou, humanitárními krizemi, změnou klimatu, konflikty, extremismem, terorismem, válkami a nedostatkem potravin; vzhledem k tomu, že to rovněž zvyšuje zranitelnost dětí; vzhledem k tomu, že se očekává, že rozdíly v chudobě žen a mužů se do roku 2030 prohloubí, neboť ženy budou i nadále tvořit většinu extrémně chudých lidí na světě;</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C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vzhledem k tomu, že nedostatek finančních prostředků na zajištění rovnosti žen a mužů je hlavní překážkou pro dosažení výsledků v této oblasti; vzhledem k tomu, že rovnost žen a mužů má zásadní význam pro splnění slibů v oblasti udržitelnosti, prosperity, sociální spravedlnosti, míru a lidského pokroku; vzhledem k tomu, že významné a trvalé finanční závazky a posílení rozpočtových procesů mají zásadní význam pro podporu provádění legislativy, politik a služeb zohledňujících rovnost žen a mužů s cílem prosazovat rovnost mužů a žen v rámci všech dílčích cílů, které jsou součástí cíle udržitelného rozvoje č. 5</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C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vzhledem k tomu, že násilí páchané na ženách představuje ve všech svých formách (fyzické, sexuální, psychické, ekonomické nebo kybernetické) porušení lidských práv, extrémní formu diskriminace žen a jednu z největších překážek dosažení genderové rovnosti; vzhledem k tomu, že genderově podmíněné násilí má kořeny v nerovném rozdělení moci mezi ženy a muže, v patriarchálních strukturách a genderových stereotypech, které vedly k dominanci mužů nad ženami a k diskriminaci žen ze strany mužů, přičemž podoba, intenzita a forma tohoto násilí mohou být různé; vzhledem k tomu, že společnost bez genderově podmíněného násilí je třeba považovat za nezbytný předpoklad rovnosti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znovu potvrzuje, že je pevně odhodlán přispět k tomu, aby byly všechny cíle udržitelného rozvoje splněny včas </w:t>
            </w:r>
            <w:r>
              <w:rPr>
                <w:b/>
                <w:i/>
                <w:strike w:val="0"/>
                <w:color w:val="auto"/>
                <w:highlight w:val="none"/>
                <w:u w:val="none" w:color="auto"/>
                <w:vertAlign w:val="baseline"/>
              </w:rPr>
              <w:t>a</w:t>
            </w:r>
            <w:r>
              <w:t xml:space="preserve"> v úplnosti;</w:t>
            </w:r>
          </w:p>
        </w:tc>
        <w:tc>
          <w:tcPr>
            <w:tcW w:w="4876" w:type="dxa"/>
            <w:vAlign w:val="top"/>
          </w:tcPr>
          <w:p>
            <w:pPr>
              <w:pStyle w:val="Normal6a"/>
            </w:pPr>
            <w:r>
              <w:t>1.</w:t>
            </w:r>
            <w:r>
              <w:tab/>
            </w:r>
            <w:r>
              <w:t xml:space="preserve">znovu potvrzuje, že je pevně odhodlán přispět </w:t>
            </w:r>
            <w:r>
              <w:rPr>
                <w:b/>
                <w:i/>
                <w:strike w:val="0"/>
                <w:color w:val="auto"/>
                <w:highlight w:val="none"/>
                <w:u w:val="none" w:color="auto"/>
                <w:vertAlign w:val="baseline"/>
              </w:rPr>
              <w:t>prostřednictvím vnější činnosti EU</w:t>
            </w:r>
            <w:r>
              <w:t xml:space="preserve"> k tomu, aby byly všechny cíle udržitelného rozvoje splněny včas a v úplnosti </w:t>
            </w:r>
            <w:r>
              <w:rPr>
                <w:b/>
                <w:i/>
                <w:strike w:val="0"/>
                <w:color w:val="auto"/>
                <w:highlight w:val="none"/>
                <w:u w:val="none" w:color="auto"/>
                <w:vertAlign w:val="baseline"/>
              </w:rPr>
              <w:t>ve všech členských státech a na celém světě</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 – písm.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zdůrazňuje, že EU dosáhla mírného pokroku v plnění cíle udržitelného rozvoje č. 1, ale ženy jsou i nadále více ohroženy chudobou a sociálním vyloučením;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 – písm.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vyjadřuje znepokojení nad plněním cíle udržitelného rozvoje č. 2 v EU, neboť rostoucí míra obezity u žen a dětí je známkou špatné výživy;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 – písm. c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je nanejvýš znepokojen situací žen v EU, pokud jde o cíl udržitelného rozvoje č. 7, neboť energetická chudoba ohrožuje více ženy kvůli nízkým příjmům; 9,8 % žen oproti 8,7 % mužů nemohlo v roce 2022 náležitě vytápět své domovy, což se ještě zhoršilo v důsledku energetické krize; vítá sdělení Komise o cenově dostupné energii</w:t>
            </w:r>
            <w:r>
              <w:rPr>
                <w:rStyle w:val="Sup"/>
              </w:rPr>
              <w:t>1a</w:t>
            </w:r>
            <w:r>
              <w:rPr>
                <w:b/>
                <w:i/>
                <w:strike w:val="0"/>
                <w:color w:val="auto"/>
                <w:highlight w:val="none"/>
                <w:u w:val="none" w:color="auto"/>
                <w:vertAlign w:val="baseline"/>
              </w:rPr>
              <w:t>; vyzývá Komisi a spolunormotvůrce, aby tento proces urychlili s cílem zajistit rychlý přístup k cenově dostupné energii;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Akční plán pro cenově dostupnou energii: odhalení skutečné hodnoty energetické unie s cílem zajistit cenově dostupnější, účinnější a čistší energii pro všechny Evropany (COM(2025)0079).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 – písm. d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zdůrazňuje, že cíl udržitelného rozvoje č. 11 stále nebyl v EU dosažen, neboť ženy jsou více vystaveny deprivaci v oblasti bydlení (4,6 % v roce 2022 oproti 4,0 % u mužů) a více využívají veřejnou dopravu, kde přetrvávají obavy o bezpečnost;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lituje, že celosvětové společenství při plnění Agendy 2030 a dosahování cílů udržitelného rozvoje velmi zaostává;</w:t>
            </w:r>
          </w:p>
        </w:tc>
        <w:tc>
          <w:tcPr>
            <w:tcW w:w="4876" w:type="dxa"/>
            <w:vAlign w:val="top"/>
          </w:tcPr>
          <w:p>
            <w:pPr>
              <w:pStyle w:val="Normal6a"/>
            </w:pPr>
            <w:r>
              <w:t>2.</w:t>
            </w:r>
            <w:r>
              <w:tab/>
            </w:r>
            <w:r>
              <w:t xml:space="preserve">lituje, že celosvětové společenství při plnění Agendy 2030 a dosahování cílů udržitelného rozvoje velmi zaostává </w:t>
            </w:r>
            <w:r>
              <w:rPr>
                <w:b/>
                <w:i/>
                <w:strike w:val="0"/>
                <w:color w:val="auto"/>
                <w:highlight w:val="none"/>
                <w:u w:val="none" w:color="auto"/>
                <w:vertAlign w:val="baseline"/>
              </w:rPr>
              <w:t>a že při plnění některých cílů udržitelného rozvoje se pokrok zpomalil</w:t>
            </w:r>
            <w:r>
              <w:t>;</w:t>
            </w:r>
            <w:r>
              <w:rPr>
                <w:b/>
                <w:i/>
                <w:strike w:val="0"/>
                <w:color w:val="auto"/>
                <w:highlight w:val="none"/>
                <w:u w:val="none" w:color="auto"/>
                <w:vertAlign w:val="baseline"/>
              </w:rPr>
              <w:t xml:space="preserve"> poukazuje na rozdíly, které v různých aspektech existují v jednotlivých zemích a regionech i mezi nimi, například na nerovnost mezi ženami a muži; vyjadřuje politování nad stažením finančních prostředků Agentury Spojených států pro mezinárodní rozvoj (USAID) a je si vědom jeho ničivého dopadu na úsilí globálního společenství o dosažení cílů udržitelného rozvoje, zejména pokud jde o cíl udržitelného rozvoje č. 5</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vyzývá EU, aby dostála svému závazku začleňovat hledisko rovnosti žen a mužů a průřezovou perspektivu do všech politik a financování EU; vyjadřuje politování nad tím, že zemím na celém světě stále chybí 44 % údajů potřebných ke sledování cíle udržitelného rozvoje č. 5 a více než 80 % zemí chybí údaje o alespoň jednom dílčím cíli v rámci tohoto cíle udržitelného rozvoje</w:t>
            </w:r>
            <w:r>
              <w:rPr>
                <w:rStyle w:val="Sup"/>
              </w:rPr>
              <w:t>1a</w:t>
            </w:r>
            <w:r>
              <w:rPr>
                <w:b/>
                <w:i/>
                <w:strike w:val="0"/>
                <w:color w:val="auto"/>
                <w:highlight w:val="none"/>
                <w:u w:val="none" w:color="auto"/>
                <w:vertAlign w:val="baseline"/>
              </w:rPr>
              <w:t>; zdůrazňuje proto, že je třeba posilovat národní statistické úřady a zlepšit jejich globální koordinaci a spolupráci, aby byla zajištěna informovaná tvorba politik a doplněny zbývající mezery v údajích;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poukazuje na význam údajů pro monitorování cílů udržitelného rozvoje a zdůrazňuje, že navzdory chvályhodnému nárůstu údajů, jakož i jejich otevřenosti, přístupnosti a účinnému využívání, přetrvávají kritické nedostatky; zdůrazňuje proto významnou úlohu národních statistických úřadů a potřebu posílit partnerství jako klíčový prvek pro dosažení inkluzivnějších údajů, například údajů rozčleněných podle pohlaví;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zdůrazňuje, že k tomu, aby se naše společnosti a ekonomiky jednoznačně vydaly cestou vedoucí k dosažení cílů udržitelného rozvoje a řešení trojí planetární krize, je naléhavě zapotřebí mezinárodní spolupráce </w:t>
            </w:r>
            <w:r>
              <w:rPr>
                <w:b/>
                <w:i/>
                <w:strike w:val="0"/>
                <w:color w:val="auto"/>
                <w:highlight w:val="none"/>
                <w:u w:val="none" w:color="auto"/>
                <w:vertAlign w:val="baseline"/>
              </w:rPr>
              <w:t>a</w:t>
            </w:r>
            <w:r>
              <w:t xml:space="preserve"> rozhodná, transformativní činnost;</w:t>
            </w:r>
          </w:p>
        </w:tc>
        <w:tc>
          <w:tcPr>
            <w:tcW w:w="4876" w:type="dxa"/>
            <w:vAlign w:val="top"/>
          </w:tcPr>
          <w:p>
            <w:pPr>
              <w:pStyle w:val="Normal6a"/>
            </w:pPr>
            <w:r>
              <w:t>3.</w:t>
            </w:r>
            <w:r>
              <w:tab/>
            </w:r>
            <w:r>
              <w:t>zdůrazňuje, že k tomu, aby se naše společnosti a ekonomiky jednoznačně vydaly cestou vedoucí k dosažení cílů udržitelného rozvoje a řešení trojí planetární krize</w:t>
            </w:r>
            <w:r>
              <w:rPr>
                <w:b/>
                <w:i/>
                <w:strike w:val="0"/>
                <w:color w:val="auto"/>
                <w:highlight w:val="none"/>
                <w:u w:val="none" w:color="auto"/>
                <w:vertAlign w:val="baseline"/>
              </w:rPr>
              <w:t>: změny klimatu, znečištění a úbytku biologické rozmanitosti</w:t>
            </w:r>
            <w:r>
              <w:t>, je naléhavě zapotřebí mezinárodní spolupráce</w:t>
            </w:r>
            <w:r>
              <w:rPr>
                <w:b/>
                <w:i/>
                <w:strike w:val="0"/>
                <w:color w:val="auto"/>
                <w:highlight w:val="none"/>
                <w:u w:val="none" w:color="auto"/>
                <w:vertAlign w:val="baseline"/>
              </w:rPr>
              <w:t>,</w:t>
            </w:r>
            <w:r>
              <w:t xml:space="preserve"> rozhodná, transformativní činnost</w:t>
            </w:r>
            <w:r>
              <w:rPr>
                <w:b/>
                <w:i/>
                <w:strike w:val="0"/>
                <w:color w:val="auto"/>
                <w:highlight w:val="none"/>
                <w:u w:val="none" w:color="auto"/>
                <w:vertAlign w:val="baseline"/>
              </w:rPr>
              <w:t xml:space="preserve"> a zvýšení celosvětových výdajů na rozvojovou pomoc</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zdůrazňuje, že pro globální plnění cílů udržitelného rozvoje má i nadále zásadní význam vůdčí úloha EU, zejména ve světle dnešních mnohotvárných geopolitických výzev a aktuálně probíhajících krizí;</w:t>
            </w:r>
          </w:p>
        </w:tc>
        <w:tc>
          <w:tcPr>
            <w:tcW w:w="4876" w:type="dxa"/>
            <w:vAlign w:val="top"/>
          </w:tcPr>
          <w:p>
            <w:pPr>
              <w:pStyle w:val="Normal6a"/>
            </w:pPr>
            <w:r>
              <w:t>4.</w:t>
            </w:r>
            <w:r>
              <w:tab/>
            </w:r>
            <w:r>
              <w:t>zdůrazňuje, že pro globální plnění cílů udržitelného rozvoje má i nadále zásadní význam vůdčí úloha EU, zejména ve světle dnešních mnohotvárných geopolitických výzev a aktuálně probíhajících krizí</w:t>
            </w:r>
            <w:r>
              <w:rPr>
                <w:b/>
                <w:i/>
                <w:strike w:val="0"/>
                <w:color w:val="auto"/>
                <w:highlight w:val="none"/>
                <w:u w:val="none" w:color="auto"/>
                <w:vertAlign w:val="baseline"/>
              </w:rPr>
              <w:t>, včetně rostoucího odporu vůči cílům udržitelného rozvoje a odmítavého postoje vůči rovnosti žen a mužů a mezinárodnímu rámci pro lidská práva, který stanoví cíl chránit na celém světě skupiny ve zranitelné situaci nebo na okraji společnosti, včetně žen, dívek a osob LGBTIQ+</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je si vědom pokračujícího úsilí Evropské unie a jejího významného pokroku, zejména pokud jde o plnění cíle udržitelného rozvoje č. 8, a zároveň uznává, že při dosahování cíle udržitelného rozvoje č. 5 je třeba dosáhnout dalších zlepšení;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4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4b.</w:t>
            </w:r>
            <w:r>
              <w:tab/>
            </w:r>
            <w:r>
              <w:rPr>
                <w:b/>
                <w:i/>
                <w:strike w:val="0"/>
                <w:color w:val="auto"/>
                <w:highlight w:val="none"/>
                <w:u w:val="none" w:color="auto"/>
                <w:vertAlign w:val="baseline"/>
              </w:rPr>
              <w:t>zdůrazňuje, že EU by měla upřednostňovat politiky, které podporují ženy, dívky a rodiny, a zajistit, aby jejich hospodářský a sociální blahobyt byl považován za klíčový pro dosažení cílů udržitelného rozvoje, jako je snižování chudoby, kvalitní vzdělávání a rovnost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vyjadřuje politování nad tím, že u většiny dílčích hodnot v rámci cíle udržitelného rozvoje č. 3 bylo dosaženo jen nepatrného nebo mírného pokroku a že v mnoha klíčových oblastech se tempo plnění od roku 2015 zpomalilo; se znepokojením konstatuje, že na cestě ke splnění je méně než 10 % dílčích hodnot cíle udržitelného rozvoje č. 3 a že do roku 2030 bude pravděpodobně dosaženo méně než jedné třetiny;</w:t>
            </w:r>
          </w:p>
        </w:tc>
        <w:tc>
          <w:tcPr>
            <w:tcW w:w="4876" w:type="dxa"/>
            <w:vAlign w:val="top"/>
          </w:tcPr>
          <w:p>
            <w:pPr>
              <w:pStyle w:val="Normal6a"/>
            </w:pPr>
            <w:r>
              <w:t>5.</w:t>
            </w:r>
            <w:r>
              <w:tab/>
            </w:r>
            <w:r>
              <w:t>vyjadřuje politování nad tím, že u většiny dílčích hodnot v rámci cíle udržitelného rozvoje č. 3 bylo dosaženo jen nepatrného nebo mírného pokroku a že v mnoha klíčových oblastech se tempo plnění od roku 2015 zpomalilo; se znepokojením konstatuje, že na cestě ke splnění je méně než 10 % dílčích hodnot cíle udržitelného rozvoje č. 3 a že do roku 2030 bude pravděpodobně dosaženo méně než jedné třetiny;</w:t>
            </w:r>
            <w:r>
              <w:rPr>
                <w:b/>
                <w:i/>
                <w:strike w:val="0"/>
                <w:color w:val="auto"/>
                <w:highlight w:val="none"/>
                <w:u w:val="none" w:color="auto"/>
                <w:vertAlign w:val="baseline"/>
              </w:rPr>
              <w:t xml:space="preserve"> připomíná, že v EU existují velké nerovnosti mezi ženami a muži a že od roku 2010 bylo při řešení těchto nerovností dosaženo jen velmi omezeného pokroku;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vyjadřuje své znepokojení nad přetrvávající praxí mrzačení ženských pohlavních orgánů a vyslovuje soustrast obětem; zdůrazňuje, že UNICEF v březnu 2024 revidoval údaj o počtu obětí na více než 230 milionů, což představuje 15% nárůst (přibližně o 30 milionů více) od roku 2016, a to navzdory poklesu v některých zemích;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5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uznává, že nedávné škrty ve financování USAID budou dále bránit pokroku v plnění cíle udržitelného rozvoje č. 3, což bude mít dopad zejména na přístup žen a dívek ke službám péče o reprodukční zdraví a zdraví matek;</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poukazuje na riziko, že pokrok při plnění dílčích hodnot cíle udržitelného rozvoje č. 3 se dále zpomalí v důsledku mnohotvárných </w:t>
            </w:r>
            <w:r>
              <w:rPr>
                <w:b/>
                <w:i/>
                <w:strike w:val="0"/>
                <w:color w:val="auto"/>
                <w:highlight w:val="none"/>
                <w:u w:val="none" w:color="auto"/>
                <w:vertAlign w:val="baseline"/>
              </w:rPr>
              <w:t>a</w:t>
            </w:r>
            <w:r>
              <w:t xml:space="preserve"> vzájemně provázaných krizí, </w:t>
            </w:r>
            <w:r>
              <w:rPr>
                <w:b/>
                <w:i/>
                <w:strike w:val="0"/>
                <w:color w:val="auto"/>
                <w:highlight w:val="none"/>
                <w:u w:val="none" w:color="auto"/>
                <w:vertAlign w:val="baseline"/>
              </w:rPr>
              <w:t>nedostatečných zdravotnických infrastruktur</w:t>
            </w:r>
            <w:r>
              <w:t xml:space="preserve">, </w:t>
            </w:r>
            <w:r>
              <w:rPr>
                <w:b/>
                <w:i/>
                <w:strike w:val="0"/>
                <w:color w:val="auto"/>
                <w:highlight w:val="none"/>
                <w:u w:val="none" w:color="auto"/>
                <w:vertAlign w:val="baseline"/>
              </w:rPr>
              <w:t>hospodářské nestability</w:t>
            </w:r>
            <w:r>
              <w:t xml:space="preserve">, </w:t>
            </w:r>
            <w:r>
              <w:rPr>
                <w:b/>
                <w:i/>
                <w:strike w:val="0"/>
                <w:color w:val="auto"/>
                <w:highlight w:val="none"/>
                <w:u w:val="none" w:color="auto"/>
                <w:vertAlign w:val="baseline"/>
              </w:rPr>
              <w:t>chudoby</w:t>
            </w:r>
            <w:r>
              <w:t xml:space="preserve">, </w:t>
            </w:r>
            <w:r>
              <w:rPr>
                <w:b/>
                <w:i/>
                <w:strike w:val="0"/>
                <w:color w:val="auto"/>
                <w:highlight w:val="none"/>
                <w:u w:val="none" w:color="auto"/>
                <w:vertAlign w:val="baseline"/>
              </w:rPr>
              <w:t>přetrvávajících nerovností (</w:t>
            </w:r>
            <w:r>
              <w:t xml:space="preserve">zejména </w:t>
            </w:r>
            <w:r>
              <w:rPr>
                <w:b/>
                <w:i/>
                <w:strike w:val="0"/>
                <w:color w:val="auto"/>
                <w:highlight w:val="none"/>
                <w:u w:val="none" w:color="auto"/>
                <w:vertAlign w:val="baseline"/>
              </w:rPr>
              <w:t>uvnitř</w:t>
            </w:r>
            <w:r>
              <w:t xml:space="preserve"> zranitelných populací a regionů</w:t>
            </w:r>
            <w:r>
              <w:rPr>
                <w:b/>
                <w:i/>
                <w:strike w:val="0"/>
                <w:color w:val="auto"/>
                <w:highlight w:val="none"/>
                <w:u w:val="none" w:color="auto"/>
                <w:vertAlign w:val="baseline"/>
              </w:rPr>
              <w:t>) a</w:t>
            </w:r>
            <w:r>
              <w:t xml:space="preserve"> stále omezenějších zdrojů;</w:t>
            </w:r>
          </w:p>
        </w:tc>
        <w:tc>
          <w:tcPr>
            <w:tcW w:w="4876" w:type="dxa"/>
            <w:vAlign w:val="top"/>
          </w:tcPr>
          <w:p>
            <w:pPr>
              <w:pStyle w:val="Normal6a"/>
            </w:pPr>
            <w:r>
              <w:t>6.</w:t>
            </w:r>
            <w:r>
              <w:tab/>
            </w:r>
            <w:r>
              <w:t>poukazuje na riziko, že pokrok při plnění dílčích hodnot cíle udržitelného rozvoje č. 3 se dále zpomalí v důsledku mnohotvárných</w:t>
            </w:r>
            <w:r>
              <w:rPr>
                <w:b/>
                <w:i/>
                <w:strike w:val="0"/>
                <w:color w:val="auto"/>
                <w:highlight w:val="none"/>
                <w:u w:val="none" w:color="auto"/>
                <w:vertAlign w:val="baseline"/>
              </w:rPr>
              <w:t>,</w:t>
            </w:r>
            <w:r>
              <w:t xml:space="preserve"> vzájemně provázaných </w:t>
            </w:r>
            <w:r>
              <w:rPr>
                <w:b/>
                <w:i/>
                <w:strike w:val="0"/>
                <w:color w:val="auto"/>
                <w:highlight w:val="none"/>
                <w:u w:val="none" w:color="auto"/>
                <w:vertAlign w:val="baseline"/>
              </w:rPr>
              <w:t>a rostoucích</w:t>
            </w:r>
            <w:r>
              <w:t xml:space="preserve"> krizí, </w:t>
            </w:r>
            <w:r>
              <w:rPr>
                <w:b/>
                <w:i/>
                <w:strike w:val="0"/>
                <w:color w:val="auto"/>
                <w:highlight w:val="none"/>
                <w:u w:val="none" w:color="auto"/>
                <w:vertAlign w:val="baseline"/>
              </w:rPr>
              <w:t>jako jsou nedostatečná zdravotnická infrastruktura, hospodářská nestabilita</w:t>
            </w:r>
            <w:r>
              <w:t xml:space="preserve">, </w:t>
            </w:r>
            <w:r>
              <w:rPr>
                <w:b/>
                <w:i/>
                <w:strike w:val="0"/>
                <w:color w:val="auto"/>
                <w:highlight w:val="none"/>
                <w:u w:val="none" w:color="auto"/>
                <w:vertAlign w:val="baseline"/>
              </w:rPr>
              <w:t>vzrůstající geopolitické napětí</w:t>
            </w:r>
            <w:r>
              <w:t xml:space="preserve">, </w:t>
            </w:r>
            <w:r>
              <w:rPr>
                <w:b/>
                <w:i/>
                <w:strike w:val="0"/>
                <w:color w:val="auto"/>
                <w:highlight w:val="none"/>
                <w:u w:val="none" w:color="auto"/>
                <w:vertAlign w:val="baseline"/>
              </w:rPr>
              <w:t>chudoba a přetrvávající nerovnosti</w:t>
            </w:r>
            <w:r>
              <w:t xml:space="preserve">, </w:t>
            </w:r>
            <w:r>
              <w:rPr>
                <w:b/>
                <w:i/>
                <w:strike w:val="0"/>
                <w:color w:val="auto"/>
                <w:highlight w:val="none"/>
                <w:u w:val="none" w:color="auto"/>
                <w:vertAlign w:val="baseline"/>
              </w:rPr>
              <w:t>včetně nerovnosti žen a mužů,</w:t>
            </w:r>
            <w:r>
              <w:t xml:space="preserve"> zejména </w:t>
            </w:r>
            <w:r>
              <w:rPr>
                <w:b/>
                <w:i/>
                <w:strike w:val="0"/>
                <w:color w:val="auto"/>
                <w:highlight w:val="none"/>
                <w:u w:val="none" w:color="auto"/>
                <w:vertAlign w:val="baseline"/>
              </w:rPr>
              <w:t>u</w:t>
            </w:r>
            <w:r>
              <w:t> zranitelných populací a regionů</w:t>
            </w:r>
            <w:r>
              <w:rPr>
                <w:b/>
                <w:i/>
                <w:strike w:val="0"/>
                <w:color w:val="auto"/>
                <w:highlight w:val="none"/>
                <w:u w:val="none" w:color="auto"/>
                <w:vertAlign w:val="baseline"/>
              </w:rPr>
              <w:t>, jakož i</w:t>
            </w:r>
            <w:r>
              <w:t xml:space="preserve"> stále omezenějších zdrojů </w:t>
            </w:r>
            <w:r>
              <w:rPr>
                <w:b/>
                <w:i/>
                <w:strike w:val="0"/>
                <w:color w:val="auto"/>
                <w:highlight w:val="none"/>
                <w:u w:val="none" w:color="auto"/>
                <w:vertAlign w:val="baseline"/>
              </w:rPr>
              <w:t>a nedostatku lékařského výzkumu zohledňujícího genderové aspekty</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se znepokojením bere na vědomí vystoupení USA ze Světové zdravotnické organizace (WHO) a úplné zmrazení její oficiální rozvojové pomoci (ODA); zdůrazňuje, že vzhledem k úloze USAID při posilování celosvětového zdraví to bude mít obrovský dopad na životy lidí a přístup ke zdravotnickým službám na celém světě, a to i pro miliony žen a dívek; dále zdůrazňuje, že obnovení globálního roubíkového pravidla má zvláštní dopad na sexuální a reprodukční zdraví a práva; vyzývá Komisi a členské státy, aby řešily mezery, které zanechaly Spojené státy, mimo jiné posílením příspěvku EU ke klíčovým iniciativám v oblasti sexuálního a reprodukčního zdraví a práv, jako je partnerství UNFPA v oblasti dodávek a iniciativa týmu Evropa pro sexuální a reprodukční zdraví a práva v subsaharské Africe;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6b.</w:t>
            </w:r>
            <w:r>
              <w:tab/>
            </w:r>
            <w:r>
              <w:rPr>
                <w:b/>
                <w:i/>
                <w:strike w:val="0"/>
                <w:color w:val="auto"/>
                <w:highlight w:val="none"/>
                <w:u w:val="none" w:color="auto"/>
                <w:vertAlign w:val="baseline"/>
              </w:rPr>
              <w:t>vyjadřuje politování nad celosvětovým omezením rozvojové pomoci, které má dopad především na dostupnost zdravotní péče v nejchudších regionech a pro nejvíce marginalizované osoby, jako jsou ženy a dívky; domnívá se, že zhroucení křehkých systémů zdravotní péče představuje potenciální zdravotní riziko pro světovou populaci; vyzývá k přijetí rozhodných opatření ve všech členských státech a v rámci vnějších politik EU s cílem dosáhnout podstatného pokroku při plnění cíle do roku 2030, kterým je snížení úmrtnosti matek, zajištění všeobecného přístupu ke službám péče o sexuální a reprodukční zdraví, včetně plánování rodičovství a bezpečných a legálních potratů, zdravotní péče o matky a dosažení všeobecné zdravotní péče, včetně přístupu k bezpečným, účinným, kvalitním a cenově dostupným základním lékům pro všechny; vyzývá EU, aby přednostně zajistila přístup k bezpečné a účinné antikoncepční metodě dle vlastního výběru a k bezpečným a legálním potratovým službám ve všech členských státech;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d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6d.</w:t>
            </w:r>
            <w:r>
              <w:tab/>
            </w:r>
            <w:r>
              <w:rPr>
                <w:b/>
                <w:i/>
                <w:strike w:val="0"/>
                <w:color w:val="auto"/>
                <w:highlight w:val="none"/>
                <w:u w:val="none" w:color="auto"/>
                <w:vertAlign w:val="baseline"/>
              </w:rPr>
              <w:t>vyzývá EU a její členské státy, aby přednostně zajistily přístup k povinnému věkově přiměřenému komplexnímu vzdělávání v oblasti sexuality a vztahů založenému na důkazech, a to pro chlapce i dívky, a k informacím o plánování rodičovství s ohledem na 164 milionů žen, jejichž potřeby v této oblasti</w:t>
            </w:r>
            <w:r>
              <w:rPr>
                <w:rStyle w:val="Sup"/>
              </w:rPr>
              <w:t>1a</w:t>
            </w:r>
            <w:r>
              <w:rPr>
                <w:b/>
                <w:i/>
                <w:strike w:val="0"/>
                <w:color w:val="auto"/>
                <w:highlight w:val="none"/>
                <w:u w:val="none" w:color="auto"/>
                <w:vertAlign w:val="baseline"/>
              </w:rPr>
              <w:t xml:space="preserve"> nejsou naplňovány, a zároveň aby k tomuto úsilí přispívaly prostřednictvím svých vnějších politik;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Odbor OSN pro ekonomické a sociální věci, „World Family Planning 2022“,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e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vyzývá EU, aby splnila plány obsažené ve strategii v oblasti duševního zdraví a přijala rozhodnější opatření k zajištění dobrého duševního zdraví pro všechny, zejména s ohledem na genderové hledisko a na skutečnost, že duševní zdraví se závažněji dotýká žen a osob LGBTIQ+;</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f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6f.</w:t>
            </w:r>
            <w:r>
              <w:tab/>
            </w:r>
            <w:r>
              <w:rPr>
                <w:b/>
                <w:i/>
                <w:strike w:val="0"/>
                <w:color w:val="auto"/>
                <w:highlight w:val="none"/>
                <w:u w:val="none" w:color="auto"/>
                <w:vertAlign w:val="baseline"/>
              </w:rPr>
              <w:t>připomíná, že plné uplatňování sexuálního a reprodukčního zdraví a práv a respektování tělesné autonomie žen a dívek má zásadní význam pro dosažení rovnosti žen a mužů; zdůrazňuje, že sexuální a reprodukční zdraví a práva jsou nedílnou součástí všeobecné zdravotní péče a mají zásadní význam pro dosažení cíle udržitelného rozvoje č. 3, zejména cíle 3.7; vyzývá Komisi, aby zajistila, aby byla sexuální a reprodukční zdraví a práva zahrnuta do iniciativ a programů EU týkajících se všeobecné zdravotní péče;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g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6g.</w:t>
            </w:r>
            <w:r>
              <w:tab/>
            </w:r>
            <w:r>
              <w:rPr>
                <w:b/>
                <w:i/>
                <w:strike w:val="0"/>
                <w:color w:val="auto"/>
                <w:highlight w:val="none"/>
                <w:u w:val="none" w:color="auto"/>
                <w:vertAlign w:val="baseline"/>
              </w:rPr>
              <w:t>upozorňuje, že cílů stanovených v cílech udržitelného rozvoje č. 3 a č. 5 nebude dosaženo, pokud nebude zaručen všeobecný přístup k sexuálnímu a reprodukčnímu zdraví a reprodukčním právům v EU i na celém světě; připomíná, že přístup k základním zdravotnickým službám a nezbytným lékům, bezpečné a účinné antikoncepční metodě dle vlastního výběru a k legálním potratovým službám je základním aspektem péče o sexuální a reprodukční zdraví;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h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6h.</w:t>
            </w:r>
            <w:r>
              <w:tab/>
            </w:r>
            <w:r>
              <w:rPr>
                <w:b/>
                <w:i/>
                <w:strike w:val="0"/>
                <w:color w:val="auto"/>
                <w:highlight w:val="none"/>
                <w:u w:val="none" w:color="auto"/>
                <w:vertAlign w:val="baseline"/>
              </w:rPr>
              <w:t>připomíná, že neplánovaná těhotenství mohou mít významné fyzické, emocionální a finanční dopady pro jednotlivce i rodiny a mohou způsobit obzvláště závažnou újmu nezletilým v případě těhotenství dospívajících dívek; poukazuje na to, že legální potratová péče představuje život zachraňující péči při spontánních potratech a jiných život ohrožujících porodních situací a že legální a účinný přístup k bezpečnému potratu může pomoci řešit závažné komplikace a zabránit těhotenstvím s vysokým rizikem, která mohou způsobit úmrtí matek a dětí;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i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6i.</w:t>
            </w:r>
            <w:r>
              <w:tab/>
            </w:r>
            <w:r>
              <w:rPr>
                <w:b/>
                <w:i/>
                <w:strike w:val="0"/>
                <w:color w:val="auto"/>
                <w:highlight w:val="none"/>
                <w:u w:val="none" w:color="auto"/>
                <w:vertAlign w:val="baseline"/>
              </w:rPr>
              <w:t>dále poukazuje na to, že potratová medikace poskytuje bezpečnou a méně invazivní alternativu k chirurgickému potratu a činí péči v případě interrupce a spontánního potratu přístupnější pro osoby, které žijí v oblastech, kde je chirurgická potratová péče obtížně dostupná kvůli zeměpisným nebo jiným překážkám, a že včasný přístup k bezpečné potratové medikaci může pacientkám rovněž umožnit, aby zcela nebo částečně řídily péči v případě interrupce či spontánního potratu a zabránilo se prodlevám v péči, které mohou vést k dalším zdravotním rizikům;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6 j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6j.</w:t>
            </w:r>
            <w:r>
              <w:tab/>
            </w:r>
            <w:r>
              <w:rPr>
                <w:b/>
                <w:i/>
                <w:strike w:val="0"/>
                <w:color w:val="auto"/>
                <w:highlight w:val="none"/>
                <w:u w:val="none" w:color="auto"/>
                <w:vertAlign w:val="baseline"/>
              </w:rPr>
              <w:t>vyzývá EU, aby urychleně přijala akt o kritických léčivech</w:t>
            </w:r>
            <w:r>
              <w:rPr>
                <w:rStyle w:val="Sup"/>
              </w:rPr>
              <w:t>1a</w:t>
            </w:r>
            <w:r>
              <w:rPr>
                <w:b/>
                <w:i/>
                <w:strike w:val="0"/>
                <w:color w:val="auto"/>
                <w:highlight w:val="none"/>
                <w:u w:val="none" w:color="auto"/>
                <w:vertAlign w:val="baseline"/>
              </w:rPr>
              <w:t xml:space="preserve"> a zajistila, aby tento akt zaručoval nepřetržitý přístup v celé EU k základním léčivým přípravkům v oblasti sexuálního a reprodukčního zdraví, které jsou na seznamu základních léčiv WHO, a jejich cenovou dostupnost; vyzývá Evropskou agenturu pro léčivé přípravky, aby aktualizovala seznam EU kriticky důležitých léčivých přípravků tak, aby zahrnoval úplný seznam základních léčiv v oblasti sexuálního a reprodukčního zdraví zapsaných na seznam základních léčiv WHO, jako jsou antikoncepční a potratové léčivé přípravky; vyzývá EU, aby zajistila, aby základní léčivé přípravky v oblasti sexuálního a reprodukčního zdraví byly systematicky začleňovány do humanitární pomoci třetím zemím;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vyzývá k větší koordinaci činnosti a k výrazným investicím v zájmu dosažení univerzální zdravotní péče, posílení zdravotnických systémů, zajištění rovného přístupu k lékům a očkovacím látkám, podpory prevence a léčby nemocí, snahy zastavit zhoršování environmentálních faktorů </w:t>
            </w:r>
            <w:r>
              <w:rPr>
                <w:b/>
                <w:i/>
                <w:strike w:val="0"/>
                <w:color w:val="auto"/>
                <w:highlight w:val="none"/>
                <w:u w:val="none" w:color="auto"/>
                <w:vertAlign w:val="baseline"/>
              </w:rPr>
              <w:t>a</w:t>
            </w:r>
            <w:r>
              <w:t xml:space="preserve"> řešit rozdíly v přístupu ke kvalitní péči a </w:t>
            </w:r>
            <w:r>
              <w:rPr>
                <w:b/>
                <w:i/>
                <w:strike w:val="0"/>
                <w:color w:val="auto"/>
                <w:highlight w:val="none"/>
                <w:u w:val="none" w:color="auto"/>
                <w:vertAlign w:val="baseline"/>
              </w:rPr>
              <w:t>službách</w:t>
            </w:r>
            <w:r>
              <w:t>, zejména v případě zranitelných populací a regionů;</w:t>
            </w:r>
          </w:p>
        </w:tc>
        <w:tc>
          <w:tcPr>
            <w:tcW w:w="4876" w:type="dxa"/>
            <w:vAlign w:val="top"/>
          </w:tcPr>
          <w:p>
            <w:pPr>
              <w:pStyle w:val="Normal6a"/>
            </w:pPr>
            <w:r>
              <w:t>7.</w:t>
            </w:r>
            <w:r>
              <w:tab/>
            </w:r>
            <w:r>
              <w:t>vyzývá k větší koordinaci činnosti a k výrazným investicím v zájmu dosažení univerzální zdravotní péče, posílení zdravotnických systémů, zajištění rovného přístupu k lékům a očkovacím látkám, podpory prevence a léčby nemocí, snahy zastavit zhoršování environmentálních faktorů</w:t>
            </w:r>
            <w:r>
              <w:rPr>
                <w:b/>
                <w:i/>
                <w:strike w:val="0"/>
                <w:color w:val="auto"/>
                <w:highlight w:val="none"/>
                <w:u w:val="none" w:color="auto"/>
                <w:vertAlign w:val="baseline"/>
              </w:rPr>
              <w:t>,</w:t>
            </w:r>
            <w:r>
              <w:t xml:space="preserve"> řešit rozdíly v přístupu ke kvalitní péči a </w:t>
            </w:r>
            <w:r>
              <w:rPr>
                <w:b/>
                <w:i/>
                <w:strike w:val="0"/>
                <w:color w:val="auto"/>
                <w:highlight w:val="none"/>
                <w:u w:val="none" w:color="auto"/>
                <w:vertAlign w:val="baseline"/>
              </w:rPr>
              <w:t>službám</w:t>
            </w:r>
            <w:r>
              <w:t xml:space="preserve">, zejména v případě </w:t>
            </w:r>
            <w:r>
              <w:rPr>
                <w:b/>
                <w:i/>
                <w:strike w:val="0"/>
                <w:color w:val="auto"/>
                <w:highlight w:val="none"/>
                <w:u w:val="none" w:color="auto"/>
                <w:vertAlign w:val="baseline"/>
              </w:rPr>
              <w:t>osob ve zranitelné situaci,</w:t>
            </w:r>
            <w:r>
              <w:t xml:space="preserve"> zranitelných populací a regionů</w:t>
            </w:r>
            <w:r>
              <w:rPr>
                <w:b/>
                <w:i/>
                <w:strike w:val="0"/>
                <w:color w:val="auto"/>
                <w:highlight w:val="none"/>
                <w:u w:val="none" w:color="auto"/>
                <w:vertAlign w:val="baseline"/>
              </w:rPr>
              <w:t>, včetně menšin, žen a dívek a osob se zdravotním postižením</w:t>
            </w:r>
            <w:r>
              <w:t>;</w:t>
            </w:r>
            <w:r>
              <w:rPr>
                <w:b/>
                <w:i/>
                <w:strike w:val="0"/>
                <w:color w:val="auto"/>
                <w:highlight w:val="none"/>
                <w:u w:val="none" w:color="auto"/>
                <w:vertAlign w:val="baseline"/>
              </w:rPr>
              <w:t xml:space="preserve"> zdůrazňuje význam zarušení přístupu ke zdravotní péči pro všechny jako základního práva; zdůrazňuje, že je třeba podporovat přístup ke zdravotní péči a vzdělávání pro dívky ve stavu nouze, z řad migrantů, vnitřně vysídlených osob a uprchlíků a dívky v humanitárních krizích a konfliktech</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vyzývá k posílení koordinovaných opatření a značným investicím s cílem dosáhnout všeobecné zdravotní péče, posílit systémy zdravotní péče, zajistit rovný přístup k léčivým přípravkům a očkovacím látkám, podporovat prevenci a léčbu nemocí, čelit zhoršujícím se environmentálním faktorům, řešit problémy v oblasti duševního zdraví a snížit rozdíly v přístupu ke kvalitní péči a službám, zejména pro zranitelné populace a regiony;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rPr>
                <w:b/>
                <w:i/>
                <w:strike w:val="0"/>
                <w:color w:val="auto"/>
                <w:highlight w:val="none"/>
                <w:u w:val="none" w:color="auto"/>
                <w:vertAlign w:val="baseline"/>
              </w:rPr>
              <w:t>vyzývá k tomu</w:t>
            </w:r>
            <w:r>
              <w:t xml:space="preserve">, </w:t>
            </w:r>
            <w:r>
              <w:rPr>
                <w:b/>
                <w:i/>
                <w:strike w:val="0"/>
                <w:color w:val="auto"/>
                <w:highlight w:val="none"/>
                <w:u w:val="none" w:color="auto"/>
                <w:vertAlign w:val="baseline"/>
              </w:rPr>
              <w:t>aby bylo do Evropské úmluvy o lidských právech a do Listiny základních práv EU vloženo právo na</w:t>
            </w:r>
            <w:r>
              <w:t xml:space="preserve"> zdravé prostředí </w:t>
            </w:r>
            <w:r>
              <w:rPr>
                <w:b/>
                <w:i/>
                <w:strike w:val="0"/>
                <w:color w:val="auto"/>
                <w:highlight w:val="none"/>
                <w:u w:val="none" w:color="auto"/>
                <w:vertAlign w:val="baseline"/>
              </w:rPr>
              <w:t>a aby vznikl právě závazný rámec</w:t>
            </w:r>
            <w:r>
              <w:t>;</w:t>
            </w:r>
          </w:p>
        </w:tc>
        <w:tc>
          <w:tcPr>
            <w:tcW w:w="4876" w:type="dxa"/>
            <w:vAlign w:val="top"/>
          </w:tcPr>
          <w:p>
            <w:pPr>
              <w:pStyle w:val="Normal6a"/>
            </w:pPr>
            <w:r>
              <w:t>8.</w:t>
            </w:r>
            <w:r>
              <w:tab/>
            </w:r>
            <w:r>
              <w:rPr>
                <w:b/>
                <w:i/>
                <w:strike w:val="0"/>
                <w:color w:val="auto"/>
                <w:highlight w:val="none"/>
                <w:u w:val="none" w:color="auto"/>
                <w:vertAlign w:val="baseline"/>
              </w:rPr>
              <w:t>domnívá se</w:t>
            </w:r>
            <w:r>
              <w:t xml:space="preserve">, </w:t>
            </w:r>
            <w:r>
              <w:rPr>
                <w:b/>
                <w:i/>
                <w:strike w:val="0"/>
                <w:color w:val="auto"/>
                <w:highlight w:val="none"/>
                <w:u w:val="none" w:color="auto"/>
                <w:vertAlign w:val="baseline"/>
              </w:rPr>
              <w:t>že</w:t>
            </w:r>
            <w:r>
              <w:t xml:space="preserve"> zdravé prostředí </w:t>
            </w:r>
            <w:r>
              <w:rPr>
                <w:b/>
                <w:i/>
                <w:strike w:val="0"/>
                <w:color w:val="auto"/>
                <w:highlight w:val="none"/>
                <w:u w:val="none" w:color="auto"/>
                <w:vertAlign w:val="baseline"/>
              </w:rPr>
              <w:t>je rozhodujícím faktorem pro zlepšení zdraví</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vyjadřuje politování nad tím, že žádná země není na dobré cestě k dosažení rovnosti žen a mužů do roku 2030 a že v této oblasti téměř 40 % zemí mezi lety 2019 a 2022 stagnovalo nebo dokonce bylo na sestupu; konstatuje, že tento odpor se časově shoduje s nárůstem konzervativních, reakčních a mizogynních trendů, které působí proti právům žen na celém světě; upozorňuje na to, že pokud by současné trendy směřující k oslabování a stagnaci v oblasti rovnosti žen a mužů narůstaly, mohly by být globální genderové nerovnosti v roce 2030 horší než v době, kdy byly v roce 2015 dohodnuty cíle udržitelného rozvoje</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8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8b.</w:t>
            </w:r>
            <w:r>
              <w:tab/>
            </w:r>
            <w:r>
              <w:rPr>
                <w:b/>
                <w:i/>
                <w:strike w:val="0"/>
                <w:color w:val="auto"/>
                <w:highlight w:val="none"/>
                <w:u w:val="none" w:color="auto"/>
                <w:vertAlign w:val="baseline"/>
              </w:rPr>
              <w:t>zdůrazňuje průřezovou povahu cíle udržitelného rozvoje č. 5 a jeho význam pro realizaci Agendy 2030; poukazuje na to, že dosažení rovnosti žen a mužů přímo doplňuje všechny ostatní cíle udržitelného rozvoje a že těchto cílů nelze dosáhnout bez prosazování práv žen a dívek a rovnosti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vyzývá k urychlenému přijetí cílených opatření k ukončení všech forem násilí a obtěžování vůči ženám, dívkám a osobám LGBTIQ+, včetně sexuálního a genderově podmíněného násilí, a k ukončení škodlivých tradičních praktik, jako jsou dětské sňatky a mrzačení ženských pohlavních orgánů;</w:t>
            </w:r>
          </w:p>
        </w:tc>
        <w:tc>
          <w:tcPr>
            <w:tcW w:w="4876" w:type="dxa"/>
            <w:vAlign w:val="top"/>
          </w:tcPr>
          <w:p>
            <w:pPr>
              <w:pStyle w:val="Normal6a"/>
            </w:pPr>
            <w:r>
              <w:t>9.</w:t>
            </w:r>
            <w:r>
              <w:tab/>
            </w:r>
            <w:r>
              <w:rPr>
                <w:b/>
                <w:i/>
                <w:strike w:val="0"/>
                <w:color w:val="auto"/>
                <w:highlight w:val="none"/>
                <w:u w:val="none" w:color="auto"/>
                <w:vertAlign w:val="baseline"/>
              </w:rPr>
              <w:t xml:space="preserve">opakuje, že společnost bez genderově podmíněného násilí je nezbytným předpokladem pro dosažení rovnosti žen a mužů; </w:t>
            </w:r>
            <w:r>
              <w:t xml:space="preserve">vyzývá k urychlenému přijetí cílených opatření k ukončení všech forem násilí a obtěžování vůči ženám, dívkám a osobám LGBTIQ+, včetně sexuálního a genderově podmíněného násilí, a k ukončení škodlivých tradičních praktik, jako jsou dětské </w:t>
            </w:r>
            <w:r>
              <w:t>a nucené sňatky, jimž je každoročně podrobeno 12 milionů dívek</w:t>
            </w:r>
            <w:r>
              <w:rPr>
                <w:rStyle w:val="Sup"/>
              </w:rPr>
              <w:t>1a</w:t>
            </w:r>
            <w:r>
              <w:t>, mrzačení ženských pohlavních orgánů</w:t>
            </w:r>
            <w:r>
              <w:t xml:space="preserve"> a potrat na základě pohlaví plodu, a vyzývá rovněž k boji proti používání genderově podmíněného násilí jako válečné zbraně</w:t>
            </w:r>
            <w:r>
              <w:t>;</w:t>
            </w:r>
            <w:r>
              <w:rPr>
                <w:b/>
                <w:i/>
                <w:strike w:val="0"/>
                <w:color w:val="auto"/>
                <w:highlight w:val="none"/>
                <w:u w:val="none" w:color="auto"/>
                <w:vertAlign w:val="baseline"/>
              </w:rPr>
              <w:t xml:space="preserve"> domnívá se, že pro dosažení tohoto cíle mají zásadní význam občanská angažovanost a místní ženské organizace; vyjadřuje znepokojení nad celosvětovým nárůstem stíhání obránců lidských práv, zejména pokud jde o obránce práv žen a menšin; </w:t>
            </w:r>
            <w:r>
              <w:t>je rovněž znepokojen vysokou mírou úmrtnosti matek v zemích s nízkými a nižšími středními příjmy</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UNICEF, „Fast Facts: 10 facts illustrating why we must #EndChildMarriage10 February 2019“ https://www.unicef.org/press-releases/fast-facts-10-facts-illustrating-why-we-must-endchildmarriage.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9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9a.</w:t>
            </w:r>
            <w:r>
              <w:tab/>
            </w:r>
            <w:r>
              <w:rPr>
                <w:b/>
                <w:i/>
                <w:strike w:val="0"/>
                <w:color w:val="auto"/>
                <w:highlight w:val="none"/>
                <w:u w:val="none" w:color="auto"/>
                <w:vertAlign w:val="baseline"/>
              </w:rPr>
              <w:t>zdůrazňuje, že znásilnění zůstává jedním z nejrozšířenějších případů porušování lidských práv, a naléhavě vyzývá k zavedení společné definice znásilnění na základě chybějícího souhlasu;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9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9b.</w:t>
            </w:r>
            <w:r>
              <w:tab/>
            </w:r>
            <w:r>
              <w:rPr>
                <w:b/>
                <w:i/>
                <w:strike w:val="0"/>
                <w:color w:val="auto"/>
                <w:highlight w:val="none"/>
                <w:u w:val="none" w:color="auto"/>
                <w:vertAlign w:val="baseline"/>
              </w:rPr>
              <w:t>vyjadřuje politování nad celosvětovým potlačováním práv žen a odsuzuje všechny aktéry, kteří podnikají kroky s cílem oslabit celosvětové úspěchy v oblasti rovnosti žen a mužů; vyzývá EU a její členské státy, aby zintenzívnily boj za rovnost žen a mužů za nynější situace, kdy USA přestávají financovat organizace prosazující lidská práva;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9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9c.</w:t>
            </w:r>
            <w:r>
              <w:tab/>
            </w:r>
            <w:r>
              <w:rPr>
                <w:b/>
                <w:i/>
                <w:strike w:val="0"/>
                <w:color w:val="auto"/>
                <w:highlight w:val="none"/>
                <w:u w:val="none" w:color="auto"/>
                <w:vertAlign w:val="baseline"/>
              </w:rPr>
              <w:t>vyzývá k rozhodnějším krokům v boji proti nárůstu nenávistných projevů vůči rovnosti žen a mužů na internetu a proti rostoucímu počtu hrozeb, kterým čelí ženy v politických funkcích, což vede k tomu, že se funkce ujímá méně žen a že jsou po nástupu do těchto funkcí často nuceny odejít;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vyzývá </w:t>
            </w:r>
            <w:r>
              <w:t>k dalšímu financování</w:t>
            </w:r>
            <w:r>
              <w:t xml:space="preserve"> programů, které se zaměřují na </w:t>
            </w:r>
            <w:r>
              <w:rPr>
                <w:b/>
                <w:i/>
                <w:strike w:val="0"/>
                <w:color w:val="auto"/>
                <w:highlight w:val="none"/>
                <w:u w:val="none" w:color="auto"/>
                <w:vertAlign w:val="baseline"/>
              </w:rPr>
              <w:t>emancipaci</w:t>
            </w:r>
            <w:r>
              <w:t xml:space="preserve"> žen a boj proti všem formám genderově podmíněného násilí; vyzývá Komisi, aby zajistila, že </w:t>
            </w:r>
            <w:r>
              <w:t>85 % veškerých nových vnějších akcí</w:t>
            </w:r>
            <w:r>
              <w:t xml:space="preserve"> bude zahrnovat gender jako významný nebo hlavní cíl a že na programy, které budou mít mezi svými hlavními cíli genderovou rovnost, bude v každé zemi přiděleno 20 % oficiální rozvojové pomoci;</w:t>
            </w:r>
          </w:p>
        </w:tc>
        <w:tc>
          <w:tcPr>
            <w:tcW w:w="4876" w:type="dxa"/>
            <w:vAlign w:val="top"/>
          </w:tcPr>
          <w:p>
            <w:pPr>
              <w:pStyle w:val="Normal6a"/>
            </w:pPr>
            <w:r>
              <w:t>10.</w:t>
            </w:r>
            <w:r>
              <w:tab/>
            </w:r>
            <w:r>
              <w:t xml:space="preserve">vyzývá </w:t>
            </w:r>
            <w:r>
              <w:t>k navýšení financování</w:t>
            </w:r>
            <w:r>
              <w:t xml:space="preserve"> programů, které se zaměřují na </w:t>
            </w:r>
            <w:r>
              <w:t>podporu</w:t>
            </w:r>
            <w:r>
              <w:t xml:space="preserve"> </w:t>
            </w:r>
            <w:r>
              <w:t>rovnosti žen a mužů a</w:t>
            </w:r>
            <w:r>
              <w:t xml:space="preserve"> boj proti všem formám genderově podmíněného násilí; vyzývá Komisi, aby zajistila, že </w:t>
            </w:r>
            <w:r>
              <w:t>všechnu opatření financovaná EU budou zahrnovat genderový rozměr,</w:t>
            </w:r>
            <w:r>
              <w:t xml:space="preserve"> že </w:t>
            </w:r>
            <w:r>
              <w:t>85 % oficiální rozvojové pomoci půjde na projekty,</w:t>
            </w:r>
            <w:r>
              <w:t xml:space="preserve"> jež budou zahrnovat gender jako významný nebo hlavní cíl a že na programy, které budou mít mezi svými hlavními cíli genderovou rovnost, bude v každé zemi přiděleno 20 % oficiální rozvojové pomoci;</w:t>
            </w:r>
            <w:r>
              <w:rPr>
                <w:b/>
                <w:i/>
                <w:strike w:val="0"/>
                <w:color w:val="auto"/>
                <w:highlight w:val="none"/>
                <w:u w:val="none" w:color="auto"/>
                <w:vertAlign w:val="baseline"/>
              </w:rPr>
              <w:t xml:space="preserve"> vyzývá Komisi, aby tyto dva cíle zahrnula do příštího VFR a zajistila začlenění hlediska rovnosti žen a mužů a genderového rozpočtování do všech politik, programů a rozpočtů EU;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 xml:space="preserve">je znepokojen tím, že cíl udržitelného rozvoje č. 5 je jedním z nejméně financovaných cílů udržitelného rozvoje; </w:t>
            </w:r>
            <w:r>
              <w:t>odsuzuje skutečnost, že financování práv žen čím dál tím více ztrácí prioritu a že místní feministická hnutí a organizace zabývající se právy žen jsou i nadále systematicky podfinancovány a dostávají méně než 1 % celosvětové oficiální rozvojové pomoci</w:t>
            </w:r>
            <w:r>
              <w:rPr>
                <w:rStyle w:val="Sup"/>
              </w:rPr>
              <w:t>1a</w:t>
            </w:r>
            <w:r>
              <w:t>;</w:t>
            </w:r>
            <w:r>
              <w:rPr>
                <w:b/>
                <w:i/>
                <w:strike w:val="0"/>
                <w:color w:val="auto"/>
                <w:highlight w:val="none"/>
                <w:u w:val="none" w:color="auto"/>
                <w:vertAlign w:val="baseline"/>
              </w:rPr>
              <w:t xml:space="preserve"> vyzývá Komisi, aby zajistila pravidelné, přiměřené a udržitelné financování evropských programů a organizací, které se zabývají rovností žen a mužů a právy žen;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policy brief,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10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10b.</w:t>
            </w:r>
            <w:r>
              <w:tab/>
            </w:r>
            <w:r>
              <w:rPr>
                <w:b/>
                <w:i/>
                <w:strike w:val="0"/>
                <w:color w:val="auto"/>
                <w:highlight w:val="none"/>
                <w:u w:val="none" w:color="auto"/>
                <w:vertAlign w:val="baseline"/>
              </w:rPr>
              <w:t>vyjadřuje vážné znepokojení nad genderovým apartheidem, který je v současné době uskutečňován v Afghánistánu; poukazuje na to, že v Afghánistánu již byl odepřen přístup ke vzdělávání 2,2 milionu dívek, přičemž tento počet se má zvýšit na 4 miliony; vyzývá celosvětové společenství, aby důrazně odsoudilo genderový apartheid v Afghánistánu a přijalo veškerá nezbytná opatření s cílem jej ukončit a postavit odpovědné osoby před soud;</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10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10c.</w:t>
            </w:r>
            <w:r>
              <w:tab/>
            </w:r>
            <w:r>
              <w:t>vyjadřuje politování nad tím, že od zahájení genderového akčního plánu GAP III mělo rovnost žen a mužů jako hlavní cíl pouze 3,8 % všech genderově citlivých/cílených opatření, což zaostává za 5% cílem stanoveným v nařízení o nástroji pro sousedství a rozvojovou a mezinárodní spolupráci</w:t>
            </w:r>
            <w:r>
              <w:rPr>
                <w:rStyle w:val="Sup"/>
              </w:rPr>
              <w:t>1a</w:t>
            </w:r>
            <w:r>
              <w:t>;</w:t>
            </w:r>
            <w:r>
              <w:rPr>
                <w:b/>
                <w:i/>
                <w:strike w:val="0"/>
                <w:color w:val="auto"/>
                <w:highlight w:val="none"/>
                <w:u w:val="none" w:color="auto"/>
                <w:vertAlign w:val="baseline"/>
              </w:rPr>
              <w:t xml:space="preserve"> vyzývá členské státy a Komisi, aby podstatně zvýšily počet opatření EU, jejichž hlavním cílem je prosazování rovnosti žen a mužů, a aby dosáhly 5% cíle; vyzývá EU, aby zvýšila financování multilaterálních fondů pro rovnost žen a mužů, jako je UN Women, a pro sexuální a reprodukční zdraví, jako je UNFPA a Globální fond pro boj proti AIDS, tuberkulóze a malárii;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Nařízení Evropského parlamentu a Rady (EU) 2021/947 ze dne 9. června 2021, kterým se zřizuje Nástroj pro sousedství a rozvojovou a mezinárodní spolupráci – Globální Evropa, mění a zrušuje rozhodnutí Evropského parlamentu a Rady č. 466/2014/EU a zrušují nařízení Evropského parlamentu a Rady (EU) 2017/1601 a nařízení Rady (ES, Euratom) č. 480/2009 (Úř. věst. L 209, 14.6.2021, s. 1, ELI: http://data.europa.eu/eli/reg/2021/947/oj).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vyzývá k intenzivnějším snahám o odstranění rozdílů v </w:t>
            </w:r>
            <w:r>
              <w:rPr>
                <w:b/>
                <w:i/>
                <w:strike w:val="0"/>
                <w:color w:val="auto"/>
                <w:highlight w:val="none"/>
                <w:u w:val="none" w:color="auto"/>
                <w:vertAlign w:val="baseline"/>
              </w:rPr>
              <w:t>odměňování žen a mužů, mimo jiné v odvětví sociálních služeb, a</w:t>
            </w:r>
            <w:r>
              <w:t xml:space="preserve"> o zajištění rovné účasti a vytvoření příležitostí k výkonu vedoucích funkcí ve veřejné a soukromé sféře;</w:t>
            </w:r>
          </w:p>
        </w:tc>
        <w:tc>
          <w:tcPr>
            <w:tcW w:w="4876" w:type="dxa"/>
            <w:vAlign w:val="top"/>
          </w:tcPr>
          <w:p>
            <w:pPr>
              <w:pStyle w:val="Normal6a"/>
            </w:pPr>
            <w:r>
              <w:t>11.</w:t>
            </w:r>
            <w:r>
              <w:tab/>
            </w:r>
            <w:r>
              <w:t xml:space="preserve">vyzývá k intenzivnějším snahám o odstranění rozdílů v </w:t>
            </w:r>
            <w:r>
              <w:t>zaměstnanosti žen a mužů, rozdílů v odměňování a důchodech žen a mužů a k navýšení investic do veřejných služeb a sociální infrastruktury a vyzývá k přijetí závazku pokročit směrem k pečujícím společnostem;</w:t>
            </w:r>
            <w:r>
              <w:rPr>
                <w:b/>
                <w:i/>
                <w:strike w:val="0"/>
                <w:color w:val="auto"/>
                <w:highlight w:val="none"/>
                <w:u w:val="none" w:color="auto"/>
                <w:vertAlign w:val="baseline"/>
              </w:rPr>
              <w:t xml:space="preserve"> </w:t>
            </w:r>
            <w:r>
              <w:t>vyzývá ke spravedlivějšímu oceňování a odměňování práce v odvětvích, v nichž převládají ženy, k transparentnosti odměňování, k reformám sociální ochrany a k podpoře kvalitních pracovních míst bez sexuálního obtěžování a genderově podmíněného násilí;</w:t>
            </w:r>
            <w:r>
              <w:rPr>
                <w:b/>
                <w:i/>
                <w:strike w:val="0"/>
                <w:color w:val="auto"/>
                <w:highlight w:val="none"/>
                <w:u w:val="none" w:color="auto"/>
                <w:vertAlign w:val="baseline"/>
              </w:rPr>
              <w:t xml:space="preserve"> </w:t>
            </w:r>
            <w:r>
              <w:t>vyzývá k úsilí</w:t>
            </w:r>
            <w:r>
              <w:t xml:space="preserve"> o zajištění rovné účasti a</w:t>
            </w:r>
            <w:r>
              <w:t xml:space="preserve"> vytvoření příležitostí k výkonu vedoucích funkcí ve veřejné a soukromé sféře podporou genderově vyváženého zastoupení na odpovědných a rozhodovacích pozicích a bojem proti sexismu ve veřejné i soukromé sféře;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11a.</w:t>
            </w:r>
            <w:r>
              <w:tab/>
            </w:r>
            <w:r>
              <w:rPr>
                <w:b/>
                <w:i/>
                <w:strike w:val="0"/>
                <w:color w:val="auto"/>
                <w:highlight w:val="none"/>
                <w:u w:val="none" w:color="auto"/>
                <w:vertAlign w:val="baseline"/>
              </w:rPr>
              <w:t>zdůrazňuje, že je třeba podporovat rovný přístup ke vzdělání a finanční gramotnost žen a dívek, zejména u žen a dívek z marginalizovaných skupin a postižených diskriminací; zdůrazňuje, že cílem těchto politik musí být podpora rovných příležitostí a zvýšení šancí žen a dívek na získání stabilního, dobře placeného a oceňovaného zaměstnání, které zaručí jejich finanční nezávislost; vyzývá k tomu, aby byl ženám a dívkám umožněn lepší přístup k digitálním nástrojům a odborné přípravě a aby byly podporovány programy a financování pro ženy a dívky v oblasti vědy, technologií, inženýrství a matematiky (STEM) a podnikatelského vzdělávání a aktivit;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11b.</w:t>
            </w:r>
            <w:r>
              <w:tab/>
            </w:r>
            <w:r>
              <w:rPr>
                <w:b/>
                <w:i/>
                <w:strike w:val="0"/>
                <w:color w:val="auto"/>
                <w:highlight w:val="none"/>
                <w:u w:val="none" w:color="auto"/>
                <w:vertAlign w:val="baseline"/>
              </w:rPr>
              <w:t>zdůrazňuje význam plánu Komise pro práva žen, který potvrzuje závazek EU v oblasti rovnosti žen a mužů a vytváří pro tuto rovnost novou strategii, jež bude zveřejněna v roce 2026; vyzývá k většímu zapojení členských států a volá po komplexním přístupu, pokud jde o sexuální a reprodukční služby, diskriminaci z důvodu příslušnosti ke dvěma či více skupinám a ochranu zranitelných žen;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11c.</w:t>
            </w:r>
            <w:r>
              <w:tab/>
            </w:r>
            <w:r>
              <w:rPr>
                <w:b/>
                <w:i/>
                <w:strike w:val="0"/>
                <w:color w:val="auto"/>
                <w:highlight w:val="none"/>
                <w:u w:val="none" w:color="auto"/>
                <w:vertAlign w:val="baseline"/>
              </w:rPr>
              <w:t>vyzývá k tomu, aby do Listiny základních práv EU bylo vloženo univerzální právo na přístup k bezpečnému a legálnímu potratu a aby byl zaveden právě závazný rámec;</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d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11d.</w:t>
            </w:r>
            <w:r>
              <w:tab/>
            </w:r>
            <w:r>
              <w:rPr>
                <w:b/>
                <w:i/>
                <w:strike w:val="0"/>
                <w:color w:val="auto"/>
                <w:highlight w:val="none"/>
                <w:u w:val="none" w:color="auto"/>
                <w:vertAlign w:val="baseline"/>
              </w:rPr>
              <w:t>opakuje, že sexuální a reprodukční zdraví a práva jsou základními lidskými právy a jejich uplatňování je základním aspektem lidské důstojnosti a předpokladem pro dosažení rovnosti žen a mužů; připomíná závazek EU podporovat, chránit a plnit právo každého jednotlivce mít plnou kontrolu nad svou sexualitou a svobodně a odpovědně se rozhodovat v záležitostech týkajících se sexuality a sexuálních a reprodukčních práv, bez diskriminace, nátlaku a násilí;</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e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11e.</w:t>
            </w:r>
            <w:r>
              <w:tab/>
            </w:r>
            <w:r>
              <w:rPr>
                <w:b/>
                <w:i/>
                <w:strike w:val="0"/>
                <w:color w:val="auto"/>
                <w:highlight w:val="none"/>
                <w:u w:val="none" w:color="auto"/>
                <w:vertAlign w:val="baseline"/>
              </w:rPr>
              <w:t>zdůrazňuje důležitost přístupu ke spolehlivým údajům získaným na spolehlivém statistickém základu i význam zapojení občanů, což představuje nástroj k zajištění toho, aby nikdo nebyl opomenut; domnívá se, že je to zásadní pro zjišťování rozdílů mezi zeměmi a regiony, vytváření politik a hodnocení pokroku globálních iniciativ v oblasti rovnosti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f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11f.</w:t>
            </w:r>
            <w:r>
              <w:tab/>
            </w:r>
            <w:r>
              <w:rPr>
                <w:b/>
                <w:i/>
                <w:strike w:val="0"/>
                <w:color w:val="auto"/>
                <w:highlight w:val="none"/>
                <w:u w:val="none" w:color="auto"/>
                <w:vertAlign w:val="baseline"/>
              </w:rPr>
              <w:t>vyzývá k důraznější podpoře práva každé ženy na rovnováhu mezi pracovním a soukromým životem, a to prosazováním společné odpovědnosti a pracovních podmínek, které usnadňují sladění soukromého, rodinného a pracovního života;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g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11g.</w:t>
            </w:r>
            <w:r>
              <w:tab/>
            </w:r>
            <w:r>
              <w:rPr>
                <w:b/>
                <w:i/>
                <w:strike w:val="0"/>
                <w:color w:val="auto"/>
                <w:highlight w:val="none"/>
                <w:u w:val="none" w:color="auto"/>
                <w:vertAlign w:val="baseline"/>
              </w:rPr>
              <w:t>je znepokojen pokračující regresí sexuálního a reprodukčního zdraví a práv a útoky na obránce sexuálního a reprodukčního zdraví a práv v Evropě i na celém světě; vyzývá k intenzivnímu evropskému úsilí o ochranu našich základních hodnot, jako jsou rovná práva na tělesnou autonomii, a k důraznějším politikám, které všem ženám a dívkám zaručí všeobecný přístup ke službám v oblasti sexuálního a reprodukčního zdraví, včetně informací o plánovaném rodičovství, cenově dostupné antikoncepce, bezplatného, bezpečného a legálního potratu a zdravotní péče o matky;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h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11h.</w:t>
            </w:r>
            <w:r>
              <w:tab/>
            </w:r>
            <w:r>
              <w:rPr>
                <w:b/>
                <w:i/>
                <w:strike w:val="0"/>
                <w:color w:val="auto"/>
                <w:highlight w:val="none"/>
                <w:u w:val="none" w:color="auto"/>
                <w:vertAlign w:val="baseline"/>
              </w:rPr>
              <w:t>vyzývá k důraznějším politikám a opatřením, které podporují přístup k půdě, úvěrům, podnikání a vzdělávání, jakož i zaměstnání a zdraví, zejména pro ženy a dívky ve zranitelné situaci, ženy se zdravotním postižením, těhotné ženy a ženy ve venkovských a ostrovních oblastech a nejvzdálenějších regionech;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i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11i.</w:t>
            </w:r>
            <w:r>
              <w:tab/>
            </w:r>
            <w:r>
              <w:rPr>
                <w:b/>
                <w:i/>
                <w:strike w:val="0"/>
                <w:color w:val="auto"/>
                <w:highlight w:val="none"/>
                <w:u w:val="none" w:color="auto"/>
                <w:vertAlign w:val="baseline"/>
              </w:rPr>
              <w:t>vyzývá členské státy, aby zajistily poskytování povinné komplexní sexuální a vztahové výchovy podložené důkazy na základních a středních školách s cílem bojovat proti genderově podmíněnému násilí a genderovým stereotypům; zdůrazňuje, že investice do vzdělávání dívek jsou velkým přínosem pro budoucí generace, což přímo přispívá k uplatňování jejich základních práv a k ochraně před všemi formami násilí, ale také k většímu blahobytu celé společnosti; vyzývá v této souvislosti Komisi, aby předložila pokyny EU pro komplexní sexuální výchovu podloženou důkazy a vycházející ze standardů WHO a aby podporovala sdílení osvědčených postupů v této oblasti mezi členskými státy;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j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11j.</w:t>
            </w:r>
            <w:r>
              <w:tab/>
            </w:r>
            <w:r>
              <w:rPr>
                <w:b/>
                <w:i/>
                <w:strike w:val="0"/>
                <w:color w:val="auto"/>
                <w:highlight w:val="none"/>
                <w:u w:val="none" w:color="auto"/>
                <w:vertAlign w:val="baseline"/>
              </w:rPr>
              <w:t>naléhavě vyzývá Komisi, aby zastavila financování těch hnutí působících v Unii i mimo ni, jež přispívají k jakýmkoli formám útlaku žen, včetně kampaní proti základním právům zahrnujícím práva žen a sexuální a reprodukční zdraví a práva;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11k.</w:t>
            </w:r>
            <w:r>
              <w:tab/>
            </w:r>
            <w:r>
              <w:rPr>
                <w:b/>
                <w:i/>
                <w:strike w:val="0"/>
                <w:color w:val="auto"/>
                <w:highlight w:val="none"/>
                <w:u w:val="none" w:color="auto"/>
                <w:vertAlign w:val="baseline"/>
              </w:rPr>
              <w:t xml:space="preserve">vyjadřuje politování nad oslabováním práv osob LGBTIQ+ a nad transfobií, která ohrožuje rovnost žen a mužů; </w:t>
            </w:r>
            <w:r>
              <w:t>odsuzuje skutečnost, že v letech 2021 a 2022 pouhé tři organizace bojující proti LGBTIQ+ osobám vykázaly příjmy ve výši 1 miliardy USD, zatímco 8 000 příjemců grantů z celého světa z řad LGBTIQ+ obdrželo celkem 905 milionů USD</w:t>
            </w:r>
            <w:r>
              <w:rPr>
                <w:rStyle w:val="Sup"/>
              </w:rPr>
              <w:t>1a</w:t>
            </w:r>
            <w:r>
              <w:t>;</w:t>
            </w:r>
            <w:r>
              <w:rPr>
                <w:b/>
                <w:i/>
                <w:strike w:val="0"/>
                <w:color w:val="auto"/>
                <w:highlight w:val="none"/>
                <w:u w:val="none" w:color="auto"/>
                <w:vertAlign w:val="baseline"/>
              </w:rPr>
              <w:t xml:space="preserve"> varuje před znepokojivým nárůstem financování boje proti rovnosti žen a mužů, jehož cílem je bojovat proti pokroku dosaženému v oblasti práv žen a LGBTIQ+ osob v posledních desetiletích;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policy brief,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l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11l.</w:t>
            </w:r>
            <w:r>
              <w:tab/>
            </w:r>
            <w:r>
              <w:rPr>
                <w:b/>
                <w:i/>
                <w:strike w:val="0"/>
                <w:color w:val="auto"/>
                <w:highlight w:val="none"/>
                <w:u w:val="none" w:color="auto"/>
                <w:vertAlign w:val="baseline"/>
              </w:rPr>
              <w:t>vyzývá EU, aby zakázala konverzní centra v členských státech a učinila vše pro to, aby se této praxi kdekoli zabránilo;</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11 m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11m.</w:t>
            </w:r>
            <w:r>
              <w:tab/>
            </w:r>
            <w:r>
              <w:rPr>
                <w:b/>
                <w:i/>
                <w:strike w:val="0"/>
                <w:color w:val="auto"/>
                <w:highlight w:val="none"/>
                <w:u w:val="none" w:color="auto"/>
                <w:vertAlign w:val="baseline"/>
              </w:rPr>
              <w:t>vyzývá EU, aby stanovila zvláštní cíl financování na podporu organizací pro práva žen a LGBTIQ+ osob, feministických hnutí a obránců lidských práv v Evropě i na celém světě; zdůrazňuje, že je třeba vytvořit mechanismus ochrany obránců lidských práv v EU, který by se zvláště zaměřoval na ženy, osoby LGBTIQ+ a obránce lidských práv v oblasti sexuálního a reprodukčního zdraví a práv;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konstatuje, že úsilí o dosažení cílů udržitelného rozvoje by mělo zdůraznit politiky, které podporují inovace, podnikání a vytváření zelených pracovních míst, což v konečném důsledku povede k širšímu dosažení cílů udržitelného rozvoje a rovnosti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požaduje lepší politiky a důraznější kroky na podporu udržitelného hospodářského rozvoje podporujícího začlenění; důrazně žádá EU a globální partnery, aby využívali nástroje, jako je Global Gateway, k vytváření důstojných pracovních míst, které budou snižovat příjmovou nerovnost a zajistí, že nikdo nebude opomenut;</w:t>
            </w:r>
          </w:p>
        </w:tc>
        <w:tc>
          <w:tcPr>
            <w:tcW w:w="4876" w:type="dxa"/>
            <w:vAlign w:val="top"/>
          </w:tcPr>
          <w:p>
            <w:pPr>
              <w:pStyle w:val="Normal6a"/>
            </w:pPr>
            <w:r>
              <w:t>13.</w:t>
            </w:r>
            <w:r>
              <w:tab/>
            </w:r>
            <w:r>
              <w:t>požaduje lepší politiky a důraznější kroky na podporu udržitelného hospodářského rozvoje podporujícího začlenění; důrazně žádá EU a globální partnery, aby využívali nástroje, jako je Global Gateway, k vytváření důstojných pracovních míst, které budou snižovat příjmovou nerovnost a zajistí, že nikdo nebude opomenut;</w:t>
            </w:r>
            <w:r>
              <w:rPr>
                <w:b/>
                <w:i/>
                <w:strike w:val="0"/>
                <w:color w:val="auto"/>
                <w:highlight w:val="none"/>
                <w:u w:val="none" w:color="auto"/>
                <w:vertAlign w:val="baseline"/>
              </w:rPr>
              <w:t xml:space="preserve"> vyzývá k úsilí o zajištění toho, aby zazněl hlas osob, jež jsou více ohroženy vyloučením, a aby se prioritou stal boj proti chudobě a nejistým pracovním podmínkám, se zvláštním zřetelem na ženy, které čelí diskriminaci z důvodu příslušnosti ke dvěma či více skupinám;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13a.</w:t>
            </w:r>
            <w:r>
              <w:tab/>
            </w:r>
            <w:r>
              <w:rPr>
                <w:b/>
                <w:i/>
                <w:strike w:val="0"/>
                <w:color w:val="auto"/>
                <w:highlight w:val="none"/>
                <w:u w:val="none" w:color="auto"/>
                <w:vertAlign w:val="baseline"/>
              </w:rPr>
              <w:t>zdůrazňuje, že většina neplacené pečovatelské práce stále zatěžuje pouze ženy, což má negativní dopady na rozdíly mezi ženami a muži v oblasti zaměstnání, ekonomické nezávislosti a společenského blahobytu; vyzývá EU, aby vypracovala konkrétní opatření pro uznávání pečovatelské práce a poskytování odpovídajících veřejných sociálních služeb na její podporu;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vyjadřuje znepokojení nad tím, že v mnoha rozvojových zemích zůstává hospodářský růst nízký a nerovnoměrný a často mu brání strukturální nedostatky, hospodářská nerovnost, politická nestabilita </w:t>
            </w:r>
            <w:r>
              <w:t>a</w:t>
            </w:r>
            <w:r>
              <w:t xml:space="preserve"> vnější otřesy;</w:t>
            </w:r>
          </w:p>
        </w:tc>
        <w:tc>
          <w:tcPr>
            <w:tcW w:w="4876" w:type="dxa"/>
            <w:vAlign w:val="top"/>
          </w:tcPr>
          <w:p>
            <w:pPr>
              <w:pStyle w:val="Normal6a"/>
            </w:pPr>
            <w:r>
              <w:t>14.</w:t>
            </w:r>
            <w:r>
              <w:tab/>
            </w:r>
            <w:r>
              <w:t>vyjadřuje znepokojení nad tím, že v mnoha rozvojových zemích zůstává hospodářský růst nízký a nerovnoměrný a často mu brání strukturální nedostatky, hospodářská,</w:t>
            </w:r>
            <w:r>
              <w:t xml:space="preserve"> sociální a genderová</w:t>
            </w:r>
            <w:r>
              <w:t xml:space="preserve"> nerovnost, politická nestabilita</w:t>
            </w:r>
            <w:r>
              <w:t>,</w:t>
            </w:r>
            <w:r>
              <w:t xml:space="preserve"> vnější otřesy </w:t>
            </w:r>
            <w:r>
              <w:t>a zahraniční vměšování</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14a.</w:t>
            </w:r>
            <w:r>
              <w:tab/>
            </w:r>
            <w:r>
              <w:rPr>
                <w:b/>
                <w:i/>
                <w:strike w:val="0"/>
                <w:color w:val="auto"/>
                <w:highlight w:val="none"/>
                <w:u w:val="none" w:color="auto"/>
                <w:vertAlign w:val="baseline"/>
              </w:rPr>
              <w:t>vyjadřuje znepokojení nad tím, že v EU se i nadále projevují nerovnosti mezi ženami a muži  ve vztahu k trhu práce; připomíná, že je třeba prosazovat a posilovat začleňování hlediska rovnosti žen a mužů a genderové rozpočtování do politiky soudržnosti EU s cílem řešit rozdíly v zaměstnanosti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doporučuje navýšení veřejných a soukromých investic do výzkumu, vzdělávání a rozvoje dovedností;</w:t>
            </w:r>
          </w:p>
        </w:tc>
        <w:tc>
          <w:tcPr>
            <w:tcW w:w="4876" w:type="dxa"/>
            <w:vAlign w:val="top"/>
          </w:tcPr>
          <w:p>
            <w:pPr>
              <w:pStyle w:val="Normal6a"/>
            </w:pPr>
            <w:r>
              <w:t>15.</w:t>
            </w:r>
            <w:r>
              <w:tab/>
            </w:r>
            <w:r>
              <w:t>doporučuje navýšení veřejných a soukromých investic do výzkumu, vzdělávání a rozvoje dovedností;</w:t>
            </w:r>
            <w:r>
              <w:rPr>
                <w:b/>
                <w:i/>
                <w:strike w:val="0"/>
                <w:color w:val="auto"/>
                <w:highlight w:val="none"/>
                <w:u w:val="none" w:color="auto"/>
                <w:vertAlign w:val="baseline"/>
              </w:rPr>
              <w:t xml:space="preserve"> vyzývá EU, aby podpořila odbornou přípravu a kvalitní zaměstnání pro spravedlivou transformaci, se zvláštním ohledem na systematicky vyloučené a znevýhodněné skupiny, včetně žen a komunity LGBTIQ+;</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zdůrazňuje, že iniciativy zaměřené na stimulaci hospodářského růstu nelze provádět na úkor sociální spravedlnosti, pracovních práv a ochrany životního prostředí;</w:t>
            </w:r>
          </w:p>
        </w:tc>
        <w:tc>
          <w:tcPr>
            <w:tcW w:w="4876" w:type="dxa"/>
            <w:vAlign w:val="top"/>
          </w:tcPr>
          <w:p>
            <w:pPr>
              <w:pStyle w:val="Normal6a"/>
            </w:pPr>
            <w:r>
              <w:t>16.</w:t>
            </w:r>
            <w:r>
              <w:tab/>
            </w:r>
            <w:r>
              <w:t xml:space="preserve">zdůrazňuje, že iniciativy zaměřené na stimulaci hospodářského růstu nelze provádět na úkor sociální spravedlnosti, </w:t>
            </w:r>
            <w:r>
              <w:t>rovnosti žen a mužů,</w:t>
            </w:r>
            <w:r>
              <w:t xml:space="preserve"> pracovních práv a ochrany životního prostředí,</w:t>
            </w:r>
            <w:r>
              <w:t xml:space="preserve"> zejména proto, že ženy a osoby, které patří kz menšinovým skupinám, jsou s největší pravděpodobností prvními, kdo trpí nerovnostmi způsobenými hospodářským růstem</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zdůrazňuje, že přetrvávají rozdíly v celosvětové nezaměstnanosti žen a mladých lidí a že v celosvětovém měřítku je u mladých žen oproti mladým mužům více než dvakrát vyšší pravděpodobnost, že budou nezaměstnané či že se nebudou účastnit vzdělávání nebo odborné přípravy; uznává, že podpora rovnosti žen a mužů v politikách v oblasti vzdělávání, odborné přípravy, trhu práce a rovnováhy mezi pracovním a soukromým životem může zvýšit prosperitu a posílit hospodářskou konkurenceschopnost a zároveň zabránit nedostatečnému využívání aktiv a talentů;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16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16b.</w:t>
            </w:r>
            <w:r>
              <w:tab/>
            </w:r>
            <w:r>
              <w:rPr>
                <w:b/>
                <w:i/>
                <w:strike w:val="0"/>
                <w:color w:val="auto"/>
                <w:highlight w:val="none"/>
                <w:u w:val="none" w:color="auto"/>
                <w:vertAlign w:val="baseline"/>
              </w:rPr>
              <w:t>připomíná, že je nezbytné vytvořit pobídky pro podniky, aby sladily své činnosti s cíli udržitelného rozvoje, a zároveň zajistit, aby trh zůstal konkurenceschopný a byl schopen podporovat inovace v oblasti udržitelného rozvoje pro ženy a dívky;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17a.</w:t>
            </w:r>
            <w:r>
              <w:tab/>
            </w:r>
            <w:r>
              <w:rPr>
                <w:b/>
                <w:i/>
                <w:strike w:val="0"/>
                <w:color w:val="auto"/>
                <w:highlight w:val="none"/>
                <w:u w:val="none" w:color="auto"/>
                <w:vertAlign w:val="baseline"/>
              </w:rPr>
              <w:t>poukazuje na nepřiměřený dopad zhoršování životního prostředí, zejména znečištění plasty, na ženy a dívky; vyzývá k navýšení zdrojů na výzkum dopadů znečištění (mikro)plasty na ženský hormonální systém a možného dopadu na plodnost;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je přesvědčen, že k řešení nedostatků, zrychlení tempa činnosti a zajištění dlouhodobé udržitelnosti oceánů jsou zapotřebí závazná globální opatření, mimo jiné prostřednictvím udržitelných rybolovných postupů, boje proti nezákonnému, nehlášenému a neregulovanému rybolovu, zintenzivnění snah o ochranu mořského prostředí </w:t>
            </w:r>
            <w:r>
              <w:rPr>
                <w:b/>
                <w:i/>
                <w:strike w:val="0"/>
                <w:color w:val="auto"/>
                <w:highlight w:val="none"/>
                <w:u w:val="none" w:color="auto"/>
                <w:vertAlign w:val="baseline"/>
              </w:rPr>
              <w:t>a</w:t>
            </w:r>
            <w:r>
              <w:t xml:space="preserve"> přijetí globální smlouvy o znečištění plasty;</w:t>
            </w:r>
          </w:p>
        </w:tc>
        <w:tc>
          <w:tcPr>
            <w:tcW w:w="4876" w:type="dxa"/>
            <w:vAlign w:val="top"/>
          </w:tcPr>
          <w:p>
            <w:pPr>
              <w:pStyle w:val="Normal6a"/>
            </w:pPr>
            <w:r>
              <w:t>19.</w:t>
            </w:r>
            <w:r>
              <w:tab/>
            </w:r>
            <w:r>
              <w:t xml:space="preserve">je přesvědčen, že k řešení nedostatků, zrychlení tempa činnosti a zajištění dlouhodobé udržitelnosti oceánů jsou zapotřebí závazná globální opatření, mimo jiné prostřednictvím udržitelných rybolovných postupů, boje proti nezákonnému, nehlášenému a neregulovanému rybolovu, zintenzivnění snah o ochranu mořského prostředí </w:t>
            </w:r>
            <w:r>
              <w:t>prováděním účinné ochrany chráněných mořských oblastí,</w:t>
            </w:r>
            <w:r>
              <w:t xml:space="preserve"> přijetí globální smlouvy o znečištění plasty </w:t>
            </w:r>
            <w:r>
              <w:t>a ochrana práv drobných rybářů práv a přístupu k rybolovným zdrojům a trhům, přičemž je třeba zajistit rovnou a účinnou účast žen a mužů v řemeslném rybolovu na rozhodování, které se jich týká</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19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19a.</w:t>
            </w:r>
            <w:r>
              <w:tab/>
            </w:r>
            <w:r>
              <w:rPr>
                <w:b/>
                <w:i/>
                <w:strike w:val="0"/>
                <w:color w:val="auto"/>
                <w:highlight w:val="none"/>
                <w:u w:val="none" w:color="auto"/>
                <w:vertAlign w:val="baseline"/>
              </w:rPr>
              <w:t>zdůrazňuje zejména, že je třeba uznat práci a přínos žen v hodnotovém řetězci drobného rybolovu a zlepšit jejich pracovní podmínky;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19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19b.</w:t>
            </w:r>
            <w:r>
              <w:tab/>
            </w:r>
            <w:r>
              <w:rPr>
                <w:b/>
                <w:i/>
                <w:strike w:val="0"/>
                <w:color w:val="auto"/>
                <w:highlight w:val="none"/>
                <w:u w:val="none" w:color="auto"/>
                <w:vertAlign w:val="baseline"/>
              </w:rPr>
              <w:t>poukazuje na to, že je třeba posílit rovnost žen a mužů ve správě oceánů, hospodářských činnostech (jako je cestovní ruch, námořní doprava nebo rybolov) a ve vědě o oceánech</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UNESCO, „Gender Equality for Ocean Sustainability“,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vyzývá EU, aby i nadále prosazovala multilateralismus a stála v čele globálního úsilí o pokrok při provádění cílů udržitelného rozvoje a Agendy 2030; zdůrazňuje, že pokud se EU opět důrazně přihlásí k plnění cílů udržitelného rozvoje, vyšle tím jasný signál partnerům v celém světě a podpoří svou činnosti na globální úrovni;</w:t>
            </w:r>
          </w:p>
        </w:tc>
        <w:tc>
          <w:tcPr>
            <w:tcW w:w="4876" w:type="dxa"/>
            <w:vAlign w:val="top"/>
          </w:tcPr>
          <w:p>
            <w:pPr>
              <w:pStyle w:val="Normal6a"/>
            </w:pPr>
            <w:r>
              <w:t>20.</w:t>
            </w:r>
            <w:r>
              <w:tab/>
            </w:r>
            <w:r>
              <w:t>vyzývá EU, aby i nadále prosazovala multilateralismus a stála v čele globálního úsilí o pokrok při provádění cílů udržitelného rozvoje a Agendy 2030; zdůrazňuje, že pokud se EU opět důrazně přihlásí k plnění cílů udržitelného rozvoje, vyšle tím jasný signál partnerům v celém světě a podpoří svou činnosti na globální úrovni;</w:t>
            </w:r>
            <w:r>
              <w:rPr>
                <w:b/>
                <w:i/>
                <w:strike w:val="0"/>
                <w:color w:val="auto"/>
                <w:highlight w:val="none"/>
                <w:u w:val="none" w:color="auto"/>
                <w:vertAlign w:val="baseline"/>
              </w:rPr>
              <w:t xml:space="preserve"> zdůrazňuje, že důrazné obnovení závazku musí být doprovázeno konkrétními opatřeními ze strany EU a že EU musí zajistit, aby rovnost žen a mužů byla nedílnou součástí politického dialogu s partnerskými zeměmi na dvoustranné i mnohostranné úrovni;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opakuje, že klíčovým zdrojem veřejného financování je i nadále oficiální rozvojová pomoc (ORP); vyzývá proto všechny členské státy EU a globální partnery, aby zajistily dostatek finančních prostředků na splnění závazku vynakládat na ORP 0,7 % hrubého národního příjmu;</w:t>
            </w:r>
          </w:p>
        </w:tc>
        <w:tc>
          <w:tcPr>
            <w:tcW w:w="4876" w:type="dxa"/>
            <w:vAlign w:val="top"/>
          </w:tcPr>
          <w:p>
            <w:pPr>
              <w:pStyle w:val="Normal6a"/>
            </w:pPr>
            <w:r>
              <w:t>21.</w:t>
            </w:r>
            <w:r>
              <w:tab/>
            </w:r>
            <w:r>
              <w:t xml:space="preserve">opakuje, že </w:t>
            </w:r>
            <w:r>
              <w:t>cílů udržitelného rozvoje bude dosaženo pouze tehdy, budou-li dostatečně a udržitelným způsobem financovány a že</w:t>
            </w:r>
            <w:r>
              <w:t xml:space="preserve"> klíčovým zdrojem veřejného financování je i nadále oficiální rozvojová pomoc (ORP); vyzývá proto všechny členské státy EU a globální partnery, aby zajistili dostatek finančních prostředků na splnění závazku vynakládat na ORP 0,7 % hrubého národního příjmu</w:t>
            </w:r>
            <w:r>
              <w:t>, zatímco pouze 4 z 21 členských států, které jsou členy Výboru pro rozvojovou pomoc, tento mezinárodní závazek plní</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poukazuje na klíčovou úlohu mnohostranných partnerství a zapojení místních samospráv, občanské společnosti a zástupců mládeže;</w:t>
            </w:r>
          </w:p>
        </w:tc>
        <w:tc>
          <w:tcPr>
            <w:tcW w:w="4876" w:type="dxa"/>
            <w:vAlign w:val="top"/>
          </w:tcPr>
          <w:p>
            <w:pPr>
              <w:pStyle w:val="Normal6a"/>
            </w:pPr>
            <w:r>
              <w:t>22.</w:t>
            </w:r>
            <w:r>
              <w:tab/>
            </w:r>
            <w:r>
              <w:t>poukazuje na klíčovou úlohu mnohostranných partnerství a zapojení místních samospráv, občanské společnosti a zástupců mládeže;</w:t>
            </w:r>
            <w:r>
              <w:rPr>
                <w:b/>
                <w:i/>
                <w:strike w:val="0"/>
                <w:color w:val="auto"/>
                <w:highlight w:val="none"/>
                <w:u w:val="none" w:color="auto"/>
                <w:vertAlign w:val="baseline"/>
              </w:rPr>
              <w:t xml:space="preserve"> opakuje, že organizace občanské společnosti jsou v dynamických demokraciích klíčovými aktéry, a zdůrazňuje, že cílů udržitelného rozvoje, zejména cíle č. 5, nelze dosáhnout bez partnerství organizací občanské společnosti, včetně místních ženských organizací  a organizací osob LGBTIQ+; vyjadřuje v této souvislosti politování nad rostoucími neodůvodněnými útoky na organizace občanské společnosti a uzavíráním občanského prostoru, a to jak v Evropě, tak na celém světě; v tomto ohledu zdůrazňuje, že je třeba zajistit pravidelné, přiměřené a udržitelné financování organizací občanské společnosti a udržovat s nimi otevřený, transparentní a strukturovaný dialog;</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vyzývá k oddlužení a restrukturalizace dluhů rozvojových zemí a k reformě globálních finančních institucí včetně mezinárodních rozvojových bank, aby byly na plnění cílů udržitelného rozvoje dobře připraveny;</w:t>
            </w:r>
          </w:p>
        </w:tc>
        <w:tc>
          <w:tcPr>
            <w:tcW w:w="4876" w:type="dxa"/>
            <w:vAlign w:val="top"/>
          </w:tcPr>
          <w:p>
            <w:pPr>
              <w:pStyle w:val="Normal6a"/>
            </w:pPr>
            <w:r>
              <w:t>23.</w:t>
            </w:r>
            <w:r>
              <w:tab/>
            </w:r>
            <w:r>
              <w:t xml:space="preserve">vyzývá k oddlužení a restrukturalizaci dluhů rozvojových zemí a k reformě globálních finančních institucí včetně mezinárodních rozvojových bank, aby byly na plnění cílů udržitelného rozvoje dobře připraveny </w:t>
            </w:r>
            <w:r>
              <w:t>a bylo možné snížit hospodářské, sociální a genderové nerovnosti</w:t>
            </w:r>
            <w:r>
              <w:t>;</w:t>
            </w:r>
            <w:r>
              <w:rPr>
                <w:b/>
                <w:i/>
                <w:strike w:val="0"/>
                <w:color w:val="auto"/>
                <w:highlight w:val="none"/>
                <w:u w:val="none" w:color="auto"/>
                <w:vertAlign w:val="baseline"/>
              </w:rPr>
              <w:t xml:space="preserve"> </w:t>
            </w:r>
            <w:r>
              <w:t>vyzývá k tomu, aby výsledný dokument čtvrté mezinárodní konference o financování rozvoje více zahrnoval hledisko rovnosti žen a mužů;</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Návrh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opakuje, že cíle udržitelného rozvoje jsou jediným komplexním souborem cílů, který je výsledkem dohody na globální úrovni, týkajícím se závažných problémů, jimž čelí rozvinuté i rozvojové země, a představuje nejlepší nástroj k řešení jejich základních příčin;</w:t>
            </w:r>
          </w:p>
        </w:tc>
        <w:tc>
          <w:tcPr>
            <w:tcW w:w="4876" w:type="dxa"/>
            <w:vAlign w:val="top"/>
          </w:tcPr>
          <w:p>
            <w:pPr>
              <w:pStyle w:val="Normal6a"/>
            </w:pPr>
            <w:r>
              <w:t>26.</w:t>
            </w:r>
            <w:r>
              <w:tab/>
            </w:r>
            <w:r>
              <w:t>opakuje, že cíle udržitelného rozvoje jsou jediným komplexním souborem cílů, který je výsledkem dohody na globální úrovni, týkajícím se závažných problémů, jimž čelí rozvinuté i rozvojové země, a představuje nejlepší nástroj k řešení jejich základních příčin;</w:t>
            </w:r>
            <w:r>
              <w:rPr>
                <w:b/>
                <w:i/>
                <w:strike w:val="0"/>
                <w:color w:val="auto"/>
                <w:highlight w:val="none"/>
                <w:u w:val="none" w:color="auto"/>
                <w:vertAlign w:val="baseline"/>
              </w:rPr>
              <w:t xml:space="preserve"> naléhavě vyzývá Komisi a členské státy, aby usilovaly o plné provádění cílů udržitelného rozvoje v rámci EU i mimo ni jakožto univerzálního rámce;</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PŘÍLOHA: SUBJEKTY NEBO OSOBY, OD NICHŽ ZPRAVODAJKA OBDRŽELA PODNĚTY</w:t>
      </w:r>
    </w:p>
    <w:p>
      <w:pPr>
        <w:pStyle w:val="Normal12a"/>
      </w:pPr>
    </w:p>
    <w:p>
      <w:pPr>
        <w:pStyle w:val="Normal12a"/>
      </w:pPr>
      <w:r>
        <w:t>Zpravodajka prohlašuje na svou výhradní odpovědnost, že neobdržela žádný podnět od subjektu nebo osoby, které musí být uvedeny v této příloze v souladu s článkem 8 přílohy I jednacího řádu.</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INFORMACE O PŘIJETÍ VÝBOREM POSKYTUJÍCÍM STANOVISKO</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Datum přijetí</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Výsledek konečného hlasování</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Členové přítomní při konečném hlasování</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Náhradníci přítomní při konečném hlasování</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Poslanci uvedení v čl. 216 odst. 7 jednacího řádu přítomní při konečném hlasování</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JMENOVITÉ KONEČNÉ HLASOVÁNÍ VE VÝBORU POSKYTUJÍCÍM STANOVISKO</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Význam zkratek:</w:t>
      </w:r>
    </w:p>
    <w:p>
      <w:pPr>
        <w:pStyle w:val="NormalTab"/>
      </w:pPr>
      <w:r>
        <w:t>+</w:t>
      </w:r>
      <w:r>
        <w:tab/>
        <w:t>:</w:t>
        <w:tab/>
      </w:r>
      <w:r>
        <w:t>pro</w:t>
      </w:r>
    </w:p>
    <w:p>
      <w:pPr>
        <w:pStyle w:val="NormalTab"/>
      </w:pPr>
      <w:r>
        <w:t>-</w:t>
      </w:r>
      <w:r>
        <w:tab/>
        <w:t>:</w:t>
        <w:tab/>
      </w:r>
      <w:r>
        <w:t>proti</w:t>
      </w:r>
    </w:p>
    <w:p>
      <w:pPr>
        <w:pStyle w:val="NormalTab"/>
      </w:pPr>
      <w:r>
        <w:t>0</w:t>
      </w:r>
      <w:r>
        <w:tab/>
        <w:t>:</w:t>
        <w:tab/>
      </w:r>
      <w:r>
        <w:t>zdrželi se</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42</w:t>
    </w:r>
    <w:r>
      <w:fldChar w:fldCharType="end"/>
    </w:r>
    <w:r>
      <w:t>/</w:t>
    </w:r>
    <w:r>
      <w:fldChar w:fldCharType="begin"/>
    </w:r>
    <w:r>
      <w:instrText>NUMPAGES</w:instrText>
    </w:r>
    <w:r>
      <w:fldChar w:fldCharType="separate"/>
    </w:r>
    <w:r>
      <w:t>42</w:t>
    </w:r>
    <w:r>
      <w:fldChar w:fldCharType="end"/>
    </w:r>
    <w:r>
      <w:tab/>
    </w:r>
    <w:r>
      <w:rPr>
        <w:rStyle w:val="HideTWBExt"/>
      </w:rPr>
      <w:t>&lt;</w:t>
    </w:r>
    <w:r>
      <w:rPr>
        <w:rStyle w:val="HideTWBExt"/>
      </w:rPr>
      <w:t>PathFdR</w:t>
    </w:r>
    <w:r>
      <w:rPr>
        <w:rStyle w:val="HideTWBExt"/>
      </w:rPr>
      <w:t>&gt;</w:t>
    </w:r>
    <w:r>
      <w:t>AD\1321310CS.docx</w:t>
    </w:r>
    <w:r>
      <w:rPr>
        <w:rStyle w:val="HideTWBExt"/>
      </w:rPr>
      <w:t>&lt;/</w:t>
    </w:r>
    <w:r>
      <w:rPr>
        <w:rStyle w:val="HideTWBExt"/>
      </w:rPr>
      <w:t>PathFdR</w:t>
    </w:r>
    <w:r>
      <w:rPr>
        <w:rStyle w:val="HideTWBExt"/>
      </w:rPr>
      <w:t>&gt;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AD\1321310CS.docx</w:t>
    </w:r>
    <w:r>
      <w:rPr>
        <w:rStyle w:val="HideTWBExt"/>
      </w:rPr>
      <w:t>&lt;/</w:t>
    </w:r>
    <w:r>
      <w:rPr>
        <w:rStyle w:val="HideTWBExt"/>
      </w:rPr>
      <w:t>PathFdR</w:t>
    </w:r>
    <w:r>
      <w:rPr>
        <w:rStyle w:val="HideTWBExt"/>
      </w:rPr>
      <w:t>&gt;</w:t>
    </w:r>
    <w:r>
      <w:tab/>
    </w:r>
    <w:r>
      <w:fldChar w:fldCharType="begin"/>
    </w:r>
    <w:r>
      <w:instrText>PAGE</w:instrText>
    </w:r>
    <w:r>
      <w:fldChar w:fldCharType="separate"/>
    </w:r>
    <w:r>
      <w:t>41</w:t>
    </w:r>
    <w:r>
      <w:fldChar w:fldCharType="end"/>
    </w:r>
    <w:r>
      <w:t>/</w:t>
    </w:r>
    <w:r>
      <w:fldChar w:fldCharType="begin"/>
    </w:r>
    <w:r>
      <w:instrText>NUMPAGES</w:instrText>
    </w:r>
    <w:r>
      <w:fldChar w:fldCharType="separate"/>
    </w:r>
    <w:r>
      <w:t>42</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AD\1321310CS.docx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CS</w:t>
    </w:r>
    <w:r>
      <w:tab/>
    </w:r>
    <w:r>
      <w:rPr>
        <w:rStyle w:val="EPFooter2Motto"/>
      </w:rPr>
      <w:t>Jednotná v rozmanitosti</w:t>
    </w:r>
    <w:r>
      <w:tab/>
    </w:r>
    <w:r>
      <w:t>CS</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20250612-111805-001044-164044</vt:lpwstr>
  </property>
  <property fmtid="{D5CDD505-2E9C-101B-9397-08002B2CF9AE}" pid="7" name="FooterPath">
    <vt:lpwstr>AD\1321310CS.doc</vt:lpwstr>
  </property>
  <property fmtid="{D5CDD505-2E9C-101B-9397-08002B2CF9AE}" pid="8" name="PE Number">
    <vt:lpwstr>770.238</vt:lpwstr>
  </property>
  <property fmtid="{D5CDD505-2E9C-101B-9397-08002B2CF9AE}" pid="9" name="UID">
    <vt:lpwstr>eu.europa.europarl-DIN1-2025-0000107752_01.09-cs-01.00_text-xml</vt:lpwstr>
  </property>
</Properties>
</file>