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Europa-Parlamentet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Udvalget om Kvinders Rettigheder og Ligestilling</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26/05/2025</w:t>
      </w:r>
      <w:r>
        <w:rPr>
          <w:rStyle w:val="HideTWBInt"/>
        </w:rPr>
        <w:t>}</w:t>
      </w:r>
      <w:r>
        <w:t>26.5.2025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UDTALELSE</w:t>
      </w:r>
      <w:r>
        <w:rPr>
          <w:rStyle w:val="HideTWBExt"/>
        </w:rPr>
        <w:t>&lt;/</w:t>
      </w:r>
      <w:r>
        <w:rPr>
          <w:rStyle w:val="HideTWBExt"/>
        </w:rPr>
        <w:t>TitreType</w:t>
      </w:r>
      <w:r>
        <w:rPr>
          <w:rStyle w:val="HideTWBExt"/>
        </w:rPr>
        <w:t>&gt;</w:t>
      </w:r>
    </w:p>
    <w:p>
      <w:pPr>
        <w:pStyle w:val="CoverNormal24a"/>
      </w:pPr>
      <w:r>
        <w:rPr>
          <w:rStyle w:val="HideTWBExt"/>
        </w:rPr>
        <w:t>&lt;</w:t>
      </w:r>
      <w:r>
        <w:rPr>
          <w:rStyle w:val="HideTWBExt"/>
        </w:rPr>
        <w:t>CommissionResp</w:t>
      </w:r>
      <w:r>
        <w:rPr>
          <w:rStyle w:val="HideTWBExt"/>
        </w:rPr>
        <w:t>&gt;</w:t>
      </w:r>
      <w:r>
        <w:t>fra Udvalget om Kvinders Rettigheder og Ligestilling</w:t>
      </w:r>
      <w:r>
        <w:rPr>
          <w:rStyle w:val="HideTWBExt"/>
        </w:rPr>
        <w:t>&lt;/</w:t>
      </w:r>
      <w:r>
        <w:rPr>
          <w:rStyle w:val="HideTWBExt"/>
        </w:rPr>
        <w:t>CommissionResp</w:t>
      </w:r>
      <w:r>
        <w:rPr>
          <w:rStyle w:val="HideTWBExt"/>
        </w:rPr>
        <w:t>&gt;</w:t>
      </w:r>
    </w:p>
    <w:p>
      <w:pPr>
        <w:pStyle w:val="CoverNormal24a"/>
      </w:pPr>
      <w:r>
        <w:rPr>
          <w:rStyle w:val="HideTWBExt"/>
        </w:rPr>
        <w:t>&lt;</w:t>
      </w:r>
      <w:r>
        <w:rPr>
          <w:rStyle w:val="HideTWBExt"/>
        </w:rPr>
        <w:t>CommissionInt</w:t>
      </w:r>
      <w:r>
        <w:rPr>
          <w:rStyle w:val="HideTWBExt"/>
        </w:rPr>
        <w:t>&gt;</w:t>
      </w:r>
      <w:r>
        <w:t>til Udviklingsudvalget og Udvalget om Miljø, Klima og Fødevaresikkerhed</w:t>
      </w:r>
      <w:r>
        <w:rPr>
          <w:rStyle w:val="HideTWBExt"/>
        </w:rPr>
        <w:t>&lt;/</w:t>
      </w:r>
      <w:r>
        <w:rPr>
          <w:rStyle w:val="HideTWBExt"/>
        </w:rPr>
        <w:t>CommissionInt</w:t>
      </w:r>
      <w:r>
        <w:rPr>
          <w:rStyle w:val="HideTWBExt"/>
        </w:rPr>
        <w:t>&gt;</w:t>
      </w:r>
    </w:p>
    <w:p>
      <w:pPr>
        <w:pStyle w:val="CoverNormal"/>
      </w:pPr>
      <w:r>
        <w:rPr>
          <w:rStyle w:val="HideTWBExt"/>
        </w:rPr>
        <w:t>&lt;</w:t>
      </w:r>
      <w:r>
        <w:rPr>
          <w:rStyle w:val="HideTWBExt"/>
        </w:rPr>
        <w:t>Titre</w:t>
      </w:r>
      <w:r>
        <w:rPr>
          <w:rStyle w:val="HideTWBExt"/>
        </w:rPr>
        <w:t>&gt;</w:t>
      </w:r>
      <w:r>
        <w:t>om gennemførelse og opfyldelse af verdensmålene for bæredygtig udvikling med henblik på Politisk Forum på Højt Niveau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(2025/2014(INI))</w:t>
      </w:r>
      <w:r>
        <w:rPr>
          <w:rStyle w:val="HideTWBExt"/>
        </w:rPr>
        <w:t>&lt;/</w:t>
      </w:r>
      <w:r>
        <w:rPr>
          <w:rStyle w:val="HideTWBExt"/>
        </w:rPr>
        <w:t>DocRef</w:t>
      </w:r>
      <w:r>
        <w:rPr>
          <w:rStyle w:val="HideTWBExt"/>
        </w:rPr>
        <w:t>&gt;</w:t>
      </w:r>
    </w:p>
    <w:p>
      <w:pPr>
        <w:pStyle w:val="CoverNormal24a"/>
      </w:pPr>
      <w:r>
        <w:t>Ordfører for udtalelse</w:t>
      </w:r>
      <w:r>
        <w:t xml:space="preserve">: </w:t>
      </w:r>
      <w:r>
        <w:rPr>
          <w:rStyle w:val="HideTWBExt"/>
        </w:rPr>
        <w:t>&lt;</w:t>
      </w:r>
      <w:r>
        <w:rPr>
          <w:rStyle w:val="HideTWBExt"/>
        </w:rPr>
        <w:t>Depute</w:t>
      </w:r>
      <w:r>
        <w:rPr>
          <w:rStyle w:val="HideTWBExt"/>
        </w:rPr>
        <w:t>&gt;</w:t>
      </w:r>
      <w:r>
        <w:t>Lina Gálvez</w:t>
      </w:r>
      <w:r>
        <w:rPr>
          <w:rStyle w:val="HideTWBExt"/>
        </w:rPr>
        <w:t>&lt;/</w:t>
      </w:r>
      <w:r>
        <w:rPr>
          <w:rStyle w:val="HideTWBExt"/>
        </w:rPr>
        <w:t>Depute</w:t>
      </w:r>
      <w:r>
        <w:rPr>
          <w:rStyle w:val="HideTWBExt"/>
        </w:rPr>
        <w:t>&gt;</w:t>
      </w:r>
    </w:p>
    <w:p>
      <w:r>
        <w:br w:type="page"/>
      </w:r>
      <w:r>
        <w:t>PA_NonLeg</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NotTOC"/>
      </w:pPr>
      <w:r>
        <w:t>ÆNDRINGSFORSLAG</w:t>
      </w:r>
    </w:p>
    <w:p>
      <w:pPr>
        <w:pStyle w:val="Normal12a"/>
      </w:pPr>
      <w:r>
        <w:t>Udvalget om Kvinders Rettigheder og Ligestilling</w:t>
      </w:r>
      <w:r>
        <w:t xml:space="preserve"> forelægger </w:t>
      </w:r>
      <w:r>
        <w:t>Udviklingsudvalget og Udvalget om Miljø, Klima og Fødevaresikkerhed, som er korresponderende udvalg, følgende</w:t>
      </w:r>
      <w:r>
        <w:t>:</w:t>
      </w:r>
    </w:p>
    <w:p>
      <w:pPr>
        <w:pStyle w:val="AmNumberTabs"/>
      </w:pP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1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sin beslutning af 24. juni 2021 om situationen for så vidt angår seksuel og reproduktiv sundhed og rettigheder i EU inden for rammerne af kvinders sundhed</w:t>
            </w:r>
            <w:r>
              <w:rPr>
                <w:rStyle w:val="SupBoldItalic"/>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EUT C 81 af 18.2.2022, s. 43.</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2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sin beslutning af 11. april 2024 om medtagelse af retten til abort i EU's charter om grundlæggende rettigheder</w:t>
            </w:r>
            <w:r>
              <w:rPr>
                <w:rStyle w:val="SupBoldItalic"/>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EUT C, C/2025/1279, 13.3.2025, ELI: http://data.europa.eu/eli/C/2025/1279/oj.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3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Kommissionens EU-køreplan for kvinders rettigheder,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4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den internationale konference om befolkning og udvikling afholdt i Kairo i 1994, handlingsprogrammet herfra samt resultaterne af revisionskonferencerne,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5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Beijingerklæringen og -handlingsprogrammet fra 2015 og resultaterne af revisionskonferencerne,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6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rapporten fra Equal Measures 2030 med titlen "Findings from the 2024 SDG Gender Index – A gender equal future in crisis?",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7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den fælles rapport fra 2024 fra UN Women, FN's Udviklingsprogram, FN's Befolkningsfond (UNFPA), UNICEF og Verdensfødevareprogrammet med titlen "Are we getting there? A synthesis of the UN evaluations of SDG 5",</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8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Fødevare- og Landbrugsorganisationens frivillige retningslinjer for værn om bæredygtigt småfiskeri i forbindelse med fødevaresikkerhed og fattigdomsudryddelse fra 2015, herunder kapitel 8 om ligestilling mellem kønnene og lighed,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31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sin henstilling af 19. december 2024 til Rådet om EU's prioriteringer for den 69. samling i FN's Kommission for Kvinders Status</w:t>
            </w:r>
            <w:r>
              <w:rPr>
                <w:rStyle w:val="SupBoldItalic"/>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EUT C, C/2025/1971, 11.4.2025, ELI: http://data.europa.eu/eli/C/2025/1971/oj.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55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Kommissionens rapport fra marts 2024 med titlen "Niende rapport om økonomisk, social og territorial samhørighed",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Henvisning 55 b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der henviser til rapporten fra Det Europæiske Institut for Ligestilling mellem Mænd og Kvinder med titlen "Gender Equality Reports 2023 – Towards a green transition in transport and energy",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Betragtning B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der henviser til, at det gennemsnitlige globale fredsniveau ifølge det globale fredsindeks 2024 er faldet med 0,56 %, hvilket er det femte år i træk med forværring; der henviser til, at bæredygtighedsmål nr. 16 i lyset af denne tendens bør medtages i en dybdegående undersøgelse for at tackle de voksende udfordringer for fred og sikkerhed på verdensplan;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Betragtning B b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der henviser til, at den stigende forekomst af menneskehandel fortsat er en kritisk trussel mod den globale fred og sikkerhed; der henviser til, at en styrkelse af de internationale samarbejds- og håndhævelsesmekanismer under bæredygtighedsmål nr. 16 er afgørende for at bekæmpe menneskehandelsnetværk, beskytte ofre og værne om menneskerettighederne;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Betragtning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der henviser til, at der i øjeblikket er et underskud på 4 billioner USD pr. år i de investeringer, der er nødvendige for at nå bæredygtighedsmålene; der henviser til, at udbredt gældsætning blandt lav- og mellemindkomstlande udgør en hæmsko for de investeringer, der er nødvendige for at nå bæredygtighedsmålene;</w:t>
            </w:r>
          </w:p>
        </w:tc>
        <w:tc>
          <w:tcPr>
            <w:tcW w:w="4876" w:type="dxa"/>
            <w:vAlign w:val="top"/>
          </w:tcPr>
          <w:p>
            <w:pPr>
              <w:pStyle w:val="Normal6a"/>
            </w:pPr>
            <w:r>
              <w:t>C.</w:t>
            </w:r>
            <w:r>
              <w:tab/>
            </w:r>
            <w:r>
              <w:t>der henviser til, at der i øjeblikket er et underskud på 4 billioner USD pr. år i de investeringer, der er nødvendige for at nå bæredygtighedsmålene; der henviser til, at udbredt gældsætning blandt lav- og mellemindkomstlande</w:t>
            </w:r>
            <w:r>
              <w:rPr>
                <w:b/>
                <w:i/>
                <w:strike w:val="0"/>
                <w:color w:val="auto"/>
                <w:highlight w:val="none"/>
                <w:u w:val="none" w:color="auto"/>
                <w:vertAlign w:val="baseline"/>
              </w:rPr>
              <w:t>, fremmet af visse finansieringsinstitutters programmer,</w:t>
            </w:r>
            <w:r>
              <w:t xml:space="preserve"> udgør en hæmsko for de investeringer, der er nødvendige for at nå bæredygtighedsmålene;</w:t>
            </w:r>
            <w:r>
              <w:rPr>
                <w:b/>
                <w:i/>
                <w:strike w:val="0"/>
                <w:color w:val="auto"/>
                <w:highlight w:val="none"/>
                <w:u w:val="none" w:color="auto"/>
                <w:vertAlign w:val="baseline"/>
              </w:rPr>
              <w:t xml:space="preserve"> der henviser til, at dette også er forbundet med stigende fattigdom; der henviser til, at kvinder og piger på verdensplan er uforholdsmæssigt hårdt ramt af fattigdom, humanitære kriser, klimaændringer, konflikter, ekstremisme, terrorisme, krige og fødevaremangel; der henviser til, at dette også gør børn mere sårbare; der henviser til, at den kønsbestemte fattigdomskløft forventes at stige inden 2030, da kvinder stadig vil udgøre størstedelen af de ekstremt fattige i verden;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Betragtning C 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der henviser til, at manglende finansiering til ligestilling mellem kønnene er en stor hindring for at opnå resultater med hensyn til ligestilling mellem kønnene; der henviser til, at ligestilling mellem kønnene er afgørende for at opfylde løfterne om bæredygtighed, velstand, social retfærdighed, fred og menneskelige fremskridt; der henviser til, at meningsfulde og vedvarende finansielle forpligtelser og styrkede budgetteringsprocesser er afgørende for at støtte gennemførelsen af lovgivning, politikker og kønsorienterede tjenester for at fremme ligestilling mellem kønnene på tværs af alle delmålene under bæredygtighedsmål nr. 5</w:t>
            </w:r>
            <w:r>
              <w:rPr>
                <w:rStyle w:val="SupBoldItalic"/>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Equal Measures 2030, "Findings from the 2024 SDG Gender Index –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Betragtning C b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Cb.</w:t>
            </w:r>
            <w:r>
              <w:tab/>
            </w:r>
            <w:r>
              <w:rPr>
                <w:b/>
                <w:i/>
                <w:strike w:val="0"/>
                <w:color w:val="auto"/>
                <w:highlight w:val="none"/>
                <w:u w:val="none" w:color="auto"/>
                <w:vertAlign w:val="baseline"/>
              </w:rPr>
              <w:t>der henviser til, at enhver form for vold mod kvinder (fysisk, seksuel, psykisk, økonomisk vold og cybervold) er en krænkelse af menneskerettighederne, en ekstrem form for diskrimination mod kvinder og en af de største hindringer for at opnå ligestilling mellem kønnene; der henviser til, at kønsbaseret vold skyldes den ulige magtfordeling mellem kønnene, patriarkalske strukturer og kønsstereotyper, som har ført til mænds dominans over og diskrimination imod kvinder og kan se forskellig ud og have forskellig intensitet og form; der henviser til, at et samfund uden kønsbaseret vold skal anerkendes som en absolut forudsætning for ligestilling mellem kønnene;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bedyrer på ny sit resolutte tilsagn om rettidigt og fuldstændigt at nå samtlige bæredygtighedsmål;</w:t>
            </w:r>
          </w:p>
        </w:tc>
        <w:tc>
          <w:tcPr>
            <w:tcW w:w="4876" w:type="dxa"/>
            <w:vAlign w:val="top"/>
          </w:tcPr>
          <w:p>
            <w:pPr>
              <w:pStyle w:val="Normal6a"/>
            </w:pPr>
            <w:r>
              <w:t>1.</w:t>
            </w:r>
            <w:r>
              <w:tab/>
            </w:r>
            <w:r>
              <w:t>bedyrer på ny sit resolutte tilsagn om rettidigt og fuldstændigt at nå samtlige bæredygtighedsmål</w:t>
            </w:r>
            <w:r>
              <w:rPr>
                <w:b/>
                <w:i/>
                <w:strike w:val="0"/>
                <w:color w:val="auto"/>
                <w:highlight w:val="none"/>
                <w:u w:val="none" w:color="auto"/>
                <w:vertAlign w:val="baseline"/>
              </w:rPr>
              <w:t xml:space="preserve"> i alle medlemsstater og globalt gennem EU's optræden udadtil</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 – litra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understreger, at EU har gjort moderate fremskridt med bæredygtighedsmål nr. 1, men at kvinder fortsat er i højere risiko for fattigdom og social udstødelse;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 – litra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udtrykker sin bekymring med hensyn til bæredygtighedsmål nr. 2 i EU, da den stigende forekomst af fedme blandt kvinder og børn er et tegn på fejlernæring;</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 – litra c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er yderst bekymret over situationen for kvinder i EU med hensyn til bæredygtighedsmål nr. 7, da kvinder er mere tilbøjelige til at blive ramt af energifattigdom på grund af lavere indkomst; fremhæver, at 9,8 % af kvinder mod 8,7 % af mænd ikke i tilstrækkelig grad kunne opvarme deres hjem i 2022, hvilket blev forværret af energikrisen; glæder sig over Kommissionens meddelelse om energi til overkommelige priser</w:t>
            </w:r>
            <w:r>
              <w:rPr>
                <w:rStyle w:val="SupBoldItalic"/>
              </w:rPr>
              <w:t>1a</w:t>
            </w:r>
            <w:r>
              <w:rPr>
                <w:b/>
                <w:i/>
                <w:strike w:val="0"/>
                <w:color w:val="auto"/>
                <w:highlight w:val="none"/>
                <w:u w:val="none" w:color="auto"/>
                <w:vertAlign w:val="baseline"/>
              </w:rPr>
              <w:t>;</w:t>
            </w:r>
            <w:r>
              <w:rPr>
                <w:b/>
                <w:i/>
                <w:strike w:val="0"/>
                <w:color w:val="auto"/>
                <w:highlight w:val="none"/>
                <w:u w:val="none" w:color="auto"/>
                <w:vertAlign w:val="baseline"/>
              </w:rPr>
              <w:t xml:space="preserve"> opfordrer Kommissionen og medlovgiverne til at fremskynde processen for at sikre hurtig adgang til energi til overkommelige priser;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Handlingsplan for energi til overkommelige priser – Udnyttelse af energiunionens sande værdi for at sikre alle europæere effektiv og ren energi til overkommelige priser (COM(2025)0079).</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 – litra d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understreger, at bæredygtighedsmål nr. 11 stadig ikke er nået i EU, da kvinder oftere oplever boligmangel (4,6 % mod 4,0 % for mænd i 2022) og i højere grad er afhængige af offentlig transport, hvor der fortsat er sikkerhedsproblemer;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udtrykker beklagelse over, at verdenssamfundet halter kraftigt bagud med hensyn til at gennemføre 2030-dagsordenen og nå bæredygtighedsmålenes respektive delmål;</w:t>
            </w:r>
          </w:p>
        </w:tc>
        <w:tc>
          <w:tcPr>
            <w:tcW w:w="4876" w:type="dxa"/>
            <w:vAlign w:val="top"/>
          </w:tcPr>
          <w:p>
            <w:pPr>
              <w:pStyle w:val="Normal6a"/>
            </w:pPr>
            <w:r>
              <w:t>2.</w:t>
            </w:r>
            <w:r>
              <w:tab/>
            </w:r>
            <w:r>
              <w:t>udtrykker beklagelse over, at verdenssamfundet halter kraftigt bagud med hensyn til at gennemføre 2030-dagsordenen og nå bæredygtighedsmålenes respektive delmål</w:t>
            </w:r>
            <w:r>
              <w:rPr>
                <w:b/>
                <w:i/>
                <w:strike w:val="0"/>
                <w:color w:val="auto"/>
                <w:highlight w:val="none"/>
                <w:u w:val="none" w:color="auto"/>
                <w:vertAlign w:val="baseline"/>
              </w:rPr>
              <w:t>, og at det kan konstateres, at det går tilbage med at nå visse mål</w:t>
            </w:r>
            <w:r>
              <w:t>;</w:t>
            </w:r>
            <w:r>
              <w:rPr>
                <w:b/>
                <w:i/>
                <w:strike w:val="0"/>
                <w:color w:val="auto"/>
                <w:highlight w:val="none"/>
                <w:u w:val="none" w:color="auto"/>
                <w:vertAlign w:val="baseline"/>
              </w:rPr>
              <w:t xml:space="preserve"> understreger forskellene mellem og inden for lande og regioner med hensyn til forskellige spørgsmål, såsom kønsforskelle; beklager tilbagetrækningen af finansiering fra USA's statslige bistandsorganisation (USAID) og anerkender, at det har en ødelæggende indvirkning på det globale samfunds mål om at nå verdensmålene for bæredygtig udvikling, navnlig bæredygtighedsmål nr. 5;</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2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opfordrer EU til at leve op til sit tilsagn om at anvende integration af kønsaspektet og et intersektionelt perspektiv på alle EU-politikker og al EU-finansiering; beklager, at landene på verdensplan stadig mangler 44 % af de data, der er nødvendige for at spore bæredygtighedsmål nr. 5, og at over 80 % af landene mangler data om mindst ét delmål under bæredygtighedsmål nr. 5</w:t>
            </w:r>
            <w:r>
              <w:rPr>
                <w:rStyle w:val="SupBoldItalic"/>
              </w:rPr>
              <w:t>1a</w:t>
            </w:r>
            <w:r>
              <w:rPr>
                <w:b/>
                <w:i/>
                <w:strike w:val="0"/>
                <w:color w:val="auto"/>
                <w:highlight w:val="none"/>
                <w:u w:val="none" w:color="auto"/>
                <w:vertAlign w:val="baseline"/>
              </w:rPr>
              <w:t>;</w:t>
            </w:r>
            <w:r>
              <w:rPr>
                <w:b/>
                <w:i/>
                <w:strike w:val="0"/>
                <w:color w:val="auto"/>
                <w:highlight w:val="none"/>
                <w:u w:val="none" w:color="auto"/>
                <w:vertAlign w:val="baseline"/>
              </w:rPr>
              <w:t xml:space="preserve"> understreger derfor behovet for at styrke de nationale statistiske kontorer og forbedre deres globale koordinering og samarbejde og for at sikre en informeret politikudformning og afhjælpe de resterende kønsbestemte datamangler;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Equal Measures 2030, "Findings from the 2024 SDG Gender Index –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2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2b.</w:t>
            </w:r>
            <w:r>
              <w:tab/>
            </w:r>
            <w:r>
              <w:rPr>
                <w:b/>
                <w:i/>
                <w:strike w:val="0"/>
                <w:color w:val="auto"/>
                <w:highlight w:val="none"/>
                <w:u w:val="none" w:color="auto"/>
                <w:vertAlign w:val="baseline"/>
              </w:rPr>
              <w:t>understreger betydningen af data til at muliggøre overvågning af bæredygtighedsmålene og understreger, at der på trods af prisværdige stigninger i datamængden samt åbenheden, tilgængeligheden og den effektive anvendelse heraf fortsat er kritiske mangler; understreger derfor betydningen af de nationale statistiske kontorers rolle og behovet for at styrke partnerskaber, som er afgørende for at opnå mere inklusive data såsom kønsopdelte data;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fremhæver det akutte behov for internationalt samarbejde og for resolutte og gennemgribende tiltag, hvis vi skal bringe vores samfund og økonomier på rette kurs med hensyn til at nå bæredygtighedsmålene og klare os igennem den tredobbelte verdensomspændende krise;</w:t>
            </w:r>
          </w:p>
        </w:tc>
        <w:tc>
          <w:tcPr>
            <w:tcW w:w="4876" w:type="dxa"/>
            <w:vAlign w:val="top"/>
          </w:tcPr>
          <w:p>
            <w:pPr>
              <w:pStyle w:val="Normal6a"/>
            </w:pPr>
            <w:r>
              <w:t>3.</w:t>
            </w:r>
            <w:r>
              <w:tab/>
            </w:r>
            <w:r>
              <w:t>fremhæver det akutte behov for internationalt samarbejde</w:t>
            </w:r>
            <w:r>
              <w:rPr>
                <w:b/>
                <w:i/>
                <w:strike w:val="0"/>
                <w:color w:val="auto"/>
                <w:highlight w:val="none"/>
                <w:u w:val="none" w:color="auto"/>
                <w:vertAlign w:val="baseline"/>
              </w:rPr>
              <w:t>,</w:t>
            </w:r>
            <w:r>
              <w:t xml:space="preserve"> for resolutte og gennemgribende tiltag </w:t>
            </w:r>
            <w:r>
              <w:rPr>
                <w:b/>
                <w:i/>
                <w:strike w:val="0"/>
                <w:color w:val="auto"/>
                <w:highlight w:val="none"/>
                <w:u w:val="none" w:color="auto"/>
                <w:vertAlign w:val="baseline"/>
              </w:rPr>
              <w:t>og for en stigning i den globale udviklingsbistand</w:t>
            </w:r>
            <w:r>
              <w:t>, hvis vi skal bringe vores samfund og økonomier på rette kurs med hensyn til at nå bæredygtighedsmålene og klare os igennem den tredobbelte verdensomspændende krise</w:t>
            </w:r>
            <w:r>
              <w:rPr>
                <w:b/>
                <w:i/>
                <w:strike w:val="0"/>
                <w:color w:val="auto"/>
                <w:highlight w:val="none"/>
                <w:u w:val="none" w:color="auto"/>
                <w:vertAlign w:val="baseline"/>
              </w:rPr>
              <w:t>: klimaændringer, forurening og biodiversitetstab;</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fremhæver, at EU's lederskab med hensyn til at nå bæredygtighedsmålene på verdensplan fortsat er afgørende, navnlig i lyset af de mange geopolitiske udfordringer og igangværende kriser;</w:t>
            </w:r>
          </w:p>
        </w:tc>
        <w:tc>
          <w:tcPr>
            <w:tcW w:w="4876" w:type="dxa"/>
            <w:vAlign w:val="top"/>
          </w:tcPr>
          <w:p>
            <w:pPr>
              <w:pStyle w:val="Normal6a"/>
            </w:pPr>
            <w:r>
              <w:t>4.</w:t>
            </w:r>
            <w:r>
              <w:tab/>
            </w:r>
            <w:r>
              <w:t>fremhæver, at EU's lederskab med hensyn til at nå bæredygtighedsmålene på verdensplan fortsat er afgørende, navnlig i lyset af de mange geopolitiske udfordringer og igangværende kriser</w:t>
            </w:r>
            <w:r>
              <w:rPr>
                <w:b/>
                <w:i/>
                <w:strike w:val="0"/>
                <w:color w:val="auto"/>
                <w:highlight w:val="none"/>
                <w:u w:val="none" w:color="auto"/>
                <w:vertAlign w:val="baseline"/>
              </w:rPr>
              <w:t>, herunder den stigende modstand mod bæredygtighedsmålene og tilbageslaget mod kønsligestillingen og den internationale menneskerettighedsramme, der har til formål at beskytte grupper i sårbare eller marginaliserede situationer i hele verden, herunder kvinder, piger og LGBTIQ+-personer</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4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anerkender Den Europæiske Unions igangværende indsats og betydelige fremskridt, navnlig med hensyn til at fremme bæredygtighedsmål nr. 8, samtidig med at behovet for yderligere forbedringer med hensyn til at nå bæredygtighedsmål nr. 5 anerkendes;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4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4b.</w:t>
            </w:r>
            <w:r>
              <w:tab/>
            </w:r>
            <w:r>
              <w:rPr>
                <w:b/>
                <w:i/>
                <w:strike w:val="0"/>
                <w:color w:val="auto"/>
                <w:highlight w:val="none"/>
                <w:u w:val="none" w:color="auto"/>
                <w:vertAlign w:val="baseline"/>
              </w:rPr>
              <w:t>understreger, at EU bør prioritere politikker, der støtter kvinder, piger og familier, og sikre, at deres økonomiske og sociale velfærd betragtes som afgørende for at nå bæredygtighedsmålene såsom fattigdomsbekæmpelse, uddannelse af høj kvalitet og ligestilling mellem kønnene;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29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beklager, at der kun er gjort beskedne eller moderate fremskridt med hensyn til at nå de fleste af delmålene under bæredygtighedsmål nr. 3, og at der på flere nøgleområder er mistet momentum siden 2015; konstaterer med bekymring, at mindre end 10 % af delmålene under bæredygtighedsmål nr. 3 er blevet nået, og at kun knap en tredjedel forventes at blive opfyldt inden 2030;</w:t>
            </w:r>
          </w:p>
        </w:tc>
        <w:tc>
          <w:tcPr>
            <w:tcW w:w="4876" w:type="dxa"/>
            <w:vAlign w:val="top"/>
          </w:tcPr>
          <w:p>
            <w:pPr>
              <w:pStyle w:val="Normal6a"/>
            </w:pPr>
            <w:r>
              <w:t>5.</w:t>
            </w:r>
            <w:r>
              <w:tab/>
            </w:r>
            <w:r>
              <w:t>beklager, at der kun er gjort beskedne eller moderate fremskridt med hensyn til at nå de fleste af delmålene under bæredygtighedsmål nr. 3, og at der på flere nøgleområder er mistet momentum siden 2015; konstaterer med bekymring, at mindre end 10 % af delmålene under bæredygtighedsmål nr. 3 er blevet nået, og at kun knap en tredjedel forventes at blive opfyldt inden 2030;</w:t>
            </w:r>
            <w:r>
              <w:rPr>
                <w:b/>
                <w:i/>
                <w:strike w:val="0"/>
                <w:color w:val="auto"/>
                <w:highlight w:val="none"/>
                <w:u w:val="none" w:color="auto"/>
                <w:vertAlign w:val="baseline"/>
              </w:rPr>
              <w:t xml:space="preserve"> minder om, at der også i EU findes store uligheder mellem kønnene, og at der er gjort meget begrænsede fremskridt siden 2010 med hensyn til at tackle disse uligheder;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5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udtrykker sin bekymring over den fortsatte praksis med kvindelig kønslemlæstelse og sin sympati for ofrene; fremhæver, at UNICEF i marts 2024 ændrede antallet af ofre til over 230 millioner, hvilket svarer til en stigning på 15 % (ca. 30 millioner flere) i forhold til 2016 på trods af den nedgang, der er set i nogle lande;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5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anerkender, at de seneste nedskæringer i USAID-finansieringen yderligere vil hæmme fremskridtene med bæredygtighedsmål nr. 3, hvilket navnlig vil påvirke kvinders og pigers adgang til reproduktive sundhedsydelser og sundhedspleje for mødre;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understreger, at det store antal – ofte indbyrdes forbundne – kriser, svag sundhedsinfrastruktur, økonomisk ustabilitet, fattigdom</w:t>
            </w:r>
            <w:r>
              <w:rPr>
                <w:b/>
                <w:i/>
                <w:strike w:val="0"/>
                <w:color w:val="auto"/>
                <w:highlight w:val="none"/>
                <w:u w:val="none" w:color="auto"/>
                <w:vertAlign w:val="baseline"/>
              </w:rPr>
              <w:t>,</w:t>
            </w:r>
            <w:r>
              <w:t xml:space="preserve"> vedvarende uligheder, navnlig blandt sårbare befolkningsgrupper og regioner, </w:t>
            </w:r>
            <w:r>
              <w:rPr>
                <w:b/>
                <w:i/>
                <w:strike w:val="0"/>
                <w:color w:val="auto"/>
                <w:highlight w:val="none"/>
                <w:u w:val="none" w:color="auto"/>
                <w:vertAlign w:val="baseline"/>
              </w:rPr>
              <w:t>og</w:t>
            </w:r>
            <w:r>
              <w:t xml:space="preserve"> tiltagende ressourceknaphed truer med yderligere at afspore fremskridtene hen imod at nå delmålene under bæredygtighedsmål nr. 3;</w:t>
            </w:r>
          </w:p>
        </w:tc>
        <w:tc>
          <w:tcPr>
            <w:tcW w:w="4876" w:type="dxa"/>
            <w:vAlign w:val="top"/>
          </w:tcPr>
          <w:p>
            <w:pPr>
              <w:pStyle w:val="Normal6a"/>
            </w:pPr>
            <w:r>
              <w:t>6.</w:t>
            </w:r>
            <w:r>
              <w:tab/>
            </w:r>
            <w:r>
              <w:t xml:space="preserve">understreger, at det store antal – ofte indbyrdes forbundne </w:t>
            </w:r>
            <w:r>
              <w:rPr>
                <w:b/>
                <w:i/>
                <w:strike w:val="0"/>
                <w:color w:val="auto"/>
                <w:highlight w:val="none"/>
                <w:u w:val="none" w:color="auto"/>
                <w:vertAlign w:val="baseline"/>
              </w:rPr>
              <w:t xml:space="preserve">og voksende </w:t>
            </w:r>
            <w:r>
              <w:t xml:space="preserve">– kriser, </w:t>
            </w:r>
            <w:r>
              <w:rPr>
                <w:b/>
                <w:i/>
                <w:strike w:val="0"/>
                <w:color w:val="auto"/>
                <w:highlight w:val="none"/>
                <w:u w:val="none" w:color="auto"/>
                <w:vertAlign w:val="baseline"/>
              </w:rPr>
              <w:t>såsom</w:t>
            </w:r>
            <w:r>
              <w:t xml:space="preserve"> svag sundhedsinfrastruktur, økonomisk ustabilitet, </w:t>
            </w:r>
            <w:r>
              <w:rPr>
                <w:b/>
                <w:i/>
                <w:strike w:val="0"/>
                <w:color w:val="auto"/>
                <w:highlight w:val="none"/>
                <w:u w:val="none" w:color="auto"/>
                <w:vertAlign w:val="baseline"/>
              </w:rPr>
              <w:t>stigende geopolitiske spændinger,</w:t>
            </w:r>
            <w:r>
              <w:t xml:space="preserve"> fattigdom </w:t>
            </w:r>
            <w:r>
              <w:rPr>
                <w:b/>
                <w:i/>
                <w:strike w:val="0"/>
                <w:color w:val="auto"/>
                <w:highlight w:val="none"/>
                <w:u w:val="none" w:color="auto"/>
                <w:vertAlign w:val="baseline"/>
              </w:rPr>
              <w:t>og</w:t>
            </w:r>
            <w:r>
              <w:t xml:space="preserve"> vedvarende uligheder, </w:t>
            </w:r>
            <w:r>
              <w:rPr>
                <w:b/>
                <w:i/>
                <w:strike w:val="0"/>
                <w:color w:val="auto"/>
                <w:highlight w:val="none"/>
                <w:u w:val="none" w:color="auto"/>
                <w:vertAlign w:val="baseline"/>
              </w:rPr>
              <w:t>herunder uligheder mellem kønnene,</w:t>
            </w:r>
            <w:r>
              <w:t xml:space="preserve"> navnlig blandt sårbare befolkningsgrupper og regioner, </w:t>
            </w:r>
            <w:r>
              <w:rPr>
                <w:b/>
                <w:i/>
                <w:strike w:val="0"/>
                <w:color w:val="auto"/>
                <w:highlight w:val="none"/>
                <w:u w:val="none" w:color="auto"/>
                <w:vertAlign w:val="baseline"/>
              </w:rPr>
              <w:t>samt</w:t>
            </w:r>
            <w:r>
              <w:t xml:space="preserve"> tiltagende ressourceknaphed </w:t>
            </w:r>
            <w:r>
              <w:rPr>
                <w:b/>
                <w:i/>
                <w:strike w:val="0"/>
                <w:color w:val="auto"/>
                <w:highlight w:val="none"/>
                <w:u w:val="none" w:color="auto"/>
                <w:vertAlign w:val="baseline"/>
              </w:rPr>
              <w:t>og mangel på kønssensitiv medicinsk forskning,</w:t>
            </w:r>
            <w:r>
              <w:t xml:space="preserve"> truer med yderligere at afspore fremskridtene hen imod at nå delmålene under bæredygtighedsmål nr. 3;</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6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bemærker med bekymring USA's udtræden af Verdenssundhedsorganisationen (WHO) og den fuldstændige fastfrysning af landets officielle udviklingsbistand (ODA); understreger, at i betragtning af den rolle, som USAID spiller med hensyn til at styrke den globale sundhed, vil dette have en enorm indvirkning på menneskers liv og adgangen til sundhedsydelser på verdensplan, herunder for millioner af kvinder og piger; fremhæver endvidere, at genindførelsen af den globale mundkurv i særlig grad påvirker seksuel og reproduktiv sundhed og rettigheder (SRSR); opfordrer Kommissionen og medlemsstaterne til at afhjælpe de mangler, som USA har efterladt, herunder ved at optrappe EU's bidrag til centrale initiativer vedrørende seksuel og reproduktiv sundhed og rettigheder såsom UNFPA Supplies Partnership og Team Europe-initiativet om seksuel og reproduktiv sundhed og rettigheder i Afrika syd for Sahara;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6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6b.</w:t>
            </w:r>
            <w:r>
              <w:tab/>
            </w:r>
            <w:r>
              <w:rPr>
                <w:b/>
                <w:i/>
                <w:strike w:val="0"/>
                <w:color w:val="auto"/>
                <w:highlight w:val="none"/>
                <w:u w:val="none" w:color="auto"/>
                <w:vertAlign w:val="baseline"/>
              </w:rPr>
              <w:t>beklager den globale tilbagerulning af udviklingsbistanden, som hovedsagelig påvirker adgangen til sundhedspleje i de fattigste regioner og for de mest marginaliserede personer såsom kvinder og piger; mener, at sammenbruddet af skrøbelige sundhedssystemer udgør en potentiel sundhedsrisiko for den globale befolkning; opfordrer til en beslutsom indsats på tværs af medlemsstaterne og som led i EU's eksterne politikker for at gøre betydelige fremskridt hen imod 2030-målet om at reducere mødredødeligheden og sikre universel adgang til seksuelle og reproduktive sundhedsydelser, herunder familieplanlægning og sikker og lovlig abort, modersundhedsydelser og opnåelse af almen sygesikring, herunder adgang til sikre, effektive og økonomisk overkommelige essentielle lægemidler af høj kvalitet for alle; opfordrer EU til som en prioritet at sikre adgang til sikker og effektiv prævention efter eget valg og til sikre og lovlige aborttjenester i alle medlemsstaterne;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6 d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6d.</w:t>
            </w:r>
            <w:r>
              <w:tab/>
            </w:r>
            <w:r>
              <w:rPr>
                <w:b/>
                <w:i/>
                <w:strike w:val="0"/>
                <w:color w:val="auto"/>
                <w:highlight w:val="none"/>
                <w:u w:val="none" w:color="auto"/>
                <w:vertAlign w:val="baseline"/>
              </w:rPr>
              <w:t>opfordrer EU og medlemsstaterne til at gøre det til en prioritet at sikre adgangen til obligatorisk, evidensbaseret, alderssvarende fyldestgørende seksual- og samlivsundervisning for drenge og piger og information om familieplanlægning i lyset af de 164 millioner kvinder, der anses for at have et uopfyldt behov på dette område</w:t>
            </w:r>
            <w:r>
              <w:rPr>
                <w:rStyle w:val="Sup"/>
              </w:rPr>
              <w:t>1a</w:t>
            </w:r>
            <w:r>
              <w:rPr>
                <w:b/>
                <w:i/>
                <w:strike w:val="0"/>
                <w:color w:val="auto"/>
                <w:highlight w:val="none"/>
                <w:u w:val="none" w:color="auto"/>
                <w:vertAlign w:val="baseline"/>
              </w:rPr>
              <w:t>, samtidig med at de også bidrager til disse bestræbelser gennem eksterne politikker;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FN's Afdeling for Økonomiske og Sociale Anliggender, "World Family Planning 2022", https://www.un.org/development/desa/pd/sites/www.un.org.development.desa.pd/files/files/documents/2023/Feb/undesa_pd_2022_world-family-planning.pdf.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6 e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6e.</w:t>
            </w:r>
            <w:r>
              <w:tab/>
            </w:r>
            <w:r>
              <w:rPr>
                <w:b/>
                <w:i/>
                <w:strike w:val="0"/>
                <w:color w:val="auto"/>
                <w:highlight w:val="none"/>
                <w:u w:val="none" w:color="auto"/>
                <w:vertAlign w:val="baseline"/>
              </w:rPr>
              <w:t>opfordrer EU til at opfylde planerne i strategien for mental sundhed og gennemføre mere beslutsomme foranstaltninger til at sikre gode mentale sundhedsforhold for alle, navnlig under hensyntagen til kønsperspektivet, og hvordan kvinder og LGBTIQ+-personer i alvorligere grad har problemer med deres mentale sundhed;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6 f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6f.</w:t>
            </w:r>
            <w:r>
              <w:tab/>
            </w:r>
            <w:r>
              <w:rPr>
                <w:b/>
                <w:i/>
                <w:strike w:val="0"/>
                <w:color w:val="auto"/>
                <w:highlight w:val="none"/>
                <w:u w:val="none" w:color="auto"/>
                <w:vertAlign w:val="baseline"/>
              </w:rPr>
              <w:t>minder om, at fuld gennemførelse af SRSR og opretholdelse af kvinders og pigers kropslige autonomi er afgørende for at opnå ligestilling mellem kønnene; fremhæver, at SRSR er en integreret del af almen sygesikring og er afgørende for at nå bæredygtighedsmål nr. 3, navnlig delmål 3.7; opfordrer Kommissionen til at sikre, at SRSR medtages i EU's initiativer og programmer om almen sygesikring;</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6 g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6g.</w:t>
            </w:r>
            <w:r>
              <w:tab/>
            </w:r>
            <w:r>
              <w:rPr>
                <w:b/>
                <w:i/>
                <w:strike w:val="0"/>
                <w:color w:val="auto"/>
                <w:highlight w:val="none"/>
                <w:u w:val="none" w:color="auto"/>
                <w:vertAlign w:val="baseline"/>
              </w:rPr>
              <w:t>advarer om, at de delmål, der er fastsat i bæredygtighedsmål nr. 3 og 5, ikke vil blive nået, hvis den universelle adgang til seksuel og reproduktiv sundhed og reproduktive rettigheder ikke garanteres i EU og globalt; minder om, at adgang til essentielle sundhedsydelser og nødvendige lægemidler, sikker og effektiv prævention efter eget valg og til lovlige abortydelser er et grundlæggende aspekt af seksuel og reproduktiv sundhedspleje;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39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6 h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6h.</w:t>
            </w:r>
            <w:r>
              <w:tab/>
            </w:r>
            <w:r>
              <w:rPr>
                <w:b/>
                <w:i/>
                <w:strike w:val="0"/>
                <w:color w:val="auto"/>
                <w:highlight w:val="none"/>
                <w:u w:val="none" w:color="auto"/>
                <w:vertAlign w:val="baseline"/>
              </w:rPr>
              <w:t>minder om, at utilsigtede graviditeter kan have betydelige fysiske, følelsesmæssige og økonomiske konsekvenser for enkeltpersoner og familier og kan forårsage særlig stor skade hos mindreårige i tilfælde af teenagegraviditet; understreger, at lovlig abortbehandling er livsnødvendig pleje under spontane aborter og andre livstruende obstetriske nødsituationer, og at lovlig og effektiv adgang til sikker abort kan bidrage til at håndtere større komplikationer og undgå risikofyldte graviditeter, som kan føre til mødredødelighed og spædbørnsdødelighed;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6 i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6i.</w:t>
            </w:r>
            <w:r>
              <w:tab/>
            </w:r>
            <w:r>
              <w:rPr>
                <w:b/>
                <w:i/>
                <w:strike w:val="0"/>
                <w:color w:val="auto"/>
                <w:highlight w:val="none"/>
                <w:u w:val="none" w:color="auto"/>
                <w:vertAlign w:val="baseline"/>
              </w:rPr>
              <w:t>understreger endvidere, at abortmedicin er et sikkert og mindre invasivt alternativ til kirurgisk abort og gør pleje i forbindelse med fremkaldt og spontan abort mere tilgængelig for personer, der bor i områder, hvor kirurgisk abortbehandling er vanskeligt tilgængelig på grund af geografiske eller andre hindringer, og at rettidig adgang til sikker abortmedicin også kan give patienterne mulighed for selv helt eller delvist at håndtere fremkaldt eller spontan abort, hvilket forhindrer forsinkelser i behandlingen, som kan føre til yderligere sundhedsrisici;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6 j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6j.</w:t>
            </w:r>
            <w:r>
              <w:tab/>
            </w:r>
            <w:r>
              <w:rPr>
                <w:b/>
                <w:i/>
                <w:strike w:val="0"/>
                <w:color w:val="auto"/>
                <w:highlight w:val="none"/>
                <w:u w:val="none" w:color="auto"/>
                <w:vertAlign w:val="baseline"/>
              </w:rPr>
              <w:t>opfordrer EU til hurtigt at vedtage forordningen om kritiske lægemidler</w:t>
            </w:r>
            <w:r>
              <w:rPr>
                <w:rStyle w:val="SupBoldItalic"/>
              </w:rPr>
              <w:t>1a</w:t>
            </w:r>
            <w:r>
              <w:rPr>
                <w:b/>
                <w:i/>
                <w:strike w:val="0"/>
                <w:color w:val="auto"/>
                <w:highlight w:val="none"/>
                <w:u w:val="none" w:color="auto"/>
                <w:vertAlign w:val="baseline"/>
              </w:rPr>
              <w:t xml:space="preserve"> og sikre, at den til enhver tid garanterer adgangen til og tilgængeligheden af de essentielle seksuelle og reproduktive lægemidler på WHO's liste over essentielle lægemidler i hele EU;</w:t>
            </w:r>
            <w:r>
              <w:rPr>
                <w:b/>
                <w:i/>
                <w:strike w:val="0"/>
                <w:color w:val="auto"/>
                <w:highlight w:val="none"/>
                <w:u w:val="none" w:color="auto"/>
                <w:vertAlign w:val="baseline"/>
              </w:rPr>
              <w:t xml:space="preserve"> opfordrer Det Europæiske Lægemiddelagentur til at ajourføre EU's liste over kritiske lægemidler med henblik på at medtage den fuldstændige liste over essentielle lægemidler til seksuel og reproduktiv sundhed, der er opført på WHO's liste over essentielle lægemidler, såsom prævention og abortmedicin; opfordrer EU til at sikre, at essentielle lægemidler til seksuel og reproduktiv sundhed systematisk medtages som en del af den humanitære bistand til lande uden for EU;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COM(2025)0102.</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opfordrer til en skærpet, koordineret indsats og omfattende investeringer for at indføre almen sygesikring, styrke sundhedsvæsnerne, sikre lige adgang til lægemidler og vacciner, fremme sygdomsforebyggelse og -behandling, håndtere forværrende miljøfaktorer </w:t>
            </w:r>
            <w:r>
              <w:rPr>
                <w:b/>
                <w:i/>
                <w:strike w:val="0"/>
                <w:color w:val="auto"/>
                <w:highlight w:val="none"/>
                <w:u w:val="none" w:color="auto"/>
                <w:vertAlign w:val="baseline"/>
              </w:rPr>
              <w:t>og</w:t>
            </w:r>
            <w:r>
              <w:t xml:space="preserve"> afhjælpe uligheder i adgangen til sundhedspleje og -tjenester af høj kvalitet, navnlig for sårbare befolkningsgrupper og regioner;</w:t>
            </w:r>
          </w:p>
        </w:tc>
        <w:tc>
          <w:tcPr>
            <w:tcW w:w="4876" w:type="dxa"/>
            <w:vAlign w:val="top"/>
          </w:tcPr>
          <w:p>
            <w:pPr>
              <w:pStyle w:val="Normal6a"/>
            </w:pPr>
            <w:r>
              <w:t>7.</w:t>
            </w:r>
            <w:r>
              <w:tab/>
            </w:r>
            <w:r>
              <w:t>opfordrer til en skærpet, koordineret indsats og omfattende investeringer for at indføre almen sygesikring, styrke sundhedsvæsnerne, sikre lige adgang til lægemidler og vacciner, fremme sygdomsforebyggelse og -behandling, håndtere forværrende miljøfaktorer</w:t>
            </w:r>
            <w:r>
              <w:rPr>
                <w:b/>
                <w:i/>
                <w:strike w:val="0"/>
                <w:color w:val="auto"/>
                <w:highlight w:val="none"/>
                <w:u w:val="none" w:color="auto"/>
                <w:vertAlign w:val="baseline"/>
              </w:rPr>
              <w:t>,</w:t>
            </w:r>
            <w:r>
              <w:t xml:space="preserve"> afhjælpe uligheder i adgangen til sundhedspleje og -tjenester af høj kvalitet, navnlig for </w:t>
            </w:r>
            <w:r>
              <w:rPr>
                <w:b/>
                <w:i/>
                <w:strike w:val="0"/>
                <w:color w:val="auto"/>
                <w:highlight w:val="none"/>
                <w:u w:val="none" w:color="auto"/>
                <w:vertAlign w:val="baseline"/>
              </w:rPr>
              <w:t>personer i sårbare situationer,</w:t>
            </w:r>
            <w:r>
              <w:t xml:space="preserve"> sårbare befolkningsgrupper og regioner, </w:t>
            </w:r>
            <w:r>
              <w:rPr>
                <w:b/>
                <w:i/>
                <w:strike w:val="0"/>
                <w:color w:val="auto"/>
                <w:highlight w:val="none"/>
                <w:u w:val="none" w:color="auto"/>
                <w:vertAlign w:val="baseline"/>
              </w:rPr>
              <w:t>herunder kvinder og piger og personer med handicap</w:t>
            </w:r>
            <w:r>
              <w:t>;</w:t>
            </w:r>
            <w:r>
              <w:rPr>
                <w:b/>
                <w:i/>
                <w:strike w:val="0"/>
                <w:color w:val="auto"/>
                <w:highlight w:val="none"/>
                <w:u w:val="none" w:color="auto"/>
                <w:vertAlign w:val="baseline"/>
              </w:rPr>
              <w:t xml:space="preserve"> understreger betydningen af at sikre adgang til sundhed for alle som en grundlæggende rettighed; understreger behovet for at støtte adgangen til sundhedspleje og uddannelse for piger i nødsituationer, migrantpiger, internt fordrevne piger og piger, der er flygtninge, samt piger, der befinder sig i humanitære kriser og konfliktsituationer;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7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opfordrer til en skærpet, koordineret indsats og omfattende investeringer for at indføre almen sygesikring, styrke sundhedsvæsnerne, sikre lige adgang til lægemidler og vacciner, fremme sygdomsforebyggelse og -behandling, håndtere forværrende miljøfaktorer, håndtere mentale sundhedsudfordringer og begrænse uligheder i adgangen til sundhedspleje og -tjenester af høj kvalitet, navnlig for sårbare befolkningsgrupper og regioner;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rPr>
                <w:b/>
                <w:i/>
                <w:strike w:val="0"/>
                <w:color w:val="auto"/>
                <w:highlight w:val="none"/>
                <w:u w:val="none" w:color="auto"/>
                <w:vertAlign w:val="baseline"/>
              </w:rPr>
              <w:t>opfordrer til at tilføje alle menneskers ret til</w:t>
            </w:r>
            <w:r>
              <w:t xml:space="preserve"> et sundt miljø </w:t>
            </w:r>
            <w:r>
              <w:rPr>
                <w:b/>
                <w:i/>
                <w:strike w:val="0"/>
                <w:color w:val="auto"/>
                <w:highlight w:val="none"/>
                <w:u w:val="none" w:color="auto"/>
                <w:vertAlign w:val="baseline"/>
              </w:rPr>
              <w:t>til den europæiske menneskerettighedskonvention og EU's charter om grundlæggende rettigheder og til at indføre en juridisk bindende ramme</w:t>
            </w:r>
            <w:r>
              <w:t>;</w:t>
            </w:r>
          </w:p>
        </w:tc>
        <w:tc>
          <w:tcPr>
            <w:tcW w:w="4876" w:type="dxa"/>
            <w:vAlign w:val="top"/>
          </w:tcPr>
          <w:p>
            <w:pPr>
              <w:pStyle w:val="Normal6a"/>
            </w:pPr>
            <w:r>
              <w:t>8.</w:t>
            </w:r>
            <w:r>
              <w:tab/>
            </w:r>
            <w:r>
              <w:rPr>
                <w:b/>
                <w:i/>
                <w:strike w:val="0"/>
                <w:color w:val="auto"/>
                <w:highlight w:val="none"/>
                <w:u w:val="none" w:color="auto"/>
                <w:vertAlign w:val="baseline"/>
              </w:rPr>
              <w:t>mener, at</w:t>
            </w:r>
            <w:r>
              <w:t xml:space="preserve"> et sundt miljø </w:t>
            </w:r>
            <w:r>
              <w:rPr>
                <w:b/>
                <w:i/>
                <w:strike w:val="0"/>
                <w:color w:val="auto"/>
                <w:highlight w:val="none"/>
                <w:u w:val="none" w:color="auto"/>
                <w:vertAlign w:val="baseline"/>
              </w:rPr>
              <w:t>er en afgørende faktor for at forbedre sundheden</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8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beklager, at ikke ét land er på vej til at opnå ligestilling mellem kønnene senest i 2030, og at næsten 40 % af landene mellem 2019 og 2022 er stagneret eller endda gået tilbage med hensyn til ligestilling mellem kønnene; bemærker, at denne tilbagegang falder sammen med stigningen i konservative, reaktionære og kvindefjendske tendenser, der modarbejder kvinders rettigheder i hele verden; advarer om, at hvis de nuværende tendenser til tilbagegang og stagnering med hensyn til ligestilling mellem kønnene tager til, kan de globale uligheder mellem kønnene være værre i 2030, end da verdensmålene for bæredygtig udvikling blev vedtaget i 2015</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Equal Measures 2030, "Findings from the 2024 SDG Gender Index –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8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8b.</w:t>
            </w:r>
            <w:r>
              <w:tab/>
            </w:r>
            <w:r>
              <w:rPr>
                <w:b/>
                <w:i/>
                <w:strike w:val="0"/>
                <w:color w:val="auto"/>
                <w:highlight w:val="none"/>
                <w:u w:val="none" w:color="auto"/>
                <w:vertAlign w:val="baseline"/>
              </w:rPr>
              <w:t>understreger den tværgående karakter af bæredygtighedsmål nr. 5 og dets betydning for gennemførelsen af 2030-dagsordenen; fremhæver, at opnåelse af ligestilling mellem kønnene direkte supplerer alle de andre bæredygtighedsmål, og at disse mål ikke kan nås uden at fremme kvinders og pigers rettigheder og ligestilling mellem kønnene;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efterlyser en intensiveret og målrettet indsats for at sætte en stopper for alle former for vold og chikane mod kvinder, piger og LGBTIQ+-personer, herunder seksuel og kønsbaseret vold, </w:t>
            </w:r>
            <w:r>
              <w:rPr>
                <w:b/>
                <w:i/>
                <w:strike w:val="0"/>
                <w:color w:val="auto"/>
                <w:highlight w:val="none"/>
                <w:u w:val="none" w:color="auto"/>
                <w:vertAlign w:val="baseline"/>
              </w:rPr>
              <w:t>og</w:t>
            </w:r>
            <w:r>
              <w:t xml:space="preserve"> for at sætte en stopper for skadelige skikke såsom </w:t>
            </w:r>
            <w:r>
              <w:rPr>
                <w:b/>
                <w:i/>
                <w:strike w:val="0"/>
                <w:color w:val="auto"/>
                <w:highlight w:val="none"/>
                <w:u w:val="none" w:color="auto"/>
                <w:vertAlign w:val="baseline"/>
              </w:rPr>
              <w:t>børneægteskab og</w:t>
            </w:r>
            <w:r>
              <w:t xml:space="preserve"> kønslemlæstelse af piger;</w:t>
            </w:r>
          </w:p>
        </w:tc>
        <w:tc>
          <w:tcPr>
            <w:tcW w:w="4876" w:type="dxa"/>
            <w:vAlign w:val="top"/>
          </w:tcPr>
          <w:p>
            <w:pPr>
              <w:pStyle w:val="Normal6a"/>
            </w:pPr>
            <w:r>
              <w:t>9.</w:t>
            </w:r>
            <w:r>
              <w:tab/>
            </w:r>
            <w:r>
              <w:rPr>
                <w:b/>
                <w:i/>
                <w:strike w:val="0"/>
                <w:color w:val="auto"/>
                <w:highlight w:val="none"/>
                <w:u w:val="none" w:color="auto"/>
                <w:vertAlign w:val="baseline"/>
              </w:rPr>
              <w:t xml:space="preserve">gentager, at et samfund uden kønsbaseret vold er en uomgængelig forudsætning for at opnå ligestilling mellem kønnene; </w:t>
            </w:r>
            <w:r>
              <w:t xml:space="preserve">efterlyser en intensiveret og målrettet indsats for at sætte en stopper for alle former for vold og chikane mod kvinder, piger og LGBTIQ+-personer, herunder seksuel og kønsbaseret vold, for at sætte en stopper for skadelige skikke såsom </w:t>
            </w:r>
            <w:r>
              <w:rPr>
                <w:b/>
                <w:i/>
                <w:strike w:val="0"/>
                <w:color w:val="auto"/>
                <w:highlight w:val="none"/>
                <w:u w:val="none" w:color="auto"/>
                <w:vertAlign w:val="baseline"/>
              </w:rPr>
              <w:t>børne- og tvangsægteskab, som 12 millioner piger om året udsættes for</w:t>
            </w:r>
            <w:r>
              <w:rPr>
                <w:rStyle w:val="SupBoldItalic"/>
              </w:rPr>
              <w:t>1a</w:t>
            </w:r>
            <w:r>
              <w:rPr>
                <w:b/>
                <w:i/>
                <w:strike w:val="0"/>
                <w:color w:val="auto"/>
                <w:highlight w:val="none"/>
                <w:u w:val="none" w:color="auto"/>
                <w:vertAlign w:val="baseline"/>
              </w:rPr>
              <w:t>,</w:t>
            </w:r>
            <w:r>
              <w:t xml:space="preserve"> kønslemlæstelse af piger</w:t>
            </w:r>
            <w:r>
              <w:rPr>
                <w:b/>
                <w:i/>
                <w:strike w:val="0"/>
                <w:color w:val="auto"/>
                <w:highlight w:val="none"/>
                <w:u w:val="none" w:color="auto"/>
                <w:vertAlign w:val="baseline"/>
              </w:rPr>
              <w:t xml:space="preserve"> og kønsselektiv abort og for at bekæmpe anvendelsen af kønsbaseret vold som et krigsvåben</w:t>
            </w:r>
            <w:r>
              <w:t>;</w:t>
            </w:r>
            <w:r>
              <w:rPr>
                <w:b/>
                <w:i/>
                <w:strike w:val="0"/>
                <w:color w:val="auto"/>
                <w:highlight w:val="none"/>
                <w:u w:val="none" w:color="auto"/>
                <w:vertAlign w:val="baseline"/>
              </w:rPr>
              <w:t xml:space="preserve"> mener, at aktivt medborgerskab og lokale græsrodskvindeorganisationer er afgørende for at nå dette mål; udtrykker bekymring over den globale stigning i retsforfølgningen af menneskerettighedsforkæmpere, navnlig når det drejer sig om dem, der forsvarer kvinders og mindretals rettigheder; udtrykker bekymring over den høje mødredødelighed i lavindkomstlande og lavere mellemindkomstlande;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UNICEF, "Fast Facts: 10 facts illustrating why we must #EndChildMarriage", 10. februar 2019, https://www.unicef.org/press-releases/fast-facts-10-facts-illustrating-why-we-must-endchildmarriage.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9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9a.</w:t>
            </w:r>
            <w:r>
              <w:tab/>
            </w:r>
            <w:r>
              <w:rPr>
                <w:b/>
                <w:i/>
                <w:strike w:val="0"/>
                <w:color w:val="auto"/>
                <w:highlight w:val="none"/>
                <w:u w:val="none" w:color="auto"/>
                <w:vertAlign w:val="baseline"/>
              </w:rPr>
              <w:t>understreger, at voldtægt fortsat er en af de mest udbredte menneskerettighedskrænkelser, og opfordrer indtrængende til, at der fastlægges en fælles definition af voldtægt på grundlag af manglende samtykke;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49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9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9b.</w:t>
            </w:r>
            <w:r>
              <w:tab/>
            </w:r>
            <w:r>
              <w:rPr>
                <w:b/>
                <w:i/>
                <w:strike w:val="0"/>
                <w:color w:val="auto"/>
                <w:highlight w:val="none"/>
                <w:u w:val="none" w:color="auto"/>
                <w:vertAlign w:val="baseline"/>
              </w:rPr>
              <w:t>beklager det globale tilbageslag mod kvinders rettigheder og fordømmer enhver aktør, der træffer foranstaltninger til at undergrave globale resultater inden for ligestilling mellem kønnene; opfordrer EU og medlemsstaterne til at intensivere kampen for ligestilling mellem kønnene, nu hvor USA stopper finansieringen af organisationer, der arbejder for menneskerettigheder;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9 c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9c.</w:t>
            </w:r>
            <w:r>
              <w:tab/>
            </w:r>
            <w:r>
              <w:rPr>
                <w:b/>
                <w:i/>
                <w:strike w:val="0"/>
                <w:color w:val="auto"/>
                <w:highlight w:val="none"/>
                <w:u w:val="none" w:color="auto"/>
                <w:vertAlign w:val="baseline"/>
              </w:rPr>
              <w:t>opfordrer til en mere beslutsom indsats for at bekæmpe stigningen i kønsfjendtlig hadefuld tale på internettet og de øgede trusler, som kvinder i politiske stillinger står over for, hvilket resulterer i, at færre kvinder accepterer embeder, og at kvinder ofte tvinges til at gå af;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 xml:space="preserve">opfordrer til </w:t>
            </w:r>
            <w:r>
              <w:rPr>
                <w:b/>
                <w:i/>
                <w:strike w:val="0"/>
                <w:color w:val="auto"/>
                <w:highlight w:val="none"/>
                <w:u w:val="none" w:color="auto"/>
                <w:vertAlign w:val="baseline"/>
              </w:rPr>
              <w:t>fortsat</w:t>
            </w:r>
            <w:r>
              <w:t xml:space="preserve"> finansiering af programmer med fokus på at fremme </w:t>
            </w:r>
            <w:r>
              <w:rPr>
                <w:b/>
                <w:i/>
                <w:strike w:val="0"/>
                <w:color w:val="auto"/>
                <w:highlight w:val="none"/>
                <w:u w:val="none" w:color="auto"/>
                <w:vertAlign w:val="baseline"/>
              </w:rPr>
              <w:t>kvinders rettigheder og muligheder</w:t>
            </w:r>
            <w:r>
              <w:t xml:space="preserve"> og bekæmpe alle former for kønsbaseret vold; opfordrer Kommissionen til at sikre, at 85 % af </w:t>
            </w:r>
            <w:r>
              <w:rPr>
                <w:b/>
                <w:i/>
                <w:strike w:val="0"/>
                <w:color w:val="auto"/>
                <w:highlight w:val="none"/>
                <w:u w:val="none" w:color="auto"/>
                <w:vertAlign w:val="baseline"/>
              </w:rPr>
              <w:t>alle kommende eksterne aktioner</w:t>
            </w:r>
            <w:r>
              <w:t xml:space="preserve"> integrerer kønsaspektet som et væsentligt mål eller et hovedmål, og at 20 % af den officielle udviklingsbistand til hvert land tildeles programmer, som har ligestilling mellem kønnene som et af deres hovedmål;</w:t>
            </w:r>
          </w:p>
        </w:tc>
        <w:tc>
          <w:tcPr>
            <w:tcW w:w="4876" w:type="dxa"/>
            <w:vAlign w:val="top"/>
          </w:tcPr>
          <w:p>
            <w:pPr>
              <w:pStyle w:val="Normal6a"/>
            </w:pPr>
            <w:r>
              <w:t>10.</w:t>
            </w:r>
            <w:r>
              <w:tab/>
            </w:r>
            <w:r>
              <w:t xml:space="preserve">opfordrer til </w:t>
            </w:r>
            <w:r>
              <w:rPr>
                <w:b/>
                <w:i/>
                <w:strike w:val="0"/>
                <w:color w:val="auto"/>
                <w:highlight w:val="none"/>
                <w:u w:val="none" w:color="auto"/>
                <w:vertAlign w:val="baseline"/>
              </w:rPr>
              <w:t>øget</w:t>
            </w:r>
            <w:r>
              <w:t xml:space="preserve"> finansiering af programmer med fokus på at fremme </w:t>
            </w:r>
            <w:r>
              <w:rPr>
                <w:b/>
                <w:i/>
                <w:strike w:val="0"/>
                <w:color w:val="auto"/>
                <w:highlight w:val="none"/>
                <w:u w:val="none" w:color="auto"/>
                <w:vertAlign w:val="baseline"/>
              </w:rPr>
              <w:t>ligestilling mellem kønnene</w:t>
            </w:r>
            <w:r>
              <w:t xml:space="preserve"> og bekæmpe alle former for kønsbaseret vold; opfordrer Kommissionen til at sikre, at </w:t>
            </w:r>
            <w:r>
              <w:rPr>
                <w:b/>
                <w:i/>
                <w:strike w:val="0"/>
                <w:color w:val="auto"/>
                <w:highlight w:val="none"/>
                <w:u w:val="none" w:color="auto"/>
                <w:vertAlign w:val="baseline"/>
              </w:rPr>
              <w:t>alle EU-finansierede foranstaltninger integrerer kønsaspektet, og at</w:t>
            </w:r>
            <w:r>
              <w:t xml:space="preserve"> 85 % af </w:t>
            </w:r>
            <w:r>
              <w:rPr>
                <w:b/>
                <w:i/>
                <w:strike w:val="0"/>
                <w:color w:val="auto"/>
                <w:highlight w:val="none"/>
                <w:u w:val="none" w:color="auto"/>
                <w:vertAlign w:val="baseline"/>
              </w:rPr>
              <w:t>den officielle udviklingsbistand går til projekter, der</w:t>
            </w:r>
            <w:r>
              <w:t xml:space="preserve"> integrerer kønsaspektet som et væsentligt mål eller et hovedmål, og at 20 % af den officielle udviklingsbistand til hvert land tildeles programmer, som har ligestilling mellem kønnene som et af deres hovedmål;</w:t>
            </w:r>
            <w:r>
              <w:rPr>
                <w:b/>
                <w:i/>
                <w:strike w:val="0"/>
                <w:color w:val="auto"/>
                <w:highlight w:val="none"/>
                <w:u w:val="none" w:color="auto"/>
                <w:vertAlign w:val="baseline"/>
              </w:rPr>
              <w:t xml:space="preserve"> opfordrer Kommissionen til at medtage disse to mål i den næste FFR og til at sikre, at integration af kønsaspektet og en tilgang med kønsbudgettering indarbejdes i alle EU's politikker, programmer og budgetter;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10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10a.</w:t>
            </w:r>
            <w:r>
              <w:tab/>
            </w:r>
            <w:r>
              <w:rPr>
                <w:b/>
                <w:i/>
                <w:strike w:val="0"/>
                <w:color w:val="auto"/>
                <w:highlight w:val="none"/>
                <w:u w:val="none" w:color="auto"/>
                <w:vertAlign w:val="baseline"/>
              </w:rPr>
              <w:t>er foruroliget over, at bæredygtighedsmål nr. 5 er et af de mindst finansierede bæredygtighedsmål; fordømmer den stigende nedprioritering af finansieringen af kvinders rettigheder og det forhold, at feministiske græsrodsbevægelser og kvinderettighedsorganisationer fortsat underfinansieres systematisk og modtager mindre end 1 % af den globale officielle udviklingsbistand</w:t>
            </w:r>
            <w:r>
              <w:rPr>
                <w:rStyle w:val="SupBoldItalic"/>
              </w:rPr>
              <w:t>1a</w:t>
            </w:r>
            <w:r>
              <w:rPr>
                <w:b/>
                <w:i/>
                <w:strike w:val="0"/>
                <w:color w:val="auto"/>
                <w:highlight w:val="none"/>
                <w:u w:val="none" w:color="auto"/>
                <w:vertAlign w:val="baseline"/>
              </w:rPr>
              <w:t>;</w:t>
            </w:r>
            <w:r>
              <w:rPr>
                <w:b/>
                <w:i/>
                <w:strike w:val="0"/>
                <w:color w:val="auto"/>
                <w:highlight w:val="none"/>
                <w:u w:val="none" w:color="auto"/>
                <w:vertAlign w:val="baseline"/>
              </w:rPr>
              <w:t xml:space="preserve"> opfordrer Kommissionen til at sikre regelmæssig, tilstrækkelig og bæredygtig finansiering til europæiske programmer og organisationer, der arbejder for ligestilling mellem kønnene og kvinders rettigheder;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ODI policy brief, "Where next for feminist foreign policy on funding feminist movements?",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10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10b.</w:t>
            </w:r>
            <w:r>
              <w:tab/>
            </w:r>
            <w:r>
              <w:rPr>
                <w:b/>
                <w:i/>
                <w:strike w:val="0"/>
                <w:color w:val="auto"/>
                <w:highlight w:val="none"/>
                <w:u w:val="none" w:color="auto"/>
                <w:vertAlign w:val="baseline"/>
              </w:rPr>
              <w:t>udtrykker dyb bekymring over den kønsapartheid, der i øjeblikket begås i Afghanistan; understreger, at 2,2 millioner piger allerede er blevet nægtet adgang til uddannelse i Afghanistan, og at dette tal forventes at stige til 4 millioner; opfordrer det globale samfund til kraftigt at fordømme kønsapartheid i Afghanistan og træffe alle nødvendige foranstaltninger for at sætte en stopper for kønsapartheid og retsforfølge de ansvarlige;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10 c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10c.</w:t>
            </w:r>
            <w:r>
              <w:tab/>
            </w:r>
            <w:r>
              <w:rPr>
                <w:b/>
                <w:i/>
                <w:strike w:val="0"/>
                <w:color w:val="auto"/>
                <w:highlight w:val="none"/>
                <w:u w:val="none" w:color="auto"/>
                <w:vertAlign w:val="baseline"/>
              </w:rPr>
              <w:t>beklager, at kun 3,8 % af alle kønsorienterede/målrettede foranstaltninger siden lanceringen af kønshandlingsplan III har haft ligestilling mellem kønnene som et hovedmål, og at dette ligger under det mål på 5 %, der er fastsat i NDICI-forordningen</w:t>
            </w:r>
            <w:r>
              <w:rPr>
                <w:rStyle w:val="Sup"/>
              </w:rPr>
              <w:t>1a</w:t>
            </w:r>
            <w:r>
              <w:rPr>
                <w:b/>
                <w:i/>
                <w:strike w:val="0"/>
                <w:color w:val="auto"/>
                <w:highlight w:val="none"/>
                <w:u w:val="none" w:color="auto"/>
                <w:vertAlign w:val="baseline"/>
              </w:rPr>
              <w:t>:</w:t>
            </w:r>
            <w:r>
              <w:rPr>
                <w:b/>
                <w:i/>
                <w:strike w:val="0"/>
                <w:color w:val="auto"/>
                <w:highlight w:val="none"/>
                <w:u w:val="none" w:color="auto"/>
                <w:vertAlign w:val="baseline"/>
              </w:rPr>
              <w:t xml:space="preserve"> opfordrer medlemsstaterne og Kommissionen til i væsentlig grad at øge antallet af EU-foranstaltninger, der har fremme af ligestilling mellem kønnene som hovedmål, og til at nå målet på 5 %; opfordrer EU til at øge finansieringen af multilaterale fonde til ligestilling mellem kønnene såsom UN Women og til seksuel og reproduktiv sundhed såsom UNFPA samt Den Globale Fond til Bekæmpelse af Aids, Tuberkulose og Malaria;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Euratom) nr. 480/2009 (EUT L 209 af 14.6.2021, s. 1, ELI: http://data.europa.eu/eli/reg/2021/947/oj).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efterlyser en intensiveret indsats for at udligne den kønsbestemte </w:t>
            </w:r>
            <w:r>
              <w:rPr>
                <w:b/>
                <w:i/>
                <w:strike w:val="0"/>
                <w:color w:val="auto"/>
                <w:highlight w:val="none"/>
                <w:u w:val="none" w:color="auto"/>
                <w:vertAlign w:val="baseline"/>
              </w:rPr>
              <w:t>lønforskel i bl.a. plejesektoren</w:t>
            </w:r>
            <w:r>
              <w:t xml:space="preserve"> og for at sikre lige deltagelse og lige muligheder for at opnå lederposter i den offentlige og private sektor;</w:t>
            </w:r>
          </w:p>
        </w:tc>
        <w:tc>
          <w:tcPr>
            <w:tcW w:w="4876" w:type="dxa"/>
            <w:vAlign w:val="top"/>
          </w:tcPr>
          <w:p>
            <w:pPr>
              <w:pStyle w:val="Normal6a"/>
            </w:pPr>
            <w:r>
              <w:t>11.</w:t>
            </w:r>
            <w:r>
              <w:tab/>
            </w:r>
            <w:r>
              <w:t xml:space="preserve">efterlyser en intensiveret indsats for at udligne den kønsbestemte </w:t>
            </w:r>
            <w:r>
              <w:rPr>
                <w:b/>
                <w:i/>
                <w:strike w:val="0"/>
                <w:color w:val="auto"/>
                <w:highlight w:val="none"/>
                <w:u w:val="none" w:color="auto"/>
                <w:vertAlign w:val="baseline"/>
              </w:rPr>
              <w:t>forskel i beskæftigelsesfrekvensen og løn- og pensionsforskellen mellem kønnene og for at øge investeringerne i offentlige tjenester og social infrastruktur og opfordrer til, at der gives tilsagn om at gøre fremskridt hen imod omsorgssamfund;</w:t>
            </w:r>
            <w:r>
              <w:rPr>
                <w:b/>
                <w:i/>
                <w:strike w:val="0"/>
                <w:color w:val="auto"/>
                <w:highlight w:val="none"/>
                <w:u w:val="none" w:color="auto"/>
                <w:vertAlign w:val="baseline"/>
              </w:rPr>
              <w:t xml:space="preserve"> opfordrer til en mere retfærdig værdisætning og aflønning af arbejde i kvindedominerede sektorer, løngennemsigtighed, reformer af social beskyttelse</w:t>
            </w:r>
            <w:r>
              <w:t xml:space="preserve"> og </w:t>
            </w:r>
            <w:r>
              <w:rPr>
                <w:b/>
                <w:i/>
                <w:strike w:val="0"/>
                <w:color w:val="auto"/>
                <w:highlight w:val="none"/>
                <w:u w:val="none" w:color="auto"/>
                <w:vertAlign w:val="baseline"/>
              </w:rPr>
              <w:t>fremme af kvalitetsjob uden seksuel chikane og kønsbaseret vold;</w:t>
            </w:r>
            <w:r>
              <w:rPr>
                <w:b/>
                <w:i/>
                <w:strike w:val="0"/>
                <w:color w:val="auto"/>
                <w:highlight w:val="none"/>
                <w:u w:val="none" w:color="auto"/>
                <w:vertAlign w:val="baseline"/>
              </w:rPr>
              <w:t xml:space="preserve"> opfordrer til, at der gøres en indsats</w:t>
            </w:r>
            <w:r>
              <w:t xml:space="preserve"> for at sikre lige deltagelse og lige muligheder for at opnå lederposter i den offentlige og private sektor </w:t>
            </w:r>
            <w:r>
              <w:rPr>
                <w:b/>
                <w:i/>
                <w:strike w:val="0"/>
                <w:color w:val="auto"/>
                <w:highlight w:val="none"/>
                <w:u w:val="none" w:color="auto"/>
                <w:vertAlign w:val="baseline"/>
              </w:rPr>
              <w:t>ved at fremme en ligelig kønsfordeling i ansvarsfulde stillinger og beslutningstagning og ved at bekæmpe sexisme i den offentlige og private sfære</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11a.</w:t>
            </w:r>
            <w:r>
              <w:tab/>
            </w:r>
            <w:r>
              <w:rPr>
                <w:b/>
                <w:i/>
                <w:strike w:val="0"/>
                <w:color w:val="auto"/>
                <w:highlight w:val="none"/>
                <w:u w:val="none" w:color="auto"/>
                <w:vertAlign w:val="baseline"/>
              </w:rPr>
              <w:t>understreger behovet for at fremme lige adgang til uddannelse og finansiel forståelse for kvinder og piger, navnlig dem, som tilhører marginaliserede grupper og er udsat for diskrimination; fremhæver, at disse politikker skal sigte mod at fremme lige muligheder og øge kvinders og pigers chance for at opnå stabil, vellønnet og givende beskæftigelse, der garanterer deres finansielle uafhængighed; opfordrer til, at kvinder og piger får bedre adgang til digitale værktøjer og uddannelse, og til incitamentsordninger og finansiering for kvinder og piger inden for naturvidenskab, teknologi, ingeniørvirksomhed og matematik (STEM) samt iværksætterstudier og -aktiviteter;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11b.</w:t>
            </w:r>
            <w:r>
              <w:tab/>
            </w:r>
            <w:r>
              <w:rPr>
                <w:b/>
                <w:i/>
                <w:strike w:val="0"/>
                <w:color w:val="auto"/>
                <w:highlight w:val="none"/>
                <w:u w:val="none" w:color="auto"/>
                <w:vertAlign w:val="baseline"/>
              </w:rPr>
              <w:t>understreger betydningen af Kommissionens køreplan for kvinders rettigheder med hensyn til at bekræfte EU's engagement i ligestilling mellem kønnene og i udformningen af den nye strategi for ligestilling mellem kønnene, som offentliggøres i 2026; opfordrer til større inddragelse af medlemsstaterne og til en omfattende tilgang til seksuelle og reproduktive tjenester, intersektionel diskrimination og beskyttelse af sårbare kvinder;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c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11c.</w:t>
            </w:r>
            <w:r>
              <w:tab/>
            </w:r>
            <w:r>
              <w:rPr>
                <w:b/>
                <w:i/>
                <w:strike w:val="0"/>
                <w:color w:val="auto"/>
                <w:highlight w:val="none"/>
                <w:u w:val="none" w:color="auto"/>
                <w:vertAlign w:val="baseline"/>
              </w:rPr>
              <w:t>opfordrer til, at der tilføjes en universel ret til sikker og lovlig abort til EU's charter om grundlæggende rettigheder, og til, at der indføres en juridisk bindende ramme;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59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d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11d.</w:t>
            </w:r>
            <w:r>
              <w:tab/>
            </w:r>
            <w:r>
              <w:rPr>
                <w:b/>
                <w:i/>
                <w:strike w:val="0"/>
                <w:color w:val="auto"/>
                <w:highlight w:val="none"/>
                <w:u w:val="none" w:color="auto"/>
                <w:vertAlign w:val="baseline"/>
              </w:rPr>
              <w:t>gentager, at SRSR er grundlæggende menneskerettigheder, og at deres gennemførelse er et grundlæggende aspekt af den menneskelige værdighed og en forudsætning for at opnå ligestilling mellem kønnene; minder om EU's tilsagn om at fremme, beskytte og opfylde den enkeltes ret til at have fuld kontrol over og til frit og ansvarligt at kunne bestemme i spørgsmål vedrørende sin seksualitet og sine seksuelle og reproduktive rettigheder uden at blive udsat for diskrimination, tvang og vold;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e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11e.</w:t>
            </w:r>
            <w:r>
              <w:tab/>
            </w:r>
            <w:r>
              <w:rPr>
                <w:b/>
                <w:i/>
                <w:strike w:val="0"/>
                <w:color w:val="auto"/>
                <w:highlight w:val="none"/>
                <w:u w:val="none" w:color="auto"/>
                <w:vertAlign w:val="baseline"/>
              </w:rPr>
              <w:t>understreger vigtigheden af at have adgang til pålidelige data, der bygger på et stærkt statistisk grundlag, og af borgerdeltagelse som et redskab til at sikre, at ingen lades i stikken; mener, at dette er afgørende for at fastslå forskelle mellem lande og regioner, udforme politikker og vurdere fremskridtene med globale ligestillingsinitiativer;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f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11f.</w:t>
            </w:r>
            <w:r>
              <w:tab/>
            </w:r>
            <w:r>
              <w:rPr>
                <w:b/>
                <w:i/>
                <w:strike w:val="0"/>
                <w:color w:val="auto"/>
                <w:highlight w:val="none"/>
                <w:u w:val="none" w:color="auto"/>
                <w:vertAlign w:val="baseline"/>
              </w:rPr>
              <w:t>opfordrer til større tilskyndelse af enhver kvindes ret til at skabe balance mellem sit arbejdsliv og privatliv ved at fremme fælles ansvar og arbejdsvilkår, der gør det lettere at forene privatliv, familieliv og arbejdsliv;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g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11g.</w:t>
            </w:r>
            <w:r>
              <w:tab/>
            </w:r>
            <w:r>
              <w:rPr>
                <w:b/>
                <w:i/>
                <w:strike w:val="0"/>
                <w:color w:val="auto"/>
                <w:highlight w:val="none"/>
                <w:u w:val="none" w:color="auto"/>
                <w:vertAlign w:val="baseline"/>
              </w:rPr>
              <w:t>er foruroliget over den fortsatte tilbagerulning af SRSR og angreb på SRSR-forkæmpere i Europa og globalt; opfordrer til en stærk europæisk indsats for at beskytte vores grundlæggende værdier såsom kropslig autonomi og til stærkere politikker til at sikre universel adgang for alle kvinder og piger til seksuelle og reproduktive sundhedsydelser, herunder oplysninger om familieplanlægning, økonomisk overkommelig prævention, gratis, sikker og lovlig abort samt sundhedspleje for mødre;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h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11h.</w:t>
            </w:r>
            <w:r>
              <w:tab/>
            </w:r>
            <w:r>
              <w:rPr>
                <w:b/>
                <w:i/>
                <w:strike w:val="0"/>
                <w:color w:val="auto"/>
                <w:highlight w:val="none"/>
                <w:u w:val="none" w:color="auto"/>
                <w:vertAlign w:val="baseline"/>
              </w:rPr>
              <w:t>opfordrer til stærkere politikker og foranstaltninger til at fremme adgangen til jord, kredit, iværksætteri og uddannelse samt beskæftigelse og sundhed, navnlig for kvinder og piger i sårbare situationer, kvinder med handicap, gravide kvinder og kvinder i landdistrikter og øområder samt regioner i den yderste periferi;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i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11i.</w:t>
            </w:r>
            <w:r>
              <w:tab/>
            </w:r>
            <w:r>
              <w:rPr>
                <w:b/>
                <w:i/>
                <w:strike w:val="0"/>
                <w:color w:val="auto"/>
                <w:highlight w:val="none"/>
                <w:u w:val="none" w:color="auto"/>
                <w:vertAlign w:val="baseline"/>
              </w:rPr>
              <w:t>opfordrer medlemsstaterne til at sikre obligatorisk evidensbaseret omfattende seksual- og samlivsundervisning på primær- og sekundærtrinnet med henblik på at bekæmpe kønsbaseret vold og kønsstereotyper; understreger, at investering i pigers uddannelse giver store afkast for de kommende generationer, hvilket direkte bidrager til gennemførelsen af deres grundlæggende rettigheder og beskyttelse mod alle former for vold, men også bidrager til bedre velfærd for hele samfund; opfordrer i denne forbindelse Kommissionen til at fremlægge EU-retningslinjer for omfattende og evidensbaseret seksualundervisning baseret på WHO's standarder og til at fremme udveksling af god praksis mellem medlemsstaterne på dette område;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j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11j.</w:t>
            </w:r>
            <w:r>
              <w:tab/>
            </w:r>
            <w:r>
              <w:rPr>
                <w:b/>
                <w:i/>
                <w:strike w:val="0"/>
                <w:color w:val="auto"/>
                <w:highlight w:val="none"/>
                <w:u w:val="none" w:color="auto"/>
                <w:vertAlign w:val="baseline"/>
              </w:rPr>
              <w:t>opfordrer indtrængende Kommissionen til at standse finansieringen af bevægelser i og uden for EU, der bidrager til alle former for undertrykkelse af kvinder, herunder kampagner mod grundlæggende rettigheder, heriblandt kvinders rettigheder og SRSR;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k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11k.</w:t>
            </w:r>
            <w:r>
              <w:tab/>
            </w:r>
            <w:r>
              <w:rPr>
                <w:b/>
                <w:i/>
                <w:strike w:val="0"/>
                <w:color w:val="auto"/>
                <w:highlight w:val="none"/>
                <w:u w:val="none" w:color="auto"/>
                <w:vertAlign w:val="baseline"/>
              </w:rPr>
              <w:t>beklager tilbagegangen inden for LGBTIQ+-rettigheder og den transfobi, der truer ligestillingen mellem kønnene; fordømmer den omstændighed, at blot tre anti-LGBTIQ+-organisationer mellem 2021 og 2022 indberettede en indkomst på 1 mia. USD sammenlignet med 8 000 globale LGBTIQ+-støttemodtagere, der tilsammen modtog 905 mio. USD</w:t>
            </w:r>
            <w:r>
              <w:rPr>
                <w:rStyle w:val="Sup"/>
              </w:rPr>
              <w:t>1a</w:t>
            </w:r>
            <w:r>
              <w:rPr>
                <w:b/>
                <w:i/>
                <w:strike w:val="0"/>
                <w:color w:val="auto"/>
                <w:highlight w:val="none"/>
                <w:u w:val="none" w:color="auto"/>
                <w:vertAlign w:val="baseline"/>
              </w:rPr>
              <w:t>; advarer om, at der er en bekymrende stigning i antikønsfinansiering, der har til formål at modvirke de progressive resultater med hensyn til kvinders rettigheder og LGBTIQ+-rettigheder, der er opnået i de seneste årtier;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ODI policy brief, "Where next for feminist foreign policy on funding feminist movements?",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l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11l.</w:t>
            </w:r>
            <w:r>
              <w:tab/>
            </w:r>
            <w:r>
              <w:rPr>
                <w:b/>
                <w:i/>
                <w:strike w:val="0"/>
                <w:color w:val="auto"/>
                <w:highlight w:val="none"/>
                <w:u w:val="none" w:color="auto"/>
                <w:vertAlign w:val="baseline"/>
              </w:rPr>
              <w:t>opfordrer EU til at forbyde konverteringscentre i medlemsstaterne og gøre alt, hvad der er muligt, for at forhindre denne praksis overalt;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11 m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11m.</w:t>
            </w:r>
            <w:r>
              <w:tab/>
            </w:r>
            <w:r>
              <w:rPr>
                <w:b/>
                <w:i/>
                <w:strike w:val="0"/>
                <w:color w:val="auto"/>
                <w:highlight w:val="none"/>
                <w:u w:val="none" w:color="auto"/>
                <w:vertAlign w:val="baseline"/>
              </w:rPr>
              <w:t>opfordrer EU til at fastsætte et specifikt finansieringsmål til støtte for kvinders rettigheder og LGBTIQ+-organisationer, feministiske bevægelser og menneskerettighedsforkæmpere i Europa og globalt; understreger behovet for at oprette en beskyttelsesmekanisme for menneskerettighedsforkæmpere i EU med særligt fokus på forkæmpere for menneskerettigheder for kvinder, LGBTIQ+-personer og SRSR;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69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12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bemærker, at der i bestræbelserne på at nå bæredygtighedsmålene bør fremhæves politikker, der fremmer innovation, iværksætteri og skabelse af grønne job, hvilket i sidste ende vil være drivkraften bag den bredere opfyldelse af bæredygtighedsmålene og ligestilling mellem kønnene;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efterlyser mere slagkraftige politikker og modige tiltag til fremme af inklusiv og bæredygtig økonomisk udvikling; opfordrer indtrængende EU og dets globale partnere til at gøre brug af redskaber såsom Global Gateway til at skabe anstændige job, der vil reducere indkomstulighed og sikre, at ingen bliver ladt i stikken;</w:t>
            </w:r>
          </w:p>
        </w:tc>
        <w:tc>
          <w:tcPr>
            <w:tcW w:w="4876" w:type="dxa"/>
            <w:vAlign w:val="top"/>
          </w:tcPr>
          <w:p>
            <w:pPr>
              <w:pStyle w:val="Normal6a"/>
            </w:pPr>
            <w:r>
              <w:t>13.</w:t>
            </w:r>
            <w:r>
              <w:tab/>
            </w:r>
            <w:r>
              <w:t>efterlyser mere slagkraftige politikker og modige tiltag til fremme af inklusiv og bæredygtig økonomisk udvikling; opfordrer indtrængende EU og dets globale partnere til at gøre brug af redskaber såsom Global Gateway til at skabe anstændige job, der vil reducere indkomstulighed og sikre, at ingen bliver ladt i stikken;</w:t>
            </w:r>
            <w:r>
              <w:rPr>
                <w:b/>
                <w:i/>
                <w:strike w:val="0"/>
                <w:color w:val="auto"/>
                <w:highlight w:val="none"/>
                <w:u w:val="none" w:color="auto"/>
                <w:vertAlign w:val="baseline"/>
              </w:rPr>
              <w:t xml:space="preserve"> opfordrer til, at der gøres en indsats for at sikre, at der lyttes til de personer, der med større sandsynlighed lades i stikken, og til at bekæmpelsen af fattigdom og usikre arbejdsvilkår prioriteres, med særligt fokus på kvinder, der udsættes for intersektionelle former for diskrimination;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13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13a.</w:t>
            </w:r>
            <w:r>
              <w:tab/>
            </w:r>
            <w:r>
              <w:rPr>
                <w:b/>
                <w:i/>
                <w:strike w:val="0"/>
                <w:color w:val="auto"/>
                <w:highlight w:val="none"/>
                <w:u w:val="none" w:color="auto"/>
                <w:vertAlign w:val="baseline"/>
              </w:rPr>
              <w:t>understreger, at størstedelen af det ulønnede omsorgsarbejde stadig kun er en byrde for kvinder, og at dette har negative konsekvenser for kønsskævheden på arbejdsmarkedet, den økonomiske uafhængighed og den samfundsmæssige trivsel; opfordrer EU til at udvikle specifikke foranstaltninger til anerkendelse af omsorgsarbejde og tilvejebringelse af passende offentlige velfærdstjenester til støtte herfor;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 xml:space="preserve">udtrykker bekymring over, at den økonomiske vækst i mange udviklingslande fortsat er langsommelig og ujævn og ofte hæmmes af strukturelle svagheder, økonomisk ulighed, politisk ustabilitet </w:t>
            </w:r>
            <w:r>
              <w:rPr>
                <w:b/>
                <w:i/>
                <w:strike w:val="0"/>
                <w:color w:val="auto"/>
                <w:highlight w:val="none"/>
                <w:u w:val="none" w:color="auto"/>
                <w:vertAlign w:val="baseline"/>
              </w:rPr>
              <w:t>og</w:t>
            </w:r>
            <w:r>
              <w:t xml:space="preserve"> udefrakommende chok;</w:t>
            </w:r>
          </w:p>
        </w:tc>
        <w:tc>
          <w:tcPr>
            <w:tcW w:w="4876" w:type="dxa"/>
            <w:vAlign w:val="top"/>
          </w:tcPr>
          <w:p>
            <w:pPr>
              <w:pStyle w:val="Normal6a"/>
            </w:pPr>
            <w:r>
              <w:t>14.</w:t>
            </w:r>
            <w:r>
              <w:tab/>
            </w:r>
            <w:r>
              <w:t>udtrykker bekymring over, at den økonomiske vækst i mange udviklingslande fortsat er langsommelig og ujævn og ofte hæmmes af strukturelle svagheder, økonomisk ulighed</w:t>
            </w:r>
            <w:r>
              <w:rPr>
                <w:b/>
                <w:i/>
                <w:strike w:val="0"/>
                <w:color w:val="auto"/>
                <w:highlight w:val="none"/>
                <w:u w:val="none" w:color="auto"/>
                <w:vertAlign w:val="baseline"/>
              </w:rPr>
              <w:t>, social ulighed og uligheder mellem kønnene</w:t>
            </w:r>
            <w:r>
              <w:t>, politisk ustabilitet</w:t>
            </w:r>
            <w:r>
              <w:rPr>
                <w:b/>
                <w:i/>
                <w:strike w:val="0"/>
                <w:color w:val="auto"/>
                <w:highlight w:val="none"/>
                <w:u w:val="none" w:color="auto"/>
                <w:vertAlign w:val="baseline"/>
              </w:rPr>
              <w:t>,</w:t>
            </w:r>
            <w:r>
              <w:t xml:space="preserve"> udefrakommende chok</w:t>
            </w:r>
            <w:r>
              <w:rPr>
                <w:b/>
                <w:i/>
                <w:strike w:val="0"/>
                <w:color w:val="auto"/>
                <w:highlight w:val="none"/>
                <w:u w:val="none" w:color="auto"/>
                <w:vertAlign w:val="baseline"/>
              </w:rPr>
              <w:t xml:space="preserve"> og udenlandsk indblanding</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14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14a.</w:t>
            </w:r>
            <w:r>
              <w:tab/>
            </w:r>
            <w:r>
              <w:rPr>
                <w:b/>
                <w:i/>
                <w:strike w:val="0"/>
                <w:color w:val="auto"/>
                <w:highlight w:val="none"/>
                <w:u w:val="none" w:color="auto"/>
                <w:vertAlign w:val="baseline"/>
              </w:rPr>
              <w:t>udtrykker bekymring over, at ulighederne mellem kønnene i EU fortsat stiger i forhold til arbejdsmarkedet; minder om behovet for at opretholde og styrke integration af kønsaspektet og budgettering i EU's samhørighedspolitik for at afhjælpe den kønsbestemte forskel i beskæftigelsesfrekvensen;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anbefaler større offentlige og private investeringer i forskning, uddannelse og kompetenceudvikling;</w:t>
            </w:r>
          </w:p>
        </w:tc>
        <w:tc>
          <w:tcPr>
            <w:tcW w:w="4876" w:type="dxa"/>
            <w:vAlign w:val="top"/>
          </w:tcPr>
          <w:p>
            <w:pPr>
              <w:pStyle w:val="Normal6a"/>
            </w:pPr>
            <w:r>
              <w:t>15.</w:t>
            </w:r>
            <w:r>
              <w:tab/>
            </w:r>
            <w:r>
              <w:t>anbefaler større offentlige og private investeringer i forskning, uddannelse og kompetenceudvikling;</w:t>
            </w:r>
            <w:r>
              <w:rPr>
                <w:b/>
                <w:i/>
                <w:strike w:val="0"/>
                <w:color w:val="auto"/>
                <w:highlight w:val="none"/>
                <w:u w:val="none" w:color="auto"/>
                <w:vertAlign w:val="baseline"/>
              </w:rPr>
              <w:t xml:space="preserve"> opfordrer EU til at fremme uddannelse og kvalitetsbeskæftigelse med henblik på en retfærdig omstilling med særligt henblik på grupper, der systematisk udstødes og er ugunstigt stillet, herunder kvinder og LGBTIQ+-samfundet;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understreger, at initiativer med sigte på at stimulere økonomisk vækst ikke må iværksættes på bekostning af social retfærdighed, arbejdstagerrettigheder eller miljøbeskyttelse;</w:t>
            </w:r>
          </w:p>
        </w:tc>
        <w:tc>
          <w:tcPr>
            <w:tcW w:w="4876" w:type="dxa"/>
            <w:vAlign w:val="top"/>
          </w:tcPr>
          <w:p>
            <w:pPr>
              <w:pStyle w:val="Normal6a"/>
            </w:pPr>
            <w:r>
              <w:t>16.</w:t>
            </w:r>
            <w:r>
              <w:tab/>
            </w:r>
            <w:r>
              <w:t xml:space="preserve">understreger, at initiativer med sigte på at stimulere økonomisk vækst ikke må iværksættes på bekostning af social retfærdighed, </w:t>
            </w:r>
            <w:r>
              <w:rPr>
                <w:b/>
                <w:i/>
                <w:strike w:val="0"/>
                <w:color w:val="auto"/>
                <w:highlight w:val="none"/>
                <w:u w:val="none" w:color="auto"/>
                <w:vertAlign w:val="baseline"/>
              </w:rPr>
              <w:t>ligestilling mellem kønnene,</w:t>
            </w:r>
            <w:r>
              <w:t xml:space="preserve"> arbejdstagerrettigheder eller miljøbeskyttelse</w:t>
            </w:r>
            <w:r>
              <w:rPr>
                <w:b/>
                <w:i/>
                <w:strike w:val="0"/>
                <w:color w:val="auto"/>
                <w:highlight w:val="none"/>
                <w:u w:val="none" w:color="auto"/>
                <w:vertAlign w:val="baseline"/>
              </w:rPr>
              <w:t>, navnlig eftersom kvinder og personer fra minoritetsgrupper er i størst risiko for at blive de første, der lider under uligheder som følge af økonomisk vækst</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16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16a.</w:t>
            </w:r>
            <w:r>
              <w:tab/>
            </w:r>
            <w:r>
              <w:rPr>
                <w:b/>
                <w:i/>
                <w:strike w:val="0"/>
                <w:color w:val="auto"/>
                <w:highlight w:val="none"/>
                <w:u w:val="none" w:color="auto"/>
                <w:vertAlign w:val="baseline"/>
              </w:rPr>
              <w:t>understreger, at der fortsat er forskelle i den globale arbejdsløshed for kvinder og unge, og at unge kvinder globalt er mere end dobbelt så tilbøjelige som unge mænd til hverken at være i beskæftigelse eller under uddannelse; anerkender, at fremme af ligestilling mellem kønnene inden for uddannelse, arbejdsmarkedet og politikker til opnåelse af balance mellem arbejdsliv og privatliv kan øge velstanden og forbedre den økonomiske konkurrenceevne, samtidig med at underudnyttelse af aktiver og talent undgås;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16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16b.</w:t>
            </w:r>
            <w:r>
              <w:tab/>
            </w:r>
            <w:r>
              <w:rPr>
                <w:b/>
                <w:i/>
                <w:strike w:val="0"/>
                <w:color w:val="auto"/>
                <w:highlight w:val="none"/>
                <w:u w:val="none" w:color="auto"/>
                <w:vertAlign w:val="baseline"/>
              </w:rPr>
              <w:t>minder om, at det er afgørende at skabe incitamenter for virksomheder til at tilpasse deres aktiviteter til bæredygtighedsmålene, samtidig med at det sikres, at markedet forbliver konkurrencedygtigt og i stand til at fremme innovation inden for bæredygtig udvikling for kvinder og piger;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17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17a.</w:t>
            </w:r>
            <w:r>
              <w:tab/>
            </w:r>
            <w:r>
              <w:rPr>
                <w:b/>
                <w:i/>
                <w:strike w:val="0"/>
                <w:color w:val="auto"/>
                <w:highlight w:val="none"/>
                <w:u w:val="none" w:color="auto"/>
                <w:vertAlign w:val="baseline"/>
              </w:rPr>
              <w:t>understreger den skæve indvirkning af miljøforringelse, navnlig plastforurening, på kvinder og piger; opfordrer til at øge ressourcerne til forskning i virkningerne af (mikro-)plastforurening på det kvindelige hormonsystem og den potentielle indvirkning på fertiliteten;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79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mener, at der er akut behov for bindende globale foranstaltninger for at afhjælpe mangler, intensivere indsatsen og sikre havenes bæredygtighed på længere sigt, bl.a. ved at benytte bæredygtige fangstmetoder, bekæmpe ulovligt, udokumenteret og ureguleret fiskeri, skærpe indsatsen for havmiljøbeskyttelse </w:t>
            </w:r>
            <w:r>
              <w:rPr>
                <w:b/>
                <w:i/>
                <w:strike w:val="0"/>
                <w:color w:val="auto"/>
                <w:highlight w:val="none"/>
                <w:u w:val="none" w:color="auto"/>
                <w:vertAlign w:val="baseline"/>
              </w:rPr>
              <w:t>og</w:t>
            </w:r>
            <w:r>
              <w:t xml:space="preserve"> vedtage en verdensomfattende traktat om plastforurening;</w:t>
            </w:r>
          </w:p>
        </w:tc>
        <w:tc>
          <w:tcPr>
            <w:tcW w:w="4876" w:type="dxa"/>
            <w:vAlign w:val="top"/>
          </w:tcPr>
          <w:p>
            <w:pPr>
              <w:pStyle w:val="Normal6a"/>
            </w:pPr>
            <w:r>
              <w:t>19.</w:t>
            </w:r>
            <w:r>
              <w:tab/>
            </w:r>
            <w:r>
              <w:t xml:space="preserve">mener, at der er akut behov for bindende globale foranstaltninger for at afhjælpe mangler, intensivere indsatsen og sikre havenes bæredygtighed på længere sigt, bl.a. ved at benytte bæredygtige fangstmetoder, bekæmpe ulovligt, udokumenteret og ureguleret fiskeri, skærpe indsatsen for havmiljøbeskyttelse </w:t>
            </w:r>
            <w:r>
              <w:rPr>
                <w:b/>
                <w:i/>
                <w:strike w:val="0"/>
                <w:color w:val="auto"/>
                <w:highlight w:val="none"/>
                <w:u w:val="none" w:color="auto"/>
                <w:vertAlign w:val="baseline"/>
              </w:rPr>
              <w:t>gennem den effektive beskyttelse af beskyttede havområder,</w:t>
            </w:r>
            <w:r>
              <w:t xml:space="preserve"> vedtage en verdensomfattende traktat om plastforurening </w:t>
            </w:r>
            <w:r>
              <w:rPr>
                <w:b/>
                <w:i/>
                <w:strike w:val="0"/>
                <w:color w:val="auto"/>
                <w:highlight w:val="none"/>
                <w:u w:val="none" w:color="auto"/>
                <w:vertAlign w:val="baseline"/>
              </w:rPr>
              <w:t>og beskytte småfiskeres rettigheder og adgang til fiskeressourcer og -markeder, idet det sikres, at kvinder og mænd inden for småfiskeri deltager ligeligt og effektivt i de beslutninger, der berører dem</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80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19 a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19a.</w:t>
            </w:r>
            <w:r>
              <w:tab/>
            </w:r>
            <w:r>
              <w:rPr>
                <w:b/>
                <w:i/>
                <w:strike w:val="0"/>
                <w:color w:val="auto"/>
                <w:highlight w:val="none"/>
                <w:u w:val="none" w:color="auto"/>
                <w:vertAlign w:val="baseline"/>
              </w:rPr>
              <w:t>understreger behovet for mere specifikt at anerkende kvinders arbejde og bidrag i værdikæden for småfiskeri og forbedre deres arbejdsvilkår;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81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19 b (nyt)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19b.</w:t>
            </w:r>
            <w:r>
              <w:tab/>
            </w:r>
            <w:r>
              <w:rPr>
                <w:b/>
                <w:i/>
                <w:strike w:val="0"/>
                <w:color w:val="auto"/>
                <w:highlight w:val="none"/>
                <w:u w:val="none" w:color="auto"/>
                <w:vertAlign w:val="baseline"/>
              </w:rPr>
              <w:t>understreger behovet for at øge ligestillingen mellem kønnene inden for havforvaltning, økonomiske aktiviteter (såsom turisme, søtransport og fiskeri) og inden for havforskning</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UNESCO, "Gender Equality for Ocean Sustainability", https://www.unesco.org/en/articles/gender-equality-ocean-sustainability.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82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opfordrer EU til også fremover at promovere multilateralisme og udvise globalt lederskab med henblik på at fremme gennemførelsen af bæredygtighedsmålene og 2030-dagsordenen; understreger, at et markant fornyet engagement i bæredygtighedsmålene vil sende et tydeligt signal til vores partnere verden over og vil hjælpe EU's indsats på verdensplan;</w:t>
            </w:r>
          </w:p>
        </w:tc>
        <w:tc>
          <w:tcPr>
            <w:tcW w:w="4876" w:type="dxa"/>
            <w:vAlign w:val="top"/>
          </w:tcPr>
          <w:p>
            <w:pPr>
              <w:pStyle w:val="Normal6a"/>
            </w:pPr>
            <w:r>
              <w:t>20.</w:t>
            </w:r>
            <w:r>
              <w:tab/>
            </w:r>
            <w:r>
              <w:t>opfordrer EU til også fremover at promovere multilateralisme og udvise globalt lederskab med henblik på at fremme gennemførelsen af bæredygtighedsmålene og 2030-dagsordenen; understreger, at et markant fornyet engagement i bæredygtighedsmålene vil sende et tydeligt signal til vores partnere verden over og vil hjælpe EU's indsats på verdensplan;</w:t>
            </w:r>
            <w:r>
              <w:rPr>
                <w:b/>
                <w:i/>
                <w:strike w:val="0"/>
                <w:color w:val="auto"/>
                <w:highlight w:val="none"/>
                <w:u w:val="none" w:color="auto"/>
                <w:vertAlign w:val="baseline"/>
              </w:rPr>
              <w:t xml:space="preserve"> understreger, at en udtrykkelig genforpligtelse skal ledsages af konkrete foranstaltninger fra EU's side, og at det skal sikres, at ligestilling mellem kønnene er en integreret del af de politiske dialoger med partnerlande på bilateralt og multilateralt plan;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83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anfører på ny, at officiel udviklingsbistand fortsat udgør en yderst vigtig kilde til offentlig finansiering; opfordrer derfor samtlige EU's medlemsstater og dets partnere verden over til at sikre, at der bliver afsat tilstrækkelige midler til at opfylde forpligtelsen til at bruge 0,7 % af deres bruttonationalindkomst til officiel udviklingsbistand;</w:t>
            </w:r>
          </w:p>
        </w:tc>
        <w:tc>
          <w:tcPr>
            <w:tcW w:w="4876" w:type="dxa"/>
            <w:vAlign w:val="top"/>
          </w:tcPr>
          <w:p>
            <w:pPr>
              <w:pStyle w:val="Normal6a"/>
            </w:pPr>
            <w:r>
              <w:t>21.</w:t>
            </w:r>
            <w:r>
              <w:tab/>
            </w:r>
            <w:r>
              <w:t xml:space="preserve">anfører på ny, at </w:t>
            </w:r>
            <w:r>
              <w:rPr>
                <w:b/>
                <w:i/>
                <w:strike w:val="0"/>
                <w:color w:val="auto"/>
                <w:highlight w:val="none"/>
                <w:u w:val="none" w:color="auto"/>
                <w:vertAlign w:val="baseline"/>
              </w:rPr>
              <w:t>bæredygtighedsmålene kun vil blive nået, hvis de finansieres på en tilstrækkelig og bæredygtig måde, og at</w:t>
            </w:r>
            <w:r>
              <w:t xml:space="preserve"> officiel udviklingsbistand (ODA) fortsat udgør en yderst vigtig kilde til offentlig finansiering; opfordrer derfor samtlige EU's medlemsstater og dets partnere verden over til at sikre, at der bliver afsat tilstrækkelige midler til at opfylde forpligtelsen til at bruge 0,7 % af deres bruttonationalindkomst til officiel udviklingsbistand</w:t>
            </w:r>
            <w:r>
              <w:rPr>
                <w:b/>
                <w:i/>
                <w:strike w:val="0"/>
                <w:color w:val="auto"/>
                <w:highlight w:val="none"/>
                <w:u w:val="none" w:color="auto"/>
                <w:vertAlign w:val="baseline"/>
              </w:rPr>
              <w:t>, mens kun 4 ud af 21 EU-medlemsstater, der er medlemmer af Komitéen for Udviklingsbistand (DAC), overholder denne internationale forpligtelse</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84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fremhæver den afgørende betydning af partnerskaber bestående af flere interessenter og af at inddrage lokale myndigheder, civilsamfundet og ungdomsrepræsentanter;</w:t>
            </w:r>
          </w:p>
        </w:tc>
        <w:tc>
          <w:tcPr>
            <w:tcW w:w="4876" w:type="dxa"/>
            <w:vAlign w:val="top"/>
          </w:tcPr>
          <w:p>
            <w:pPr>
              <w:pStyle w:val="Normal6a"/>
            </w:pPr>
            <w:r>
              <w:t>22.</w:t>
            </w:r>
            <w:r>
              <w:tab/>
            </w:r>
            <w:r>
              <w:t>fremhæver den afgørende betydning af partnerskaber bestående af flere interessenter og af at inddrage lokale myndigheder, civilsamfundet og ungdomsrepræsentanter;</w:t>
            </w:r>
            <w:r>
              <w:rPr>
                <w:b/>
                <w:i/>
                <w:strike w:val="0"/>
                <w:color w:val="auto"/>
                <w:highlight w:val="none"/>
                <w:u w:val="none" w:color="auto"/>
                <w:vertAlign w:val="baseline"/>
              </w:rPr>
              <w:t xml:space="preserve"> gentager, at civilsamfundsorganisationer er centrale aktører i dynamiske demokratier, og fremhæver, at bæredygtighedsmålene, navnlig bæredygtighedsmål nr. 5, ikke kan nås uden partnerskab mellem civilsamfundsorganisationer, herunder græsrodskvindeorganisationer og LGBTIQ+-græsrodsorganisationer; beklager i denne forbindelse de stigende uberettigede angreb på civilsamfundsorganisationer og lukningen af civilsamfundsmæssige råderum, både i Europa og på verdensplan; understreger i denne forbindelse behovet for at sikre regelmæssig, tilstrækkelig og bæredygtig finansiering til civilsamfundsorganisationer og for at opretholde en åben, gennemsigtig og struktureret dialog med civilsamfundsorganisationer;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85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opfordrer til at eftergive eller omlægge udviklingslandenes gæld og til at reformere de globale finansielle institutioner, deriblandt multilaterale udviklingsbanker, for derigennem at sætte disse lande bedre i stand til at nå bæredygtighedsmålene;</w:t>
            </w:r>
          </w:p>
        </w:tc>
        <w:tc>
          <w:tcPr>
            <w:tcW w:w="4876" w:type="dxa"/>
            <w:vAlign w:val="top"/>
          </w:tcPr>
          <w:p>
            <w:pPr>
              <w:pStyle w:val="Normal6a"/>
            </w:pPr>
            <w:r>
              <w:t>23.</w:t>
            </w:r>
            <w:r>
              <w:tab/>
            </w:r>
            <w:r>
              <w:t xml:space="preserve">opfordrer til at eftergive eller omlægge udviklingslandenes gæld og til at reformere de globale finansielle institutioner, deriblandt multilaterale udviklingsbanker, for derigennem at sætte disse lande bedre i stand til at nå bæredygtighedsmålene </w:t>
            </w:r>
            <w:r>
              <w:rPr>
                <w:b/>
                <w:i/>
                <w:strike w:val="0"/>
                <w:color w:val="auto"/>
                <w:highlight w:val="none"/>
                <w:u w:val="none" w:color="auto"/>
                <w:vertAlign w:val="baseline"/>
              </w:rPr>
              <w:t>og mindske den økonomiske og sociale ulighed og ulighederne mellem kønnene</w:t>
            </w:r>
            <w:r>
              <w:t>;</w:t>
            </w:r>
            <w:r>
              <w:rPr>
                <w:b/>
                <w:i/>
                <w:strike w:val="0"/>
                <w:color w:val="auto"/>
                <w:highlight w:val="none"/>
                <w:u w:val="none" w:color="auto"/>
                <w:vertAlign w:val="baseline"/>
              </w:rPr>
              <w:t xml:space="preserve"> opfordrer til, at der medtages et stærkere kønsperspektiv i slutdokumentet fra den fjerde internationale konference om udviklingsfinansiering;</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Ændringsforslag</w:t>
      </w:r>
      <w:r>
        <w:tab/>
      </w:r>
      <w:r>
        <w:tab/>
      </w:r>
      <w:r>
        <w:rPr>
          <w:rStyle w:val="HideTWBExt"/>
        </w:rPr>
        <w:t>&lt;</w:t>
      </w:r>
      <w:r>
        <w:rPr>
          <w:rStyle w:val="HideTWBExt"/>
        </w:rPr>
        <w:t>NumAm</w:t>
      </w:r>
      <w:r>
        <w:rPr>
          <w:rStyle w:val="HideTWBExt"/>
        </w:rPr>
        <w:t>&gt;</w:t>
      </w:r>
      <w:r>
        <w:t>86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Forslag til beslutning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Punkt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Forslag til beslutning</w:t>
            </w:r>
          </w:p>
        </w:tc>
        <w:tc>
          <w:tcPr>
            <w:tcW w:w="4876" w:type="dxa"/>
            <w:vAlign w:val="top"/>
          </w:tcPr>
          <w:p>
            <w:pPr>
              <w:pStyle w:val="AmColumnHeading"/>
            </w:pPr>
            <w:r>
              <w:t>Ændringsforslag</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gentager, at bæredygtighedsmålene er den eneste globalt vedtagne og brede ramme med målsætninger vedrørende de alvorlige udfordringer, som såvel udviklede lande som udviklingslande står over for, og udgør det bedste redskab til at tackle deres grundlæggende årsager;</w:t>
            </w:r>
          </w:p>
        </w:tc>
        <w:tc>
          <w:tcPr>
            <w:tcW w:w="4876" w:type="dxa"/>
            <w:vAlign w:val="top"/>
          </w:tcPr>
          <w:p>
            <w:pPr>
              <w:pStyle w:val="Normal6a"/>
            </w:pPr>
            <w:r>
              <w:t>26.</w:t>
            </w:r>
            <w:r>
              <w:tab/>
            </w:r>
            <w:r>
              <w:t>gentager, at bæredygtighedsmålene er den eneste globalt vedtagne og brede ramme med målsætninger vedrørende de alvorlige udfordringer, som såvel udviklede lande som udviklingslande står over for, og udgør det bedste redskab til at tackle deres grundlæggende årsager;</w:t>
            </w:r>
            <w:r>
              <w:rPr>
                <w:b/>
                <w:i/>
                <w:strike w:val="0"/>
                <w:color w:val="auto"/>
                <w:highlight w:val="none"/>
                <w:u w:val="none" w:color="auto"/>
                <w:vertAlign w:val="baseline"/>
              </w:rPr>
              <w:t xml:space="preserve"> opfordrer indtrængende Kommissionen og medlemsstaterne til at arbejde hen imod en fuldstændig gennemførelse af bæredygtighedsmålene både i og uden for EU som en universel ramme;</w:t>
            </w:r>
          </w:p>
        </w:tc>
      </w:tr>
    </w:tbl>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type w:val="nextPage"/>
          <w:pgSz w:w="11906" w:h="16838"/>
          <w:pgMar w:top="1134" w:right="1417" w:bottom="1417" w:left="1417" w:header="1134" w:footer="567" w:gutter="0"/>
          <w:cols w:num="1" w:space="708"/>
          <w:titlePg w:val="0"/>
          <w:docGrid w:linePitch="360"/>
        </w:sectPr>
      </w:pPr>
    </w:p>
    <w:p>
      <w:pPr>
        <w:pStyle w:val="PageHeadingNotTOC"/>
      </w:pPr>
      <w:r>
        <w:t>BILAG: ENHEDER ELLER PERSONER, SOM ORDFØREREN FOR UDTALELSEN HAR MODTAGET INPUT FRA</w:t>
      </w:r>
    </w:p>
    <w:p>
      <w:pPr>
        <w:pStyle w:val="Normal12a"/>
      </w:pPr>
    </w:p>
    <w:p>
      <w:pPr>
        <w:pStyle w:val="Normal12a"/>
      </w:pPr>
      <w:r>
        <w:t>Ordføreren erklærer på eget ansvar ikke at have modtaget input fra nogen enhed eller person, der skal nævnes i dette bilag i henhold til artikel 8 i bilag I til forretningsordenen.</w:t>
      </w:r>
    </w:p>
    <w:p>
      <w:pPr>
        <w:pStyle w:val="Normal12a"/>
        <w:sectPr>
          <w:type w:val="nextPage"/>
          <w:pgSz w:w="11906" w:h="16838"/>
          <w:pgMar w:top="1134" w:right="1417" w:bottom="1417" w:left="1417" w:header="1134" w:footer="567" w:gutter="0"/>
          <w:cols w:num="1" w:space="708"/>
          <w:titlePg w:val="0"/>
          <w:docGrid w:linePitch="360"/>
        </w:sectPr>
      </w:pPr>
    </w:p>
    <w:p>
      <w:pPr>
        <w:pStyle w:val="PageHeading"/>
      </w:pPr>
      <w:r>
        <w:t>OPLYSNINGER OM VEDTAGELSE I RÅDGIVENDE UDVALG</w:t>
      </w:r>
    </w:p>
    <w:tbl>
      <w:tblPr>
        <w:jc w:val="left"/>
        <w:tblLayout w:type="fixed"/>
        <w:tblCellMar>
          <w:top w:w="54" w:type="dxa"/>
          <w:left w:w="108" w:type="dxa"/>
          <w:bottom w:w="54" w:type="dxa"/>
          <w:right w:w="108" w:type="dxa"/>
        </w:tblCellMar>
      </w:tblPr>
      <w:tblGrid>
        <w:gridCol w:w="3600"/>
        <w:gridCol w:w="6400"/>
      </w:tblGrid>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Dato for vedtagelse</w:t>
            </w:r>
          </w:p>
        </w:tc>
        <w:tc>
          <w:tcPr>
            <w:tcW w:w="6400" w:type="dxa"/>
            <w:tcBorders>
              <w:top w:val="single" w:sz="8" w:space="0" w:color="000000"/>
              <w:bottom w:val="single" w:sz="8" w:space="0" w:color="000000"/>
              <w:right w:val="single" w:sz="8" w:space="0" w:color="000000"/>
            </w:tcBorders>
            <w:vAlign w:val="top"/>
          </w:tcPr>
          <w:p>
            <w:pPr>
              <w:pStyle w:val="ProcedureTable"/>
            </w:pPr>
            <w:r>
              <w:t>20.5.2025</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Resultat af den endelige afstemning</w:t>
            </w:r>
          </w:p>
        </w:tc>
        <w:tc>
          <w:tcPr>
            <w:tcW w:w="6400" w:type="dxa"/>
            <w:tcBorders>
              <w:top w:val="single" w:sz="8" w:space="0" w:color="000000"/>
              <w:bottom w:val="single" w:sz="8" w:space="0" w:color="000000"/>
              <w:right w:val="single" w:sz="8" w:space="0" w:color="000000"/>
            </w:tcBorders>
            <w:vAlign w:val="top"/>
          </w:tcPr>
          <w:p>
            <w:pPr>
              <w:pStyle w:val="ProcedureTable"/>
            </w:pPr>
            <w:r>
              <w:t>+</w:t>
            </w:r>
            <w:r>
              <w:tab/>
            </w:r>
            <w:r>
              <w:t>:</w:t>
            </w:r>
            <w:r>
              <w:tab/>
            </w:r>
            <w:r>
              <w:t>17</w:t>
            </w:r>
          </w:p>
          <w:p>
            <w:pPr>
              <w:pStyle w:val="ProcedureTable"/>
            </w:pPr>
            <w:r>
              <w:t>-</w:t>
            </w:r>
            <w:r>
              <w:tab/>
            </w:r>
            <w:r>
              <w:t>:</w:t>
            </w:r>
            <w:r>
              <w:tab/>
            </w:r>
            <w:r>
              <w:t>11</w:t>
            </w:r>
          </w:p>
          <w:p>
            <w:pPr>
              <w:pStyle w:val="ProcedureTable"/>
            </w:pPr>
            <w:r>
              <w:t>0</w:t>
            </w:r>
            <w:r>
              <w:tab/>
            </w:r>
            <w:r>
              <w:t>:</w:t>
            </w:r>
            <w:r>
              <w:tab/>
            </w:r>
            <w:r>
              <w:t>8</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Til stede ved den endelige afstemning - medlemmer</w:t>
            </w:r>
          </w:p>
        </w:tc>
        <w:tc>
          <w:tcPr>
            <w:tcW w:w="6400" w:type="dxa"/>
            <w:tcBorders>
              <w:top w:val="single" w:sz="8" w:space="0" w:color="000000"/>
              <w:bottom w:val="single" w:sz="8" w:space="0" w:color="000000"/>
              <w:right w:val="single" w:sz="8" w:space="0" w:color="000000"/>
            </w:tcBorders>
            <w:vAlign w:val="top"/>
          </w:tcPr>
          <w:p>
            <w:pPr>
              <w:pStyle w:val="ProcedureTable"/>
            </w:pPr>
            <w:r>
              <w:t>Mathilde Androuët, Mireia Borrás Pabón, Irmhild Boßdorf, Mélissa Camara, Margarita de la Pisa Carrión, Valérie Devaux, Elisabeth Dieringer, Rosa Estaràs Ferragut, Viktória Ferenc, Heléne Fritzon, Lina Gálvez, Chiara Gemma, Gabriella Gerzsenyi, Arba Kokalari, Sebastian Kruis, Judita Laššáková, Eleonora Meleti, Irene Montero, Maria Noichl, Sirpa Pietikäinen, Giusi Princi, Joanna Scheuring-Wielgus, Benedetta Scuderi, Laurence Trochu, Marko Vešligaj, Dainius Žalimas</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Til stede ved den endelige afstemning - stedfortrædere</w:t>
            </w:r>
          </w:p>
        </w:tc>
        <w:tc>
          <w:tcPr>
            <w:tcW w:w="6400" w:type="dxa"/>
            <w:tcBorders>
              <w:top w:val="single" w:sz="8" w:space="0" w:color="000000"/>
              <w:bottom w:val="single" w:sz="8" w:space="0" w:color="000000"/>
              <w:right w:val="single" w:sz="8" w:space="0" w:color="000000"/>
            </w:tcBorders>
            <w:vAlign w:val="top"/>
          </w:tcPr>
          <w:p>
            <w:pPr>
              <w:pStyle w:val="ProcedureTable"/>
            </w:pPr>
            <w:r>
              <w:t>Loucas Fourlas, Kathleen Funchion, Raquel García Hermida-Van Der Walle, Hanna Gedin, Katrin Langensiepen, Jagna Marczułajtis-Walczak, Beatrice Timgren, Jana Toom</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Til stede ved den endelige afstemning – medlemmer som omhandlet i forretningsordenens art. 216, stk. 7</w:t>
            </w:r>
          </w:p>
        </w:tc>
        <w:tc>
          <w:tcPr>
            <w:tcW w:w="6400" w:type="dxa"/>
            <w:tcBorders>
              <w:top w:val="single" w:sz="8" w:space="0" w:color="000000"/>
              <w:bottom w:val="single" w:sz="8" w:space="0" w:color="000000"/>
              <w:right w:val="single" w:sz="8" w:space="0" w:color="000000"/>
            </w:tcBorders>
            <w:vAlign w:val="top"/>
          </w:tcPr>
          <w:p>
            <w:pPr>
              <w:pStyle w:val="ProcedureTable"/>
            </w:pPr>
            <w:r>
              <w:t>Georgios Aftias, Niels Geuking</w:t>
            </w:r>
          </w:p>
        </w:tc>
      </w:tr>
    </w:tbl>
    <w:p>
      <w:pPr>
        <w:pStyle w:val="PageHeading"/>
        <w:sectPr>
          <w:type w:val="nextPage"/>
          <w:pgSz w:w="11906" w:h="16838"/>
          <w:pgMar w:top="1134" w:right="1417" w:bottom="1417" w:left="1417" w:header="1134" w:footer="567" w:gutter="0"/>
          <w:cols w:num="1" w:space="708"/>
          <w:titlePg w:val="0"/>
          <w:docGrid w:linePitch="360"/>
        </w:sectPr>
      </w:pPr>
    </w:p>
    <w:p>
      <w:pPr>
        <w:pStyle w:val="PageHeading"/>
      </w:pPr>
      <w:r>
        <w:t>ENDELIG AFSTEMNING VED NAVNEOPRÅB I RÅDGIVENDE UDVALG</w:t>
      </w:r>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17</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Kokalari Arba, Pietikäinen Sirpa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Renew</w:t>
            </w:r>
          </w:p>
        </w:tc>
        <w:tc>
          <w:tcPr>
            <w:tcW w:w="7600" w:type="dxa"/>
            <w:vAlign w:val="top"/>
          </w:tcPr>
          <w:p>
            <w:pPr>
              <w:pStyle w:val="ProcedureTable"/>
            </w:pPr>
            <w:r>
              <w:t>Devaux Valérie, García Hermida-Van Der Walle Raquel, Toom Jana, Zalimas Dainius</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S&amp;D</w:t>
            </w:r>
          </w:p>
        </w:tc>
        <w:tc>
          <w:tcPr>
            <w:tcW w:w="7600" w:type="dxa"/>
            <w:vAlign w:val="top"/>
          </w:tcPr>
          <w:p>
            <w:pPr>
              <w:pStyle w:val="ProcedureTable"/>
            </w:pPr>
            <w:r>
              <w:t>Fritzon Heléne, Gálvez Lina, Noichl Maria, Scheuring-Wielgus Joanna, Vesligaj Marko</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The Left</w:t>
            </w:r>
          </w:p>
        </w:tc>
        <w:tc>
          <w:tcPr>
            <w:tcW w:w="7600" w:type="dxa"/>
            <w:vAlign w:val="top"/>
          </w:tcPr>
          <w:p>
            <w:pPr>
              <w:pStyle w:val="ProcedureTable"/>
            </w:pPr>
            <w:r>
              <w:t>Funchion Kathleen, Gedin Hanna, Montero Irene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Verts/ALE</w:t>
            </w:r>
          </w:p>
        </w:tc>
        <w:tc>
          <w:tcPr>
            <w:tcW w:w="7600" w:type="dxa"/>
            <w:vAlign w:val="top"/>
          </w:tcPr>
          <w:p>
            <w:pPr>
              <w:pStyle w:val="ProcedureTable"/>
            </w:pPr>
            <w:r>
              <w:t>Camara Mélissa, Langensiepen Katrin, Scuderi Benedetta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11</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ECR</w:t>
            </w:r>
          </w:p>
        </w:tc>
        <w:tc>
          <w:tcPr>
            <w:tcW w:w="7600" w:type="dxa"/>
            <w:vAlign w:val="top"/>
          </w:tcPr>
          <w:p>
            <w:pPr>
              <w:pStyle w:val="ProcedureTable"/>
            </w:pPr>
            <w:r>
              <w:t>Gemma Chiara, Timgren Beatrice, Trochu Laurence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ESN</w:t>
            </w:r>
          </w:p>
        </w:tc>
        <w:tc>
          <w:tcPr>
            <w:tcW w:w="7600" w:type="dxa"/>
            <w:vAlign w:val="top"/>
          </w:tcPr>
          <w:p>
            <w:pPr>
              <w:pStyle w:val="ProcedureTable"/>
            </w:pPr>
            <w:r>
              <w:t>Boßdorf Irmhild</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NI</w:t>
            </w:r>
          </w:p>
        </w:tc>
        <w:tc>
          <w:tcPr>
            <w:tcW w:w="7600" w:type="dxa"/>
            <w:vAlign w:val="top"/>
          </w:tcPr>
          <w:p>
            <w:pPr>
              <w:pStyle w:val="ProcedureTable"/>
            </w:pPr>
            <w:r>
              <w:t>Lassáková Judita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PfE</w:t>
            </w:r>
          </w:p>
        </w:tc>
        <w:tc>
          <w:tcPr>
            <w:tcW w:w="7600" w:type="dxa"/>
            <w:vAlign w:val="top"/>
          </w:tcPr>
          <w:p>
            <w:pPr>
              <w:pStyle w:val="ProcedureTable"/>
            </w:pPr>
            <w:r>
              <w:t>Androuët Mathilde, Borrás Pabón Mireia, Dieringer Elisabeth, Ferenc Viktória, Kruis Sebastian, de la Pisa Carrión Margarita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8</w:t>
            </w:r>
          </w:p>
        </w:tc>
        <w:tc>
          <w:tcPr>
            <w:tcW w:w="7600" w:type="dxa"/>
            <w:shd w:val="clear" w:color="auto" w:fill="C0C0C0"/>
            <w:vAlign w:val="top"/>
          </w:tcPr>
          <w:p>
            <w:pPr>
              <w:pStyle w:val="Arial14CentreBold"/>
            </w:pPr>
            <w:r>
              <w:t>0</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Aftias Georgios, Estaràs Ferragut Rosa, Fourlas Loucas, Gerzsenyi Gabriella, Geuking Niels, Marczulajtis-Walczak Jagna, Meleti Eleonora, Princi Giusi</w:t>
            </w:r>
          </w:p>
        </w:tc>
      </w:tr>
    </w:tbl>
    <w:p/>
    <w:p>
      <w:r>
        <w:t>Tegnforklaring:</w:t>
      </w:r>
    </w:p>
    <w:p>
      <w:pPr>
        <w:pStyle w:val="NormalTab"/>
      </w:pPr>
      <w:r>
        <w:t>+</w:t>
      </w:r>
      <w:r>
        <w:tab/>
        <w:t>:</w:t>
        <w:tab/>
      </w:r>
      <w:r>
        <w:t>for</w:t>
      </w:r>
    </w:p>
    <w:p>
      <w:pPr>
        <w:pStyle w:val="NormalTab"/>
      </w:pPr>
      <w:r>
        <w:t>-</w:t>
      </w:r>
      <w:r>
        <w:tab/>
        <w:t>:</w:t>
        <w:tab/>
      </w:r>
      <w:r>
        <w:t>imod</w:t>
      </w:r>
    </w:p>
    <w:p>
      <w:pPr>
        <w:pStyle w:val="NormalTab"/>
      </w:pPr>
      <w:r>
        <w:t>0</w:t>
      </w:r>
      <w:r>
        <w:tab/>
        <w:t>:</w:t>
        <w:tab/>
      </w:r>
      <w:r>
        <w:t>hverken/eller</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r>
      <w:tab/>
    </w:r>
    <w:r>
      <w:fldChar w:fldCharType="begin"/>
    </w:r>
    <w:r>
      <w:instrText>PAGE</w:instrText>
    </w:r>
    <w:r>
      <w:fldChar w:fldCharType="separate"/>
    </w:r>
    <w:r>
      <w:t>42</w:t>
    </w:r>
    <w:r>
      <w:fldChar w:fldCharType="end"/>
    </w:r>
    <w:r>
      <w:t>/</w:t>
    </w:r>
    <w:r>
      <w:fldChar w:fldCharType="begin"/>
    </w:r>
    <w:r>
      <w:instrText>NUMPAGES</w:instrText>
    </w:r>
    <w:r>
      <w:fldChar w:fldCharType="separate"/>
    </w:r>
    <w:r>
      <w:t>43</w:t>
    </w:r>
    <w:r>
      <w:fldChar w:fldCharType="end"/>
    </w:r>
    <w:r>
      <w:tab/>
    </w:r>
    <w:r>
      <w:rPr>
        <w:rStyle w:val="HideTWBExt"/>
      </w:rPr>
      <w:t>&lt;</w:t>
    </w:r>
    <w:r>
      <w:rPr>
        <w:rStyle w:val="HideTWBExt"/>
      </w:rPr>
      <w:t>PathFdR</w:t>
    </w:r>
    <w:r>
      <w:rPr>
        <w:rStyle w:val="HideTWBExt"/>
      </w:rPr>
      <w:t>&gt;</w:t>
    </w:r>
    <w:r>
      <w:t>AD\1321310DA.docx</w:t>
    </w:r>
    <w:r>
      <w:rPr>
        <w:rStyle w:val="HideTWBExt"/>
      </w:rPr>
      <w:t>&lt;/</w:t>
    </w:r>
    <w:r>
      <w:rPr>
        <w:rStyle w:val="HideTWBExt"/>
      </w:rPr>
      <w:t>PathFdR</w:t>
    </w:r>
    <w:r>
      <w:rPr>
        <w:rStyle w:val="HideTWBExt"/>
      </w:rPr>
      <w:t>&gt;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AD\1321310DA.docx</w:t>
    </w:r>
    <w:r>
      <w:rPr>
        <w:rStyle w:val="HideTWBExt"/>
      </w:rPr>
      <w:t>&lt;/</w:t>
    </w:r>
    <w:r>
      <w:rPr>
        <w:rStyle w:val="HideTWBExt"/>
      </w:rPr>
      <w:t>PathFdR</w:t>
    </w:r>
    <w:r>
      <w:rPr>
        <w:rStyle w:val="HideTWBExt"/>
      </w:rPr>
      <w:t>&gt;</w:t>
    </w:r>
    <w:r>
      <w:tab/>
    </w:r>
    <w:r>
      <w:fldChar w:fldCharType="begin"/>
    </w:r>
    <w:r>
      <w:instrText>PAGE</w:instrText>
    </w:r>
    <w:r>
      <w:fldChar w:fldCharType="separate"/>
    </w:r>
    <w:r>
      <w:t>43</w:t>
    </w:r>
    <w:r>
      <w:fldChar w:fldCharType="end"/>
    </w:r>
    <w:r>
      <w:t>/</w:t>
    </w:r>
    <w:r>
      <w:fldChar w:fldCharType="begin"/>
    </w:r>
    <w:r>
      <w:instrText>NUMPAGES</w:instrText>
    </w:r>
    <w:r>
      <w:fldChar w:fldCharType="separate"/>
    </w:r>
    <w:r>
      <w:t>43</w:t>
    </w:r>
    <w:r>
      <w:fldChar w:fldCharType="end"/>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AD\1321310DA.docx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DA</w:t>
    </w:r>
    <w:r>
      <w:tab/>
    </w:r>
    <w:r>
      <w:rPr>
        <w:rStyle w:val="EPFooter2Motto"/>
      </w:rPr>
      <w:t>Forenet i mangfoldighed</w:t>
    </w:r>
    <w:r>
      <w:tab/>
    </w:r>
    <w:r>
      <w:t>DA</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538D7"/>
    <w:multiLevelType w:val="hybridMultilevel"/>
    <w:tmpl w:val="B4A836B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COMKEY"/>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1321310</vt:lpwstr>
  </property>
  <property fmtid="{D5CDD505-2E9C-101B-9397-08002B2CF9AE}" pid="4" name="&lt;Model&gt;">
    <vt:lpwstr>PA_NonLeg</vt:lpwstr>
  </property>
  <property fmtid="{D5CDD505-2E9C-101B-9397-08002B2CF9AE}" pid="5" name="&lt;Type&gt;">
    <vt:lpwstr>AD</vt:lpwstr>
  </property>
  <property fmtid="{D5CDD505-2E9C-101B-9397-08002B2CF9AE}" pid="6" name="DMXMLUID">
    <vt:lpwstr>20250612-113206-001058-244408</vt:lpwstr>
  </property>
  <property fmtid="{D5CDD505-2E9C-101B-9397-08002B2CF9AE}" pid="7" name="FooterPath">
    <vt:lpwstr>AD\1321310DA.doc</vt:lpwstr>
  </property>
  <property fmtid="{D5CDD505-2E9C-101B-9397-08002B2CF9AE}" pid="8" name="PE Number">
    <vt:lpwstr>770.238</vt:lpwstr>
  </property>
  <property fmtid="{D5CDD505-2E9C-101B-9397-08002B2CF9AE}" pid="9" name="UID">
    <vt:lpwstr>eu.europa.europarl-DIN1-2025-0000107752_01.09-da-01.00_text-xml</vt:lpwstr>
  </property>
</Properties>
</file>