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1.0 -->
  <w:body>
    <w:tbl>
      <w:tblPr>
        <w:jc w:val="left"/>
        <w:tblLayout w:type="fixed"/>
        <w:tblCellMar>
          <w:top w:w="0" w:type="dxa"/>
          <w:left w:w="108" w:type="dxa"/>
          <w:bottom w:w="0" w:type="dxa"/>
          <w:right w:w="108" w:type="dxa"/>
        </w:tblCellMar>
      </w:tblPr>
      <w:tblGrid>
        <w:gridCol w:w="6804"/>
        <w:gridCol w:w="2488"/>
      </w:tblGrid>
      <w:tr>
        <w:tblPrEx>
          <w:jc w:val="left"/>
          <w:tblLayout w:type="fixed"/>
          <w:tblCellMar>
            <w:top w:w="0" w:type="dxa"/>
            <w:left w:w="108" w:type="dxa"/>
            <w:bottom w:w="0" w:type="dxa"/>
            <w:right w:w="108" w:type="dxa"/>
          </w:tblCellMar>
        </w:tblPrEx>
        <w:trPr>
          <w:cantSplit w:val="0"/>
          <w:trHeight w:hRule="exact" w:val="1420"/>
          <w:jc w:val="left"/>
        </w:trPr>
        <w:tc>
          <w:tcPr>
            <w:tcW w:w="6804" w:type="dxa"/>
            <w:vAlign w:val="center"/>
          </w:tcPr>
          <w:p>
            <w:pPr>
              <w:pStyle w:val="EPName"/>
            </w:pPr>
            <w:r w:rsidR="00A77B3E">
              <w:t>Parlamento europeo</w:t>
            </w:r>
          </w:p>
          <w:p>
            <w:pPr>
              <w:pStyle w:val="EPTerm"/>
            </w:pPr>
            <w:r>
              <w:t>2024-2029</w:t>
            </w:r>
          </w:p>
        </w:tc>
        <w:tc>
          <w:tcPr>
            <w:tcW w:w="2488" w:type="dxa"/>
            <w:vAlign w:val="top"/>
          </w:tcPr>
          <w:p>
            <w:pPr>
              <w:pStyle w:val="EPLogo"/>
            </w:pPr>
            <w:r>
              <w:drawing>
                <wp:inline>
                  <wp:extent cx="1162812" cy="647954"/>
                  <wp:docPr id="1000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xmlns:r="http://schemas.openxmlformats.org/officeDocument/2006/relationships" r:embed="rId4"/>
                          <a:stretch>
                            <a:fillRect/>
                          </a:stretch>
                        </pic:blipFill>
                        <pic:spPr>
                          <a:xfrm>
                            <a:off x="0" y="0"/>
                            <a:ext cx="1162812" cy="647954"/>
                          </a:xfrm>
                          <a:prstGeom prst="rect">
                            <a:avLst/>
                          </a:prstGeom>
                        </pic:spPr>
                      </pic:pic>
                    </a:graphicData>
                  </a:graphic>
                </wp:inline>
              </w:drawing>
            </w:r>
          </w:p>
        </w:tc>
      </w:tr>
    </w:tbl>
    <w:p>
      <w:pPr>
        <w:pStyle w:val="LineTop"/>
      </w:pPr>
    </w:p>
    <w:p>
      <w:pPr>
        <w:pStyle w:val="EPBody"/>
      </w:pPr>
      <w:r>
        <w:rPr>
          <w:rStyle w:val="HideTWBExt"/>
        </w:rPr>
        <w:t>&lt;</w:t>
      </w:r>
      <w:r>
        <w:rPr>
          <w:rStyle w:val="HideTWBExt"/>
        </w:rPr>
        <w:t>Commission</w:t>
      </w:r>
      <w:r>
        <w:rPr>
          <w:rStyle w:val="HideTWBExt"/>
        </w:rPr>
        <w:t>&gt;</w:t>
      </w:r>
      <w:r>
        <w:rPr>
          <w:rStyle w:val="HideTWBInt"/>
        </w:rPr>
        <w:t>{</w:t>
      </w:r>
      <w:r>
        <w:rPr>
          <w:rStyle w:val="HideTWBInt"/>
        </w:rPr>
        <w:t>FEMM</w:t>
      </w:r>
      <w:r>
        <w:rPr>
          <w:rStyle w:val="HideTWBInt"/>
        </w:rPr>
        <w:t>}</w:t>
      </w:r>
      <w:r>
        <w:t>Commissione per i diritti delle donne e l'uguaglianza di genere</w:t>
      </w:r>
      <w:r>
        <w:rPr>
          <w:rStyle w:val="HideTWBExt"/>
        </w:rPr>
        <w:t>&lt;/</w:t>
      </w:r>
      <w:r>
        <w:rPr>
          <w:rStyle w:val="HideTWBExt"/>
        </w:rPr>
        <w:t>Commission</w:t>
      </w:r>
      <w:r>
        <w:rPr>
          <w:rStyle w:val="HideTWBExt"/>
        </w:rPr>
        <w:t>&gt;</w:t>
      </w:r>
    </w:p>
    <w:p>
      <w:pPr>
        <w:pStyle w:val="LineBottom"/>
      </w:pPr>
    </w:p>
    <w:p>
      <w:pPr>
        <w:pStyle w:val="CoverReference"/>
      </w:pPr>
      <w:r>
        <w:rPr>
          <w:rStyle w:val="HideTWBExt"/>
        </w:rPr>
        <w:t>&lt;</w:t>
      </w:r>
      <w:r>
        <w:rPr>
          <w:rStyle w:val="HideTWBExt"/>
        </w:rPr>
        <w:t>RefProc</w:t>
      </w:r>
      <w:r>
        <w:rPr>
          <w:rStyle w:val="HideTWBExt"/>
        </w:rPr>
        <w:t>&gt;</w:t>
      </w:r>
      <w:r>
        <w:t>2025/2014</w:t>
      </w:r>
      <w:r>
        <w:rPr>
          <w:rStyle w:val="HideTWBExt"/>
        </w:rPr>
        <w:t>&lt;/</w:t>
      </w:r>
      <w:r>
        <w:rPr>
          <w:rStyle w:val="HideTWBExt"/>
        </w:rPr>
        <w:t>RefProc</w:t>
      </w:r>
      <w:r>
        <w:rPr>
          <w:rStyle w:val="HideTWBExt"/>
        </w:rPr>
        <w:t>&gt;</w:t>
      </w:r>
      <w:r>
        <w:rPr>
          <w:rStyle w:val="HideTWBExt"/>
        </w:rPr>
        <w:t>&lt;</w:t>
      </w:r>
      <w:r>
        <w:rPr>
          <w:rStyle w:val="HideTWBExt"/>
        </w:rPr>
        <w:t>RefTypeProc</w:t>
      </w:r>
      <w:r>
        <w:rPr>
          <w:rStyle w:val="HideTWBExt"/>
        </w:rPr>
        <w:t>&gt;</w:t>
      </w:r>
      <w:r>
        <w:t>(INI)</w:t>
      </w:r>
      <w:r>
        <w:rPr>
          <w:rStyle w:val="HideTWBExt"/>
        </w:rPr>
        <w:t>&lt;/</w:t>
      </w:r>
      <w:r>
        <w:rPr>
          <w:rStyle w:val="HideTWBExt"/>
        </w:rPr>
        <w:t>RefTypeProc</w:t>
      </w:r>
      <w:r>
        <w:rPr>
          <w:rStyle w:val="HideTWBExt"/>
        </w:rPr>
        <w:t>&gt;</w:t>
      </w:r>
    </w:p>
    <w:p>
      <w:pPr>
        <w:pStyle w:val="CoverDate"/>
      </w:pPr>
      <w:r>
        <w:rPr>
          <w:rStyle w:val="HideTWBExt"/>
        </w:rPr>
        <w:t>&lt;</w:t>
      </w:r>
      <w:r>
        <w:rPr>
          <w:rStyle w:val="HideTWBExt"/>
        </w:rPr>
        <w:t>Date</w:t>
      </w:r>
      <w:r>
        <w:rPr>
          <w:rStyle w:val="HideTWBExt"/>
        </w:rPr>
        <w:t>&gt;</w:t>
      </w:r>
      <w:r>
        <w:rPr>
          <w:rStyle w:val="HideTWBInt"/>
        </w:rPr>
        <w:t>{</w:t>
      </w:r>
      <w:r>
        <w:rPr>
          <w:rStyle w:val="HideTWBInt"/>
        </w:rPr>
        <w:t>26/05/2025</w:t>
      </w:r>
      <w:r>
        <w:rPr>
          <w:rStyle w:val="HideTWBInt"/>
        </w:rPr>
        <w:t>}</w:t>
      </w:r>
      <w:r>
        <w:t>26.05.2025</w:t>
      </w:r>
      <w:r>
        <w:rPr>
          <w:rStyle w:val="HideTWBExt"/>
        </w:rPr>
        <w:t>&lt;/</w:t>
      </w:r>
      <w:r>
        <w:rPr>
          <w:rStyle w:val="HideTWBExt"/>
        </w:rPr>
        <w:t>Date</w:t>
      </w:r>
      <w:r>
        <w:rPr>
          <w:rStyle w:val="HideTWBExt"/>
        </w:rPr>
        <w:t>&gt;</w:t>
      </w:r>
    </w:p>
    <w:p>
      <w:pPr>
        <w:pStyle w:val="CoverDocType24a"/>
      </w:pPr>
      <w:r>
        <w:rPr>
          <w:rStyle w:val="HideTWBExt"/>
        </w:rPr>
        <w:t>&lt;</w:t>
      </w:r>
      <w:r>
        <w:rPr>
          <w:rStyle w:val="HideTWBExt"/>
        </w:rPr>
        <w:t>TitreType</w:t>
      </w:r>
      <w:r>
        <w:rPr>
          <w:rStyle w:val="HideTWBExt"/>
        </w:rPr>
        <w:t>&gt;</w:t>
      </w:r>
      <w:r>
        <w:t>PARERE</w:t>
      </w:r>
      <w:r>
        <w:rPr>
          <w:rStyle w:val="HideTWBExt"/>
        </w:rPr>
        <w:t>&lt;/</w:t>
      </w:r>
      <w:r>
        <w:rPr>
          <w:rStyle w:val="HideTWBExt"/>
        </w:rPr>
        <w:t>TitreType</w:t>
      </w:r>
      <w:r>
        <w:rPr>
          <w:rStyle w:val="HideTWBExt"/>
        </w:rPr>
        <w:t>&gt;</w:t>
      </w:r>
    </w:p>
    <w:p>
      <w:pPr>
        <w:pStyle w:val="CoverNormal24a"/>
      </w:pPr>
      <w:r>
        <w:rPr>
          <w:rStyle w:val="HideTWBExt"/>
        </w:rPr>
        <w:t>&lt;</w:t>
      </w:r>
      <w:r>
        <w:rPr>
          <w:rStyle w:val="HideTWBExt"/>
        </w:rPr>
        <w:t>CommissionResp</w:t>
      </w:r>
      <w:r>
        <w:rPr>
          <w:rStyle w:val="HideTWBExt"/>
        </w:rPr>
        <w:t>&gt;</w:t>
      </w:r>
      <w:r>
        <w:t>della commissione per i diritti delle donne e l'uguaglianza di genere</w:t>
      </w:r>
      <w:r>
        <w:rPr>
          <w:rStyle w:val="HideTWBExt"/>
        </w:rPr>
        <w:t>&lt;/</w:t>
      </w:r>
      <w:r>
        <w:rPr>
          <w:rStyle w:val="HideTWBExt"/>
        </w:rPr>
        <w:t>CommissionResp</w:t>
      </w:r>
      <w:r>
        <w:rPr>
          <w:rStyle w:val="HideTWBExt"/>
        </w:rPr>
        <w:t>&gt;</w:t>
      </w:r>
    </w:p>
    <w:p>
      <w:pPr>
        <w:pStyle w:val="CoverNormal24a"/>
      </w:pPr>
      <w:r>
        <w:rPr>
          <w:rStyle w:val="HideTWBExt"/>
        </w:rPr>
        <w:t>&lt;</w:t>
      </w:r>
      <w:r>
        <w:rPr>
          <w:rStyle w:val="HideTWBExt"/>
        </w:rPr>
        <w:t>CommissionInt</w:t>
      </w:r>
      <w:r>
        <w:rPr>
          <w:rStyle w:val="HideTWBExt"/>
        </w:rPr>
        <w:t>&gt;</w:t>
      </w:r>
      <w:r>
        <w:t>destinato alla commissione per lo sviluppo e la commissione per l'ambiente, il clima e la sicurezza alimentare</w:t>
      </w:r>
      <w:r>
        <w:rPr>
          <w:rStyle w:val="HideTWBExt"/>
        </w:rPr>
        <w:t>&lt;/</w:t>
      </w:r>
      <w:r>
        <w:rPr>
          <w:rStyle w:val="HideTWBExt"/>
        </w:rPr>
        <w:t>CommissionInt</w:t>
      </w:r>
      <w:r>
        <w:rPr>
          <w:rStyle w:val="HideTWBExt"/>
        </w:rPr>
        <w:t>&gt;</w:t>
      </w:r>
    </w:p>
    <w:p>
      <w:pPr>
        <w:pStyle w:val="CoverNormal"/>
      </w:pPr>
      <w:r>
        <w:rPr>
          <w:rStyle w:val="HideTWBExt"/>
        </w:rPr>
        <w:t>&lt;</w:t>
      </w:r>
      <w:r>
        <w:rPr>
          <w:rStyle w:val="HideTWBExt"/>
        </w:rPr>
        <w:t>Titre</w:t>
      </w:r>
      <w:r>
        <w:rPr>
          <w:rStyle w:val="HideTWBExt"/>
        </w:rPr>
        <w:t>&gt;</w:t>
      </w:r>
      <w:r>
        <w:t>sull'attuazione e la realizzazione degli obiettivi di sviluppo sostenibile in vista del Forum politico di alto livello del 2025</w:t>
      </w:r>
      <w:r>
        <w:rPr>
          <w:rStyle w:val="HideTWBExt"/>
        </w:rPr>
        <w:t>&lt;/</w:t>
      </w:r>
      <w:r>
        <w:rPr>
          <w:rStyle w:val="HideTWBExt"/>
        </w:rPr>
        <w:t>Titre</w:t>
      </w:r>
      <w:r>
        <w:rPr>
          <w:rStyle w:val="HideTWBExt"/>
        </w:rPr>
        <w:t>&gt;</w:t>
      </w:r>
    </w:p>
    <w:p>
      <w:pPr>
        <w:pStyle w:val="CoverNormal24a"/>
      </w:pPr>
      <w:r>
        <w:rPr>
          <w:rStyle w:val="HideTWBExt"/>
        </w:rPr>
        <w:t>&lt;</w:t>
      </w:r>
      <w:r>
        <w:rPr>
          <w:rStyle w:val="HideTWBExt"/>
        </w:rPr>
        <w:t>DocRef</w:t>
      </w:r>
      <w:r>
        <w:rPr>
          <w:rStyle w:val="HideTWBExt"/>
        </w:rPr>
        <w:t>&gt;</w:t>
      </w:r>
      <w:r>
        <w:t>(2025/2014(INI))</w:t>
      </w:r>
      <w:r>
        <w:rPr>
          <w:rStyle w:val="HideTWBExt"/>
        </w:rPr>
        <w:t>&lt;/</w:t>
      </w:r>
      <w:r>
        <w:rPr>
          <w:rStyle w:val="HideTWBExt"/>
        </w:rPr>
        <w:t>DocRef</w:t>
      </w:r>
      <w:r>
        <w:rPr>
          <w:rStyle w:val="HideTWBExt"/>
        </w:rPr>
        <w:t>&gt;</w:t>
      </w:r>
    </w:p>
    <w:p>
      <w:pPr>
        <w:pStyle w:val="CoverNormal24a"/>
      </w:pPr>
      <w:r>
        <w:t>Relatrice per parere</w:t>
      </w:r>
      <w:r>
        <w:t xml:space="preserve">: </w:t>
      </w:r>
      <w:r>
        <w:rPr>
          <w:rStyle w:val="HideTWBExt"/>
        </w:rPr>
        <w:t>&lt;</w:t>
      </w:r>
      <w:r>
        <w:rPr>
          <w:rStyle w:val="HideTWBExt"/>
        </w:rPr>
        <w:t>Depute</w:t>
      </w:r>
      <w:r>
        <w:rPr>
          <w:rStyle w:val="HideTWBExt"/>
        </w:rPr>
        <w:t>&gt;</w:t>
      </w:r>
      <w:r>
        <w:t>Lina Gálvez</w:t>
      </w:r>
      <w:r>
        <w:rPr>
          <w:rStyle w:val="HideTWBExt"/>
        </w:rPr>
        <w:t>&lt;/</w:t>
      </w:r>
      <w:r>
        <w:rPr>
          <w:rStyle w:val="HideTWBExt"/>
        </w:rPr>
        <w:t>Depute</w:t>
      </w:r>
      <w:r>
        <w:rPr>
          <w:rStyle w:val="HideTWBExt"/>
        </w:rPr>
        <w:t>&gt;</w:t>
      </w:r>
    </w:p>
    <w:p>
      <w:r>
        <w:br w:type="page"/>
      </w:r>
      <w:r>
        <w:t>PA_NonLeg</w:t>
      </w:r>
    </w:p>
    <w:p>
      <w:pPr>
        <w:sectPr>
          <w:footerReference w:type="even" r:id="rId5"/>
          <w:footerReference w:type="default" r:id="rId6"/>
          <w:footerReference w:type="first" r:id="rId7"/>
          <w:pgSz w:w="11906" w:h="16838"/>
          <w:pgMar w:top="1134" w:right="1417" w:bottom="1417" w:left="1417" w:header="1134" w:footer="567" w:gutter="0"/>
          <w:cols w:num="1" w:space="708"/>
          <w:titlePg/>
          <w:docGrid w:linePitch="360"/>
        </w:sectPr>
      </w:pPr>
    </w:p>
    <w:p>
      <w:pPr>
        <w:pStyle w:val="PageHeadingNotTOC"/>
      </w:pPr>
      <w:r>
        <w:t>EMENDAMENTI</w:t>
      </w:r>
    </w:p>
    <w:p>
      <w:pPr>
        <w:pStyle w:val="Normal12a"/>
      </w:pPr>
      <w:r>
        <w:t>La commissione per i diritti delle donne e l'uguaglianza di genere</w:t>
      </w:r>
      <w:r>
        <w:t xml:space="preserve"> </w:t>
      </w:r>
      <w:r>
        <w:t>presenta alla commissione per lo sviluppo e alla commissione per l'ambiente, il clima e la sicurezza alimentare, competenti per il merito, quanto segue</w:t>
      </w:r>
      <w:r>
        <w:t xml:space="preserve"> </w:t>
      </w:r>
      <w:r>
        <w:t>:</w:t>
      </w:r>
    </w:p>
    <w:p>
      <w:pPr>
        <w:pStyle w:val="AmNumberTabs"/>
      </w:pPr>
      <w:r>
        <w:rPr>
          <w:rStyle w:val="HideTWBExt"/>
        </w:rPr>
        <w:t>&lt;</w:t>
      </w:r>
      <w:r>
        <w:rPr>
          <w:rStyle w:val="HideTWBExt"/>
        </w:rPr>
        <w:t>RepeatBlock-Amend</w:t>
      </w:r>
      <w:r>
        <w:rPr>
          <w:rStyle w:val="HideTWBExt"/>
        </w:rPr>
        <w:t>&gt;</w:t>
      </w: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1</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Visto 1 bis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w:t>
            </w:r>
            <w:r>
              <w:tab/>
            </w:r>
            <w:r>
              <w:t>vista la sua risoluzione del 24 giugno 2021 sulla situazione della salute sessuale e riproduttiva e relativi diritti nell'UE, nel quadro della salute delle donne</w:t>
            </w:r>
            <w:r>
              <w:rPr>
                <w:rStyle w:val="Sup"/>
              </w:rPr>
              <w:t>1 bis</w:t>
            </w:r>
            <w:r>
              <w: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 bis</w:t>
            </w:r>
            <w:r>
              <w:t xml:space="preserve"> </w:t>
            </w:r>
            <w:r>
              <w:rPr>
                <w:b/>
                <w:i/>
                <w:strike w:val="0"/>
                <w:color w:val="auto"/>
                <w:highlight w:val="none"/>
                <w:u w:val="none" w:color="auto"/>
                <w:vertAlign w:val="baseline"/>
              </w:rPr>
              <w:t>GU C 81 del 18.2.2022, pag. 43.</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2</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Visto 2 bis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w:t>
            </w:r>
            <w:r>
              <w:tab/>
            </w:r>
            <w:r>
              <w:t>vista la sua risoluzione dell'11 aprile 2024 sull'inclusione del diritto all'aborto nella Carta dei diritti fondamentali dell'UE</w:t>
            </w:r>
            <w:r>
              <w:rPr>
                <w:rStyle w:val="Sup"/>
              </w:rPr>
              <w:t>1 bis</w:t>
            </w:r>
            <w:r>
              <w: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 bis</w:t>
            </w:r>
            <w:r>
              <w:t xml:space="preserve"> </w:t>
            </w:r>
            <w:r>
              <w:rPr>
                <w:b/>
                <w:i/>
                <w:strike w:val="0"/>
                <w:color w:val="auto"/>
                <w:highlight w:val="none"/>
                <w:u w:val="none" w:color="auto"/>
                <w:vertAlign w:val="baseline"/>
              </w:rPr>
              <w:t>GU C, C/2025/1279, 13.3.2025, ELI: http://data.europa.eu/eli/C/2025/1279/oj.</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3</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Visto 3 bis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w:t>
            </w:r>
            <w:r>
              <w:tab/>
            </w:r>
            <w:r>
              <w:rPr>
                <w:b/>
                <w:i/>
                <w:strike w:val="0"/>
                <w:color w:val="auto"/>
                <w:highlight w:val="none"/>
                <w:u w:val="none" w:color="auto"/>
                <w:vertAlign w:val="baseline"/>
              </w:rPr>
              <w:t>vista la tabella di marcia dell'UE per i diritti delle donne presentata dalla Commissione,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4</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Visto 4 bis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w:t>
            </w:r>
            <w:r>
              <w:tab/>
            </w:r>
            <w:r>
              <w:rPr>
                <w:b/>
                <w:i/>
                <w:strike w:val="0"/>
                <w:color w:val="auto"/>
                <w:highlight w:val="none"/>
                <w:u w:val="none" w:color="auto"/>
                <w:vertAlign w:val="baseline"/>
              </w:rPr>
              <w:t>visti la Conferenza internazionale sulla popolazione e lo sviluppo tenutasi al Cairo nel 1994 e il relativo programma d'azione, nonché gli esiti delle sue conferenze di revisione,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5</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Visto 5 bis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w:t>
            </w:r>
            <w:r>
              <w:tab/>
            </w:r>
            <w:r>
              <w:rPr>
                <w:b/>
                <w:i/>
                <w:strike w:val="0"/>
                <w:color w:val="auto"/>
                <w:highlight w:val="none"/>
                <w:u w:val="none" w:color="auto"/>
                <w:vertAlign w:val="baseline"/>
              </w:rPr>
              <w:t>visti la dichiarazione e la piattaforma d'azione di Pechino del 2015 e i risultati delle relative conferenze di revisione,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6</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Visto 6 bis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w:t>
            </w:r>
            <w:r>
              <w:tab/>
            </w:r>
            <w:r>
              <w:rPr>
                <w:b/>
                <w:i/>
                <w:strike w:val="0"/>
                <w:color w:val="auto"/>
                <w:highlight w:val="none"/>
                <w:u w:val="none" w:color="auto"/>
                <w:vertAlign w:val="baseline"/>
              </w:rPr>
              <w:t>vista la relazione di Equal Measures 2030 dal titolo "Findings from the 2024 SDG Gender Index – A gender equal future in crisis?" (Risultati dell'indice sulla parità di genere per OSS 2024: il conseguimento di un futuro equo sotto il profilo del genere attraversa un periodo di crisi?),</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7</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Visto 7 bis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w:t>
            </w:r>
            <w:r>
              <w:tab/>
            </w:r>
            <w:r>
              <w:rPr>
                <w:b/>
                <w:i/>
                <w:strike w:val="0"/>
                <w:color w:val="auto"/>
                <w:highlight w:val="none"/>
                <w:u w:val="none" w:color="auto"/>
                <w:vertAlign w:val="baseline"/>
              </w:rPr>
              <w:t xml:space="preserve">vista la relazione congiunta per il 2024 di UN Women, del Programma delle Nazioni Unite per lo sviluppo, del Fondo delle Nazioni Unite per la popolazione (UNFPA), dell'UNICEF e del Programma alimentare mondiale dal titolo "Are we getting there? A synthesis of the UN evaluations of SDG 5" (Ci stiamo avvicinando all'obiettivo? Una sintesi delle valutazioni delle Nazioni Unite relative all'OSS 5), </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8</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Visto 8 bis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w:t>
            </w:r>
            <w:r>
              <w:tab/>
            </w:r>
            <w:r>
              <w:rPr>
                <w:b/>
                <w:i/>
                <w:strike w:val="0"/>
                <w:color w:val="auto"/>
                <w:highlight w:val="none"/>
                <w:u w:val="none" w:color="auto"/>
                <w:vertAlign w:val="baseline"/>
              </w:rPr>
              <w:t>visti gli orientamenti volontari dell'Organizzazione delle Nazioni Unite per l'alimentazione e l'agricoltura del 2015 per garantire una pesca su piccola scala sostenibile nel contesto della sicurezza alimentare e dell'eliminazione della povertà, compreso il capitolo 8 sull'uguaglianza e l'equità di genere,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9</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Visto 31 bis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w:t>
            </w:r>
            <w:r>
              <w:tab/>
            </w:r>
            <w:r>
              <w:t>vista la sua raccomandazione del 19 dicembre 2024 destinata al Consiglio in merito alle priorità dell'UE in vista della 69</w:t>
            </w:r>
            <w:r>
              <w:rPr>
                <w:b w:val="0"/>
                <w:i w:val="0"/>
                <w:strike w:val="0"/>
                <w:color w:val="auto"/>
                <w:highlight w:val="none"/>
                <w:u w:val="none" w:color="auto"/>
                <w:vertAlign w:val="superscript"/>
              </w:rPr>
              <w:t>a</w:t>
            </w:r>
            <w:r>
              <w:t xml:space="preserve"> sessione della commissione delle Nazioni Unite sulla condizione femminile</w:t>
            </w:r>
            <w:r>
              <w:rPr>
                <w:rStyle w:val="Sup"/>
              </w:rPr>
              <w:t>1 bis</w:t>
            </w:r>
            <w:r>
              <w: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 bis</w:t>
            </w:r>
            <w:r>
              <w:t xml:space="preserve"> </w:t>
            </w:r>
            <w:r>
              <w:rPr>
                <w:b/>
                <w:i/>
                <w:strike w:val="0"/>
                <w:color w:val="auto"/>
                <w:highlight w:val="none"/>
                <w:u w:val="none" w:color="auto"/>
                <w:vertAlign w:val="baseline"/>
              </w:rPr>
              <w:t>GU C, C/2025/1971, 11.4.2025, ELI: http://data.europa.eu/eli/C/2025/1971/oj.</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10</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Visto 55 bis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w:t>
            </w:r>
            <w:r>
              <w:tab/>
            </w:r>
            <w:r>
              <w:rPr>
                <w:b/>
                <w:i/>
                <w:strike w:val="0"/>
                <w:color w:val="auto"/>
                <w:highlight w:val="none"/>
                <w:u w:val="none" w:color="auto"/>
                <w:vertAlign w:val="baseline"/>
              </w:rPr>
              <w:t>vista la relazione della Commissione del marzo 2024 dal titolo "Nona relazione sulla coesione economica, sociale e territoriale",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11</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Visto 55 ter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w:t>
            </w:r>
            <w:r>
              <w:tab/>
            </w:r>
            <w:r>
              <w:rPr>
                <w:b/>
                <w:i/>
                <w:strike w:val="0"/>
                <w:color w:val="auto"/>
                <w:highlight w:val="none"/>
                <w:u w:val="none" w:color="auto"/>
                <w:vertAlign w:val="baseline"/>
              </w:rPr>
              <w:t>vista la relazione dell'Istituto europeo per l'uguaglianza di genere dal titolo "Gender Equality Reports 2023 – Towards a green transition in transport and energy" (Relazioni sull'uguaglianza di genere 2023 – Verso una transizione verde nei trasporti e nell'energia),</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12</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Considerando B bis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B bis.</w:t>
            </w:r>
            <w:r>
              <w:tab/>
            </w:r>
            <w:r>
              <w:rPr>
                <w:b/>
                <w:i/>
                <w:strike w:val="0"/>
                <w:color w:val="auto"/>
                <w:highlight w:val="none"/>
                <w:u w:val="none" w:color="auto"/>
                <w:vertAlign w:val="baseline"/>
              </w:rPr>
              <w:t>considerando che, secondo il Global Peace Index 2024, il livello medio delle condizioni di pace su scala globale è diminuito dello 0,56 %, segnando il quinto anno consecutivo di peggioramento; che, alla luce di tale tendenza, l'OSS 16 dovrebbe essere inserito nell'ambito di una revisione approfondita per affrontare le crescenti sfide per la pace e la sicurezza globali;</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13</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Considerando B ter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B ter.</w:t>
            </w:r>
            <w:r>
              <w:tab/>
            </w:r>
            <w:r>
              <w:rPr>
                <w:b/>
                <w:i/>
                <w:strike w:val="0"/>
                <w:color w:val="auto"/>
                <w:highlight w:val="none"/>
                <w:u w:val="none" w:color="auto"/>
                <w:vertAlign w:val="baseline"/>
              </w:rPr>
              <w:t>considerando che il continuo aumento della tratta di esseri umani rimane una minaccia critica per la pace e la sicurezza globali; che, al fine di combattere le reti della tratta, proteggere le vittime e difendere i diritti umani, è fondamentale rafforzare la cooperazione internazionale e i meccanismi di applicazione nell'ambito dell'OSS 16;</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14</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Considerando C</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C.</w:t>
            </w:r>
            <w:r>
              <w:tab/>
            </w:r>
            <w:r>
              <w:t>considerando che attualmente vi è una carenza annuale di investimenti per gli OSS pari a 4 000 miliardi di USD; che gli elevati livelli di indebitamento dei paesi a basso e medio reddito costituiscono un ostacolo agli investimenti necessari per il conseguimento degli OSS;</w:t>
            </w:r>
          </w:p>
        </w:tc>
        <w:tc>
          <w:tcPr>
            <w:tcW w:w="4876" w:type="dxa"/>
            <w:vAlign w:val="top"/>
          </w:tcPr>
          <w:p>
            <w:pPr>
              <w:pStyle w:val="Normal6a"/>
            </w:pPr>
            <w:r>
              <w:t>C.</w:t>
            </w:r>
            <w:r>
              <w:tab/>
            </w:r>
            <w:r>
              <w:t>considerando che attualmente vi è una carenza annuale di investimenti per gli OSS pari a 4 000 miliardi di USD; che gli elevati livelli di indebitamento dei paesi a basso e medio reddito</w:t>
            </w:r>
            <w:r>
              <w:t>, agevolati dai programmi di alcune istituzioni finanziarie,</w:t>
            </w:r>
            <w:r>
              <w:t xml:space="preserve"> costituiscono un ostacolo agli investimenti necessari per il conseguimento degli OSS;</w:t>
            </w:r>
            <w:r>
              <w:rPr>
                <w:b/>
                <w:i/>
                <w:strike w:val="0"/>
                <w:color w:val="auto"/>
                <w:highlight w:val="none"/>
                <w:u w:val="none" w:color="auto"/>
                <w:vertAlign w:val="baseline"/>
              </w:rPr>
              <w:t xml:space="preserve"> che ciò è legato anche all'aumento dei tassi di povertà; che in tutto il mondo le donne e le ragazze sono colpite in modo sproporzionato dalla povertà, dalle crisi umanitarie, dai cambiamenti climatici, dai conflitti, dall'estremismo, dal terrorismo, dalle guerre e dalla penuria di prodotti alimentari; che ciò rende inoltre i minori più vulnerabili; che, secondo le previsioni, il divario di genere della povertà aumenterà fino al 2030 e le donne continueranno a essere le persone maggiormente colpite dalla povertà estrema su scala globale;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15</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Considerando C bis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C bis.</w:t>
            </w:r>
            <w:r>
              <w:tab/>
            </w:r>
            <w:r>
              <w:rPr>
                <w:b/>
                <w:i/>
                <w:strike w:val="0"/>
                <w:color w:val="auto"/>
                <w:highlight w:val="none"/>
                <w:u w:val="none" w:color="auto"/>
                <w:vertAlign w:val="baseline"/>
              </w:rPr>
              <w:t xml:space="preserve">considerando che la mancanza di finanziamenti destinati all'uguaglianza di genere è uno dei principali ostacoli al conseguimento di risultati in tale ambito; che l'uguaglianza di genere è fondamentale per mantenere le promesse in materia di sostenibilità, prosperità, giustizia sociale, pace e progresso umano; </w:t>
            </w:r>
            <w:r>
              <w:t>che è fondamentale prevedere impegni finanziari significativi e duraturi e processi di bilancio rafforzati al fine di sostenere l'attuazione di atti legislativi, politiche e servizi sensibili alla dimensione di genere per promuovere la parità di genere in tutti i traguardi dell'OSS 5</w:t>
            </w:r>
            <w:r>
              <w:rPr>
                <w:rStyle w:val="Sup"/>
              </w:rPr>
              <w:t>1 bis</w:t>
            </w:r>
            <w:r>
              <w: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 bis</w:t>
            </w:r>
            <w:r>
              <w:t xml:space="preserve"> </w:t>
            </w:r>
            <w:r>
              <w:rPr>
                <w:b/>
                <w:i/>
                <w:strike w:val="0"/>
                <w:color w:val="auto"/>
                <w:highlight w:val="none"/>
                <w:u w:val="none" w:color="auto"/>
                <w:vertAlign w:val="baseline"/>
              </w:rPr>
              <w:t>Equal Measures 2030, "Findings from the 2024 SDG Gender Index – A gender equal future in crisis?" (Risultati dell'indice sulla parità di genere per OSS 2024 – Il conseguimento di un futuro equo sotto il profilo del genere attraversa un periodo di crisi?), https://equalmeasures2030.org/wp-content/uploads/2024/09/EM2030_2024_SDG_Gender_Index_EN_digital.pdf.</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16</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Considerando C ter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C ter.</w:t>
            </w:r>
            <w:r>
              <w:tab/>
            </w:r>
            <w:r>
              <w:rPr>
                <w:b/>
                <w:i/>
                <w:strike w:val="0"/>
                <w:color w:val="auto"/>
                <w:highlight w:val="none"/>
                <w:u w:val="none" w:color="auto"/>
                <w:vertAlign w:val="baseline"/>
              </w:rPr>
              <w:t>considerando che la violenza contro le donne, in tutte le sue forme (fisica, sessuale, psicologica, economica o online), rappresenta una violazione dei diritti umani, una forma estrema di discriminazione nei confronti delle donne e uno dei più gravi ostacoli alla realizzazione della parità di genere; che la violenza di genere affonda le sue radici nella distribuzione iniqua del potere tra i generi, nelle strutture patriarcali e negli stereotipi di genere, che hanno condotto alla dominazione sulle donne e alla loro discriminazione da parte degli uomini, e può assumere apparenza, intensità e forma diverse; che il conseguimento di una società libera dalla violenza di genere deve essere riconosciuto come un requisito imprescindibile per l'uguaglianza di genere;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17</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1</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1.</w:t>
            </w:r>
            <w:r>
              <w:tab/>
            </w:r>
            <w:r>
              <w:t>ribadisce il suo solido impegno a favore della realizzazione tempestiva e completa di tutti gli OSS;</w:t>
            </w:r>
          </w:p>
        </w:tc>
        <w:tc>
          <w:tcPr>
            <w:tcW w:w="4876" w:type="dxa"/>
            <w:vAlign w:val="top"/>
          </w:tcPr>
          <w:p>
            <w:pPr>
              <w:pStyle w:val="Normal6a"/>
            </w:pPr>
            <w:r>
              <w:t>1.</w:t>
            </w:r>
            <w:r>
              <w:tab/>
            </w:r>
            <w:r>
              <w:t>ribadisce il suo solido impegno a favore della realizzazione tempestiva e completa di tutti gli OSS </w:t>
            </w:r>
            <w:r>
              <w:t>in tutti gli Stati membri e a livello globale attraverso l'azione esterna dell'UE;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18</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1 – lettera a (nuova)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a)</w:t>
            </w:r>
            <w:r>
              <w:tab/>
            </w:r>
            <w:r>
              <w:rPr>
                <w:b/>
                <w:i/>
                <w:strike w:val="0"/>
                <w:color w:val="auto"/>
                <w:highlight w:val="none"/>
                <w:u w:val="none" w:color="auto"/>
                <w:vertAlign w:val="baseline"/>
              </w:rPr>
              <w:t>sottolinea che l'UE ha compiuto progressi moderati in relazione all'OSS 1 ma che le donne continuano a essere più esposte al rischio di povertà e di esclusione sociale;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19</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1 – lettera b (nuova)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b)</w:t>
            </w:r>
            <w:r>
              <w:tab/>
            </w:r>
            <w:r>
              <w:rPr>
                <w:b/>
                <w:i/>
                <w:strike w:val="0"/>
                <w:color w:val="auto"/>
                <w:highlight w:val="none"/>
                <w:u w:val="none" w:color="auto"/>
                <w:vertAlign w:val="baseline"/>
              </w:rPr>
              <w:t>esprime preoccupazione per l'OSS 2 nell'UE, poiché il crescente tasso di obesità tra donne e bambini è un segno di malnutrizione;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20</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1 – lettera c (nuova)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c)</w:t>
            </w:r>
            <w:r>
              <w:tab/>
            </w:r>
            <w:r>
              <w:rPr>
                <w:b/>
                <w:i/>
                <w:strike w:val="0"/>
                <w:color w:val="auto"/>
                <w:highlight w:val="none"/>
                <w:u w:val="none" w:color="auto"/>
                <w:vertAlign w:val="baseline"/>
              </w:rPr>
              <w:t xml:space="preserve">esprime profonda preoccupazione per la situazione delle donne nell'UE relativamente all'OSS 7, dal momento che le donne hanno maggiori probabilità di trovarsi in condizioni di povertà energetica a causa dei redditi più bassi; osserva infatti che, nel 2022, il 9,8 % delle donne (contro l'8,7 % degli uomini) non ha potuto riscaldare adeguatamente la propria casa e che tale situazione è aggravata dalla crisi energetica;  </w:t>
            </w:r>
            <w:r>
              <w:t>accoglie con favore la comunicazione della Commissione su un'energia a prezzi accessibili</w:t>
            </w:r>
            <w:r>
              <w:rPr>
                <w:rStyle w:val="Sup"/>
              </w:rPr>
              <w:t>1 bis</w:t>
            </w:r>
            <w:r>
              <w:t>;</w:t>
            </w:r>
            <w:r>
              <w:rPr>
                <w:b/>
                <w:i/>
                <w:strike w:val="0"/>
                <w:color w:val="auto"/>
                <w:highlight w:val="none"/>
                <w:u w:val="none" w:color="auto"/>
                <w:vertAlign w:val="baseline"/>
              </w:rPr>
              <w:t xml:space="preserve"> invita la Commissione e i colegislatori ad accelerare il processo per garantire un rapido accesso all'energia a prezzi modici;</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 bis</w:t>
            </w:r>
            <w:r>
              <w:t xml:space="preserve"> </w:t>
            </w:r>
            <w:r>
              <w:rPr>
                <w:b/>
                <w:i/>
                <w:strike w:val="0"/>
                <w:color w:val="auto"/>
                <w:highlight w:val="none"/>
                <w:u w:val="none" w:color="auto"/>
                <w:vertAlign w:val="baseline"/>
              </w:rPr>
              <w:t>Piano d'azione per un'energia a prezzi accessibili: sbloccare l'autentico valore dell'Unione dell'energia per garantire energia pulita, efficiente e a prezzi accessibili a tutti gli europei (COM(2025)0079).</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21</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1 – lettera d (nuova)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d)</w:t>
            </w:r>
            <w:r>
              <w:tab/>
            </w:r>
            <w:r>
              <w:rPr>
                <w:b/>
                <w:i/>
                <w:strike w:val="0"/>
                <w:color w:val="auto"/>
                <w:highlight w:val="none"/>
                <w:u w:val="none" w:color="auto"/>
                <w:vertAlign w:val="baseline"/>
              </w:rPr>
              <w:t>sottolinea che l'OSS 11 continua a essere incompiuto nell'UE, in quanto le donne sono maggiormente esposte al disagio abitativo (4,6 % delle donne contro il 4,0 % degli uomini nel 2022) e dipendono in misura maggiore dai trasporti pubblici, dove persistono preoccupazioni in materia di sicurezza;</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22</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2</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2.</w:t>
            </w:r>
            <w:r>
              <w:tab/>
            </w:r>
            <w:r>
              <w:t>deplora il fatto che la comunità mondiale sia ben lungi dal realizzare l'Agenda 2030 e gli OSS;</w:t>
            </w:r>
          </w:p>
        </w:tc>
        <w:tc>
          <w:tcPr>
            <w:tcW w:w="4876" w:type="dxa"/>
            <w:vAlign w:val="top"/>
          </w:tcPr>
          <w:p>
            <w:pPr>
              <w:pStyle w:val="Normal6a"/>
            </w:pPr>
            <w:r>
              <w:t>2.</w:t>
            </w:r>
            <w:r>
              <w:tab/>
            </w:r>
            <w:r>
              <w:t xml:space="preserve">deplora il fatto che la comunità mondiale sia ben lungi dal realizzare l'Agenda 2030 e gli OSS </w:t>
            </w:r>
            <w:r>
              <w:t>e che vi sia stato un arretramento rispetto al conseguimento di alcuni OSS;</w:t>
            </w:r>
            <w:r>
              <w:rPr>
                <w:b/>
                <w:i/>
                <w:strike w:val="0"/>
                <w:color w:val="auto"/>
                <w:highlight w:val="none"/>
                <w:u w:val="none" w:color="auto"/>
                <w:vertAlign w:val="baseline"/>
              </w:rPr>
              <w:t xml:space="preserve"> sottolinea le differenze esistenti tra i paesi e le regioni, nonché al loro interno, su vari problemi, come le disparità di genere; </w:t>
            </w:r>
            <w:r>
              <w:t>deplora l'interruzione dei finanziamenti dell'Agenzia degli Stati Uniti per lo sviluppo internazionale (USAID) e riconosce l'impatto devastante che ciò avrà sull'obiettivo della comunità mondiale di conseguire i traguardi degli OSS, in particolare l'OSS 5</w:t>
            </w:r>
            <w:r>
              <w: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23</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2 bis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2 bis.</w:t>
            </w:r>
            <w:r>
              <w:tab/>
            </w:r>
            <w:r>
              <w:rPr>
                <w:b/>
                <w:i/>
                <w:strike w:val="0"/>
                <w:color w:val="auto"/>
                <w:highlight w:val="none"/>
                <w:u w:val="none" w:color="auto"/>
                <w:vertAlign w:val="baseline"/>
              </w:rPr>
              <w:t>invita l'UE a tener fede al suo impegno di applicare l'integrazione della dimensione di genere e una prospettiva intersezionale a tutte le politiche e a tutti i finanziamenti dell'UE; si rammarica del fatto che i paesi a livello mondiale ancora non dispongano del 44 % dei dati necessari per monitorare l'OSS 5 e del fatto che in oltre l'80 % di essi non siano disponibili dati su almeno un traguardo dell'OSS 5</w:t>
            </w:r>
            <w:r>
              <w:rPr>
                <w:rStyle w:val="Sup"/>
              </w:rPr>
              <w:t>1 bis</w:t>
            </w:r>
            <w:r>
              <w:rPr>
                <w:b/>
                <w:i/>
                <w:strike w:val="0"/>
                <w:color w:val="auto"/>
                <w:highlight w:val="none"/>
                <w:u w:val="none" w:color="auto"/>
                <w:vertAlign w:val="baseline"/>
              </w:rPr>
              <w:t>; sottolinea pertanto la necessità di rafforzare gli istituti nazionali di statistica e migliorare il loro coordinamento e la loro cooperazione a livello globale, nonché di garantire un'elaborazione delle politiche basata su dati concreti e colmare le restanti lacune nei dati di genere;</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 bis</w:t>
            </w:r>
            <w:r>
              <w:t xml:space="preserve"> </w:t>
            </w:r>
            <w:r>
              <w:rPr>
                <w:b/>
                <w:i/>
                <w:strike w:val="0"/>
                <w:color w:val="auto"/>
                <w:highlight w:val="none"/>
                <w:u w:val="none" w:color="auto"/>
                <w:vertAlign w:val="baseline"/>
              </w:rPr>
              <w:t>Equal Measures 2030, "Findings from the 2024 SDG Gender Index – A gender equal future in crisis?" (Risultati dell'indice sulla parità di genere per OSS 2024 – Il conseguimento di un futuro equo sotto il profilo del genere attraversa un periodo di crisi?), https://equalmeasures2030.org/wp-content/uploads/2024/09/EM2030_2024_SDG_Gender_Index_EN_digital.pdf.</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24</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2 ter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2 ter.</w:t>
            </w:r>
            <w:r>
              <w:tab/>
            </w:r>
            <w:r>
              <w:rPr>
                <w:b/>
                <w:i/>
                <w:strike w:val="0"/>
                <w:color w:val="auto"/>
                <w:highlight w:val="none"/>
                <w:u w:val="none" w:color="auto"/>
                <w:vertAlign w:val="baseline"/>
              </w:rPr>
              <w:t>evidenzia l'importanza dei dati per consentire il monitoraggio degli OSS e sottolinea che, malgrado l'encomiabile aumento dei dati, nonché l'apertura, l'accessibilità e l'uso efficace degli stessi, permangono lacune critiche; sottolinea pertanto l'importanza del ruolo degli istituti nazionali di statistica e la necessità di rafforzare i partenariati quale strumento chiave per ottenere dati più inclusivi, come i dati disaggregati per genere;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25</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3</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3.</w:t>
            </w:r>
            <w:r>
              <w:tab/>
            </w:r>
            <w:r>
              <w:t xml:space="preserve">sottolinea che, affinché le nostre società ed economie tornino saldamente sulla buona strada per conseguire gli OSS e affrontare la triplice crisi planetaria, è urgentemente necessario garantire la cooperazione internazionale </w:t>
            </w:r>
            <w:r>
              <w:t>e</w:t>
            </w:r>
            <w:r>
              <w:t xml:space="preserve"> un'azione trasformativa decisiva;</w:t>
            </w:r>
          </w:p>
        </w:tc>
        <w:tc>
          <w:tcPr>
            <w:tcW w:w="4876" w:type="dxa"/>
            <w:vAlign w:val="top"/>
          </w:tcPr>
          <w:p>
            <w:pPr>
              <w:pStyle w:val="Normal6a"/>
            </w:pPr>
            <w:r>
              <w:t>3.</w:t>
            </w:r>
            <w:r>
              <w:tab/>
            </w:r>
            <w:r>
              <w:t xml:space="preserve">sottolinea che, affinché le nostre società ed economie tornino saldamente sulla buona strada per conseguire gli OSS e affrontare la triplice crisi planetaria </w:t>
            </w:r>
            <w:r>
              <w:t>(cambiamenti climatici, inquinamento e perdita di biodiversità)</w:t>
            </w:r>
            <w:r>
              <w:t>, è urgentemente necessario garantire la cooperazione internazionale</w:t>
            </w:r>
            <w:r>
              <w:t>,</w:t>
            </w:r>
            <w:r>
              <w:t xml:space="preserve"> un'azione trasformativa decisiva </w:t>
            </w:r>
            <w:r>
              <w:t>e un aumento della spesa globale per gli aiuti allo sviluppo</w:t>
            </w:r>
            <w:r>
              <w:t>;</w:t>
            </w:r>
            <w:r>
              <w:rPr>
                <w:b/>
                <w:i/>
                <w:strike w:val="0"/>
                <w:color w:val="auto"/>
                <w:highlight w:val="none"/>
                <w:u w:val="none" w:color="auto"/>
                <w:vertAlign w:val="baseline"/>
              </w:rPr>
              <w:t xml:space="preserve"> </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26</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4</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4.</w:t>
            </w:r>
            <w:r>
              <w:tab/>
            </w:r>
            <w:r>
              <w:t>evidenzia che la leadership dell'UE nell'attuazione globale degli OSS rimane fondamentale, in particolare alla luce delle molteplici sfide geopolitiche e delle crisi in corso;</w:t>
            </w:r>
          </w:p>
        </w:tc>
        <w:tc>
          <w:tcPr>
            <w:tcW w:w="4876" w:type="dxa"/>
            <w:vAlign w:val="top"/>
          </w:tcPr>
          <w:p>
            <w:pPr>
              <w:pStyle w:val="Normal6a"/>
            </w:pPr>
            <w:r>
              <w:t>4.</w:t>
            </w:r>
            <w:r>
              <w:tab/>
            </w:r>
            <w:r>
              <w:t>evidenzia che la leadership dell'UE nell'attuazione globale degli OSS rimane fondamentale, in particolare alla luce delle molteplici sfide geopolitiche e delle crisi in corso</w:t>
            </w:r>
            <w:r>
              <w:t>, tra cui la crescente opposizione nei confronti degli OSS e il regresso per quanto riguarda l'uguaglianza di genere e il quadro internazionale in materia di diritti umani che mira a tutelare i gruppi vulnerabili o le situazioni di emarginazione in tutto il mondo, in particolare le donne, le ragazze e le persone LGBTIQ+</w:t>
            </w:r>
            <w:r>
              <w: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27</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4 bis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4a.</w:t>
            </w:r>
            <w:r>
              <w:tab/>
            </w:r>
            <w:r>
              <w:rPr>
                <w:b/>
                <w:i/>
                <w:strike w:val="0"/>
                <w:color w:val="auto"/>
                <w:highlight w:val="none"/>
                <w:u w:val="none" w:color="auto"/>
                <w:vertAlign w:val="baseline"/>
              </w:rPr>
              <w:t>riconosce gli sforzi in corso e i progressi significativi compiuti dall'Unione europea, in particolare per quanto riguarda l'OSS 8, e prende atto nel contempo della necessità di compiere ulteriori passi avanti nella realizzazione dell'OSS 5;</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28</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4 ter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4 ter.</w:t>
            </w:r>
            <w:r>
              <w:tab/>
            </w:r>
            <w:r>
              <w:rPr>
                <w:b/>
                <w:i/>
                <w:strike w:val="0"/>
                <w:color w:val="auto"/>
                <w:highlight w:val="none"/>
                <w:u w:val="none" w:color="auto"/>
                <w:vertAlign w:val="baseline"/>
              </w:rPr>
              <w:t>sottolinea che l'UE dovrebbe dare priorità a politiche che sostengano le donne, le ragazze e le famiglie, garantendo che il loro benessere economico e sociale sia considerato fondamentale per il conseguimento di OSS quali la riduzione della povertà, l'istruzione di qualità e l'uguaglianza di genere;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29</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5</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5.</w:t>
            </w:r>
            <w:r>
              <w:tab/>
            </w:r>
            <w:r>
              <w:t>deplora i progressi marginali o moderati nella maggior parte dei traguardi dell'OSS 3 e il rallentamento registrato dal 2015 in molteplici ambiti chiave; osserva con preoccupazione che meno del 10 % dei traguardi dell'OSS 3 non presenta ritardi e che, probabilmente, entro il 2030 sarà raggiunto meno di un terzo di essi;</w:t>
            </w:r>
          </w:p>
        </w:tc>
        <w:tc>
          <w:tcPr>
            <w:tcW w:w="4876" w:type="dxa"/>
            <w:vAlign w:val="top"/>
          </w:tcPr>
          <w:p>
            <w:pPr>
              <w:pStyle w:val="Normal6a"/>
            </w:pPr>
            <w:r>
              <w:t>5.</w:t>
            </w:r>
            <w:r>
              <w:tab/>
            </w:r>
            <w:r>
              <w:t>deplora i progressi marginali o moderati nella maggior parte dei traguardi dell'OSS 3 e il rallentamento registrato dal 2015 in molteplici ambiti chiave; osserva con preoccupazione che meno del 10 % dei traguardi dell'OSS 3 non presenta ritardi e che, probabilmente, entro il 2030 sarà raggiunto meno di un terzo di essi;</w:t>
            </w:r>
            <w:r>
              <w:rPr>
                <w:b/>
                <w:i/>
                <w:strike w:val="0"/>
                <w:color w:val="auto"/>
                <w:highlight w:val="none"/>
                <w:u w:val="none" w:color="auto"/>
                <w:vertAlign w:val="baseline"/>
              </w:rPr>
              <w:t xml:space="preserve"> ricorda che nell'UE esistono forti disuguaglianze di genere e che dal 2010 sono stati compiuti progressi molto limitati nell'affrontare tali disparità;</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30</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5 bis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5 bis.</w:t>
            </w:r>
            <w:r>
              <w:tab/>
            </w:r>
            <w:r>
              <w:rPr>
                <w:b/>
                <w:i/>
                <w:strike w:val="0"/>
                <w:color w:val="auto"/>
                <w:highlight w:val="none"/>
                <w:u w:val="none" w:color="auto"/>
                <w:vertAlign w:val="baseline"/>
              </w:rPr>
              <w:t>esprime preoccupazione per il persistere della pratica delle mutilazioni genitali femminili ed esprime solidarietà alle vittime; sottolinea che nel marzo 2024 l'UNICEF ha rivisto il numero delle vittime portandolo a oltre 230 milioni, il che rappresenta un aumento del 15 % (circa 30 milioni in più) rispetto al 2016, nonostante il calo osservato in alcuni paesi;</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31</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5 ter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5 ter.</w:t>
            </w:r>
            <w:r>
              <w:tab/>
            </w:r>
            <w:r>
              <w:rPr>
                <w:b/>
                <w:i/>
                <w:strike w:val="0"/>
                <w:color w:val="auto"/>
                <w:highlight w:val="none"/>
                <w:u w:val="none" w:color="auto"/>
                <w:vertAlign w:val="baseline"/>
              </w:rPr>
              <w:t>riconosce che i recenti tagli ai finanziamenti erogati da USAID ostacoleranno ulteriormente i progressi verso il conseguimento dell'OSS 3, compromettendo in modo particolare l'accesso delle donne e delle ragazze ai servizi di assistenza per la salute riproduttiva e materna;</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32</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6</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6.</w:t>
            </w:r>
            <w:r>
              <w:tab/>
            </w:r>
            <w:r>
              <w:t>sottolinea che le molteplici crisi interconnesse, lo stato carente delle infrastrutture sanitarie, l'instabilità economica, la povertà</w:t>
            </w:r>
            <w:r>
              <w:t>,</w:t>
            </w:r>
            <w:r>
              <w:t xml:space="preserve"> le disuguaglianze persistenti, in particolare tra le popolazioni e le regioni vulnerabili, </w:t>
            </w:r>
            <w:r>
              <w:t>e</w:t>
            </w:r>
            <w:r>
              <w:t xml:space="preserve"> le risorse sempre più limitate minacciano di ostacolare ulteriormente i progressi verso il conseguimento dei traguardi dell'OSS 3;</w:t>
            </w:r>
          </w:p>
        </w:tc>
        <w:tc>
          <w:tcPr>
            <w:tcW w:w="4876" w:type="dxa"/>
            <w:vAlign w:val="top"/>
          </w:tcPr>
          <w:p>
            <w:pPr>
              <w:pStyle w:val="Normal6a"/>
            </w:pPr>
            <w:r>
              <w:t>6.</w:t>
            </w:r>
            <w:r>
              <w:tab/>
            </w:r>
            <w:r>
              <w:t xml:space="preserve">sottolinea che le molteplici crisi interconnesse </w:t>
            </w:r>
            <w:r>
              <w:t>e crescenti</w:t>
            </w:r>
            <w:r>
              <w:t xml:space="preserve">, </w:t>
            </w:r>
            <w:r>
              <w:t>quali</w:t>
            </w:r>
            <w:r>
              <w:t xml:space="preserve"> lo stato carente delle infrastrutture sanitarie, l'instabilità economica, </w:t>
            </w:r>
            <w:r>
              <w:t>le crescenti tensioni geopolitiche,</w:t>
            </w:r>
            <w:r>
              <w:t xml:space="preserve"> la povertà </w:t>
            </w:r>
            <w:r>
              <w:t>e</w:t>
            </w:r>
            <w:r>
              <w:t xml:space="preserve"> le disuguaglianze persistenti</w:t>
            </w:r>
            <w:r>
              <w:t>, anche di genere</w:t>
            </w:r>
            <w:r>
              <w:t xml:space="preserve">, in particolare tra le popolazioni e le regioni vulnerabili, </w:t>
            </w:r>
            <w:r>
              <w:t>come pure</w:t>
            </w:r>
            <w:r>
              <w:t xml:space="preserve"> le risorse sempre più limitate </w:t>
            </w:r>
            <w:r>
              <w:t>e la mancanza di ricerca medica sensibile alla dimensione di genere</w:t>
            </w:r>
            <w:r>
              <w:t xml:space="preserve"> minacciano di ostacolare ulteriormente i progressi verso il conseguimento dei traguardi dell'OSS 3;</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33</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6 bis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6 bis.</w:t>
            </w:r>
            <w:r>
              <w:tab/>
            </w:r>
            <w:r>
              <w:rPr>
                <w:b/>
                <w:i/>
                <w:strike w:val="0"/>
                <w:color w:val="auto"/>
                <w:highlight w:val="none"/>
                <w:u w:val="none" w:color="auto"/>
                <w:vertAlign w:val="baseline"/>
              </w:rPr>
              <w:t>prende atto con preoccupazione dell'uscita degli Stati Uniti dall'Organizzazione mondiale della sanità (OMS) e del congelamento totale dei suoi aiuti pubblici allo sviluppo (APS); sottolinea che, in considerazione del ruolo svolto da USAID nel miglioramento della salute globale, ciò avrà enormi ripercussioni sulla vita delle persone e sull'accesso ai servizi sanitari a livello globale, anche per milioni di donne e ragazze; pone inoltre l'accento sul fatto che il ripristino della "global gag rule" incide particolarmente sulla salute sessuale e riproduttiva e sui relativi diritti; invita la Commissione e gli Stati membri a colmare le lacune lasciate dagli Stati Uniti, anche intensificando il contributo dell'UE a iniziative chiave per la salute sessuale e riproduttiva e i relativi diritti, quali il partenariato per le forniture del Fondo delle Nazioni Unite per la popolazione e l'iniziativa Team Europa in materia di salute sessuale e riproduttiva e relativi diritti nell'Africa subsahariana;</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34</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6 ter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6 ter.</w:t>
            </w:r>
            <w:r>
              <w:tab/>
            </w:r>
            <w:r>
              <w:rPr>
                <w:b/>
                <w:i/>
                <w:strike w:val="0"/>
                <w:color w:val="auto"/>
                <w:highlight w:val="none"/>
                <w:u w:val="none" w:color="auto"/>
                <w:vertAlign w:val="baseline"/>
              </w:rPr>
              <w:t>deplora lo smantellamento globale degli aiuti allo sviluppo, che incide principalmente sull'accessibilità dell'assistenza sanitaria nelle regioni più povere e per le persone più emarginate, come le donne e le ragazze; ritiene che la frammentazione dei sistemi sanitari fragili rappresenti un potenziale rischio sanitario per la popolazione mondiale; chiede un'azione risoluta in tutti gli Stati membri e nell'ambito delle politiche esterne dell'UE al fine di compiere sostanziali progressi verso il conseguimento dell'obiettivo per il 2030 di ridurre la mortalità materna e garantire l'accesso universale ai servizi di assistenza per la salute sessuale e riproduttiva, anche per la pianificazione familiare e l'aborto legale e sicuro, l'assistenza per la salute materna e il conseguimento di una copertura sanitaria universale, compreso l'accesso a medicinali essenziali sicuri, efficaci, di qualità e a prezzi accessibili per tutti; invita l'UE a garantire, in via prioritaria, l'accesso a metodi contraccettivi sicuri ed efficaci di propria scelta e a servizi per l'aborto sicuro e legale in tutti gli Stati membri;</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35</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6 quinquies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6 quinquies.</w:t>
            </w:r>
            <w:r>
              <w:tab/>
            </w:r>
            <w:r>
              <w:rPr>
                <w:b/>
                <w:i/>
                <w:strike w:val="0"/>
                <w:color w:val="auto"/>
                <w:highlight w:val="none"/>
                <w:u w:val="none" w:color="auto"/>
                <w:vertAlign w:val="baseline"/>
              </w:rPr>
              <w:t>invita l'UE e i suoi Stati membri a dare priorità alla necessità di garantire l'accesso a un'educazione sessuale e relazionale completa e obbligatoria, adeguata all'età e basata su prove, per i ragazzi e le ragazze, nonché a fornire informazioni sulla pianificazione familiare, tenuto conto del fatto le esigenze di 164 milioni di donne in questo ambito risultano insoddisfatte</w:t>
            </w:r>
            <w:r>
              <w:rPr>
                <w:rStyle w:val="SupBoldItalic"/>
              </w:rPr>
              <w:t>1 bis</w:t>
            </w:r>
            <w:r>
              <w:rPr>
                <w:b/>
                <w:i/>
                <w:strike w:val="0"/>
                <w:color w:val="auto"/>
                <w:highlight w:val="none"/>
                <w:u w:val="none" w:color="auto"/>
                <w:vertAlign w:val="baseline"/>
              </w:rPr>
              <w:t>, e a contribuire nel contempo a tali sforzi attraverso politiche esterne;</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BoldItalic"/>
              </w:rPr>
              <w:t>1 bis</w:t>
            </w:r>
            <w:r>
              <w:t xml:space="preserve"> </w:t>
            </w:r>
            <w:r>
              <w:rPr>
                <w:b/>
                <w:i/>
                <w:strike w:val="0"/>
                <w:color w:val="auto"/>
                <w:highlight w:val="none"/>
                <w:u w:val="none" w:color="auto"/>
                <w:vertAlign w:val="baseline"/>
              </w:rPr>
              <w:t>Dipartimento degli Affari economici e sociali delle Nazioni Unite, "World Family Planning 2022" (Pianificazione familiare globale 2022), https://www.un.org/development/desa/pd/sites/www.un.org.development.desa.pd/files/files/documents/2023/Feb/undesa_pd_2022_world-family-planning.pdf.</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36</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6 sexies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6 sexies.</w:t>
            </w:r>
            <w:r>
              <w:tab/>
            </w:r>
            <w:r>
              <w:rPr>
                <w:b/>
                <w:i/>
                <w:strike w:val="0"/>
                <w:color w:val="auto"/>
                <w:highlight w:val="none"/>
                <w:u w:val="none" w:color="auto"/>
                <w:vertAlign w:val="baseline"/>
              </w:rPr>
              <w:t>invita l'UE a dare attuazione ai piani previsti dalla strategia per la salute mentale e a mettere in atto azioni più incisive per garantire buone condizioni di salute mentale per tutti, tenendo conto in particolare della prospettiva di genere e del fatto che la salute mentale delle donne e delle persone LGBTIQ+ è soggetta a maggiori pressioni;</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37</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6 septies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6 septies.</w:t>
            </w:r>
            <w:r>
              <w:tab/>
            </w:r>
            <w:r>
              <w:rPr>
                <w:b/>
                <w:i/>
                <w:strike w:val="0"/>
                <w:color w:val="auto"/>
                <w:highlight w:val="none"/>
                <w:u w:val="none" w:color="auto"/>
                <w:vertAlign w:val="baseline"/>
              </w:rPr>
              <w:t>ricorda che la piena realizzazione della salute sessuale e riproduttiva e dei relativi diritti come pure la difesa dell'autonomia fisica di donne e ragazze sono fondamentali per il conseguimento dell'uguaglianza di genere; sottolinea che la salute sessuale e riproduttiva e i relativi diritti sono parte integrante della copertura sanitaria universale e sono fondamentali per il conseguimento dell'OSS 3, in particolare il traguardo 3.7; invita la Commissione a garantire che la salute sessuale e riproduttiva e i relativi diritti siano inclusi nelle iniziative e nei programmi dell'UE relativi alla copertura sanitaria universale;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38</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6 octies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t>6 octies.</w:t>
            </w:r>
            <w:r>
              <w:tab/>
            </w:r>
            <w:r>
              <w:rPr>
                <w:b/>
                <w:i/>
                <w:strike w:val="0"/>
                <w:color w:val="auto"/>
                <w:highlight w:val="none"/>
                <w:u w:val="none" w:color="auto"/>
                <w:vertAlign w:val="baseline"/>
              </w:rPr>
              <w:t>avverte che gli obiettivi fissati dagli OSS 3 e 5 non saranno raggiunti se l'accesso universale alla salute sessuale e riproduttiva e ai diritti riproduttivi non sarà garantito nell'UE e nel mondo; ricorda che l'accesso ai servizi sanitari essenziali e ai medicinali necessari, a metodi contraccettivi sicuri ed efficaci di propria scelta e a servizi per l'aborto legale è un aspetto fondamentale dell'assistenza per la salute sessuale e riproduttiva;</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39</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6 nonies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6 nonies.</w:t>
            </w:r>
            <w:r>
              <w:tab/>
            </w:r>
            <w:r>
              <w:rPr>
                <w:b/>
                <w:i/>
                <w:strike w:val="0"/>
                <w:color w:val="auto"/>
                <w:highlight w:val="none"/>
                <w:u w:val="none" w:color="auto"/>
                <w:vertAlign w:val="baseline"/>
              </w:rPr>
              <w:t>ricorda che le gravidanze indesiderate possono avere notevoli implicazioni fisiche, emotive e finanziarie per gli individui e le famiglie e possono arrecare danni particolarmente significativi alle ragazze minorenni, in caso di gravidanza in età adolescenziale; sottolinea che l'assistenza all'aborto legale è un'assistenza salvavita in caso di aborto spontaneo e altre emergenze ostetriche che mettono a rischio la vita della paziente e che l'accesso legale ed effettivo all'aborto sicuro può contribuire a gestire le complicazioni più gravi e a evitare gravidanze ad alto rischio che possono determinare la mortalità materna e infantile;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40</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6 decies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6 decies.</w:t>
            </w:r>
            <w:r>
              <w:tab/>
            </w:r>
            <w:r>
              <w:rPr>
                <w:b/>
                <w:i/>
                <w:strike w:val="0"/>
                <w:color w:val="auto"/>
                <w:highlight w:val="none"/>
                <w:u w:val="none" w:color="auto"/>
                <w:vertAlign w:val="baseline"/>
              </w:rPr>
              <w:t>sottolinea inoltre che i farmaci abortivi offrono un'alternativa sicura e meno invasiva all'aborto chirurgico e rendono l'assistenza all'aborto, anche spontaneo, più accessibile alle persone che vivono in zone in cui l'assistenza all'aborto chirurgico è difficilmente accessibile a causa di barriere geografiche o di altro tipo, e che l'accesso tempestivo a farmaci abortivi sicuri può anche consentire alle pazienti di gestire autonomamente l'aborto, anche spontaneo, in tutto o in parte, evitando ritardi nelle cure che possono comportare ulteriori rischi per la salute;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41</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6 undecies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6 undecies.</w:t>
            </w:r>
            <w:r>
              <w:tab/>
            </w:r>
            <w:r>
              <w:rPr>
                <w:b/>
                <w:i/>
                <w:strike w:val="0"/>
                <w:color w:val="auto"/>
                <w:highlight w:val="none"/>
                <w:u w:val="none" w:color="auto"/>
                <w:vertAlign w:val="baseline"/>
              </w:rPr>
              <w:t>chiede all'UE di adottare rapidamente l'atto legislativo sui medicinali critici</w:t>
            </w:r>
            <w:r>
              <w:rPr>
                <w:rStyle w:val="Sup"/>
              </w:rPr>
              <w:t>1 bis</w:t>
            </w:r>
            <w:r>
              <w:rPr>
                <w:b/>
                <w:i/>
                <w:strike w:val="0"/>
                <w:color w:val="auto"/>
                <w:highlight w:val="none"/>
                <w:u w:val="none" w:color="auto"/>
                <w:vertAlign w:val="baseline"/>
              </w:rPr>
              <w:t xml:space="preserve"> e di assicurare che garantisca l'accessibilità e la disponibilità dei medicinali essenziali per la salute sessuale e riproduttiva figuranti nell'elenco dei medicinali essenziali dell'OMS in ogni momento e in tutta l'Unione; invita l'Agenzia europea per i medicinali ad aggiornare l'elenco dell'UE dei medicinali critici al fine di includere l'elenco completo dei medicinali essenziali per la salute sessuale e riproduttiva figuranti nell'elenco dei medicinali essenziali dell'OMS, come i farmaci contraccettivi e abortivi; chiede all'UE di assicurare che i medicinali essenziali per la salute sessuale e riproduttiva siano sistematicamente integrati negli aiuti umanitari ai paesi terzi;</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 bis</w:t>
            </w:r>
            <w:r>
              <w:t xml:space="preserve"> </w:t>
            </w:r>
            <w:r>
              <w:rPr>
                <w:b/>
                <w:i/>
                <w:strike w:val="0"/>
                <w:color w:val="auto"/>
                <w:highlight w:val="none"/>
                <w:u w:val="none" w:color="auto"/>
                <w:vertAlign w:val="baseline"/>
              </w:rPr>
              <w:t>COM(2025)0102.</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42</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7</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7.</w:t>
            </w:r>
            <w:r>
              <w:tab/>
            </w:r>
            <w:r>
              <w:t>chiede un'azione coordinata rafforzata e investimenti sostanziali al fine di pervenire a una copertura sanitaria universale, rafforzare i sistemi sanitari, garantire un accesso equo ai medicinali e ai vaccini, promuovere la prevenzione e il trattamento delle malattie, affrontare i fattori aggravanti di tipo ambientale e contrastare le disparità nell'accesso a cure e servizi di qualità, in particolare per le popolazioni e le regioni vulnerabili;</w:t>
            </w:r>
          </w:p>
        </w:tc>
        <w:tc>
          <w:tcPr>
            <w:tcW w:w="4876" w:type="dxa"/>
            <w:vAlign w:val="top"/>
          </w:tcPr>
          <w:p>
            <w:pPr>
              <w:pStyle w:val="Normal6a"/>
            </w:pPr>
            <w:r>
              <w:t>7.</w:t>
            </w:r>
            <w:r>
              <w:tab/>
            </w:r>
            <w:r>
              <w:t xml:space="preserve">chiede un'azione coordinata rafforzata e investimenti sostanziali al fine di pervenire a una copertura sanitaria universale, rafforzare i sistemi sanitari, garantire un accesso equo ai medicinali e ai vaccini, promuovere la prevenzione e il trattamento delle malattie, affrontare i fattori aggravanti di tipo ambientale e contrastare le disparità nell'accesso a cure e servizi di qualità, in particolare per le </w:t>
            </w:r>
            <w:r>
              <w:t>persone in situazioni di vulnerabilità, le</w:t>
            </w:r>
            <w:r>
              <w:t xml:space="preserve"> popolazioni e le regioni vulnerabili</w:t>
            </w:r>
            <w:r>
              <w:t>, comprese le minoranze, le donne e le ragazze, e le persone con disabilità</w:t>
            </w:r>
            <w:r>
              <w:t>;</w:t>
            </w:r>
            <w:r>
              <w:rPr>
                <w:b/>
                <w:i/>
                <w:strike w:val="0"/>
                <w:color w:val="auto"/>
                <w:highlight w:val="none"/>
                <w:u w:val="none" w:color="auto"/>
                <w:vertAlign w:val="baseline"/>
              </w:rPr>
              <w:t xml:space="preserve"> pone in risalto l'importanza di garantire l'accesso alla salute per tutte le persone quale diritto fondamentale; sottolinea la necessità di sostenere l'accesso all'assistenza sanitaria e all'istruzione per le ragazze in situazioni di emergenza, migranti, sfollate all'interno di un paese e rifugiate, nonché per quelle che si trovano in crisi umanitarie e in situazioni di conflitto</w:t>
            </w:r>
            <w:r>
              <w: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43</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7 bis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7 bis.</w:t>
            </w:r>
            <w:r>
              <w:tab/>
            </w:r>
            <w:r>
              <w:rPr>
                <w:b/>
                <w:i/>
                <w:strike w:val="0"/>
                <w:color w:val="auto"/>
                <w:highlight w:val="none"/>
                <w:u w:val="none" w:color="auto"/>
                <w:vertAlign w:val="baseline"/>
              </w:rPr>
              <w:t>chiede un'azione coordinata rafforzata e investimenti sostanziali al fine di pervenire a una copertura sanitaria universale, potenziare i sistemi sanitari, garantire un accesso equo ai medicinali e ai vaccini, promuovere la prevenzione e il trattamento delle malattie, affrontare i fattori aggravanti di tipo ambientale, far fronte alle sfide in materia di salute mentale e ridurre le disparità nell'accesso a cure e servizi di qualità, in particolare per le popolazioni e le regioni vulnerabili;</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44</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8</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8.</w:t>
            </w:r>
            <w:r>
              <w:tab/>
            </w:r>
            <w:r>
              <w:rPr>
                <w:b/>
                <w:i/>
                <w:strike w:val="0"/>
                <w:color w:val="auto"/>
                <w:highlight w:val="none"/>
                <w:u w:val="none" w:color="auto"/>
                <w:vertAlign w:val="baseline"/>
              </w:rPr>
              <w:t>chiede</w:t>
            </w:r>
            <w:r>
              <w:t xml:space="preserve"> che </w:t>
            </w:r>
            <w:r>
              <w:rPr>
                <w:b/>
                <w:i/>
                <w:strike w:val="0"/>
                <w:color w:val="auto"/>
                <w:highlight w:val="none"/>
                <w:u w:val="none" w:color="auto"/>
                <w:vertAlign w:val="baseline"/>
              </w:rPr>
              <w:t>nella Convenzione europea dei diritti dell'uomo e nella Carta dei diritti fondamentali dell'Unione europea sia inserito il diritto universale a</w:t>
            </w:r>
            <w:r>
              <w:t xml:space="preserve"> un ambiente sano </w:t>
            </w:r>
            <w:r>
              <w:rPr>
                <w:b/>
                <w:i/>
                <w:strike w:val="0"/>
                <w:color w:val="auto"/>
                <w:highlight w:val="none"/>
                <w:u w:val="none" w:color="auto"/>
                <w:vertAlign w:val="baseline"/>
              </w:rPr>
              <w:t>e che sia istituito</w:t>
            </w:r>
            <w:r>
              <w:t xml:space="preserve"> un </w:t>
            </w:r>
            <w:r>
              <w:rPr>
                <w:b/>
                <w:i/>
                <w:strike w:val="0"/>
                <w:color w:val="auto"/>
                <w:highlight w:val="none"/>
                <w:u w:val="none" w:color="auto"/>
                <w:vertAlign w:val="baseline"/>
              </w:rPr>
              <w:t>quadro giuridicamente vincolante</w:t>
            </w:r>
            <w:r>
              <w:t>;</w:t>
            </w:r>
          </w:p>
        </w:tc>
        <w:tc>
          <w:tcPr>
            <w:tcW w:w="4876" w:type="dxa"/>
            <w:vAlign w:val="top"/>
          </w:tcPr>
          <w:p>
            <w:pPr>
              <w:pStyle w:val="Normal6a"/>
            </w:pPr>
            <w:r>
              <w:t>8.</w:t>
            </w:r>
            <w:r>
              <w:tab/>
            </w:r>
            <w:r>
              <w:rPr>
                <w:b/>
                <w:i/>
                <w:strike w:val="0"/>
                <w:color w:val="auto"/>
                <w:highlight w:val="none"/>
                <w:u w:val="none" w:color="auto"/>
                <w:vertAlign w:val="baseline"/>
              </w:rPr>
              <w:t>ritiene</w:t>
            </w:r>
            <w:r>
              <w:t xml:space="preserve"> che un ambiente sano </w:t>
            </w:r>
            <w:r>
              <w:rPr>
                <w:b/>
                <w:i/>
                <w:strike w:val="0"/>
                <w:color w:val="auto"/>
                <w:highlight w:val="none"/>
                <w:u w:val="none" w:color="auto"/>
                <w:vertAlign w:val="baseline"/>
              </w:rPr>
              <w:t>sia</w:t>
            </w:r>
            <w:r>
              <w:t xml:space="preserve"> un</w:t>
            </w:r>
            <w:r>
              <w:rPr>
                <w:b/>
                <w:i/>
                <w:strike w:val="0"/>
                <w:color w:val="auto"/>
                <w:highlight w:val="none"/>
                <w:u w:val="none" w:color="auto"/>
                <w:vertAlign w:val="baseline"/>
              </w:rPr>
              <w:t xml:space="preserve"> fattore fondamentale per migliorare la salute</w:t>
            </w:r>
            <w:r>
              <w: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45</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8 bis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8 bis.</w:t>
            </w:r>
            <w:r>
              <w:tab/>
            </w:r>
            <w:r>
              <w:rPr>
                <w:b/>
                <w:i/>
                <w:strike w:val="0"/>
                <w:color w:val="auto"/>
                <w:highlight w:val="none"/>
                <w:u w:val="none" w:color="auto"/>
                <w:vertAlign w:val="baseline"/>
              </w:rPr>
              <w:t>si rammarica del fatto che nessun paese sia sulla buona strada per conseguire la parità di genere entro il 2030 e che quasi il 40 % dei paesi abbia registrato una fase di stagnazione o persino di regresso in materia di parità di genere tra il 2019 e il 2022; osserva che tale regresso coincide con l'ascesa di tendenze conservatrici, reazionarie e misogine che ostacolano i diritti delle donne in tutto il mondo; avverte che, se l'attuale tendenza verso il regresso e la stagnazione sul piano della parità di genere si intensificherà, le disuguaglianze di genere a livello globale potrebbero essere più marcate nel 2030 rispetto al 2015, anno in cui sono stati concordati gli OSS</w:t>
            </w:r>
            <w:r>
              <w:rPr>
                <w:rStyle w:val="Sup"/>
              </w:rPr>
              <w:t>1 bis.</w:t>
            </w:r>
            <w:r>
              <w:rPr>
                <w:b/>
                <w:i/>
                <w:strike w:val="0"/>
                <w:color w:val="auto"/>
                <w:highlight w:val="none"/>
                <w:u w:val="none" w:color="auto"/>
                <w:vertAlign w:val="baseline"/>
              </w:rPr>
              <w: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 bis.</w:t>
            </w:r>
            <w:r>
              <w:t xml:space="preserve"> </w:t>
            </w:r>
            <w:r>
              <w:rPr>
                <w:b/>
                <w:i/>
                <w:strike w:val="0"/>
                <w:color w:val="auto"/>
                <w:highlight w:val="none"/>
                <w:u w:val="none" w:color="auto"/>
                <w:vertAlign w:val="baseline"/>
              </w:rPr>
              <w:t>Equal Measures 2030, "Findings from the 2024 SDG Gender Index – A gender equal future in crisis?" (Risultati dell'indice sulla parità di genere per OSS 2024 – Il conseguimento di un futuro equo sotto il profilo del genere attraversa un periodo di crisi?), https://equalmeasures2030.org/wp-content/uploads/2024/09/EM2030_2024_SDG_Gender_Index_EN_digital.pdf.</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46</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8 ter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8 ter.</w:t>
            </w:r>
            <w:r>
              <w:tab/>
            </w:r>
            <w:r>
              <w:rPr>
                <w:b/>
                <w:i/>
                <w:strike w:val="0"/>
                <w:color w:val="auto"/>
                <w:highlight w:val="none"/>
                <w:u w:val="none" w:color="auto"/>
                <w:vertAlign w:val="baseline"/>
              </w:rPr>
              <w:t>sottolinea la natura trasversale dell'OSS 5 e la sua importanza per l'attuazione dell'Agenda 2030; sottolinea che il conseguimento della parità di genere è strettamente complementare a tutti gli altri OSS e che il raggiungimento di tali obiettivi non può prescindere dalla promozione dei diritti delle donne e delle ragazze e della parità di genere;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47</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9</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9.</w:t>
            </w:r>
            <w:r>
              <w:tab/>
            </w:r>
            <w:r>
              <w:t xml:space="preserve">invoca un'azione accelerata e mirata per porre fine a tutte le forme di violenza e molestie nei confronti delle donne, delle ragazze e delle persone LGBTIQ+, compresa la violenza sessuale e di genere, </w:t>
            </w:r>
            <w:r>
              <w:rPr>
                <w:b/>
                <w:i/>
                <w:strike w:val="0"/>
                <w:color w:val="auto"/>
                <w:highlight w:val="none"/>
                <w:u w:val="none" w:color="auto"/>
                <w:vertAlign w:val="baseline"/>
              </w:rPr>
              <w:t>e</w:t>
            </w:r>
            <w:r>
              <w:t xml:space="preserve"> porre fine a pratiche dannose quali i matrimoni infantili </w:t>
            </w:r>
            <w:r>
              <w:rPr>
                <w:b/>
                <w:i/>
                <w:strike w:val="0"/>
                <w:color w:val="auto"/>
                <w:highlight w:val="none"/>
                <w:u w:val="none" w:color="auto"/>
                <w:vertAlign w:val="baseline"/>
              </w:rPr>
              <w:t>e</w:t>
            </w:r>
            <w:r>
              <w:t xml:space="preserve"> le mutilazioni genitali femminili;</w:t>
            </w:r>
          </w:p>
        </w:tc>
        <w:tc>
          <w:tcPr>
            <w:tcW w:w="4876" w:type="dxa"/>
            <w:vAlign w:val="top"/>
          </w:tcPr>
          <w:p>
            <w:pPr>
              <w:pStyle w:val="Normal6a"/>
            </w:pPr>
            <w:r>
              <w:t>9.</w:t>
            </w:r>
            <w:r>
              <w:tab/>
            </w:r>
            <w:r>
              <w:rPr>
                <w:b/>
                <w:i/>
                <w:strike w:val="0"/>
                <w:color w:val="auto"/>
                <w:highlight w:val="none"/>
                <w:u w:val="none" w:color="auto"/>
                <w:vertAlign w:val="baseline"/>
              </w:rPr>
              <w:t xml:space="preserve">ribadisce che, al fine di conseguire la parità di genere, è indispensabile che la società si affranchi dalla violenza di genere; </w:t>
            </w:r>
            <w:r>
              <w:t xml:space="preserve">invoca un'azione accelerata e mirata per porre fine a tutte le forme di violenza e molestie nei confronti delle donne, delle ragazze e delle persone LGBTIQ+, compresa la violenza sessuale e di genere, porre fine a pratiche dannose quali i matrimoni infantili </w:t>
            </w:r>
            <w:r>
              <w:rPr>
                <w:b/>
                <w:i/>
                <w:strike w:val="0"/>
                <w:color w:val="auto"/>
                <w:highlight w:val="none"/>
                <w:u w:val="none" w:color="auto"/>
                <w:vertAlign w:val="baseline"/>
              </w:rPr>
              <w:t>e forzati, ai quali sono costrette 12 milioni di ragazze ogni anno</w:t>
            </w:r>
            <w:r>
              <w:rPr>
                <w:rStyle w:val="Sup"/>
              </w:rPr>
              <w:t>1 bis.</w:t>
            </w:r>
            <w:r>
              <w:rPr>
                <w:b/>
                <w:i/>
                <w:strike w:val="0"/>
                <w:color w:val="auto"/>
                <w:highlight w:val="none"/>
                <w:u w:val="none" w:color="auto"/>
                <w:vertAlign w:val="baseline"/>
              </w:rPr>
              <w:t>,</w:t>
            </w:r>
            <w:r>
              <w:t xml:space="preserve"> le mutilazioni genitali femminili</w:t>
            </w:r>
            <w:r>
              <w:rPr>
                <w:b/>
                <w:i/>
                <w:strike w:val="0"/>
                <w:color w:val="auto"/>
                <w:highlight w:val="none"/>
                <w:u w:val="none" w:color="auto"/>
                <w:vertAlign w:val="baseline"/>
              </w:rPr>
              <w:t xml:space="preserve"> e l'aborto selettivo in base al sesso, nonché contrastare l'uso della violenza di genere come arma da guerra; ritiene che l'impegno civico e le organizzazioni femminili locali di base siano essenziali in tale ottica; esprime preoccupazione per l'aumento globale delle azioni penali nei confronti dei difensori dei diritti umani, in particolare di quelli che difendono i diritti delle donne e delle minoranze; è preoccupato per l'elevato tasso di mortalità materna nei paesi a reddito basso e medio-basso</w:t>
            </w:r>
            <w:r>
              <w: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 bis.</w:t>
            </w:r>
            <w:r>
              <w:t xml:space="preserve"> </w:t>
            </w:r>
            <w:r>
              <w:rPr>
                <w:b/>
                <w:i/>
                <w:strike w:val="0"/>
                <w:color w:val="auto"/>
                <w:highlight w:val="none"/>
                <w:u w:val="none" w:color="auto"/>
                <w:vertAlign w:val="baseline"/>
              </w:rPr>
              <w:t>Unicef, "Fast facts: 10 facts illustrating why we must #EndChildMarriage" (Dati in pillole: 10 motivi per cui dobbiamo dire #StopAlleSposeBambine), 10 febbraio 2019, https://www.unicef.org/press-releases/fast-facts-10-facts-illustrating-why-we-must-endchildmarriage.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48</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9 bis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9 bis.</w:t>
            </w:r>
            <w:r>
              <w:tab/>
            </w:r>
            <w:r>
              <w:rPr>
                <w:b/>
                <w:i/>
                <w:strike w:val="0"/>
                <w:color w:val="auto"/>
                <w:highlight w:val="none"/>
                <w:u w:val="none" w:color="auto"/>
                <w:vertAlign w:val="baseline"/>
              </w:rPr>
              <w:t>sottolinea che lo stupro rimane una delle violazioni dei diritti umani più diffuse ed esorta a fissare una definizione comune di tale termine, incentrata sull'assenza del consenso;</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49</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9 ter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9 ter.</w:t>
            </w:r>
            <w:r>
              <w:tab/>
            </w:r>
            <w:r>
              <w:rPr>
                <w:b/>
                <w:i/>
                <w:strike w:val="0"/>
                <w:color w:val="auto"/>
                <w:highlight w:val="none"/>
                <w:u w:val="none" w:color="auto"/>
                <w:vertAlign w:val="baseline"/>
              </w:rPr>
              <w:t>si rammarica per l'arretramento globale dei diritti delle donne e condanna qualsiasi attore che intraprenda azioni tese a compromettere i risultati conseguiti a livello mondiale in materia di parità di genere; invita l'UE e gli Stati membri a intensificare la lotta per la parità di genere ora che gli Stati Uniti stanno tagliando i fondi alle organizzazioni che difendono i diritti umani;</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50</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9 quater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9 quater.</w:t>
            </w:r>
            <w:r>
              <w:tab/>
            </w:r>
            <w:r>
              <w:rPr>
                <w:b/>
                <w:i/>
                <w:strike w:val="0"/>
                <w:color w:val="auto"/>
                <w:highlight w:val="none"/>
                <w:u w:val="none" w:color="auto"/>
                <w:vertAlign w:val="baseline"/>
              </w:rPr>
              <w:t>chiede un'azione più incisiva per contrastare l'aumento dei discorsi d'odio anti-gender online e le crescenti minacce rivolte alle donne che ricoprono incarichi politici, il che si traduce in una riduzione del numero di donne con cariche di rilievo e in un aumento del numero di donne che lasciano il proprio incarico;</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51</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10</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10.</w:t>
            </w:r>
            <w:r>
              <w:tab/>
            </w:r>
            <w:r>
              <w:t xml:space="preserve">chiede </w:t>
            </w:r>
            <w:r>
              <w:rPr>
                <w:b/>
                <w:i/>
                <w:strike w:val="0"/>
                <w:color w:val="auto"/>
                <w:highlight w:val="none"/>
                <w:u w:val="none" w:color="auto"/>
                <w:vertAlign w:val="baseline"/>
              </w:rPr>
              <w:t>il proseguimento</w:t>
            </w:r>
            <w:r>
              <w:t xml:space="preserve"> dei finanziamenti destinati ai programmi incentrati sulla promozione </w:t>
            </w:r>
            <w:r>
              <w:rPr>
                <w:b/>
                <w:i/>
                <w:strike w:val="0"/>
                <w:color w:val="auto"/>
                <w:highlight w:val="none"/>
                <w:u w:val="none" w:color="auto"/>
                <w:vertAlign w:val="baseline"/>
              </w:rPr>
              <w:t>dell'emancipazione femminile</w:t>
            </w:r>
            <w:r>
              <w:t xml:space="preserve"> e sulla lotta contro tutte le forme di violenza di genere; invita la Commissione a garantire che la dimensione di genere sia integrata </w:t>
            </w:r>
            <w:r>
              <w:rPr>
                <w:b/>
                <w:i/>
                <w:strike w:val="0"/>
                <w:color w:val="auto"/>
                <w:highlight w:val="none"/>
                <w:u w:val="none" w:color="auto"/>
                <w:vertAlign w:val="baseline"/>
              </w:rPr>
              <w:t>nell'85 % di</w:t>
            </w:r>
            <w:r>
              <w:t xml:space="preserve"> tutte le </w:t>
            </w:r>
            <w:r>
              <w:rPr>
                <w:b/>
                <w:i/>
                <w:strike w:val="0"/>
                <w:color w:val="auto"/>
                <w:highlight w:val="none"/>
                <w:u w:val="none" w:color="auto"/>
                <w:vertAlign w:val="baseline"/>
              </w:rPr>
              <w:t>nuove</w:t>
            </w:r>
            <w:r>
              <w:t xml:space="preserve"> azioni </w:t>
            </w:r>
            <w:r>
              <w:rPr>
                <w:b/>
                <w:i/>
                <w:strike w:val="0"/>
                <w:color w:val="auto"/>
                <w:highlight w:val="none"/>
                <w:u w:val="none" w:color="auto"/>
                <w:vertAlign w:val="baseline"/>
              </w:rPr>
              <w:t>esterne</w:t>
            </w:r>
            <w:r>
              <w:t xml:space="preserve"> come obiettivo importante o principale e che il 20 % degli aiuti pubblici allo sviluppo in ciascun paese sia assegnato a programmi che includono l'uguaglianza di genere tra i lori obiettivi principali;</w:t>
            </w:r>
          </w:p>
        </w:tc>
        <w:tc>
          <w:tcPr>
            <w:tcW w:w="4876" w:type="dxa"/>
            <w:vAlign w:val="top"/>
          </w:tcPr>
          <w:p>
            <w:pPr>
              <w:pStyle w:val="Normal6a"/>
            </w:pPr>
            <w:r>
              <w:t>10.</w:t>
            </w:r>
            <w:r>
              <w:tab/>
            </w:r>
            <w:r>
              <w:t xml:space="preserve">chiede </w:t>
            </w:r>
            <w:r>
              <w:rPr>
                <w:b/>
                <w:i/>
                <w:strike w:val="0"/>
                <w:color w:val="auto"/>
                <w:highlight w:val="none"/>
                <w:u w:val="none" w:color="auto"/>
                <w:vertAlign w:val="baseline"/>
              </w:rPr>
              <w:t>un incremento</w:t>
            </w:r>
            <w:r>
              <w:t xml:space="preserve"> dei finanziamenti destinati ai programmi incentrati sulla promozione </w:t>
            </w:r>
            <w:r>
              <w:rPr>
                <w:b/>
                <w:i/>
                <w:strike w:val="0"/>
                <w:color w:val="auto"/>
                <w:highlight w:val="none"/>
                <w:u w:val="none" w:color="auto"/>
                <w:vertAlign w:val="baseline"/>
              </w:rPr>
              <w:t>della parità di genere</w:t>
            </w:r>
            <w:r>
              <w:t xml:space="preserve"> e sulla lotta contro tutte le forme di violenza di genere; invita la Commissione a garantire che la dimensione di genere sia integrata </w:t>
            </w:r>
            <w:r>
              <w:rPr>
                <w:b/>
                <w:i/>
                <w:strike w:val="0"/>
                <w:color w:val="auto"/>
                <w:highlight w:val="none"/>
                <w:u w:val="none" w:color="auto"/>
                <w:vertAlign w:val="baseline"/>
              </w:rPr>
              <w:t>in</w:t>
            </w:r>
            <w:r>
              <w:t xml:space="preserve"> tutte le azioni </w:t>
            </w:r>
            <w:r>
              <w:rPr>
                <w:b/>
                <w:i/>
                <w:strike w:val="0"/>
                <w:color w:val="auto"/>
                <w:highlight w:val="none"/>
                <w:u w:val="none" w:color="auto"/>
                <w:vertAlign w:val="baseline"/>
              </w:rPr>
              <w:t>finanziate dall'UE, che l'85 % dell'APS sia destinato a progetti che integrano la dimensione di genere</w:t>
            </w:r>
            <w:r>
              <w:t xml:space="preserve"> come obiettivo importante o principale e che il 20 % degli aiuti pubblici allo sviluppo in ciascun paese sia assegnato a programmi che includono l'uguaglianza di genere tra i lori obiettivi principali;</w:t>
            </w:r>
            <w:r>
              <w:rPr>
                <w:b/>
                <w:i/>
                <w:strike w:val="0"/>
                <w:color w:val="auto"/>
                <w:highlight w:val="none"/>
                <w:u w:val="none" w:color="auto"/>
                <w:vertAlign w:val="baseline"/>
              </w:rPr>
              <w:t xml:space="preserve"> invita la Commissione a includere questi due obiettivi nel prossimo QFP e a garantire che tutte le politiche e tutti i programmi e i bilanci dell'UE prevedano l'integrazione della dimensione di genere e un approccio al bilancio di genere;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52</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10 bis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10 bis.</w:t>
            </w:r>
            <w:r>
              <w:tab/>
            </w:r>
            <w:r>
              <w:rPr>
                <w:b/>
                <w:i/>
                <w:strike w:val="0"/>
                <w:color w:val="auto"/>
                <w:highlight w:val="none"/>
                <w:u w:val="none" w:color="auto"/>
                <w:vertAlign w:val="baseline"/>
              </w:rPr>
              <w:t xml:space="preserve">è allarmato dal fatto che l'OSS 5 è uno degli OSS che riceve meno finanziamenti; </w:t>
            </w:r>
            <w:r>
              <w:rPr>
                <w:b/>
                <w:i/>
                <w:strike w:val="0"/>
                <w:color w:val="auto"/>
                <w:highlight w:val="none"/>
                <w:u w:val="none" w:color="auto"/>
                <w:vertAlign w:val="baseline"/>
              </w:rPr>
              <w:t>denuncia la crescente riduzione della priorità riconosciuta ai finanziamenti per i diritti delle donne e il fatto che i movimenti di base femministi e le organizzazioni per i diritti delle donne continuano a essere sistematicamente sottofinanziati, dal momento che ricevono meno del 1 % dell'APS globale</w:t>
            </w:r>
            <w:r>
              <w:rPr>
                <w:rStyle w:val="Sup"/>
              </w:rPr>
              <w:t>1 bis.</w:t>
            </w:r>
            <w:r>
              <w:rPr>
                <w:b/>
                <w:i/>
                <w:strike w:val="0"/>
                <w:color w:val="auto"/>
                <w:highlight w:val="none"/>
                <w:u w:val="none" w:color="auto"/>
                <w:vertAlign w:val="baseline"/>
              </w:rPr>
              <w:t>; invita la Commissione a garantire finanziamenti regolari, adeguati e sostenibili alle organizzazioni e ai programmi europei che si adoperano per la parità di genere e i diritti delle donne;</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 bis.</w:t>
            </w:r>
            <w:r>
              <w:t xml:space="preserve"> </w:t>
            </w:r>
            <w:r>
              <w:rPr>
                <w:b/>
                <w:i/>
                <w:strike w:val="0"/>
                <w:color w:val="auto"/>
                <w:highlight w:val="none"/>
                <w:u w:val="none" w:color="auto"/>
                <w:vertAlign w:val="baseline"/>
              </w:rPr>
              <w:t>Nota informativa del think tank ODI, dal titolo "Where next for feminist foreign policy on funding feminist movements?" (Quali sono i prossimi passi per una politica estera femminista in materia di finanziamento dei movimenti femministi?), https://media.odi.org/documents/ODI-ET-FundingMovements-PB-EN-May24-Final.pdf.</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53</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10 ter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10 ter.</w:t>
            </w:r>
            <w:r>
              <w:tab/>
            </w:r>
            <w:r>
              <w:rPr>
                <w:b/>
                <w:i/>
                <w:strike w:val="0"/>
                <w:color w:val="auto"/>
                <w:highlight w:val="none"/>
                <w:u w:val="none" w:color="auto"/>
                <w:vertAlign w:val="baseline"/>
              </w:rPr>
              <w:t>esprime profonda preoccupazione per l'apartheid di genere attualmente in corso in Afghanistan; evidenzia che a 2,2 milioni di ragazze è già stato negato l'accesso all'istruzione in Afghanistan e che tale numero è destinato a raggiungere i 4 milioni; invita la comunità globale a condannare fermamente l'apartheid di genere in corso in Afghanistan e ad adottare tutte le misure necessarie per porvi fine e assicurare i responsabili alla giustizia;</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54</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10 quater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10 quater.</w:t>
            </w:r>
            <w:r>
              <w:tab/>
            </w:r>
            <w:r>
              <w:rPr>
                <w:b/>
                <w:i/>
                <w:strike w:val="0"/>
                <w:color w:val="auto"/>
                <w:highlight w:val="none"/>
                <w:u w:val="none" w:color="auto"/>
                <w:vertAlign w:val="baseline"/>
              </w:rPr>
              <w:t>si rammarica del fatto che, dall'avvio del piano d'azione sulla parità di genere III, solo il 3,8 % di tutte le azioni mirate/attente alla dimensione di genere hanno avuto come obiettivo principale la parità di genere, ben al di sotto dell'obiettivo del 5 % indicato nel regolamento NDICI</w:t>
            </w:r>
            <w:r>
              <w:rPr>
                <w:rStyle w:val="Sup"/>
              </w:rPr>
              <w:t>1 bis.</w:t>
            </w:r>
            <w:r>
              <w:rPr>
                <w:b/>
                <w:i/>
                <w:strike w:val="0"/>
                <w:color w:val="auto"/>
                <w:highlight w:val="none"/>
                <w:u w:val="none" w:color="auto"/>
                <w:vertAlign w:val="baseline"/>
              </w:rPr>
              <w:t>; invita gli Stati membri e la Commissione ad accrescere sostanzialmente il numero di azioni dell'UE che hanno come obiettivo principale la promozione della parità di genere, nonché a raggiungere l'obiettivo del 5 %; invita l'UE ad aumentare i finanziamenti a favore dei fondi multilaterali per la parità di genere, quali UN Women, e per la salute sessuale e riproduttiva, quali l'UNFPA il Fondo globale per la lotta contro l'AIDS, la tubercolosi e la malaria;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 bis.</w:t>
            </w:r>
            <w:r>
              <w:t xml:space="preserve"> </w:t>
            </w:r>
            <w:r>
              <w:rPr>
                <w:b/>
                <w:i/>
                <w:strike w:val="0"/>
                <w:color w:val="auto"/>
                <w:highlight w:val="none"/>
                <w:u w:val="none" w:color="auto"/>
                <w:vertAlign w:val="baseline"/>
              </w:rPr>
              <w:t>Regolamento (UE) 2021/947 del Parlamento europeo e del Consiglio, del 9 giugno 2021, che istituisce lo strumento di vicinato, cooperazione allo sviluppo e cooperazione internazionale – Europa globale, che modifica e abroga la decisione n. 466/2014/UE del Parlamento europeo e del Consiglio e abroga il regolamento (UE) 2017/1601 del Parlamento europeo e del Consiglio e il regolamento (CE, Euratom) n. 480/2009 del Consiglio (GU L 209 del 14.6.2021, pag. 1, ELI: http://data.europa.eu/eli/reg/2021/947/oj).</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55</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11</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11.</w:t>
            </w:r>
            <w:r>
              <w:tab/>
            </w:r>
            <w:r>
              <w:t xml:space="preserve">chiede di accelerare gli sforzi al fine di colmare il divario retributivo di genere, </w:t>
            </w:r>
            <w:r>
              <w:rPr>
                <w:b/>
                <w:i/>
                <w:strike w:val="0"/>
                <w:color w:val="auto"/>
                <w:highlight w:val="none"/>
                <w:u w:val="none" w:color="auto"/>
                <w:vertAlign w:val="baseline"/>
              </w:rPr>
              <w:t>anche nell'economia</w:t>
            </w:r>
            <w:r>
              <w:t xml:space="preserve"> dell'assistenza</w:t>
            </w:r>
            <w:r>
              <w:rPr>
                <w:b/>
                <w:i/>
                <w:strike w:val="0"/>
                <w:color w:val="auto"/>
                <w:highlight w:val="none"/>
                <w:u w:val="none" w:color="auto"/>
                <w:vertAlign w:val="baseline"/>
              </w:rPr>
              <w:t>, e</w:t>
            </w:r>
            <w:r>
              <w:t xml:space="preserve"> garantire pari opportunità di partecipazione e leadership nei settori pubblico e privato;</w:t>
            </w:r>
          </w:p>
        </w:tc>
        <w:tc>
          <w:tcPr>
            <w:tcW w:w="4876" w:type="dxa"/>
            <w:vAlign w:val="top"/>
          </w:tcPr>
          <w:p>
            <w:pPr>
              <w:pStyle w:val="Normal6a"/>
            </w:pPr>
            <w:r>
              <w:t>11.</w:t>
            </w:r>
            <w:r>
              <w:tab/>
            </w:r>
            <w:r>
              <w:t xml:space="preserve">chiede di accelerare gli sforzi al fine di colmare il divario </w:t>
            </w:r>
            <w:r>
              <w:rPr>
                <w:b/>
                <w:i/>
                <w:strike w:val="0"/>
                <w:color w:val="auto"/>
                <w:highlight w:val="none"/>
                <w:u w:val="none" w:color="auto"/>
                <w:vertAlign w:val="baseline"/>
              </w:rPr>
              <w:t>di genere a livello occupazionale e il divario</w:t>
            </w:r>
            <w:r>
              <w:t xml:space="preserve"> retributivo </w:t>
            </w:r>
            <w:r>
              <w:rPr>
                <w:b/>
                <w:i/>
                <w:strike w:val="0"/>
                <w:color w:val="auto"/>
                <w:highlight w:val="none"/>
                <w:u w:val="none" w:color="auto"/>
                <w:vertAlign w:val="baseline"/>
              </w:rPr>
              <w:t xml:space="preserve">e pensionistico </w:t>
            </w:r>
            <w:r>
              <w:t xml:space="preserve">di genere, </w:t>
            </w:r>
            <w:r>
              <w:rPr>
                <w:b/>
                <w:i/>
                <w:strike w:val="0"/>
                <w:color w:val="auto"/>
                <w:highlight w:val="none"/>
                <w:u w:val="none" w:color="auto"/>
                <w:vertAlign w:val="baseline"/>
              </w:rPr>
              <w:t>nonché di aumentare gli investimenti nei servizi pubblici e nelle infrastrutture sociali; chiede l'impegno a progredire verso società</w:t>
            </w:r>
            <w:r>
              <w:t xml:space="preserve"> dell'assistenza</w:t>
            </w:r>
            <w:r>
              <w:rPr>
                <w:b/>
                <w:i/>
                <w:strike w:val="0"/>
                <w:color w:val="auto"/>
                <w:highlight w:val="none"/>
                <w:u w:val="none" w:color="auto"/>
                <w:vertAlign w:val="baseline"/>
              </w:rPr>
              <w:t xml:space="preserve">; </w:t>
            </w:r>
            <w:r>
              <w:rPr>
                <w:b/>
                <w:i/>
                <w:strike w:val="0"/>
                <w:color w:val="auto"/>
                <w:highlight w:val="none"/>
                <w:u w:val="none" w:color="auto"/>
                <w:vertAlign w:val="baseline"/>
              </w:rPr>
              <w:t>chiede una valutazione e una remunerazione più eque del lavoro nei settori a prevalenza femminile, la trasparenza salariale, riforme della protezione sociale e la promozione di posti di lavoro di qualità esenti da molestie sessuali e violenza di genere; chiede sforzi per</w:t>
            </w:r>
            <w:r>
              <w:t xml:space="preserve"> garantire pari opportunità di partecipazione e leadership nei settori pubblico e privato </w:t>
            </w:r>
            <w:r>
              <w:rPr>
                <w:b/>
                <w:i/>
                <w:strike w:val="0"/>
                <w:color w:val="auto"/>
                <w:highlight w:val="none"/>
                <w:u w:val="none" w:color="auto"/>
                <w:vertAlign w:val="baseline"/>
              </w:rPr>
              <w:t>promuovendo una rappresentanza equilibrata sotto il profilo del genere nelle posizioni decisionali e di responsabilità e lottando contro il sessismo nella sfera pubblica e in quella privata</w:t>
            </w:r>
            <w:r>
              <w: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56</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11 bis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 bis.</w:t>
            </w:r>
            <w:r>
              <w:tab/>
            </w:r>
            <w:r>
              <w:rPr>
                <w:b/>
                <w:i/>
                <w:strike w:val="0"/>
                <w:color w:val="auto"/>
                <w:highlight w:val="none"/>
                <w:u w:val="none" w:color="auto"/>
                <w:vertAlign w:val="baseline"/>
              </w:rPr>
              <w:t>sottolinea la necessità di promuovere la parità di accesso all'istruzione e all'alfabetizzazione finanziaria per le donne e le ragazze, in particolare per quelle appartenenti a gruppi emarginati e vittime di discriminazione; evidenzia che tali politiche devono mirare a promuovere le pari opportunità e ad aumentare le possibilità delle donne e delle ragazze di ottenere un'occupazione stabile, ben retribuita e gratificante che garantisca la loro indipendenza finanziaria; chiede che le donne e le ragazze abbiano un migliore accesso agli strumenti e alla formazione in ambito digitale e invita a incentivare programmi e finanziamenti per le donne e le ragazze nei settori della scienza, della tecnologia, dell'ingegneria e della matematica (STEM) e degli studi e delle attività imprenditoriali;</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57</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11 ter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 ter.</w:t>
            </w:r>
            <w:r>
              <w:tab/>
            </w:r>
            <w:r>
              <w:rPr>
                <w:b/>
                <w:i/>
                <w:strike w:val="0"/>
                <w:color w:val="auto"/>
                <w:highlight w:val="none"/>
                <w:u w:val="none" w:color="auto"/>
                <w:vertAlign w:val="baseline"/>
              </w:rPr>
              <w:t>sottolinea l'importanza della tabella di marcia della Commissione per i diritti delle donne nel ribadire l'impegno dell'UE a favore della parità di genere e nel definire la nuova strategia per la parità di genere, che sarà pubblicata nel 2026; chiede un maggiore coinvolgimento degli Stati membri e un approccio globale che contempli i servizi in materia di salute sessuale e riproduttiva, la discriminazione intersezionale e la protezione delle donne vulnerabili;</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58</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11 quater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 quater.</w:t>
            </w:r>
            <w:r>
              <w:tab/>
            </w:r>
            <w:r>
              <w:rPr>
                <w:b/>
                <w:i/>
                <w:strike w:val="0"/>
                <w:color w:val="auto"/>
                <w:highlight w:val="none"/>
                <w:u w:val="none" w:color="auto"/>
                <w:vertAlign w:val="baseline"/>
              </w:rPr>
              <w:t>chiede che nella Carta dei diritti fondamentali dell'UE sia inserito il diritto universale all'accesso all'aborto sicuro e legale, e che sia istituito un quadro giuridicamente vincolante;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59</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11 quinquies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 quinquies.</w:t>
            </w:r>
            <w:r>
              <w:tab/>
            </w:r>
            <w:r>
              <w:rPr>
                <w:b/>
                <w:i/>
                <w:strike w:val="0"/>
                <w:color w:val="auto"/>
                <w:highlight w:val="none"/>
                <w:u w:val="none" w:color="auto"/>
                <w:vertAlign w:val="baseline"/>
              </w:rPr>
              <w:t>ribadisce che la salute sessuale e riproduttiva e i relativi diritti sono diritti umani fondamentali e che la loro realizzazione è un aspetto fondamentale della dignità umana e un prerequisito per il conseguimento della parità di genere; ribadisce l'impegno dell'UE a promuovere, proteggere e rispettare il diritto di ogni persona ad avere pieno controllo sulle questioni concernenti la propria sessualità e i propri diritti sessuali e riproduttivi, e a decidere in modo libero e responsabile al riguardo, senza discriminazioni, coercizioni o violenze;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60</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11 sexies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 sexies.</w:t>
            </w:r>
            <w:r>
              <w:tab/>
            </w:r>
            <w:r>
              <w:rPr>
                <w:b/>
                <w:i/>
                <w:strike w:val="0"/>
                <w:color w:val="auto"/>
                <w:highlight w:val="none"/>
                <w:u w:val="none" w:color="auto"/>
                <w:vertAlign w:val="baseline"/>
              </w:rPr>
              <w:t>sottolinea l'importanza di avere accesso a dati affidabili basati su solide fondamenta statistiche e di coinvolgere i cittadini come strumento per garantire che nessuno sia lasciato indietro; ritiene che ciò sia fondamentale per individuare le disparità tra paesi e regioni, elaborare politiche e valutare i progressi delle iniziative globali in materia di parità di genere;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61</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11 septies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 septies.</w:t>
            </w:r>
            <w:r>
              <w:tab/>
            </w:r>
            <w:r>
              <w:rPr>
                <w:b/>
                <w:i/>
                <w:strike w:val="0"/>
                <w:color w:val="auto"/>
                <w:highlight w:val="none"/>
                <w:u w:val="none" w:color="auto"/>
                <w:vertAlign w:val="baseline"/>
              </w:rPr>
              <w:t>chiede una maggiore promozione del diritto di ogni donna all'equilibrio tra vita professionale e vita privata favorendo la responsabilità congiunta e condizioni di lavoro che facilitino la conciliazione tra vita privata, familiare e lavorativa;</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62</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11 octies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 octies.</w:t>
            </w:r>
            <w:r>
              <w:tab/>
            </w:r>
            <w:r>
              <w:rPr>
                <w:b/>
                <w:i/>
                <w:strike w:val="0"/>
                <w:color w:val="auto"/>
                <w:highlight w:val="none"/>
                <w:u w:val="none" w:color="auto"/>
                <w:vertAlign w:val="baseline"/>
              </w:rPr>
              <w:t>è allarmato per i continui arretramenti in materia di salute sessuale e riproduttiva e relativi diritti, nonché per gli attacchi subiti dai relativi difensori in Europa e nel mondo; chiede un considerevole sforzo a livello europeo per proteggere i nostri valori fondamentali, come la parità di diritti all'autonomia fisica, e politiche più incisive per garantire a tutte le donne e le ragazze l'accesso universale ai servizi in materia di salute sessuale e riproduttiva, comprese le informazioni sulla pianificazione familiare, la contraccezione a prezzi accessibili, l'aborto gratuito, sicuro e legale nonché l'assistenza sanitaria materna;</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63</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11 nonies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 nonies.</w:t>
            </w:r>
            <w:r>
              <w:tab/>
            </w:r>
            <w:r>
              <w:rPr>
                <w:b/>
                <w:i/>
                <w:strike w:val="0"/>
                <w:color w:val="auto"/>
                <w:highlight w:val="none"/>
                <w:u w:val="none" w:color="auto"/>
                <w:vertAlign w:val="baseline"/>
              </w:rPr>
              <w:t>chiede politiche e azioni più incisive per promuovere l'accesso alla terra, al credito, all'imprenditorialità e all'istruzione, nonché all'occupazione e alla salute, in particolare per le donne e le ragazze in stato di vulnerabilità, le donne con disabilità, le donne incinte e le donne nelle zone rurali e insulari e nelle regioni ultraperiferiche;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64</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11 decies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 decies.</w:t>
            </w:r>
            <w:r>
              <w:tab/>
            </w:r>
            <w:r>
              <w:rPr>
                <w:b/>
                <w:i/>
                <w:strike w:val="0"/>
                <w:color w:val="auto"/>
                <w:highlight w:val="none"/>
                <w:u w:val="none" w:color="auto"/>
                <w:vertAlign w:val="baseline"/>
              </w:rPr>
              <w:t>invita gli Stati membri a garantire l'erogazione di un'educazione sessuale e relazionale obbligatoria, basata su dati concreti e completa nelle scuole primarie e secondarie, al fine di combattere la violenza di genere e gli stereotipi di genere; sottolinea che investire nell'istruzione delle ragazze comporta notevoli benefici per le generazioni a venire, in quanto contribuisce direttamente alla realizzazione dei loro diritti fondamentali e alla loro protezione da ogni forma di violenza, oltre a concorrere al miglioramento del benessere di intere società; invita, a tal proposito, la Commissione a presentare orientamenti dell'UE su un'educazione sessuale completa e basata su dati concreti, a partire dalle norme dell'OMS, e a promuovere la condivisione di buone pratiche tra gli Stati membri in tale ambito;</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65</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11 undecies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 undecies.</w:t>
            </w:r>
            <w:r>
              <w:tab/>
            </w:r>
            <w:r>
              <w:rPr>
                <w:b/>
                <w:i/>
                <w:strike w:val="0"/>
                <w:color w:val="auto"/>
                <w:highlight w:val="none"/>
                <w:u w:val="none" w:color="auto"/>
                <w:vertAlign w:val="baseline"/>
              </w:rPr>
              <w:t>esorta la Commissione a interrompere il finanziamento di movimenti, all'interno e all'esterno dell'UE, che contribuiscono a qualsiasi forma di oppressione nei confronti delle donne, tra cui campagne contro i diritti fondamentali, compresi i diritti delle donne e la salute sessuale e riproduttiva e relativi diritti;</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66</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11 duodecies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 duodecies.</w:t>
            </w:r>
            <w:r>
              <w:tab/>
            </w:r>
            <w:r>
              <w:rPr>
                <w:b/>
                <w:i/>
                <w:strike w:val="0"/>
                <w:color w:val="auto"/>
                <w:highlight w:val="none"/>
                <w:u w:val="none" w:color="auto"/>
                <w:vertAlign w:val="baseline"/>
              </w:rPr>
              <w:t>esprime rammarico per la regressione dei diritti delle persone LGBTIQ+ nonché per la transfobia che minaccia la parità di genere; denuncia il fatto che, tra il 2021 e il 2022, tre organizzazioni anti-LGBTIQ+ hanno registrato da sole entrate pari a un miliardo di USD, mentre 8 000 organizzazioni beneficiarie di sovvenzioni a favore delle persone LGBTIQ+ a livello globale hanno ricevuto complessivamente 905 milioni di USD</w:t>
            </w:r>
            <w:r>
              <w:rPr>
                <w:rStyle w:val="Sup"/>
              </w:rPr>
              <w:t>1 bis.</w:t>
            </w:r>
            <w:r>
              <w:rPr>
                <w:b/>
                <w:i/>
                <w:strike w:val="0"/>
                <w:color w:val="auto"/>
                <w:highlight w:val="none"/>
                <w:u w:val="none" w:color="auto"/>
                <w:vertAlign w:val="baseline"/>
              </w:rPr>
              <w:t>; mette in guardia contro il preoccupante aumento dei finanziamenti anti-gender che mirano a contrastare le progressive conquiste degli ultimi decenni sul fronte dei diritti delle donne e delle persone LGBTIQ+;</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 bis.</w:t>
            </w:r>
            <w:r>
              <w:t xml:space="preserve"> </w:t>
            </w:r>
            <w:r>
              <w:rPr>
                <w:b/>
                <w:i/>
                <w:strike w:val="0"/>
                <w:color w:val="auto"/>
                <w:highlight w:val="none"/>
                <w:u w:val="none" w:color="auto"/>
                <w:vertAlign w:val="baseline"/>
              </w:rPr>
              <w:t>Nota informativa del think tank ODI, dal titolo "Where next for feminist foreign policy on funding feminist movements?" (Quali sono i prossimi passi per una politica estera femminista in materia di finanziamento dei movimenti femministi?), https://media.odi.org/documents/ODI-ET-FundingMovements-PB-EN-May24-Final.pdf.</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67</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11 terdecies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 terdecies.</w:t>
            </w:r>
            <w:r>
              <w:tab/>
            </w:r>
            <w:r>
              <w:rPr>
                <w:b/>
                <w:i/>
                <w:strike w:val="0"/>
                <w:color w:val="auto"/>
                <w:highlight w:val="none"/>
                <w:u w:val="none" w:color="auto"/>
                <w:vertAlign w:val="baseline"/>
              </w:rPr>
              <w:t>chiede all'UE di vietare i centri di conversione negli Stati membri e di fare il possibile per prevenire ovunque tale pratica;</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68</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11 quaterdecies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 quaterdecies.</w:t>
            </w:r>
            <w:r>
              <w:tab/>
            </w:r>
            <w:r>
              <w:rPr>
                <w:b/>
                <w:i/>
                <w:strike w:val="0"/>
                <w:color w:val="auto"/>
                <w:highlight w:val="none"/>
                <w:u w:val="none" w:color="auto"/>
                <w:vertAlign w:val="baseline"/>
              </w:rPr>
              <w:t>invita l'UE a stabilire un obiettivo di finanziamento specifico per sostenere i diritti delle donne e le organizzazioni LGBTIQ+, i movimenti femministi e i difensori dei diritti umani in Europa e nel mondo; pone in evidenza la necessità di istituire un meccanismo di protezione per i difensori dei diritti umani nell'UE, prestando particolare attenzione alle donne, alle persone LGBTIQ+ e ai difensori dei diritti umani in materia di salute sessuale e riproduttiva e relativi diritti;</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69</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12 bis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12 bis.</w:t>
            </w:r>
            <w:r>
              <w:tab/>
            </w:r>
            <w:r>
              <w:rPr>
                <w:b/>
                <w:i/>
                <w:strike w:val="0"/>
                <w:color w:val="auto"/>
                <w:highlight w:val="none"/>
                <w:u w:val="none" w:color="auto"/>
                <w:vertAlign w:val="baseline"/>
              </w:rPr>
              <w:t>osserva che gli sforzi volti a conseguire gli OSS dovrebbero mettere in evidenza le politiche che promuovono l'innovazione, l'imprenditorialità e la creazione di posti di lavoro verdi, che in ultima analisi contribuiranno più in generale al conseguimento degli OSS e della parità di genere;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70</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13</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13.</w:t>
            </w:r>
            <w:r>
              <w:tab/>
            </w:r>
            <w:r>
              <w:t>chiede politiche più incisive e azioni audaci per promuovere uno sviluppo economico inclusivo e sostenibile; esorta l'UE e i partner globali a utilizzare strumenti quali la strategia Global Gateway per creare posti di lavoro dignitosi che riducano le disparità di reddito e garantiscano che nessuno sia lasciato indietro;</w:t>
            </w:r>
          </w:p>
        </w:tc>
        <w:tc>
          <w:tcPr>
            <w:tcW w:w="4876" w:type="dxa"/>
            <w:vAlign w:val="top"/>
          </w:tcPr>
          <w:p>
            <w:pPr>
              <w:pStyle w:val="Normal6a"/>
            </w:pPr>
            <w:r>
              <w:t>13.</w:t>
            </w:r>
            <w:r>
              <w:tab/>
            </w:r>
            <w:r>
              <w:t>chiede politiche più incisive e azioni audaci per promuovere uno sviluppo economico inclusivo e sostenibile; esorta l'UE e i partner globali a utilizzare strumenti quali la strategia Global Gateway per creare posti di lavoro dignitosi che riducano le disparità di reddito e garantiscano che nessuno sia lasciato indietro;</w:t>
            </w:r>
            <w:r>
              <w:rPr>
                <w:b/>
                <w:i/>
                <w:strike w:val="0"/>
                <w:color w:val="auto"/>
                <w:highlight w:val="none"/>
                <w:u w:val="none" w:color="auto"/>
                <w:vertAlign w:val="baseline"/>
              </w:rPr>
              <w:t xml:space="preserve"> chiede sforzi volti a fare in modo che le voci di coloro che hanno maggiori probabilità di essere lasciati indietro siano ascoltate e che sia data la priorità alla lotta contro la povertà e le condizioni di lavoro precarie, prestando particolare attenzione alle donne che subiscono forme intersezionali di discriminazione;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71</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13 bis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13 bis.</w:t>
            </w:r>
            <w:r>
              <w:tab/>
            </w:r>
            <w:r>
              <w:rPr>
                <w:b/>
                <w:i/>
                <w:strike w:val="0"/>
                <w:color w:val="auto"/>
                <w:highlight w:val="none"/>
                <w:u w:val="none" w:color="auto"/>
                <w:vertAlign w:val="baseline"/>
              </w:rPr>
              <w:t>sottolinea che la maggior parte del lavoro assistenziale non retribuito continua a rappresentare un onere unicamente a carico delle donne e che ciò ha conseguenze negative sul divario occupazionale di genere, sull'indipendenza economica e sul benessere sociale; invita l'UE a elaborare misure specifiche per riconoscere il lavoro assistenziale e fornire adeguati servizi di assistenza pubblica a sostegno di tale lavoro;</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72</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14</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14.</w:t>
            </w:r>
            <w:r>
              <w:tab/>
            </w:r>
            <w:r>
              <w:t xml:space="preserve">esprime preoccupazione per il fatto che in molti paesi in via di sviluppo la crescita economica continua a essere lenta e disomogenea, spesso ostacolata da fragilità strutturali, disuguaglianze economiche, instabilità politica </w:t>
            </w:r>
            <w:r>
              <w:rPr>
                <w:b/>
                <w:i/>
                <w:strike w:val="0"/>
                <w:color w:val="auto"/>
                <w:highlight w:val="none"/>
                <w:u w:val="none" w:color="auto"/>
                <w:vertAlign w:val="baseline"/>
              </w:rPr>
              <w:t>e</w:t>
            </w:r>
            <w:r>
              <w:t xml:space="preserve"> shock esterni;</w:t>
            </w:r>
          </w:p>
        </w:tc>
        <w:tc>
          <w:tcPr>
            <w:tcW w:w="4876" w:type="dxa"/>
            <w:vAlign w:val="top"/>
          </w:tcPr>
          <w:p>
            <w:pPr>
              <w:pStyle w:val="Normal6a"/>
            </w:pPr>
            <w:r>
              <w:t>14.</w:t>
            </w:r>
            <w:r>
              <w:tab/>
            </w:r>
            <w:r>
              <w:t>esprime preoccupazione per il fatto che in molti paesi in via di sviluppo la crescita economica continua a essere lenta e disomogenea, spesso ostacolata da fragilità strutturali, disuguaglianze economiche</w:t>
            </w:r>
            <w:r>
              <w:rPr>
                <w:b/>
                <w:i/>
                <w:strike w:val="0"/>
                <w:color w:val="auto"/>
                <w:highlight w:val="none"/>
                <w:u w:val="none" w:color="auto"/>
                <w:vertAlign w:val="baseline"/>
              </w:rPr>
              <w:t>, sociali e di genere</w:t>
            </w:r>
            <w:r>
              <w:t>, instabilità politica</w:t>
            </w:r>
            <w:r>
              <w:rPr>
                <w:b/>
                <w:i/>
                <w:strike w:val="0"/>
                <w:color w:val="auto"/>
                <w:highlight w:val="none"/>
                <w:u w:val="none" w:color="auto"/>
                <w:vertAlign w:val="baseline"/>
              </w:rPr>
              <w:t>,</w:t>
            </w:r>
            <w:r>
              <w:t xml:space="preserve"> shock esterni </w:t>
            </w:r>
            <w:r>
              <w:rPr>
                <w:b/>
                <w:i/>
                <w:strike w:val="0"/>
                <w:color w:val="auto"/>
                <w:highlight w:val="none"/>
                <w:u w:val="none" w:color="auto"/>
                <w:vertAlign w:val="baseline"/>
              </w:rPr>
              <w:t>e ingerenze straniere</w:t>
            </w:r>
            <w:r>
              <w: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73</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14 bis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14 bis.</w:t>
            </w:r>
            <w:r>
              <w:tab/>
            </w:r>
            <w:r>
              <w:rPr>
                <w:b/>
                <w:i/>
                <w:strike w:val="0"/>
                <w:color w:val="auto"/>
                <w:highlight w:val="none"/>
                <w:u w:val="none" w:color="auto"/>
                <w:vertAlign w:val="baseline"/>
              </w:rPr>
              <w:t>esprime preoccupazione per il fatto che all'interno dell'UE le disuguaglianze di genere in relazione al mercato del lavoro continuano ad aumentare; ricorda la necessità di sostenere e rafforzare l'integrazione della dimensione di genere e il bilancio di genere nella politica di coesione dell'UE, al fine di affrontare il divario occupazione di genere;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74</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15</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15.</w:t>
            </w:r>
            <w:r>
              <w:tab/>
            </w:r>
            <w:r>
              <w:t>raccomanda maggiori investimenti pubblici e privati nella ricerca, nell'istruzione e nello sviluppo delle competenze;</w:t>
            </w:r>
          </w:p>
        </w:tc>
        <w:tc>
          <w:tcPr>
            <w:tcW w:w="4876" w:type="dxa"/>
            <w:vAlign w:val="top"/>
          </w:tcPr>
          <w:p>
            <w:pPr>
              <w:pStyle w:val="Normal6a"/>
            </w:pPr>
            <w:r>
              <w:t>15.</w:t>
            </w:r>
            <w:r>
              <w:tab/>
            </w:r>
            <w:r>
              <w:t>raccomanda maggiori investimenti pubblici e privati nella ricerca, nell'istruzione e nello sviluppo delle competenze;</w:t>
            </w:r>
            <w:r>
              <w:rPr>
                <w:b/>
                <w:i/>
                <w:strike w:val="0"/>
                <w:color w:val="auto"/>
                <w:highlight w:val="none"/>
                <w:u w:val="none" w:color="auto"/>
                <w:vertAlign w:val="baseline"/>
              </w:rPr>
              <w:t xml:space="preserve"> invita l'UE a promuovere la formazione e l'occupazione di qualità per una transizione giusta, con particolare riguardo ai gruppi sistematicamente esclusi e svantaggiati, comprese le donne e la comunità LGBTIQ+;</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75</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16</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16.</w:t>
            </w:r>
            <w:r>
              <w:tab/>
            </w:r>
            <w:r>
              <w:t>sottolinea che le iniziative volte a stimolare la crescita economica non possono andare a scapito della giustizia sociale, dei diritti dei lavoratori o della protezione dell'ambiente;</w:t>
            </w:r>
          </w:p>
        </w:tc>
        <w:tc>
          <w:tcPr>
            <w:tcW w:w="4876" w:type="dxa"/>
            <w:vAlign w:val="top"/>
          </w:tcPr>
          <w:p>
            <w:pPr>
              <w:pStyle w:val="Normal6a"/>
            </w:pPr>
            <w:r>
              <w:t>16.</w:t>
            </w:r>
            <w:r>
              <w:tab/>
            </w:r>
            <w:r>
              <w:t xml:space="preserve">sottolinea che le iniziative volte a stimolare la crescita economica non possono andare a scapito della giustizia sociale, </w:t>
            </w:r>
            <w:r>
              <w:rPr>
                <w:b/>
                <w:i/>
                <w:strike w:val="0"/>
                <w:color w:val="auto"/>
                <w:highlight w:val="none"/>
                <w:u w:val="none" w:color="auto"/>
                <w:vertAlign w:val="baseline"/>
              </w:rPr>
              <w:t>della parità di genere,</w:t>
            </w:r>
            <w:r>
              <w:t xml:space="preserve"> dei diritti dei lavoratori o della protezione dell'ambiente</w:t>
            </w:r>
            <w:r>
              <w:rPr>
                <w:b/>
                <w:i/>
                <w:strike w:val="0"/>
                <w:color w:val="auto"/>
                <w:highlight w:val="none"/>
                <w:u w:val="none" w:color="auto"/>
                <w:vertAlign w:val="baseline"/>
              </w:rPr>
              <w:t>, soprattutto perché è molto probabile che le donne e le persone appartenenti a gruppi minoritari siano le prime a risentire delle disuguaglianze generate dalla crescita economica</w:t>
            </w:r>
            <w:r>
              <w: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76</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16 bis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16 bis.</w:t>
            </w:r>
            <w:r>
              <w:tab/>
            </w:r>
            <w:r>
              <w:rPr>
                <w:b/>
                <w:i/>
                <w:strike w:val="0"/>
                <w:color w:val="auto"/>
                <w:highlight w:val="none"/>
                <w:u w:val="none" w:color="auto"/>
                <w:vertAlign w:val="baseline"/>
              </w:rPr>
              <w:t>sottolinea che persistono divari per quanto riguarda la disoccupazione globale di donne e giovani e che, a livello mondiale, le giovani donne hanno più del doppio delle probabilità di essere NEET (giovani che non hanno un lavoro, né seguono un percorso scolastico o formativo) rispetto ai giovani uomini; riconosce che la promozione della parità di genere nelle politiche in materia di istruzione, formazione, mercato del lavoro ed equilibrio tra vita professionale e vita privata può aumentare la prosperità e rafforzare la competitività economica, evitando nel contempo il sottoutilizzo dei beni e dei talenti;</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77</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16 ter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16 ter.</w:t>
            </w:r>
            <w:r>
              <w:tab/>
            </w:r>
            <w:r>
              <w:rPr>
                <w:b/>
                <w:i/>
                <w:strike w:val="0"/>
                <w:color w:val="auto"/>
                <w:highlight w:val="none"/>
                <w:u w:val="none" w:color="auto"/>
                <w:vertAlign w:val="baseline"/>
              </w:rPr>
              <w:t>ricorda che è fondamentale creare incentivi affinché le imprese allineino le loro attività agli OSS, garantendo nel contempo che il mercato rimanga competitivo e in grado di stimolare l'innovazione nello sviluppo sostenibile per le donne e le ragazze;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78</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17 bis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17 bis.</w:t>
            </w:r>
            <w:r>
              <w:tab/>
            </w:r>
            <w:r>
              <w:rPr>
                <w:b/>
                <w:i/>
                <w:strike w:val="0"/>
                <w:color w:val="auto"/>
                <w:highlight w:val="none"/>
                <w:u w:val="none" w:color="auto"/>
                <w:vertAlign w:val="baseline"/>
              </w:rPr>
              <w:t>sottolinea l'impatto sproporzionato del degrado ambientale, in particolare dell'inquinamento da plastica, sulle donne e sulle ragazze; chiede maggiori risorse per la ricerca sugli effetti dell'inquinamento da (micro)plastica sul sistema ormonale femminile e sul potenziale impatto sulla fertilità;</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79</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19</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19.</w:t>
            </w:r>
            <w:r>
              <w:tab/>
            </w:r>
            <w:r>
              <w:t xml:space="preserve">ritiene che siano urgentemente necessarie misure globali vincolanti per affrontare le carenze, accelerare l'azione e garantire la sostenibilità a lungo termine degli oceani, anche attraverso pratiche di pesca sostenibili, la lotta alla pesca illegale, non dichiarata e non regolamentata, il rafforzamento degli sforzi di conservazione dell'ambiente marino </w:t>
            </w:r>
            <w:r>
              <w:rPr>
                <w:b/>
                <w:i/>
                <w:strike w:val="0"/>
                <w:color w:val="auto"/>
                <w:highlight w:val="none"/>
                <w:u w:val="none" w:color="auto"/>
                <w:vertAlign w:val="baseline"/>
              </w:rPr>
              <w:t>e</w:t>
            </w:r>
            <w:r>
              <w:t xml:space="preserve"> l'adozione di un trattato globale sull'inquinamento da plastica;</w:t>
            </w:r>
          </w:p>
        </w:tc>
        <w:tc>
          <w:tcPr>
            <w:tcW w:w="4876" w:type="dxa"/>
            <w:vAlign w:val="top"/>
          </w:tcPr>
          <w:p>
            <w:pPr>
              <w:pStyle w:val="Normal6a"/>
            </w:pPr>
            <w:r>
              <w:t>19.</w:t>
            </w:r>
            <w:r>
              <w:tab/>
            </w:r>
            <w:r>
              <w:t>ritiene che siano urgentemente necessarie misure globali vincolanti per affrontare le carenze, accelerare l'azione e garantire la sostenibilità a lungo termine degli oceani, anche attraverso pratiche di pesca sostenibili, la lotta alla pesca illegale, non dichiarata e non regolamentata, il rafforzamento degli sforzi di conservazione dell'ambiente marino</w:t>
            </w:r>
            <w:r>
              <w:rPr>
                <w:b/>
                <w:i/>
                <w:strike w:val="0"/>
                <w:color w:val="auto"/>
                <w:highlight w:val="none"/>
                <w:u w:val="none" w:color="auto"/>
                <w:vertAlign w:val="baseline"/>
              </w:rPr>
              <w:t xml:space="preserve"> mediante l'efficace tutela delle zone marine protette,</w:t>
            </w:r>
            <w:r>
              <w:t xml:space="preserve"> l'adozione di un trattato globale sull'inquinamento da plastica </w:t>
            </w:r>
            <w:r>
              <w:rPr>
                <w:b/>
                <w:i/>
                <w:strike w:val="0"/>
                <w:color w:val="auto"/>
                <w:highlight w:val="none"/>
                <w:u w:val="none" w:color="auto"/>
                <w:vertAlign w:val="baseline"/>
              </w:rPr>
              <w:t>nonché la tutela dei diritti dei pescatori su piccola scala e l'accesso alle risorse e ai mercati della pesca, garantendo che le donne e gli uomini coinvolti nella pesca artigianale partecipino in modo equo ed efficace alle decisioni che li riguardano</w:t>
            </w:r>
            <w:r>
              <w: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80</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19 bis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19 bis.</w:t>
            </w:r>
            <w:r>
              <w:tab/>
            </w:r>
            <w:r>
              <w:rPr>
                <w:b/>
                <w:i/>
                <w:strike w:val="0"/>
                <w:color w:val="auto"/>
                <w:highlight w:val="none"/>
                <w:u w:val="none" w:color="auto"/>
                <w:vertAlign w:val="baseline"/>
              </w:rPr>
              <w:t>sottolinea più specificamente la necessità di riconoscere il lavoro e il contributo delle donne nella catena del valore della pesca su piccola scala e di migliorare le loro condizioni di lavoro;</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81</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19 ter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19 ter.</w:t>
            </w:r>
            <w:r>
              <w:tab/>
            </w:r>
            <w:r>
              <w:rPr>
                <w:b/>
                <w:i/>
                <w:strike w:val="0"/>
                <w:color w:val="auto"/>
                <w:highlight w:val="none"/>
                <w:u w:val="none" w:color="auto"/>
                <w:vertAlign w:val="baseline"/>
              </w:rPr>
              <w:t>sottolinea che un rinnovato impegno esplicito a favore degli OSS invierà un segnale chiaro ai partner di tutto il mondo e sosterrà l'azione globale dell'UE</w:t>
            </w:r>
            <w:r>
              <w:rPr>
                <w:rStyle w:val="Sup"/>
              </w:rPr>
              <w:t>1 bis.</w:t>
            </w:r>
            <w:r>
              <w:rPr>
                <w:b/>
                <w:i/>
                <w:strike w:val="0"/>
                <w:color w:val="auto"/>
                <w:highlight w:val="none"/>
                <w:u w:val="none" w:color="auto"/>
                <w:vertAlign w:val="baseline"/>
              </w:rPr>
              <w: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 bis.</w:t>
            </w:r>
            <w:r>
              <w:t xml:space="preserve"> </w:t>
            </w:r>
            <w:r>
              <w:rPr>
                <w:b/>
                <w:i/>
                <w:strike w:val="0"/>
                <w:color w:val="auto"/>
                <w:highlight w:val="none"/>
                <w:u w:val="none" w:color="auto"/>
                <w:vertAlign w:val="baseline"/>
              </w:rPr>
              <w:t>Unesco, "Gender Equality for Ocean Sustainability" (La parità di genere per la sostenibilità degli oceani), https://www.unesco.org/en/articles/gender-equality-ocean-sustainability.</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82</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20</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20.</w:t>
            </w:r>
            <w:r>
              <w:tab/>
            </w:r>
            <w:r>
              <w:t>invita l'UE a continuare a sostenere il multilateralismo e ad esercitare un ruolo guida a livello globale nel promuovere l'attuazione degli OSS e dell'Agenda 2030; sottolinea che un rinnovato impegno esplicito a favore degli OSS invierà un segnale chiaro ai partner di tutto il mondo e sosterrà l'azione globale dell'UE;</w:t>
            </w:r>
          </w:p>
        </w:tc>
        <w:tc>
          <w:tcPr>
            <w:tcW w:w="4876" w:type="dxa"/>
            <w:vAlign w:val="top"/>
          </w:tcPr>
          <w:p>
            <w:pPr>
              <w:pStyle w:val="Normal6a"/>
            </w:pPr>
            <w:r>
              <w:t>20.</w:t>
            </w:r>
            <w:r>
              <w:tab/>
            </w:r>
            <w:r>
              <w:t>invita l'UE a continuare a sostenere il multilateralismo e ad esercitare un ruolo guida a livello globale nel promuovere l'attuazione degli OSS e dell'Agenda 2030; sottolinea che un rinnovato impegno esplicito a favore degli OSS invierà un segnale chiaro ai partner di tutto il mondo e sosterrà l'azione globale dell'UE;</w:t>
            </w:r>
            <w:r>
              <w:rPr>
                <w:b/>
                <w:i/>
                <w:strike w:val="0"/>
                <w:color w:val="auto"/>
                <w:highlight w:val="none"/>
                <w:u w:val="none" w:color="auto"/>
                <w:vertAlign w:val="baseline"/>
              </w:rPr>
              <w:t xml:space="preserve"> evidenzia che un rinnovato impegno deve essere accompagnato da misure concrete da parte dell'UE e che essa deve garantire che la parità di genere sia parte integrante dei dialoghi politici con i paesi partner a livello bilaterale e multilaterale;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83</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21</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21.</w:t>
            </w:r>
            <w:r>
              <w:tab/>
            </w:r>
            <w:r>
              <w:t>ribadisce che l'aiuto pubblico allo sviluppo (APS) rimane una fonte fondamentale di finanziamento pubblico; invita pertanto tutti gli Stati membri dell'UE e i partner globali a garantire finanziamenti sufficienti per rispettare l'impegno di spendere lo 0,7 % del reddito nazionale lordo per l'APS;</w:t>
            </w:r>
          </w:p>
        </w:tc>
        <w:tc>
          <w:tcPr>
            <w:tcW w:w="4876" w:type="dxa"/>
            <w:vAlign w:val="top"/>
          </w:tcPr>
          <w:p>
            <w:pPr>
              <w:pStyle w:val="Normal6a"/>
            </w:pPr>
            <w:r>
              <w:t>21.</w:t>
            </w:r>
            <w:r>
              <w:tab/>
            </w:r>
            <w:r>
              <w:t xml:space="preserve">ribadisce che </w:t>
            </w:r>
            <w:r>
              <w:rPr>
                <w:b/>
                <w:i/>
                <w:strike w:val="0"/>
                <w:color w:val="auto"/>
                <w:highlight w:val="none"/>
                <w:u w:val="none" w:color="auto"/>
                <w:vertAlign w:val="baseline"/>
              </w:rPr>
              <w:t>sarà possibile conseguire gli OSS solo se saranno finanziati in modo sufficiente e sostenibile e</w:t>
            </w:r>
            <w:r>
              <w:t xml:space="preserve"> che l'aiuto pubblico allo sviluppo (APS) rimane una fonte fondamentale di finanziamento pubblico; invita pertanto tutti gli Stati membri dell'UE e i partner globali a garantire finanziamenti sufficienti per rispettare l'impegno di spendere lo 0,7 % del reddito nazionale lordo per l'APS</w:t>
            </w:r>
            <w:r>
              <w:rPr>
                <w:b/>
                <w:i/>
                <w:strike w:val="0"/>
                <w:color w:val="auto"/>
                <w:highlight w:val="none"/>
                <w:u w:val="none" w:color="auto"/>
                <w:vertAlign w:val="baseline"/>
              </w:rPr>
              <w:t>, giacché al momento solo quattro dei 21 Stati membri che sono membri del comitato di aiuto allo sviluppo rispettano tale impegno internazionale</w:t>
            </w:r>
            <w:r>
              <w: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84</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22</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22.</w:t>
            </w:r>
            <w:r>
              <w:tab/>
            </w:r>
            <w:r>
              <w:t>evidenzia il ruolo cruciale dei partenariati multilaterali e il coinvolgimento dei governi locali, della società civile e dei rappresentanti dei giovani;</w:t>
            </w:r>
          </w:p>
        </w:tc>
        <w:tc>
          <w:tcPr>
            <w:tcW w:w="4876" w:type="dxa"/>
            <w:vAlign w:val="top"/>
          </w:tcPr>
          <w:p>
            <w:pPr>
              <w:pStyle w:val="Normal6a"/>
            </w:pPr>
            <w:r>
              <w:t>22.</w:t>
            </w:r>
            <w:r>
              <w:tab/>
            </w:r>
            <w:r>
              <w:t>evidenzia il ruolo cruciale dei partenariati multilaterali e il coinvolgimento dei governi locali, della società civile e dei rappresentanti dei giovani;</w:t>
            </w:r>
            <w:r>
              <w:rPr>
                <w:b/>
                <w:i/>
                <w:strike w:val="0"/>
                <w:color w:val="auto"/>
                <w:highlight w:val="none"/>
                <w:u w:val="none" w:color="auto"/>
                <w:vertAlign w:val="baseline"/>
              </w:rPr>
              <w:t xml:space="preserve"> ribadisce che le organizzazioni della società civile sono attori chiave all'interno di democrazie dinamiche e sottolinea che gli OSS, in particolare l'OSS 5, non possono essere conseguiti senza la partecipazione delle organizzazioni della società civile, comprese le organizzazioni femminili e LGBTIQ+ di base; deplora, a tale proposito, i crescenti attacchi ingiustificati contro le organizzazioni della società civile e la chiusura degli spazi civici, sia in Europa che nel resto del mondo; sottolinea, a tale riguardo, la necessità di garantire finanziamenti regolari, adeguati e sostenibili per le organizzazioni della società civile e di mantenere un dialogo aperto, trasparente e strutturato con esse;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85</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23</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23.</w:t>
            </w:r>
            <w:r>
              <w:tab/>
            </w:r>
            <w:r>
              <w:t>chiede l'alleviamento e la ristrutturazione del debito per i paesi in via di sviluppo nonché una riforma delle istituzioni finanziarie globali, comprese le banche multilaterali di sviluppo, al fine di renderle idonee all'attuazione degli OSS;</w:t>
            </w:r>
          </w:p>
        </w:tc>
        <w:tc>
          <w:tcPr>
            <w:tcW w:w="4876" w:type="dxa"/>
            <w:vAlign w:val="top"/>
          </w:tcPr>
          <w:p>
            <w:pPr>
              <w:pStyle w:val="Normal6a"/>
            </w:pPr>
            <w:r>
              <w:t>23.</w:t>
            </w:r>
            <w:r>
              <w:tab/>
            </w:r>
            <w:r>
              <w:t xml:space="preserve">chiede l'alleviamento e la ristrutturazione del debito per i paesi in via di sviluppo nonché una riforma delle istituzioni finanziarie globali, comprese le banche multilaterali di sviluppo, al fine di renderle idonee all'attuazione degli OSS </w:t>
            </w:r>
            <w:r>
              <w:rPr>
                <w:b/>
                <w:i/>
                <w:strike w:val="0"/>
                <w:color w:val="auto"/>
                <w:highlight w:val="none"/>
                <w:u w:val="none" w:color="auto"/>
                <w:vertAlign w:val="baseline"/>
              </w:rPr>
              <w:t>e ridurre le disuguaglianze economiche, sociali e di genere; chiede che nel documento finale della quarta Conferenza internazionale sul finanziamento dello sviluppo sia inclusa una prospettiva di genere più forte</w:t>
            </w:r>
            <w:r>
              <w: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86</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risoluzione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Paragrafo 26</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di risoluzione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26.</w:t>
            </w:r>
            <w:r>
              <w:tab/>
            </w:r>
            <w:r>
              <w:t>ribadisce che gli OSS sono l'unico insieme di obiettivi completo e concordato a livello mondiale che risponde alle principali sfide che interessano sia i paesi avanzati che quelli in via di sviluppo, oltre a essere lo strumento migliore per affrontarne le cause profonde;</w:t>
            </w:r>
          </w:p>
        </w:tc>
        <w:tc>
          <w:tcPr>
            <w:tcW w:w="4876" w:type="dxa"/>
            <w:vAlign w:val="top"/>
          </w:tcPr>
          <w:p>
            <w:pPr>
              <w:pStyle w:val="Normal6a"/>
            </w:pPr>
            <w:r>
              <w:t>26.</w:t>
            </w:r>
            <w:r>
              <w:tab/>
            </w:r>
            <w:r>
              <w:t>ribadisce che gli OSS sono l'unico insieme di obiettivi completo e concordato a livello mondiale che risponde alle principali sfide che interessano sia i paesi avanzati che quelli in via di sviluppo, oltre a essere lo strumento migliore per affrontarne le cause profonde;</w:t>
            </w:r>
            <w:r>
              <w:rPr>
                <w:b/>
                <w:i/>
                <w:strike w:val="0"/>
                <w:color w:val="auto"/>
                <w:highlight w:val="none"/>
                <w:u w:val="none" w:color="auto"/>
                <w:vertAlign w:val="baseline"/>
              </w:rPr>
              <w:t xml:space="preserve"> esorta la Commissione e gli Stati membri ad adoperarsi per la piena attuazione degli OSS, sia all'interno che al di fuori dell'UE, in quanto si tratta di un quadro universale;</w:t>
            </w:r>
          </w:p>
        </w:tc>
      </w:tr>
    </w:tbl>
    <w:p>
      <w:r>
        <w:rPr>
          <w:rStyle w:val="HideTWBExt"/>
        </w:rPr>
        <w:t>&lt;/</w:t>
      </w:r>
      <w:r>
        <w:rPr>
          <w:rStyle w:val="HideTWBExt"/>
        </w:rPr>
        <w:t>Amend</w:t>
      </w:r>
      <w:r>
        <w:rPr>
          <w:rStyle w:val="HideTWBExt"/>
        </w:rPr>
        <w:t>&gt;</w:t>
      </w:r>
    </w:p>
    <w:p>
      <w:r>
        <w:rPr>
          <w:rStyle w:val="HideTWBExt"/>
        </w:rPr>
        <w:t>&lt;/</w:t>
      </w:r>
      <w:r>
        <w:rPr>
          <w:rStyle w:val="HideTWBExt"/>
        </w:rPr>
        <w:t>RepeatBlock-Amend</w:t>
      </w:r>
      <w:r>
        <w:rPr>
          <w:rStyle w:val="HideTWBExt"/>
        </w:rPr>
        <w:t>&gt;</w:t>
      </w:r>
    </w:p>
    <w:p>
      <w:pPr>
        <w:sectPr>
          <w:type w:val="nextPage"/>
          <w:pgSz w:w="11906" w:h="16838"/>
          <w:pgMar w:top="1134" w:right="1417" w:bottom="1417" w:left="1417" w:header="1134" w:footer="567" w:gutter="0"/>
          <w:cols w:num="1" w:space="708"/>
          <w:titlePg w:val="0"/>
          <w:docGrid w:linePitch="360"/>
        </w:sectPr>
      </w:pPr>
    </w:p>
    <w:p>
      <w:pPr>
        <w:pStyle w:val="PageHeadingNotTOC"/>
      </w:pPr>
      <w:r>
        <w:t>ALLEGATO: ENTITÀ O PERSONE DA CUI LA RELATRICE PER PARERE HA RICEVUTO CONTRIBUTI</w:t>
      </w:r>
    </w:p>
    <w:p>
      <w:pPr>
        <w:pStyle w:val="Normal12a"/>
      </w:pPr>
    </w:p>
    <w:p>
      <w:pPr>
        <w:pStyle w:val="Normal12a"/>
      </w:pPr>
      <w:r>
        <w:t>La relatrice dichiara, sotto la sua esclusiva responsabilità, di non aver ricevuto alcun contributo da entità o persone da menzionare nel presente allegato in virtù dell'allegato I, articolo 8, del regolamento.</w:t>
      </w:r>
    </w:p>
    <w:p>
      <w:pPr>
        <w:pStyle w:val="Normal12a"/>
        <w:sectPr>
          <w:type w:val="nextPage"/>
          <w:pgSz w:w="11906" w:h="16838"/>
          <w:pgMar w:top="1134" w:right="1417" w:bottom="1417" w:left="1417" w:header="1134" w:footer="567" w:gutter="0"/>
          <w:cols w:num="1" w:space="708"/>
          <w:titlePg w:val="0"/>
          <w:docGrid w:linePitch="360"/>
        </w:sectPr>
      </w:pPr>
    </w:p>
    <w:p>
      <w:pPr>
        <w:pStyle w:val="PageHeading"/>
      </w:pPr>
      <w:r>
        <w:t>INFORMAZIONI SULL'APPROVAZIONE IN SEDE DI COMMISSIONE COMPETENTE PER PARERE</w:t>
      </w:r>
    </w:p>
    <w:tbl>
      <w:tblPr>
        <w:jc w:val="left"/>
        <w:tblLayout w:type="fixed"/>
        <w:tblCellMar>
          <w:top w:w="54" w:type="dxa"/>
          <w:left w:w="108" w:type="dxa"/>
          <w:bottom w:w="54" w:type="dxa"/>
          <w:right w:w="108" w:type="dxa"/>
        </w:tblCellMar>
      </w:tblPr>
      <w:tblGrid>
        <w:gridCol w:w="3600"/>
        <w:gridCol w:w="6400"/>
      </w:tblGrid>
      <w:tr>
        <w:tblPrEx>
          <w:jc w:val="left"/>
          <w:tblLayout w:type="fixed"/>
          <w:tblCellMar>
            <w:top w:w="54" w:type="dxa"/>
            <w:left w:w="108" w:type="dxa"/>
            <w:bottom w:w="54" w:type="dxa"/>
            <w:right w:w="108" w:type="dxa"/>
          </w:tblCellMar>
        </w:tblPrEx>
        <w:trPr>
          <w:cantSplit w:val="0"/>
          <w:trHeight w:hRule="auto" w:val="0"/>
          <w:jc w:val="left"/>
        </w:trPr>
        <w:tc>
          <w:tcPr>
            <w:tcW w:w="3600" w:type="dxa"/>
            <w:tcBorders>
              <w:top w:val="single" w:sz="8" w:space="0" w:color="000000"/>
              <w:left w:val="single" w:sz="8" w:space="0" w:color="000000"/>
              <w:bottom w:val="single" w:sz="8" w:space="0" w:color="000000"/>
              <w:right w:val="single" w:sz="8" w:space="0" w:color="000000"/>
            </w:tcBorders>
            <w:vAlign w:val="top"/>
          </w:tcPr>
          <w:p>
            <w:pPr>
              <w:pStyle w:val="ProcedureTableBold"/>
            </w:pPr>
            <w:r>
              <w:t>Approvazione</w:t>
            </w:r>
          </w:p>
        </w:tc>
        <w:tc>
          <w:tcPr>
            <w:tcW w:w="6400" w:type="dxa"/>
            <w:tcBorders>
              <w:top w:val="single" w:sz="8" w:space="0" w:color="000000"/>
              <w:bottom w:val="single" w:sz="8" w:space="0" w:color="000000"/>
              <w:right w:val="single" w:sz="8" w:space="0" w:color="000000"/>
            </w:tcBorders>
            <w:vAlign w:val="top"/>
          </w:tcPr>
          <w:p>
            <w:pPr>
              <w:pStyle w:val="ProcedureTable"/>
            </w:pPr>
            <w:r>
              <w:t>20.5.2025</w:t>
            </w:r>
          </w:p>
        </w:tc>
      </w:tr>
      <w:tr>
        <w:tblPrEx>
          <w:jc w:val="left"/>
          <w:tblLayout w:type="fixed"/>
          <w:tblCellMar>
            <w:top w:w="54" w:type="dxa"/>
            <w:left w:w="108" w:type="dxa"/>
            <w:bottom w:w="54" w:type="dxa"/>
            <w:right w:w="108" w:type="dxa"/>
          </w:tblCellMar>
        </w:tblPrEx>
        <w:trPr>
          <w:cantSplit w:val="0"/>
          <w:trHeight w:hRule="auto" w:val="0"/>
          <w:jc w:val="left"/>
        </w:trPr>
        <w:tc>
          <w:tcPr>
            <w:tcW w:w="3600" w:type="dxa"/>
            <w:tcBorders>
              <w:top w:val="single" w:sz="8" w:space="0" w:color="000000"/>
              <w:left w:val="single" w:sz="8" w:space="0" w:color="000000"/>
              <w:bottom w:val="single" w:sz="8" w:space="0" w:color="000000"/>
              <w:right w:val="single" w:sz="8" w:space="0" w:color="000000"/>
            </w:tcBorders>
            <w:vAlign w:val="top"/>
          </w:tcPr>
          <w:p>
            <w:pPr>
              <w:pStyle w:val="ProcedureTableBold"/>
            </w:pPr>
            <w:r>
              <w:t>Esito della votazione finale</w:t>
            </w:r>
          </w:p>
        </w:tc>
        <w:tc>
          <w:tcPr>
            <w:tcW w:w="6400" w:type="dxa"/>
            <w:tcBorders>
              <w:top w:val="single" w:sz="8" w:space="0" w:color="000000"/>
              <w:bottom w:val="single" w:sz="8" w:space="0" w:color="000000"/>
              <w:right w:val="single" w:sz="8" w:space="0" w:color="000000"/>
            </w:tcBorders>
            <w:vAlign w:val="top"/>
          </w:tcPr>
          <w:p>
            <w:pPr>
              <w:pStyle w:val="ProcedureTable"/>
            </w:pPr>
            <w:r>
              <w:t>+</w:t>
            </w:r>
            <w:r>
              <w:tab/>
            </w:r>
            <w:r>
              <w:t>:</w:t>
            </w:r>
            <w:r>
              <w:tab/>
            </w:r>
            <w:r>
              <w:t>17</w:t>
            </w:r>
          </w:p>
          <w:p>
            <w:pPr>
              <w:pStyle w:val="ProcedureTable"/>
            </w:pPr>
            <w:r>
              <w:t>-</w:t>
            </w:r>
            <w:r>
              <w:tab/>
            </w:r>
            <w:r>
              <w:t>:</w:t>
            </w:r>
            <w:r>
              <w:tab/>
            </w:r>
            <w:r>
              <w:t>11</w:t>
            </w:r>
          </w:p>
          <w:p>
            <w:pPr>
              <w:pStyle w:val="ProcedureTable"/>
            </w:pPr>
            <w:r>
              <w:t>0</w:t>
            </w:r>
            <w:r>
              <w:tab/>
            </w:r>
            <w:r>
              <w:t>:</w:t>
            </w:r>
            <w:r>
              <w:tab/>
            </w:r>
            <w:r>
              <w:t>8</w:t>
            </w:r>
          </w:p>
        </w:tc>
      </w:tr>
      <w:tr>
        <w:tblPrEx>
          <w:jc w:val="left"/>
          <w:tblLayout w:type="fixed"/>
          <w:tblCellMar>
            <w:top w:w="54" w:type="dxa"/>
            <w:left w:w="108" w:type="dxa"/>
            <w:bottom w:w="54" w:type="dxa"/>
            <w:right w:w="108" w:type="dxa"/>
          </w:tblCellMar>
        </w:tblPrEx>
        <w:trPr>
          <w:cantSplit w:val="0"/>
          <w:trHeight w:hRule="auto" w:val="0"/>
          <w:jc w:val="left"/>
        </w:trPr>
        <w:tc>
          <w:tcPr>
            <w:tcW w:w="3600" w:type="dxa"/>
            <w:tcBorders>
              <w:top w:val="single" w:sz="8" w:space="0" w:color="000000"/>
              <w:left w:val="single" w:sz="8" w:space="0" w:color="000000"/>
              <w:bottom w:val="single" w:sz="8" w:space="0" w:color="000000"/>
              <w:right w:val="single" w:sz="8" w:space="0" w:color="000000"/>
            </w:tcBorders>
            <w:vAlign w:val="top"/>
          </w:tcPr>
          <w:p>
            <w:pPr>
              <w:pStyle w:val="ProcedureTableBold"/>
            </w:pPr>
            <w:r>
              <w:t>Membri titolari presenti al momento della votazione finale</w:t>
            </w:r>
          </w:p>
        </w:tc>
        <w:tc>
          <w:tcPr>
            <w:tcW w:w="6400" w:type="dxa"/>
            <w:tcBorders>
              <w:top w:val="single" w:sz="8" w:space="0" w:color="000000"/>
              <w:bottom w:val="single" w:sz="8" w:space="0" w:color="000000"/>
              <w:right w:val="single" w:sz="8" w:space="0" w:color="000000"/>
            </w:tcBorders>
            <w:vAlign w:val="top"/>
          </w:tcPr>
          <w:p>
            <w:pPr>
              <w:pStyle w:val="ProcedureTable"/>
            </w:pPr>
            <w:r>
              <w:t>Mathilde Androuët, Mireia Borrás Pabón, Irmhild Boßdorf, Mélissa Camara, Margarita de la Pisa Carrión, Valérie Devaux, Elisabeth Dieringer, Rosa Estaràs Ferragut, Viktória Ferenc, Heléne Fritzon, Lina Gálvez, Chiara Gemma, Gabriella Gerzsenyi, Arba Kokalari, Sebastian Kruis, Judita Laššáková, Eleonora Meleti, Irene Montero, Maria Noichl, Sirpa Pietikäinen, Giusi Princi, Joanna Scheuring-Wielgus, Benedetta Scuderi, Laurence Trochu, Marko Vešligaj, Dainius Žalimas</w:t>
            </w:r>
          </w:p>
        </w:tc>
      </w:tr>
      <w:tr>
        <w:tblPrEx>
          <w:jc w:val="left"/>
          <w:tblLayout w:type="fixed"/>
          <w:tblCellMar>
            <w:top w:w="54" w:type="dxa"/>
            <w:left w:w="108" w:type="dxa"/>
            <w:bottom w:w="54" w:type="dxa"/>
            <w:right w:w="108" w:type="dxa"/>
          </w:tblCellMar>
        </w:tblPrEx>
        <w:trPr>
          <w:cantSplit w:val="0"/>
          <w:trHeight w:hRule="auto" w:val="0"/>
          <w:jc w:val="left"/>
        </w:trPr>
        <w:tc>
          <w:tcPr>
            <w:tcW w:w="3600" w:type="dxa"/>
            <w:tcBorders>
              <w:top w:val="single" w:sz="8" w:space="0" w:color="000000"/>
              <w:left w:val="single" w:sz="8" w:space="0" w:color="000000"/>
              <w:bottom w:val="single" w:sz="8" w:space="0" w:color="000000"/>
              <w:right w:val="single" w:sz="8" w:space="0" w:color="000000"/>
            </w:tcBorders>
            <w:vAlign w:val="top"/>
          </w:tcPr>
          <w:p>
            <w:pPr>
              <w:pStyle w:val="ProcedureTableBold"/>
            </w:pPr>
            <w:r>
              <w:t>Supplenti presenti al momento della votazione finale</w:t>
            </w:r>
          </w:p>
        </w:tc>
        <w:tc>
          <w:tcPr>
            <w:tcW w:w="6400" w:type="dxa"/>
            <w:tcBorders>
              <w:top w:val="single" w:sz="8" w:space="0" w:color="000000"/>
              <w:bottom w:val="single" w:sz="8" w:space="0" w:color="000000"/>
              <w:right w:val="single" w:sz="8" w:space="0" w:color="000000"/>
            </w:tcBorders>
            <w:vAlign w:val="top"/>
          </w:tcPr>
          <w:p>
            <w:pPr>
              <w:pStyle w:val="ProcedureTable"/>
            </w:pPr>
            <w:r>
              <w:t>Loucas Fourlas, Kathleen Funchion, Raquel García Hermida-Van Der Walle, Hanna Gedin, Katrin Langensiepen, Jagna Marczułajtis-Walczak, Beatrice Timgren, Jana Toom</w:t>
            </w:r>
          </w:p>
        </w:tc>
      </w:tr>
      <w:tr>
        <w:tblPrEx>
          <w:jc w:val="left"/>
          <w:tblLayout w:type="fixed"/>
          <w:tblCellMar>
            <w:top w:w="54" w:type="dxa"/>
            <w:left w:w="108" w:type="dxa"/>
            <w:bottom w:w="54" w:type="dxa"/>
            <w:right w:w="108" w:type="dxa"/>
          </w:tblCellMar>
        </w:tblPrEx>
        <w:trPr>
          <w:cantSplit w:val="0"/>
          <w:trHeight w:hRule="auto" w:val="0"/>
          <w:jc w:val="left"/>
        </w:trPr>
        <w:tc>
          <w:tcPr>
            <w:tcW w:w="3600" w:type="dxa"/>
            <w:tcBorders>
              <w:top w:val="single" w:sz="8" w:space="0" w:color="000000"/>
              <w:left w:val="single" w:sz="8" w:space="0" w:color="000000"/>
              <w:bottom w:val="single" w:sz="8" w:space="0" w:color="000000"/>
              <w:right w:val="single" w:sz="8" w:space="0" w:color="000000"/>
            </w:tcBorders>
            <w:vAlign w:val="top"/>
          </w:tcPr>
          <w:p>
            <w:pPr>
              <w:pStyle w:val="ProcedureTableBold"/>
            </w:pPr>
            <w:r>
              <w:t>Deputati di cui all'art. 216, par. 7, del regolamento presenti al momento della votazione finale</w:t>
            </w:r>
          </w:p>
        </w:tc>
        <w:tc>
          <w:tcPr>
            <w:tcW w:w="6400" w:type="dxa"/>
            <w:tcBorders>
              <w:top w:val="single" w:sz="8" w:space="0" w:color="000000"/>
              <w:bottom w:val="single" w:sz="8" w:space="0" w:color="000000"/>
              <w:right w:val="single" w:sz="8" w:space="0" w:color="000000"/>
            </w:tcBorders>
            <w:vAlign w:val="top"/>
          </w:tcPr>
          <w:p>
            <w:pPr>
              <w:pStyle w:val="ProcedureTable"/>
            </w:pPr>
            <w:r>
              <w:t>Georgios Aftias, Niels Geuking</w:t>
            </w:r>
          </w:p>
        </w:tc>
      </w:tr>
    </w:tbl>
    <w:p>
      <w:pPr>
        <w:pStyle w:val="PageHeading"/>
        <w:sectPr>
          <w:type w:val="nextPage"/>
          <w:pgSz w:w="11906" w:h="16838"/>
          <w:pgMar w:top="1134" w:right="1417" w:bottom="1417" w:left="1417" w:header="1134" w:footer="567" w:gutter="0"/>
          <w:cols w:num="1" w:space="708"/>
          <w:titlePg w:val="0"/>
          <w:docGrid w:linePitch="360"/>
        </w:sectPr>
      </w:pPr>
    </w:p>
    <w:p>
      <w:pPr>
        <w:pStyle w:val="PageHeading"/>
      </w:pPr>
      <w:r>
        <w:t>VOTAZIONE FINALE PER APPELLO NOMINALE DA PARTE DELLA COMMISSIONE COMPETENTE PER PARERE</w:t>
      </w:r>
    </w:p>
    <w:tbl>
      <w:tblPr>
        <w:jc w:val="left"/>
        <w:tblBorders>
          <w:top w:val="double" w:sz="8" w:space="0" w:color="000000"/>
          <w:left w:val="double" w:sz="8" w:space="0" w:color="000000"/>
          <w:bottom w:val="double" w:sz="8" w:space="0" w:color="000000"/>
          <w:right w:val="double" w:sz="8" w:space="0" w:color="000000"/>
          <w:insideH w:val="single" w:sz="8" w:space="0" w:color="000000"/>
          <w:insideV w:val="single" w:sz="8" w:space="0" w:color="000000"/>
        </w:tblBorders>
        <w:tblLayout w:type="fixed"/>
        <w:tblCellMar>
          <w:top w:w="54" w:type="dxa"/>
          <w:left w:w="108" w:type="dxa"/>
          <w:bottom w:w="54" w:type="dxa"/>
          <w:right w:w="108" w:type="dxa"/>
        </w:tblCellMar>
      </w:tblPr>
      <w:tblGrid>
        <w:gridCol w:w="1600"/>
        <w:gridCol w:w="7600"/>
      </w:tblGrid>
      <w:tr>
        <w:tblPrEx>
          <w:jc w:val="left"/>
          <w:tblBorders>
            <w:top w:val="double" w:sz="8" w:space="0" w:color="000000"/>
            <w:left w:val="double" w:sz="8" w:space="0" w:color="000000"/>
            <w:bottom w:val="double" w:sz="8" w:space="0" w:color="000000"/>
            <w:right w:val="double" w:sz="8" w:space="0" w:color="000000"/>
            <w:insideH w:val="single" w:sz="8" w:space="0" w:color="000000"/>
            <w:insideV w:val="single" w:sz="8" w:space="0" w:color="000000"/>
          </w:tblBorders>
          <w:tblLayout w:type="fixed"/>
          <w:tblCellMar>
            <w:top w:w="54" w:type="dxa"/>
            <w:left w:w="108" w:type="dxa"/>
            <w:bottom w:w="54" w:type="dxa"/>
            <w:right w:w="108" w:type="dxa"/>
          </w:tblCellMar>
        </w:tblPrEx>
        <w:trPr>
          <w:cantSplit w:val="0"/>
          <w:trHeight w:hRule="auto" w:val="0"/>
          <w:jc w:val="left"/>
        </w:trPr>
        <w:tc>
          <w:tcPr>
            <w:tcW w:w="1600" w:type="dxa"/>
            <w:shd w:val="clear" w:color="auto" w:fill="C0C0C0"/>
            <w:vAlign w:val="top"/>
          </w:tcPr>
          <w:p>
            <w:pPr>
              <w:pStyle w:val="NormalBold"/>
            </w:pPr>
            <w:r>
              <w:t>17</w:t>
            </w:r>
          </w:p>
        </w:tc>
        <w:tc>
          <w:tcPr>
            <w:tcW w:w="7600" w:type="dxa"/>
            <w:shd w:val="clear" w:color="auto" w:fill="C0C0C0"/>
            <w:vAlign w:val="top"/>
          </w:tcPr>
          <w:p>
            <w:pPr>
              <w:pStyle w:val="Arial14CentreBold"/>
            </w:pPr>
            <w:r>
              <w:t>+</w:t>
            </w:r>
          </w:p>
        </w:tc>
      </w:tr>
      <w:tr>
        <w:tblPrEx>
          <w:jc w:val="left"/>
          <w:tblLayout w:type="fixed"/>
          <w:tblCellMar>
            <w:top w:w="54" w:type="dxa"/>
            <w:left w:w="108" w:type="dxa"/>
            <w:bottom w:w="54" w:type="dxa"/>
            <w:right w:w="108" w:type="dxa"/>
          </w:tblCellMar>
        </w:tblPrEx>
        <w:trPr>
          <w:cantSplit w:val="0"/>
          <w:trHeight w:hRule="auto" w:val="0"/>
          <w:jc w:val="left"/>
        </w:trPr>
        <w:tc>
          <w:tcPr>
            <w:tcW w:w="1600" w:type="dxa"/>
            <w:vAlign w:val="top"/>
          </w:tcPr>
          <w:p>
            <w:pPr>
              <w:pStyle w:val="ProcedureTable"/>
            </w:pPr>
            <w:r>
              <w:t>PPE</w:t>
            </w:r>
          </w:p>
        </w:tc>
        <w:tc>
          <w:tcPr>
            <w:tcW w:w="7600" w:type="dxa"/>
            <w:vAlign w:val="top"/>
          </w:tcPr>
          <w:p>
            <w:pPr>
              <w:pStyle w:val="ProcedureTable"/>
            </w:pPr>
            <w:r>
              <w:t>Kokalari Arba, Pietikäinen Sirpa</w:t>
            </w:r>
          </w:p>
        </w:tc>
      </w:tr>
      <w:tr>
        <w:tblPrEx>
          <w:jc w:val="left"/>
          <w:tblLayout w:type="fixed"/>
          <w:tblCellMar>
            <w:top w:w="54" w:type="dxa"/>
            <w:left w:w="108" w:type="dxa"/>
            <w:bottom w:w="54" w:type="dxa"/>
            <w:right w:w="108" w:type="dxa"/>
          </w:tblCellMar>
        </w:tblPrEx>
        <w:trPr>
          <w:cantSplit w:val="0"/>
          <w:trHeight w:hRule="auto" w:val="0"/>
          <w:jc w:val="left"/>
        </w:trPr>
        <w:tc>
          <w:tcPr>
            <w:tcW w:w="1600" w:type="dxa"/>
            <w:vAlign w:val="top"/>
          </w:tcPr>
          <w:p>
            <w:pPr>
              <w:pStyle w:val="ProcedureTable"/>
            </w:pPr>
            <w:r>
              <w:t>Renew</w:t>
            </w:r>
          </w:p>
        </w:tc>
        <w:tc>
          <w:tcPr>
            <w:tcW w:w="7600" w:type="dxa"/>
            <w:vAlign w:val="top"/>
          </w:tcPr>
          <w:p>
            <w:pPr>
              <w:pStyle w:val="ProcedureTable"/>
            </w:pPr>
            <w:r>
              <w:t>Devaux Valérie, García Hermida-Van Der Walle Raquel, Toom Jana, Zalimas Dainius</w:t>
            </w:r>
          </w:p>
        </w:tc>
      </w:tr>
      <w:tr>
        <w:tblPrEx>
          <w:jc w:val="left"/>
          <w:tblLayout w:type="fixed"/>
          <w:tblCellMar>
            <w:top w:w="54" w:type="dxa"/>
            <w:left w:w="108" w:type="dxa"/>
            <w:bottom w:w="54" w:type="dxa"/>
            <w:right w:w="108" w:type="dxa"/>
          </w:tblCellMar>
        </w:tblPrEx>
        <w:trPr>
          <w:cantSplit w:val="0"/>
          <w:trHeight w:hRule="auto" w:val="0"/>
          <w:jc w:val="left"/>
        </w:trPr>
        <w:tc>
          <w:tcPr>
            <w:tcW w:w="1600" w:type="dxa"/>
            <w:vAlign w:val="top"/>
          </w:tcPr>
          <w:p>
            <w:pPr>
              <w:pStyle w:val="ProcedureTable"/>
            </w:pPr>
            <w:r>
              <w:t>S&amp;D</w:t>
            </w:r>
          </w:p>
        </w:tc>
        <w:tc>
          <w:tcPr>
            <w:tcW w:w="7600" w:type="dxa"/>
            <w:vAlign w:val="top"/>
          </w:tcPr>
          <w:p>
            <w:pPr>
              <w:pStyle w:val="ProcedureTable"/>
            </w:pPr>
            <w:r>
              <w:t>Fritzon Heléne, Gálvez Lina, Noichl Maria, Scheuring-Wielgus Joanna, Vesligaj Marko</w:t>
            </w:r>
          </w:p>
        </w:tc>
      </w:tr>
      <w:tr>
        <w:tblPrEx>
          <w:jc w:val="left"/>
          <w:tblLayout w:type="fixed"/>
          <w:tblCellMar>
            <w:top w:w="54" w:type="dxa"/>
            <w:left w:w="108" w:type="dxa"/>
            <w:bottom w:w="54" w:type="dxa"/>
            <w:right w:w="108" w:type="dxa"/>
          </w:tblCellMar>
        </w:tblPrEx>
        <w:trPr>
          <w:cantSplit w:val="0"/>
          <w:trHeight w:hRule="auto" w:val="0"/>
          <w:jc w:val="left"/>
        </w:trPr>
        <w:tc>
          <w:tcPr>
            <w:tcW w:w="1600" w:type="dxa"/>
            <w:vAlign w:val="top"/>
          </w:tcPr>
          <w:p>
            <w:pPr>
              <w:pStyle w:val="ProcedureTable"/>
            </w:pPr>
            <w:r>
              <w:t>The Left</w:t>
            </w:r>
          </w:p>
        </w:tc>
        <w:tc>
          <w:tcPr>
            <w:tcW w:w="7600" w:type="dxa"/>
            <w:vAlign w:val="top"/>
          </w:tcPr>
          <w:p>
            <w:pPr>
              <w:pStyle w:val="ProcedureTable"/>
            </w:pPr>
            <w:r>
              <w:t>Funchion Kathleen, Gedin Hanna, Montero Irene</w:t>
            </w:r>
          </w:p>
        </w:tc>
      </w:tr>
      <w:tr>
        <w:tblPrEx>
          <w:jc w:val="left"/>
          <w:tblLayout w:type="fixed"/>
          <w:tblCellMar>
            <w:top w:w="54" w:type="dxa"/>
            <w:left w:w="108" w:type="dxa"/>
            <w:bottom w:w="54" w:type="dxa"/>
            <w:right w:w="108" w:type="dxa"/>
          </w:tblCellMar>
        </w:tblPrEx>
        <w:trPr>
          <w:cantSplit w:val="0"/>
          <w:trHeight w:hRule="auto" w:val="0"/>
          <w:jc w:val="left"/>
        </w:trPr>
        <w:tc>
          <w:tcPr>
            <w:tcW w:w="1600" w:type="dxa"/>
            <w:vAlign w:val="top"/>
          </w:tcPr>
          <w:p>
            <w:pPr>
              <w:pStyle w:val="ProcedureTable"/>
            </w:pPr>
            <w:r>
              <w:t>Verts/ALE</w:t>
            </w:r>
          </w:p>
        </w:tc>
        <w:tc>
          <w:tcPr>
            <w:tcW w:w="7600" w:type="dxa"/>
            <w:vAlign w:val="top"/>
          </w:tcPr>
          <w:p>
            <w:pPr>
              <w:pStyle w:val="ProcedureTable"/>
            </w:pPr>
            <w:r>
              <w:t>Camara Mélissa, Langensiepen Katrin, Scuderi Benedetta</w:t>
            </w:r>
          </w:p>
        </w:tc>
      </w:tr>
    </w:tbl>
    <w:p/>
    <w:tbl>
      <w:tblPr>
        <w:jc w:val="left"/>
        <w:tblBorders>
          <w:top w:val="double" w:sz="8" w:space="0" w:color="000000"/>
          <w:left w:val="double" w:sz="8" w:space="0" w:color="000000"/>
          <w:bottom w:val="double" w:sz="8" w:space="0" w:color="000000"/>
          <w:right w:val="double" w:sz="8" w:space="0" w:color="000000"/>
          <w:insideH w:val="single" w:sz="8" w:space="0" w:color="000000"/>
          <w:insideV w:val="single" w:sz="8" w:space="0" w:color="000000"/>
        </w:tblBorders>
        <w:tblLayout w:type="fixed"/>
        <w:tblCellMar>
          <w:top w:w="54" w:type="dxa"/>
          <w:left w:w="108" w:type="dxa"/>
          <w:bottom w:w="54" w:type="dxa"/>
          <w:right w:w="108" w:type="dxa"/>
        </w:tblCellMar>
      </w:tblPr>
      <w:tblGrid>
        <w:gridCol w:w="1600"/>
        <w:gridCol w:w="7600"/>
      </w:tblGrid>
      <w:tr>
        <w:tblPrEx>
          <w:jc w:val="left"/>
          <w:tblBorders>
            <w:top w:val="double" w:sz="8" w:space="0" w:color="000000"/>
            <w:left w:val="double" w:sz="8" w:space="0" w:color="000000"/>
            <w:bottom w:val="double" w:sz="8" w:space="0" w:color="000000"/>
            <w:right w:val="double" w:sz="8" w:space="0" w:color="000000"/>
            <w:insideH w:val="single" w:sz="8" w:space="0" w:color="000000"/>
            <w:insideV w:val="single" w:sz="8" w:space="0" w:color="000000"/>
          </w:tblBorders>
          <w:tblLayout w:type="fixed"/>
          <w:tblCellMar>
            <w:top w:w="54" w:type="dxa"/>
            <w:left w:w="108" w:type="dxa"/>
            <w:bottom w:w="54" w:type="dxa"/>
            <w:right w:w="108" w:type="dxa"/>
          </w:tblCellMar>
        </w:tblPrEx>
        <w:trPr>
          <w:cantSplit w:val="0"/>
          <w:trHeight w:hRule="auto" w:val="0"/>
          <w:jc w:val="left"/>
        </w:trPr>
        <w:tc>
          <w:tcPr>
            <w:tcW w:w="1600" w:type="dxa"/>
            <w:shd w:val="clear" w:color="auto" w:fill="C0C0C0"/>
            <w:vAlign w:val="top"/>
          </w:tcPr>
          <w:p>
            <w:pPr>
              <w:pStyle w:val="NormalBold"/>
            </w:pPr>
            <w:r>
              <w:t>11</w:t>
            </w:r>
          </w:p>
        </w:tc>
        <w:tc>
          <w:tcPr>
            <w:tcW w:w="7600" w:type="dxa"/>
            <w:shd w:val="clear" w:color="auto" w:fill="C0C0C0"/>
            <w:vAlign w:val="top"/>
          </w:tcPr>
          <w:p>
            <w:pPr>
              <w:pStyle w:val="Arial14CentreBold"/>
            </w:pPr>
            <w:r>
              <w:t>-</w:t>
            </w:r>
          </w:p>
        </w:tc>
      </w:tr>
      <w:tr>
        <w:tblPrEx>
          <w:jc w:val="left"/>
          <w:tblLayout w:type="fixed"/>
          <w:tblCellMar>
            <w:top w:w="54" w:type="dxa"/>
            <w:left w:w="108" w:type="dxa"/>
            <w:bottom w:w="54" w:type="dxa"/>
            <w:right w:w="108" w:type="dxa"/>
          </w:tblCellMar>
        </w:tblPrEx>
        <w:trPr>
          <w:cantSplit w:val="0"/>
          <w:trHeight w:hRule="auto" w:val="0"/>
          <w:jc w:val="left"/>
        </w:trPr>
        <w:tc>
          <w:tcPr>
            <w:tcW w:w="1600" w:type="dxa"/>
            <w:vAlign w:val="top"/>
          </w:tcPr>
          <w:p>
            <w:pPr>
              <w:pStyle w:val="ProcedureTable"/>
            </w:pPr>
            <w:r>
              <w:t>ECR</w:t>
            </w:r>
          </w:p>
        </w:tc>
        <w:tc>
          <w:tcPr>
            <w:tcW w:w="7600" w:type="dxa"/>
            <w:vAlign w:val="top"/>
          </w:tcPr>
          <w:p>
            <w:pPr>
              <w:pStyle w:val="ProcedureTable"/>
            </w:pPr>
            <w:r>
              <w:t>Gemma Chiara, Timgren Beatrice, Trochu Laurence</w:t>
            </w:r>
          </w:p>
        </w:tc>
      </w:tr>
      <w:tr>
        <w:tblPrEx>
          <w:jc w:val="left"/>
          <w:tblLayout w:type="fixed"/>
          <w:tblCellMar>
            <w:top w:w="54" w:type="dxa"/>
            <w:left w:w="108" w:type="dxa"/>
            <w:bottom w:w="54" w:type="dxa"/>
            <w:right w:w="108" w:type="dxa"/>
          </w:tblCellMar>
        </w:tblPrEx>
        <w:trPr>
          <w:cantSplit w:val="0"/>
          <w:trHeight w:hRule="auto" w:val="0"/>
          <w:jc w:val="left"/>
        </w:trPr>
        <w:tc>
          <w:tcPr>
            <w:tcW w:w="1600" w:type="dxa"/>
            <w:vAlign w:val="top"/>
          </w:tcPr>
          <w:p>
            <w:pPr>
              <w:pStyle w:val="ProcedureTable"/>
            </w:pPr>
            <w:r>
              <w:t>ESN</w:t>
            </w:r>
          </w:p>
        </w:tc>
        <w:tc>
          <w:tcPr>
            <w:tcW w:w="7600" w:type="dxa"/>
            <w:vAlign w:val="top"/>
          </w:tcPr>
          <w:p>
            <w:pPr>
              <w:pStyle w:val="ProcedureTable"/>
            </w:pPr>
            <w:r>
              <w:t>Boßdorf Irmhild</w:t>
            </w:r>
          </w:p>
        </w:tc>
      </w:tr>
      <w:tr>
        <w:tblPrEx>
          <w:jc w:val="left"/>
          <w:tblLayout w:type="fixed"/>
          <w:tblCellMar>
            <w:top w:w="54" w:type="dxa"/>
            <w:left w:w="108" w:type="dxa"/>
            <w:bottom w:w="54" w:type="dxa"/>
            <w:right w:w="108" w:type="dxa"/>
          </w:tblCellMar>
        </w:tblPrEx>
        <w:trPr>
          <w:cantSplit w:val="0"/>
          <w:trHeight w:hRule="auto" w:val="0"/>
          <w:jc w:val="left"/>
        </w:trPr>
        <w:tc>
          <w:tcPr>
            <w:tcW w:w="1600" w:type="dxa"/>
            <w:vAlign w:val="top"/>
          </w:tcPr>
          <w:p>
            <w:pPr>
              <w:pStyle w:val="ProcedureTable"/>
            </w:pPr>
            <w:r>
              <w:t>NI</w:t>
            </w:r>
          </w:p>
        </w:tc>
        <w:tc>
          <w:tcPr>
            <w:tcW w:w="7600" w:type="dxa"/>
            <w:vAlign w:val="top"/>
          </w:tcPr>
          <w:p>
            <w:pPr>
              <w:pStyle w:val="ProcedureTable"/>
            </w:pPr>
            <w:r>
              <w:t>Lassáková Judita</w:t>
            </w:r>
          </w:p>
        </w:tc>
      </w:tr>
      <w:tr>
        <w:tblPrEx>
          <w:jc w:val="left"/>
          <w:tblLayout w:type="fixed"/>
          <w:tblCellMar>
            <w:top w:w="54" w:type="dxa"/>
            <w:left w:w="108" w:type="dxa"/>
            <w:bottom w:w="54" w:type="dxa"/>
            <w:right w:w="108" w:type="dxa"/>
          </w:tblCellMar>
        </w:tblPrEx>
        <w:trPr>
          <w:cantSplit w:val="0"/>
          <w:trHeight w:hRule="auto" w:val="0"/>
          <w:jc w:val="left"/>
        </w:trPr>
        <w:tc>
          <w:tcPr>
            <w:tcW w:w="1600" w:type="dxa"/>
            <w:vAlign w:val="top"/>
          </w:tcPr>
          <w:p>
            <w:pPr>
              <w:pStyle w:val="ProcedureTable"/>
            </w:pPr>
            <w:r>
              <w:t>PfE</w:t>
            </w:r>
          </w:p>
        </w:tc>
        <w:tc>
          <w:tcPr>
            <w:tcW w:w="7600" w:type="dxa"/>
            <w:vAlign w:val="top"/>
          </w:tcPr>
          <w:p>
            <w:pPr>
              <w:pStyle w:val="ProcedureTable"/>
            </w:pPr>
            <w:r>
              <w:t>Androuët Mathilde, Borrás Pabón Mireia, Dieringer Elisabeth, Ferenc Viktória, Kruis Sebastian, de la Pisa Carrión Margarita</w:t>
            </w:r>
          </w:p>
        </w:tc>
      </w:tr>
    </w:tbl>
    <w:p/>
    <w:tbl>
      <w:tblPr>
        <w:jc w:val="left"/>
        <w:tblBorders>
          <w:top w:val="double" w:sz="8" w:space="0" w:color="000000"/>
          <w:left w:val="double" w:sz="8" w:space="0" w:color="000000"/>
          <w:bottom w:val="double" w:sz="8" w:space="0" w:color="000000"/>
          <w:right w:val="double" w:sz="8" w:space="0" w:color="000000"/>
          <w:insideH w:val="single" w:sz="8" w:space="0" w:color="000000"/>
          <w:insideV w:val="single" w:sz="8" w:space="0" w:color="000000"/>
        </w:tblBorders>
        <w:tblLayout w:type="fixed"/>
        <w:tblCellMar>
          <w:top w:w="54" w:type="dxa"/>
          <w:left w:w="108" w:type="dxa"/>
          <w:bottom w:w="54" w:type="dxa"/>
          <w:right w:w="108" w:type="dxa"/>
        </w:tblCellMar>
      </w:tblPr>
      <w:tblGrid>
        <w:gridCol w:w="1600"/>
        <w:gridCol w:w="7600"/>
      </w:tblGrid>
      <w:tr>
        <w:tblPrEx>
          <w:jc w:val="left"/>
          <w:tblBorders>
            <w:top w:val="double" w:sz="8" w:space="0" w:color="000000"/>
            <w:left w:val="double" w:sz="8" w:space="0" w:color="000000"/>
            <w:bottom w:val="double" w:sz="8" w:space="0" w:color="000000"/>
            <w:right w:val="double" w:sz="8" w:space="0" w:color="000000"/>
            <w:insideH w:val="single" w:sz="8" w:space="0" w:color="000000"/>
            <w:insideV w:val="single" w:sz="8" w:space="0" w:color="000000"/>
          </w:tblBorders>
          <w:tblLayout w:type="fixed"/>
          <w:tblCellMar>
            <w:top w:w="54" w:type="dxa"/>
            <w:left w:w="108" w:type="dxa"/>
            <w:bottom w:w="54" w:type="dxa"/>
            <w:right w:w="108" w:type="dxa"/>
          </w:tblCellMar>
        </w:tblPrEx>
        <w:trPr>
          <w:cantSplit w:val="0"/>
          <w:trHeight w:hRule="auto" w:val="0"/>
          <w:jc w:val="left"/>
        </w:trPr>
        <w:tc>
          <w:tcPr>
            <w:tcW w:w="1600" w:type="dxa"/>
            <w:shd w:val="clear" w:color="auto" w:fill="C0C0C0"/>
            <w:vAlign w:val="top"/>
          </w:tcPr>
          <w:p>
            <w:pPr>
              <w:pStyle w:val="NormalBold"/>
            </w:pPr>
            <w:r>
              <w:t>8</w:t>
            </w:r>
          </w:p>
        </w:tc>
        <w:tc>
          <w:tcPr>
            <w:tcW w:w="7600" w:type="dxa"/>
            <w:shd w:val="clear" w:color="auto" w:fill="C0C0C0"/>
            <w:vAlign w:val="top"/>
          </w:tcPr>
          <w:p>
            <w:pPr>
              <w:pStyle w:val="Arial14CentreBold"/>
            </w:pPr>
            <w:r>
              <w:t>0</w:t>
            </w:r>
          </w:p>
        </w:tc>
      </w:tr>
      <w:tr>
        <w:tblPrEx>
          <w:jc w:val="left"/>
          <w:tblLayout w:type="fixed"/>
          <w:tblCellMar>
            <w:top w:w="54" w:type="dxa"/>
            <w:left w:w="108" w:type="dxa"/>
            <w:bottom w:w="54" w:type="dxa"/>
            <w:right w:w="108" w:type="dxa"/>
          </w:tblCellMar>
        </w:tblPrEx>
        <w:trPr>
          <w:cantSplit w:val="0"/>
          <w:trHeight w:hRule="auto" w:val="0"/>
          <w:jc w:val="left"/>
        </w:trPr>
        <w:tc>
          <w:tcPr>
            <w:tcW w:w="1600" w:type="dxa"/>
            <w:vAlign w:val="top"/>
          </w:tcPr>
          <w:p>
            <w:pPr>
              <w:pStyle w:val="ProcedureTable"/>
            </w:pPr>
            <w:r>
              <w:t>PPE</w:t>
            </w:r>
          </w:p>
        </w:tc>
        <w:tc>
          <w:tcPr>
            <w:tcW w:w="7600" w:type="dxa"/>
            <w:vAlign w:val="top"/>
          </w:tcPr>
          <w:p>
            <w:pPr>
              <w:pStyle w:val="ProcedureTable"/>
            </w:pPr>
            <w:r>
              <w:t>Aftias Georgios, Estaràs Ferragut Rosa, Fourlas Loucas, Gerzsenyi Gabriella, Geuking Niels, Marczulajtis-Walczak Jagna, Meleti Eleonora, Princi Giusi</w:t>
            </w:r>
          </w:p>
        </w:tc>
      </w:tr>
    </w:tbl>
    <w:p/>
    <w:p>
      <w:r>
        <w:t>Significato dei simboli utilizzati:</w:t>
      </w:r>
    </w:p>
    <w:p>
      <w:pPr>
        <w:pStyle w:val="NormalTab"/>
      </w:pPr>
      <w:r>
        <w:t>+</w:t>
      </w:r>
      <w:r>
        <w:tab/>
        <w:t>:</w:t>
        <w:tab/>
      </w:r>
      <w:r>
        <w:t>favorevoli</w:t>
      </w:r>
    </w:p>
    <w:p>
      <w:pPr>
        <w:pStyle w:val="NormalTab"/>
      </w:pPr>
      <w:r>
        <w:t>-</w:t>
      </w:r>
      <w:r>
        <w:tab/>
        <w:t>:</w:t>
        <w:tab/>
      </w:r>
      <w:r>
        <w:t>contrari</w:t>
      </w:r>
    </w:p>
    <w:p>
      <w:pPr>
        <w:pStyle w:val="NormalTab"/>
      </w:pPr>
      <w:r>
        <w:t>0</w:t>
      </w:r>
      <w:r>
        <w:tab/>
        <w:t>:</w:t>
        <w:tab/>
      </w:r>
      <w:r>
        <w:t>astenuti</w:t>
      </w:r>
    </w:p>
    <w:p>
      <w:pPr>
        <w:pStyle w:val="Normal12a"/>
      </w:pPr>
    </w:p>
    <w:sectPr>
      <w:type w:val="nextPage"/>
      <w:pgSz w:w="11906" w:h="16838"/>
      <w:pgMar w:top="1134" w:right="1417" w:bottom="1417" w:left="1417" w:header="1134" w:footer="567" w:gutter="0"/>
      <w:cols w:num="1"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w:t>
    </w:r>
    <w:r>
      <w:rPr>
        <w:rStyle w:val="HideTWBExt"/>
      </w:rPr>
      <w:t>NoPE</w:t>
    </w:r>
    <w:r>
      <w:rPr>
        <w:rStyle w:val="HideTWBExt"/>
      </w:rPr>
      <w:t>&gt;</w:t>
    </w:r>
    <w:r>
      <w:t>770.238</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v02-00</w:t>
    </w:r>
    <w:r>
      <w:rPr>
        <w:rStyle w:val="HideTWBExt"/>
      </w:rPr>
      <w:t>&lt;/</w:t>
    </w:r>
    <w:r>
      <w:rPr>
        <w:rStyle w:val="HideTWBExt"/>
      </w:rPr>
      <w:t>Version</w:t>
    </w:r>
    <w:r>
      <w:rPr>
        <w:rStyle w:val="HideTWBExt"/>
      </w:rPr>
      <w:t>&gt;</w:t>
    </w:r>
    <w:r>
      <w:tab/>
    </w:r>
    <w:r>
      <w:fldChar w:fldCharType="begin"/>
    </w:r>
    <w:r>
      <w:instrText>PAGE</w:instrText>
    </w:r>
    <w:r>
      <w:fldChar w:fldCharType="separate"/>
    </w:r>
    <w:r>
      <w:t>44</w:t>
    </w:r>
    <w:r>
      <w:fldChar w:fldCharType="end"/>
    </w:r>
    <w:r>
      <w:t>/</w:t>
    </w:r>
    <w:r>
      <w:fldChar w:fldCharType="begin"/>
    </w:r>
    <w:r>
      <w:instrText>NUMPAGES</w:instrText>
    </w:r>
    <w:r>
      <w:fldChar w:fldCharType="separate"/>
    </w:r>
    <w:r>
      <w:t>44</w:t>
    </w:r>
    <w:r>
      <w:fldChar w:fldCharType="end"/>
    </w:r>
    <w:r>
      <w:tab/>
    </w:r>
    <w:r>
      <w:rPr>
        <w:rStyle w:val="HideTWBExt"/>
      </w:rPr>
      <w:t>&lt;</w:t>
    </w:r>
    <w:r>
      <w:rPr>
        <w:rStyle w:val="HideTWBExt"/>
      </w:rPr>
      <w:t>PathFdR</w:t>
    </w:r>
    <w:r>
      <w:rPr>
        <w:rStyle w:val="HideTWBExt"/>
      </w:rPr>
      <w:t>&gt;</w:t>
    </w:r>
    <w:r>
      <w:t>AD\1321310IT.docx</w:t>
    </w:r>
    <w:r>
      <w:rPr>
        <w:rStyle w:val="HideTWBExt"/>
      </w:rPr>
      <w:t>&lt;/</w:t>
    </w:r>
    <w:r>
      <w:rPr>
        <w:rStyle w:val="HideTWBExt"/>
      </w:rPr>
      <w:t>PathFdR</w:t>
    </w:r>
    <w:r>
      <w:rPr>
        <w:rStyle w:val="HideTWBExt"/>
      </w:rPr>
      <w:t>&gt;</w:t>
    </w:r>
  </w:p>
  <w:p>
    <w:pPr>
      <w:pStyle w:val="EPFooter2"/>
    </w:pPr>
    <w:r>
      <w:t>IT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AD\1321310IT.docx</w:t>
    </w:r>
    <w:r>
      <w:rPr>
        <w:rStyle w:val="HideTWBExt"/>
      </w:rPr>
      <w:t>&lt;/</w:t>
    </w:r>
    <w:r>
      <w:rPr>
        <w:rStyle w:val="HideTWBExt"/>
      </w:rPr>
      <w:t>PathFdR</w:t>
    </w:r>
    <w:r>
      <w:rPr>
        <w:rStyle w:val="HideTWBExt"/>
      </w:rPr>
      <w:t>&gt;</w:t>
    </w:r>
    <w:r>
      <w:tab/>
    </w:r>
    <w:r>
      <w:fldChar w:fldCharType="begin"/>
    </w:r>
    <w:r>
      <w:instrText>PAGE</w:instrText>
    </w:r>
    <w:r>
      <w:fldChar w:fldCharType="separate"/>
    </w:r>
    <w:r>
      <w:t>43</w:t>
    </w:r>
    <w:r>
      <w:fldChar w:fldCharType="end"/>
    </w:r>
    <w:r>
      <w:t>/</w:t>
    </w:r>
    <w:r>
      <w:fldChar w:fldCharType="begin"/>
    </w:r>
    <w:r>
      <w:instrText>NUMPAGES</w:instrText>
    </w:r>
    <w:r>
      <w:fldChar w:fldCharType="separate"/>
    </w:r>
    <w:r>
      <w:t>44</w:t>
    </w:r>
    <w:r>
      <w:fldChar w:fldCharType="end"/>
    </w:r>
    <w:r>
      <w:tab/>
    </w:r>
    <w:r>
      <w:t>PE</w:t>
    </w:r>
    <w:r>
      <w:rPr>
        <w:rStyle w:val="HideTWBExt"/>
      </w:rPr>
      <w:t>&lt;</w:t>
    </w:r>
    <w:r>
      <w:rPr>
        <w:rStyle w:val="HideTWBExt"/>
      </w:rPr>
      <w:t>NoPE</w:t>
    </w:r>
    <w:r>
      <w:rPr>
        <w:rStyle w:val="HideTWBExt"/>
      </w:rPr>
      <w:t>&gt;</w:t>
    </w:r>
    <w:r>
      <w:t>770.238</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v02-00</w:t>
    </w:r>
    <w:r>
      <w:rPr>
        <w:rStyle w:val="HideTWBExt"/>
      </w:rPr>
      <w:t>&lt;/</w:t>
    </w:r>
    <w:r>
      <w:rPr>
        <w:rStyle w:val="HideTWBExt"/>
      </w:rPr>
      <w:t>Version</w:t>
    </w:r>
    <w:r>
      <w:rPr>
        <w:rStyle w:val="HideTWBExt"/>
      </w:rPr>
      <w:t>&gt;</w:t>
    </w:r>
  </w:p>
  <w:p>
    <w:pPr>
      <w:pStyle w:val="EPFooter2"/>
    </w:pPr>
    <w:r>
      <w:tab/>
    </w:r>
    <w:r>
      <w:tab/>
    </w:r>
    <w:r>
      <w:t>IT</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AD\1321310IT.docx</w:t>
    </w:r>
    <w:r>
      <w:rPr>
        <w:rStyle w:val="HideTWBExt"/>
      </w:rPr>
      <w:t>&lt;/</w:t>
    </w:r>
    <w:r>
      <w:rPr>
        <w:rStyle w:val="HideTWBExt"/>
      </w:rPr>
      <w:t>PathFdR</w:t>
    </w:r>
    <w:r>
      <w:rPr>
        <w:rStyle w:val="HideTWBExt"/>
      </w:rPr>
      <w:t>&gt;</w:t>
    </w:r>
    <w:r>
      <w:tab/>
    </w:r>
    <w:r>
      <w:tab/>
    </w:r>
    <w:r>
      <w:t>PE</w:t>
    </w:r>
    <w:r>
      <w:rPr>
        <w:rStyle w:val="HideTWBExt"/>
      </w:rPr>
      <w:t>&lt;</w:t>
    </w:r>
    <w:r>
      <w:rPr>
        <w:rStyle w:val="HideTWBExt"/>
      </w:rPr>
      <w:t>NoPE</w:t>
    </w:r>
    <w:r>
      <w:rPr>
        <w:rStyle w:val="HideTWBExt"/>
      </w:rPr>
      <w:t>&gt;</w:t>
    </w:r>
    <w:r>
      <w:t>770.238</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v02-00</w:t>
    </w:r>
    <w:r>
      <w:rPr>
        <w:rStyle w:val="HideTWBExt"/>
      </w:rPr>
      <w:t>&lt;/</w:t>
    </w:r>
    <w:r>
      <w:rPr>
        <w:rStyle w:val="HideTWBExt"/>
      </w:rPr>
      <w:t>Version</w:t>
    </w:r>
    <w:r>
      <w:rPr>
        <w:rStyle w:val="HideTWBExt"/>
      </w:rPr>
      <w:t>&gt;</w:t>
    </w:r>
  </w:p>
  <w:p>
    <w:pPr>
      <w:pStyle w:val="EPFooter2"/>
    </w:pPr>
    <w:r>
      <w:t>IT</w:t>
    </w:r>
    <w:r>
      <w:tab/>
    </w:r>
    <w:r>
      <w:rPr>
        <w:rStyle w:val="EPFooter2Motto"/>
      </w:rPr>
      <w:t>Unita nella diversità</w:t>
    </w:r>
    <w:r>
      <w:tab/>
    </w:r>
    <w:r>
      <w:t>IT</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3538D7"/>
    <w:multiLevelType w:val="hybridMultilevel"/>
    <w:tmpl w:val="B4A836B6"/>
    <w:lvl w:ilvl="0">
      <w:start w:val="1"/>
      <w:numFmt w:val="bullet"/>
      <w:pStyle w:val="Normal12aBullet1"/>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COMKEY"/>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semiHidden/>
    <w:unhideWhenUsed/>
  </w:style>
  <w:style w:type="table" w:default="1" w:styleId="TableNormal">
    <w:name w:val="Normal Table"/>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Normal12a">
    <w:name w:val="Normal12a"/>
    <w:basedOn w:val="Normal"/>
    <w:pPr>
      <w:spacing w:after="240"/>
    </w:pPr>
  </w:style>
  <w:style w:type="paragraph" w:styleId="TOC1">
    <w:name w:val="toc 1"/>
    <w:basedOn w:val="Normal12a"/>
    <w:next w:val="Normal12a"/>
    <w:autoRedefine/>
    <w:semiHidden/>
  </w:style>
  <w:style w:type="paragraph" w:styleId="TOCHeading">
    <w:name w:val="TOC Heading"/>
    <w:basedOn w:val="Normal12a"/>
    <w:next w:val="Normal12a"/>
    <w:qFormat/>
    <w:rsid w:val="00DC11F3"/>
    <w:pPr>
      <w:keepNext/>
      <w:spacing w:before="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NotTOC">
    <w:name w:val="PageHeadingNotTOC"/>
    <w:basedOn w:val="Normal"/>
    <w:pPr>
      <w:keepNext/>
      <w:spacing w:after="480"/>
      <w:jc w:val="center"/>
    </w:pPr>
    <w:rPr>
      <w:rFonts w:ascii="Arial" w:hAnsi="Arial" w:cs="Arial"/>
      <w:b/>
    </w:rPr>
  </w:style>
  <w:style w:type="paragraph" w:customStyle="1" w:styleId="AmJustText">
    <w:name w:val="AmJustText"/>
    <w:basedOn w:val="Normal"/>
    <w:rsid w:val="00F06867"/>
    <w:pPr>
      <w:spacing w:after="240"/>
    </w:pPr>
    <w:rPr>
      <w:i/>
    </w:rPr>
  </w:style>
  <w:style w:type="paragraph" w:customStyle="1" w:styleId="EPName">
    <w:name w:val="EPName"/>
    <w:basedOn w:val="Normal"/>
    <w:rsid w:val="00E856D2"/>
    <w:pPr>
      <w:spacing w:before="80" w:after="80"/>
    </w:pPr>
    <w:rPr>
      <w:rFonts w:ascii="Arial Narrow" w:hAnsi="Arial Narrow" w:cs="Arial"/>
      <w:b/>
      <w:sz w:val="32"/>
      <w:szCs w:val="22"/>
    </w:rPr>
  </w:style>
  <w:style w:type="paragraph" w:customStyle="1" w:styleId="CoverNormal24a">
    <w:name w:val="CoverNormal24a"/>
    <w:basedOn w:val="Normal"/>
    <w:rsid w:val="00B44AFC"/>
    <w:pPr>
      <w:spacing w:after="480"/>
      <w:ind w:left="1417"/>
    </w:pPr>
  </w:style>
  <w:style w:type="paragraph" w:customStyle="1" w:styleId="CoverNormal">
    <w:name w:val="CoverNormal"/>
    <w:basedOn w:val="Normal"/>
    <w:pPr>
      <w:ind w:left="1418"/>
    </w:pPr>
  </w:style>
  <w:style w:type="paragraph" w:styleId="Header">
    <w:name w:val="header"/>
    <w:basedOn w:val="Normal"/>
    <w:link w:val="HeaderChar"/>
    <w:semiHidden/>
    <w:rsid w:val="00B44AFC"/>
    <w:pPr>
      <w:tabs>
        <w:tab w:val="center" w:pos="4513"/>
        <w:tab w:val="right" w:pos="9026"/>
      </w:tabs>
    </w:pPr>
  </w:style>
  <w:style w:type="paragraph" w:customStyle="1" w:styleId="AmOrLang">
    <w:name w:val="AmOrLang"/>
    <w:basedOn w:val="Normal"/>
    <w:rsid w:val="008B277F"/>
    <w:pPr>
      <w:spacing w:before="240" w:after="240"/>
      <w:jc w:val="right"/>
    </w:pPr>
  </w:style>
  <w:style w:type="paragraph" w:customStyle="1" w:styleId="Normal6a">
    <w:name w:val="Normal6a"/>
    <w:basedOn w:val="Normal"/>
    <w:rsid w:val="008B277F"/>
    <w:pPr>
      <w:spacing w:after="120"/>
    </w:pPr>
  </w:style>
  <w:style w:type="paragraph" w:customStyle="1" w:styleId="CoverReference">
    <w:name w:val="CoverReference"/>
    <w:basedOn w:val="Normal"/>
    <w:rsid w:val="005D6988"/>
    <w:pPr>
      <w:spacing w:before="1080"/>
      <w:jc w:val="right"/>
    </w:pPr>
    <w:rPr>
      <w:rFonts w:ascii="Arial" w:hAnsi="Arial" w:cs="Arial"/>
      <w:b/>
    </w:rPr>
  </w:style>
  <w:style w:type="paragraph" w:customStyle="1" w:styleId="CoverDocType24a">
    <w:name w:val="CoverDocType24a"/>
    <w:basedOn w:val="Normal"/>
    <w:rsid w:val="00A23545"/>
    <w:pPr>
      <w:spacing w:after="480"/>
      <w:ind w:left="1418"/>
    </w:pPr>
    <w:rPr>
      <w:rFonts w:ascii="Arial" w:hAnsi="Arial"/>
      <w:b/>
      <w:sz w:val="48"/>
    </w:rPr>
  </w:style>
  <w:style w:type="paragraph" w:customStyle="1" w:styleId="CoverDate">
    <w:name w:val="CoverDate"/>
    <w:basedOn w:val="Normal"/>
    <w:pPr>
      <w:spacing w:before="240" w:after="1200"/>
    </w:pPr>
  </w:style>
  <w:style w:type="table" w:styleId="TableGrid">
    <w:name w:val="Table Grid"/>
    <w:basedOn w:val="TableNormal"/>
    <w:rsid w:val="001746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1746D0"/>
    <w:pPr>
      <w:jc w:val="center"/>
    </w:pPr>
    <w:rPr>
      <w:rFonts w:ascii="Arial" w:hAnsi="Arial" w:cs="Arial"/>
      <w:i/>
      <w:sz w:val="22"/>
      <w:szCs w:val="22"/>
    </w:rPr>
  </w:style>
  <w:style w:type="paragraph" w:customStyle="1" w:styleId="LineTop">
    <w:name w:val="LineTop"/>
    <w:basedOn w:val="Normal"/>
    <w:next w:val="Normal"/>
    <w:rsid w:val="001746D0"/>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1746D0"/>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E856D2"/>
    <w:pPr>
      <w:spacing w:after="80"/>
    </w:pPr>
    <w:rPr>
      <w:rFonts w:ascii="Arial" w:hAnsi="Arial" w:cs="Arial"/>
      <w:sz w:val="20"/>
      <w:szCs w:val="22"/>
    </w:rPr>
  </w:style>
  <w:style w:type="paragraph" w:customStyle="1" w:styleId="EPLogo">
    <w:name w:val="EPLogo"/>
    <w:basedOn w:val="Normal"/>
    <w:qFormat/>
    <w:rsid w:val="00E856D2"/>
    <w:pPr>
      <w:jc w:val="right"/>
    </w:pPr>
  </w:style>
  <w:style w:type="paragraph" w:customStyle="1" w:styleId="NormalBold">
    <w:name w:val="NormalBold"/>
    <w:basedOn w:val="Normal"/>
    <w:rsid w:val="008B277F"/>
    <w:rPr>
      <w:b/>
    </w:rPr>
  </w:style>
  <w:style w:type="paragraph" w:customStyle="1" w:styleId="AmColumnHeading">
    <w:name w:val="AmColumnHeading"/>
    <w:basedOn w:val="Normal"/>
    <w:rsid w:val="008B277F"/>
    <w:pPr>
      <w:spacing w:after="240"/>
      <w:jc w:val="center"/>
    </w:pPr>
    <w:rPr>
      <w:i/>
    </w:rPr>
  </w:style>
  <w:style w:type="paragraph" w:customStyle="1" w:styleId="AmNumberTabs">
    <w:name w:val="AmNumberTabs"/>
    <w:basedOn w:val="Normal"/>
    <w:rsid w:val="008B277F"/>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8B277F"/>
    <w:pPr>
      <w:spacing w:before="240"/>
    </w:pPr>
    <w:rPr>
      <w:b/>
    </w:rPr>
  </w:style>
  <w:style w:type="paragraph" w:customStyle="1" w:styleId="AmCrossRef">
    <w:name w:val="AmCrossRef"/>
    <w:basedOn w:val="Normal"/>
    <w:rsid w:val="00DE4330"/>
    <w:pPr>
      <w:spacing w:before="240" w:after="240"/>
      <w:jc w:val="center"/>
    </w:pPr>
    <w:rPr>
      <w:i/>
    </w:rPr>
  </w:style>
  <w:style w:type="paragraph" w:customStyle="1" w:styleId="AmJustTitle">
    <w:name w:val="AmJustTitle"/>
    <w:basedOn w:val="Normal"/>
    <w:next w:val="AmJustText"/>
    <w:rsid w:val="00F06867"/>
    <w:pPr>
      <w:keepNext/>
      <w:spacing w:before="240" w:after="240"/>
      <w:jc w:val="center"/>
    </w:pPr>
    <w:rPr>
      <w:i/>
    </w:rPr>
  </w:style>
  <w:style w:type="paragraph" w:customStyle="1" w:styleId="EPFooter">
    <w:name w:val="EPFooter"/>
    <w:basedOn w:val="Normal"/>
    <w:rsid w:val="00A23545"/>
    <w:pPr>
      <w:tabs>
        <w:tab w:val="center" w:pos="4535"/>
        <w:tab w:val="right" w:pos="9071"/>
      </w:tabs>
      <w:spacing w:before="240" w:after="240"/>
    </w:pPr>
    <w:rPr>
      <w:sz w:val="22"/>
    </w:rPr>
  </w:style>
  <w:style w:type="character" w:customStyle="1" w:styleId="HeaderChar">
    <w:name w:val="Header Char"/>
    <w:basedOn w:val="DefaultParagraphFont"/>
    <w:link w:val="Header"/>
    <w:semiHidden/>
    <w:rsid w:val="00B44AFC"/>
    <w:rPr>
      <w:sz w:val="24"/>
    </w:rPr>
  </w:style>
  <w:style w:type="paragraph" w:customStyle="1" w:styleId="Arial14CentreBold">
    <w:name w:val="Arial14CentreBold"/>
    <w:basedOn w:val="Normal"/>
    <w:qFormat/>
    <w:rsid w:val="00DA7A40"/>
    <w:pPr>
      <w:jc w:val="center"/>
    </w:pPr>
    <w:rPr>
      <w:rFonts w:ascii="Arial" w:hAnsi="Arial"/>
      <w:b/>
      <w:sz w:val="28"/>
    </w:rPr>
  </w:style>
  <w:style w:type="character" w:customStyle="1" w:styleId="Bold">
    <w:name w:val="Bold"/>
    <w:uiPriority w:val="1"/>
    <w:rsid w:val="007E4DED"/>
    <w:rPr>
      <w:b/>
    </w:rPr>
  </w:style>
  <w:style w:type="character" w:customStyle="1" w:styleId="BoldItalic">
    <w:name w:val="BoldItalic"/>
    <w:uiPriority w:val="1"/>
    <w:rsid w:val="007E4DED"/>
    <w:rPr>
      <w:b/>
      <w:i/>
      <w:u w:val="none"/>
    </w:rPr>
  </w:style>
  <w:style w:type="paragraph" w:customStyle="1" w:styleId="CoverNormal12a">
    <w:name w:val="CoverNormal12a"/>
    <w:basedOn w:val="Normal"/>
    <w:rsid w:val="00DA7A40"/>
    <w:pPr>
      <w:spacing w:after="240"/>
      <w:ind w:left="1418"/>
    </w:pPr>
  </w:style>
  <w:style w:type="paragraph" w:customStyle="1" w:styleId="CoverDocType">
    <w:name w:val="CoverDocType"/>
    <w:basedOn w:val="Normal"/>
    <w:rsid w:val="00DA7A40"/>
    <w:pPr>
      <w:ind w:left="1418"/>
    </w:pPr>
    <w:rPr>
      <w:rFonts w:ascii="Arial" w:hAnsi="Arial"/>
      <w:b/>
      <w:sz w:val="48"/>
    </w:rPr>
  </w:style>
  <w:style w:type="paragraph" w:customStyle="1" w:styleId="EPFooter2Landscape">
    <w:name w:val="EPFooter2Landscape"/>
    <w:qFormat/>
    <w:rsid w:val="00DA7A40"/>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E04FE2"/>
    <w:rPr>
      <w:rFonts w:ascii="Arial" w:hAnsi="Arial"/>
      <w:b/>
      <w:i/>
      <w:color w:val="C0C0C0"/>
      <w:sz w:val="22"/>
    </w:rPr>
  </w:style>
  <w:style w:type="paragraph" w:customStyle="1" w:styleId="EPFooterLandscape">
    <w:name w:val="EPFooterLandscape"/>
    <w:qFormat/>
    <w:rsid w:val="00DA7A40"/>
    <w:pPr>
      <w:tabs>
        <w:tab w:val="center" w:pos="6804"/>
        <w:tab w:val="right" w:pos="15026"/>
      </w:tabs>
    </w:pPr>
    <w:rPr>
      <w:sz w:val="22"/>
    </w:rPr>
  </w:style>
  <w:style w:type="character" w:customStyle="1" w:styleId="Italic">
    <w:name w:val="Italic"/>
    <w:uiPriority w:val="1"/>
    <w:rsid w:val="007E4DED"/>
    <w:rPr>
      <w:i/>
    </w:rPr>
  </w:style>
  <w:style w:type="paragraph" w:customStyle="1" w:styleId="ProcedureTable">
    <w:name w:val="ProcedureTable"/>
    <w:basedOn w:val="Normal"/>
    <w:rsid w:val="000203F7"/>
    <w:rPr>
      <w:sz w:val="20"/>
    </w:rPr>
  </w:style>
  <w:style w:type="paragraph" w:customStyle="1" w:styleId="ProcedureTableBold">
    <w:name w:val="ProcedureTableBold"/>
    <w:basedOn w:val="Normal"/>
    <w:rsid w:val="000203F7"/>
    <w:rPr>
      <w:b/>
      <w:sz w:val="20"/>
    </w:rPr>
  </w:style>
  <w:style w:type="paragraph" w:customStyle="1" w:styleId="NormalCenter">
    <w:name w:val="NormalCenter"/>
    <w:basedOn w:val="Normal"/>
    <w:rsid w:val="007417D2"/>
    <w:pPr>
      <w:jc w:val="center"/>
    </w:pPr>
  </w:style>
  <w:style w:type="paragraph" w:customStyle="1" w:styleId="Normal12a12b">
    <w:name w:val="Normal12a12b"/>
    <w:basedOn w:val="Normal"/>
    <w:rsid w:val="00DA7A40"/>
    <w:pPr>
      <w:spacing w:before="240" w:after="240"/>
    </w:pPr>
  </w:style>
  <w:style w:type="character" w:customStyle="1" w:styleId="NormalBI">
    <w:name w:val="NormalBI"/>
    <w:basedOn w:val="DefaultParagraphFont"/>
    <w:uiPriority w:val="1"/>
    <w:qFormat/>
    <w:rsid w:val="001659AC"/>
    <w:rPr>
      <w:rFonts w:ascii="Times New Roman" w:hAnsi="Times New Roman"/>
      <w:b/>
      <w:i/>
      <w:sz w:val="24"/>
    </w:rPr>
  </w:style>
  <w:style w:type="paragraph" w:customStyle="1" w:styleId="Normal12aBullet1">
    <w:name w:val="Normal12aBullet1"/>
    <w:basedOn w:val="Normal12a"/>
    <w:qFormat/>
    <w:rsid w:val="00DA7A40"/>
    <w:pPr>
      <w:numPr>
        <w:numId w:val="1"/>
      </w:numPr>
    </w:pPr>
  </w:style>
  <w:style w:type="paragraph" w:customStyle="1" w:styleId="NormalHanging12a1">
    <w:name w:val="NormalHanging12a1"/>
    <w:basedOn w:val="Normal"/>
    <w:qFormat/>
    <w:rsid w:val="006400BF"/>
    <w:pPr>
      <w:spacing w:after="240"/>
      <w:ind w:left="992" w:hanging="425"/>
    </w:pPr>
  </w:style>
  <w:style w:type="paragraph" w:customStyle="1" w:styleId="NormalHanging12a2">
    <w:name w:val="NormalHanging12a2"/>
    <w:basedOn w:val="Normal"/>
    <w:qFormat/>
    <w:rsid w:val="00DA7A40"/>
    <w:pPr>
      <w:spacing w:after="240"/>
      <w:ind w:left="1417" w:hanging="425"/>
    </w:pPr>
  </w:style>
  <w:style w:type="paragraph" w:customStyle="1" w:styleId="NormalHanging12a3">
    <w:name w:val="NormalHanging12a3"/>
    <w:basedOn w:val="NormalHanging12a2"/>
    <w:qFormat/>
    <w:rsid w:val="00DA7A40"/>
    <w:pPr>
      <w:ind w:left="1843"/>
    </w:pPr>
  </w:style>
  <w:style w:type="paragraph" w:customStyle="1" w:styleId="NormalHanging12a4">
    <w:name w:val="NormalHanging12a4"/>
    <w:basedOn w:val="NormalHanging12a3"/>
    <w:qFormat/>
    <w:rsid w:val="00DA7A40"/>
    <w:pPr>
      <w:ind w:left="2268"/>
    </w:pPr>
  </w:style>
  <w:style w:type="paragraph" w:customStyle="1" w:styleId="NormalHanging12a5">
    <w:name w:val="NormalHanging12a5"/>
    <w:basedOn w:val="NormalHanging12a4"/>
    <w:qFormat/>
    <w:rsid w:val="00DA7A40"/>
    <w:pPr>
      <w:ind w:left="2693"/>
    </w:pPr>
  </w:style>
  <w:style w:type="paragraph" w:customStyle="1" w:styleId="NormalHanging12a6">
    <w:name w:val="NormalHanging12a6"/>
    <w:basedOn w:val="NormalHanging12a5"/>
    <w:qFormat/>
    <w:rsid w:val="00DA7A40"/>
    <w:pPr>
      <w:ind w:left="3118"/>
    </w:pPr>
  </w:style>
  <w:style w:type="paragraph" w:customStyle="1" w:styleId="NormalHanging12a7">
    <w:name w:val="NormalHanging12a7"/>
    <w:basedOn w:val="NormalHanging12a6"/>
    <w:qFormat/>
    <w:rsid w:val="00DA7A40"/>
    <w:pPr>
      <w:ind w:left="3544"/>
    </w:pPr>
  </w:style>
  <w:style w:type="paragraph" w:customStyle="1" w:styleId="NormalHanging12a8">
    <w:name w:val="NormalHanging12a8"/>
    <w:basedOn w:val="NormalHanging12a7"/>
    <w:qFormat/>
    <w:rsid w:val="00DA7A40"/>
    <w:pPr>
      <w:ind w:left="3969"/>
    </w:pPr>
  </w:style>
  <w:style w:type="paragraph" w:customStyle="1" w:styleId="Normal12HangingCenter">
    <w:name w:val="Normal12HangingCenter"/>
    <w:basedOn w:val="Normal"/>
    <w:qFormat/>
    <w:rsid w:val="00DA7A40"/>
    <w:pPr>
      <w:spacing w:after="240"/>
      <w:ind w:left="567" w:hanging="567"/>
      <w:jc w:val="center"/>
    </w:pPr>
  </w:style>
  <w:style w:type="paragraph" w:customStyle="1" w:styleId="Normal12HangingJustified">
    <w:name w:val="Normal12HangingJustified"/>
    <w:basedOn w:val="Normal"/>
    <w:qFormat/>
    <w:rsid w:val="00DA7A40"/>
    <w:pPr>
      <w:spacing w:after="240"/>
      <w:ind w:left="714" w:hanging="357"/>
      <w:jc w:val="both"/>
    </w:pPr>
  </w:style>
  <w:style w:type="paragraph" w:customStyle="1" w:styleId="Normal2">
    <w:name w:val="Normal2"/>
    <w:next w:val="Normal"/>
    <w:qFormat/>
    <w:rsid w:val="00DA7A40"/>
    <w:pPr>
      <w:spacing w:line="120" w:lineRule="auto"/>
    </w:pPr>
    <w:rPr>
      <w:color w:val="000000"/>
      <w:sz w:val="4"/>
      <w:szCs w:val="24"/>
    </w:rPr>
  </w:style>
  <w:style w:type="paragraph" w:customStyle="1" w:styleId="NormalBoldCenter">
    <w:name w:val="NormalBoldCenter"/>
    <w:basedOn w:val="Normal"/>
    <w:rsid w:val="00DA7A40"/>
    <w:pPr>
      <w:jc w:val="center"/>
    </w:pPr>
    <w:rPr>
      <w:b/>
    </w:rPr>
  </w:style>
  <w:style w:type="paragraph" w:customStyle="1" w:styleId="NormalBoldItalic6a">
    <w:name w:val="NormalBoldItalic6a"/>
    <w:basedOn w:val="Normal6a"/>
    <w:qFormat/>
    <w:rsid w:val="00DA7A40"/>
    <w:rPr>
      <w:b/>
      <w:i/>
    </w:rPr>
  </w:style>
  <w:style w:type="paragraph" w:customStyle="1" w:styleId="NormalBoldItalicCenter6a">
    <w:name w:val="NormalBoldItalicCenter6a"/>
    <w:basedOn w:val="Normal6a"/>
    <w:qFormat/>
    <w:rsid w:val="00DA7A40"/>
    <w:pPr>
      <w:jc w:val="center"/>
    </w:pPr>
    <w:rPr>
      <w:b/>
      <w:i/>
    </w:rPr>
  </w:style>
  <w:style w:type="paragraph" w:customStyle="1" w:styleId="NormalItalic6a">
    <w:name w:val="NormalItalic6a"/>
    <w:basedOn w:val="Normal6a"/>
    <w:qFormat/>
    <w:rsid w:val="00DA7A40"/>
    <w:rPr>
      <w:i/>
    </w:rPr>
  </w:style>
  <w:style w:type="character" w:customStyle="1" w:styleId="Sub">
    <w:name w:val="Sub"/>
    <w:uiPriority w:val="1"/>
    <w:qFormat/>
    <w:rsid w:val="007E4DED"/>
    <w:rPr>
      <w:vertAlign w:val="subscript"/>
    </w:rPr>
  </w:style>
  <w:style w:type="character" w:customStyle="1" w:styleId="SubBold">
    <w:name w:val="SubBold"/>
    <w:uiPriority w:val="1"/>
    <w:qFormat/>
    <w:rsid w:val="007E4DED"/>
    <w:rPr>
      <w:b/>
      <w:vertAlign w:val="subscript"/>
    </w:rPr>
  </w:style>
  <w:style w:type="character" w:customStyle="1" w:styleId="SubBoldItalic">
    <w:name w:val="SubBoldItalic"/>
    <w:uiPriority w:val="1"/>
    <w:rsid w:val="007E4DED"/>
    <w:rPr>
      <w:b/>
      <w:i/>
      <w:vertAlign w:val="subscript"/>
    </w:rPr>
  </w:style>
  <w:style w:type="character" w:customStyle="1" w:styleId="SubItalic">
    <w:name w:val="SubItalic"/>
    <w:uiPriority w:val="1"/>
    <w:qFormat/>
    <w:rsid w:val="007E4DED"/>
    <w:rPr>
      <w:b/>
      <w:i/>
      <w:vertAlign w:val="subscript"/>
    </w:rPr>
  </w:style>
  <w:style w:type="character" w:customStyle="1" w:styleId="Sup">
    <w:name w:val="Sup"/>
    <w:uiPriority w:val="1"/>
    <w:rsid w:val="007E4DED"/>
    <w:rPr>
      <w:vertAlign w:val="superscript"/>
    </w:rPr>
  </w:style>
  <w:style w:type="character" w:customStyle="1" w:styleId="SupBoldItalic">
    <w:name w:val="SupBoldItalic"/>
    <w:uiPriority w:val="1"/>
    <w:qFormat/>
    <w:rsid w:val="007E4DED"/>
    <w:rPr>
      <w:b/>
      <w:i/>
      <w:vertAlign w:val="superscript"/>
    </w:rPr>
  </w:style>
  <w:style w:type="paragraph" w:customStyle="1" w:styleId="PageHeading">
    <w:name w:val="PageHeading"/>
    <w:basedOn w:val="Normal12a12b"/>
    <w:rsid w:val="00DA7A40"/>
    <w:pPr>
      <w:keepNext/>
      <w:jc w:val="center"/>
    </w:pPr>
    <w:rPr>
      <w:rFonts w:ascii="Arial" w:hAnsi="Arial"/>
      <w:b/>
    </w:rPr>
  </w:style>
  <w:style w:type="paragraph" w:customStyle="1" w:styleId="Olang">
    <w:name w:val="Olang"/>
    <w:basedOn w:val="Normal"/>
    <w:rsid w:val="00DA7A40"/>
    <w:pPr>
      <w:spacing w:before="240" w:after="240"/>
      <w:jc w:val="right"/>
    </w:pPr>
    <w:rPr>
      <w:noProof/>
    </w:rPr>
  </w:style>
  <w:style w:type="paragraph" w:customStyle="1" w:styleId="TOCPage">
    <w:name w:val="TOC Page"/>
    <w:basedOn w:val="Normal12a"/>
    <w:next w:val="TOC1"/>
    <w:rsid w:val="00DA7A40"/>
    <w:pPr>
      <w:keepNext/>
      <w:jc w:val="right"/>
    </w:pPr>
    <w:rPr>
      <w:rFonts w:ascii="Arial" w:hAnsi="Arial"/>
      <w:b/>
    </w:rPr>
  </w:style>
  <w:style w:type="character" w:customStyle="1" w:styleId="Underline">
    <w:name w:val="Underline"/>
    <w:uiPriority w:val="1"/>
    <w:rsid w:val="007E4DED"/>
    <w:rPr>
      <w:u w:val="single"/>
    </w:rPr>
  </w:style>
  <w:style w:type="character" w:customStyle="1" w:styleId="HideTermComment">
    <w:name w:val="HideTermComment"/>
    <w:uiPriority w:val="1"/>
    <w:qFormat/>
    <w:rsid w:val="0046408C"/>
    <w:rPr>
      <w:rFonts w:ascii="Arial" w:hAnsi="Arial"/>
      <w:vanish/>
      <w:color w:val="0066CC"/>
      <w:sz w:val="18"/>
    </w:rPr>
  </w:style>
  <w:style w:type="character" w:customStyle="1" w:styleId="HideTerminTermComment">
    <w:name w:val="HideTerminTermComment"/>
    <w:basedOn w:val="HideTermComment"/>
    <w:uiPriority w:val="1"/>
    <w:qFormat/>
    <w:rsid w:val="0046408C"/>
    <w:rPr>
      <w:rFonts w:ascii="Arial" w:hAnsi="Arial"/>
      <w:vanish/>
      <w:color w:val="538135" w:themeColor="accent6" w:themeShade="BF"/>
      <w:sz w:val="18"/>
    </w:rPr>
  </w:style>
  <w:style w:type="paragraph" w:customStyle="1" w:styleId="NormalCenter12a">
    <w:name w:val="NormalCenter12a"/>
    <w:basedOn w:val="Normal"/>
    <w:rsid w:val="00975932"/>
    <w:pPr>
      <w:spacing w:after="240"/>
      <w:jc w:val="center"/>
    </w:pPr>
  </w:style>
  <w:style w:type="paragraph" w:customStyle="1" w:styleId="NormalHanging12a">
    <w:name w:val="NormalHanging12a"/>
    <w:basedOn w:val="Normal"/>
    <w:rsid w:val="00160E3B"/>
    <w:pPr>
      <w:spacing w:after="240"/>
      <w:ind w:left="567" w:hanging="567"/>
    </w:pPr>
  </w:style>
  <w:style w:type="paragraph" w:customStyle="1" w:styleId="Subheading">
    <w:name w:val="Subheading"/>
    <w:basedOn w:val="Normal"/>
    <w:rsid w:val="00312D68"/>
    <w:pPr>
      <w:spacing w:before="480" w:after="240"/>
    </w:pPr>
    <w:rPr>
      <w:b/>
      <w:i/>
      <w:szCs w:val="24"/>
    </w:rPr>
  </w:style>
  <w:style w:type="character" w:customStyle="1" w:styleId="BoldItalicUnderline">
    <w:name w:val="BoldItalicUnderline"/>
    <w:uiPriority w:val="1"/>
    <w:rsid w:val="007E4DED"/>
    <w:rPr>
      <w:b/>
      <w:i/>
      <w:u w:val="single"/>
    </w:rPr>
  </w:style>
  <w:style w:type="character" w:customStyle="1" w:styleId="BoldUnderline">
    <w:name w:val="BoldUnderline"/>
    <w:uiPriority w:val="1"/>
    <w:rsid w:val="007E4DED"/>
    <w:rPr>
      <w:b/>
      <w:u w:val="single"/>
    </w:rPr>
  </w:style>
  <w:style w:type="character" w:customStyle="1" w:styleId="ItalicUnderline">
    <w:name w:val="ItalicUnderline"/>
    <w:uiPriority w:val="1"/>
    <w:rsid w:val="007E4DED"/>
    <w:rPr>
      <w:i/>
      <w:u w:val="single"/>
    </w:rPr>
  </w:style>
  <w:style w:type="character" w:customStyle="1" w:styleId="SubBoldItalicUnderline">
    <w:name w:val="SubBoldItalicUnderline"/>
    <w:uiPriority w:val="1"/>
    <w:rsid w:val="007E4DED"/>
    <w:rPr>
      <w:b/>
      <w:i/>
      <w:u w:val="single"/>
      <w:vertAlign w:val="subscript"/>
    </w:rPr>
  </w:style>
  <w:style w:type="character" w:customStyle="1" w:styleId="SubBoldUnderline">
    <w:name w:val="SubBoldUnderline"/>
    <w:uiPriority w:val="1"/>
    <w:rsid w:val="007E4DED"/>
    <w:rPr>
      <w:b/>
      <w:u w:val="single"/>
      <w:vertAlign w:val="subscript"/>
    </w:rPr>
  </w:style>
  <w:style w:type="character" w:customStyle="1" w:styleId="SubItalicUnderline">
    <w:name w:val="SubItalicUnderline"/>
    <w:uiPriority w:val="1"/>
    <w:rsid w:val="007E4DED"/>
    <w:rPr>
      <w:i/>
      <w:u w:val="single"/>
      <w:vertAlign w:val="subscript"/>
    </w:rPr>
  </w:style>
  <w:style w:type="character" w:customStyle="1" w:styleId="SubUnderline">
    <w:name w:val="SubUnderline"/>
    <w:uiPriority w:val="1"/>
    <w:rsid w:val="007E4DED"/>
    <w:rPr>
      <w:u w:val="single"/>
      <w:vertAlign w:val="subscript"/>
    </w:rPr>
  </w:style>
  <w:style w:type="character" w:customStyle="1" w:styleId="SupBold">
    <w:name w:val="SupBold"/>
    <w:uiPriority w:val="1"/>
    <w:rsid w:val="007E4DED"/>
    <w:rPr>
      <w:b/>
      <w:vertAlign w:val="superscript"/>
    </w:rPr>
  </w:style>
  <w:style w:type="character" w:customStyle="1" w:styleId="SupBoldItalicUnderline">
    <w:name w:val="SupBoldItalicUnderline"/>
    <w:uiPriority w:val="1"/>
    <w:rsid w:val="007E4DED"/>
    <w:rPr>
      <w:b/>
      <w:i/>
      <w:u w:val="single"/>
      <w:vertAlign w:val="superscript"/>
    </w:rPr>
  </w:style>
  <w:style w:type="character" w:customStyle="1" w:styleId="SupBoldUnderline">
    <w:name w:val="SupBoldUnderline"/>
    <w:uiPriority w:val="1"/>
    <w:rsid w:val="007E4DED"/>
    <w:rPr>
      <w:b/>
      <w:u w:val="single"/>
      <w:vertAlign w:val="superscript"/>
    </w:rPr>
  </w:style>
  <w:style w:type="character" w:customStyle="1" w:styleId="SupItalic">
    <w:name w:val="SupItalic"/>
    <w:uiPriority w:val="1"/>
    <w:rsid w:val="007E4DED"/>
    <w:rPr>
      <w:i/>
      <w:vertAlign w:val="superscript"/>
    </w:rPr>
  </w:style>
  <w:style w:type="character" w:customStyle="1" w:styleId="SupItalicUnderline">
    <w:name w:val="SupItalicUnderline"/>
    <w:uiPriority w:val="1"/>
    <w:rsid w:val="007E4DED"/>
    <w:rPr>
      <w:i/>
      <w:u w:val="single"/>
      <w:vertAlign w:val="superscript"/>
    </w:rPr>
  </w:style>
  <w:style w:type="character" w:customStyle="1" w:styleId="SupUnderline">
    <w:name w:val="SupUnderline"/>
    <w:uiPriority w:val="1"/>
    <w:rsid w:val="007E4DED"/>
    <w:rPr>
      <w:u w:val="single"/>
      <w:vertAlign w:val="superscript"/>
    </w:rPr>
  </w:style>
  <w:style w:type="paragraph" w:customStyle="1" w:styleId="NormalTab">
    <w:name w:val="NormalTab"/>
    <w:basedOn w:val="Normal"/>
    <w:rsid w:val="006B7F7C"/>
    <w:pPr>
      <w:tabs>
        <w:tab w:val="center" w:pos="284"/>
        <w:tab w:val="left" w:pos="425"/>
      </w:tabs>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44</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IT</vt:lpwstr>
  </property>
  <property fmtid="{D5CDD505-2E9C-101B-9397-08002B2CF9AE}" pid="3" name="&lt;FdR&gt;">
    <vt:lpwstr>1321310</vt:lpwstr>
  </property>
  <property fmtid="{D5CDD505-2E9C-101B-9397-08002B2CF9AE}" pid="4" name="&lt;Model&gt;">
    <vt:lpwstr>PA_NonLeg</vt:lpwstr>
  </property>
  <property fmtid="{D5CDD505-2E9C-101B-9397-08002B2CF9AE}" pid="5" name="&lt;Type&gt;">
    <vt:lpwstr>AD</vt:lpwstr>
  </property>
  <property fmtid="{D5CDD505-2E9C-101B-9397-08002B2CF9AE}" pid="6" name="DMXMLUID">
    <vt:lpwstr>20250612-092604-001012-166965</vt:lpwstr>
  </property>
  <property fmtid="{D5CDD505-2E9C-101B-9397-08002B2CF9AE}" pid="7" name="FooterPath">
    <vt:lpwstr>AD\1321310IT.doc</vt:lpwstr>
  </property>
  <property fmtid="{D5CDD505-2E9C-101B-9397-08002B2CF9AE}" pid="8" name="PE Number">
    <vt:lpwstr>770.238</vt:lpwstr>
  </property>
  <property fmtid="{D5CDD505-2E9C-101B-9397-08002B2CF9AE}" pid="9" name="UID">
    <vt:lpwstr>eu.europa.europarl-DIN1-2025-0000107752_01.09-it-01.00_text-xml</vt:lpwstr>
  </property>
</Properties>
</file>