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1.0 -->
  <w:body>
    <w:tbl>
      <w:tblPr>
        <w:jc w:val="left"/>
        <w:tblLayout w:type="fixed"/>
        <w:tblCellMar>
          <w:top w:w="0" w:type="dxa"/>
          <w:left w:w="108" w:type="dxa"/>
          <w:bottom w:w="0" w:type="dxa"/>
          <w:right w:w="108" w:type="dxa"/>
        </w:tblCellMar>
      </w:tblPr>
      <w:tblGrid>
        <w:gridCol w:w="6804"/>
        <w:gridCol w:w="2488"/>
      </w:tblGrid>
      <w:tr>
        <w:tblPrEx>
          <w:jc w:val="left"/>
          <w:tblLayout w:type="fixed"/>
          <w:tblCellMar>
            <w:top w:w="0" w:type="dxa"/>
            <w:left w:w="108" w:type="dxa"/>
            <w:bottom w:w="0" w:type="dxa"/>
            <w:right w:w="108" w:type="dxa"/>
          </w:tblCellMar>
        </w:tblPrEx>
        <w:trPr>
          <w:cantSplit w:val="0"/>
          <w:trHeight w:hRule="exact" w:val="1420"/>
          <w:jc w:val="left"/>
        </w:trPr>
        <w:tc>
          <w:tcPr>
            <w:tcW w:w="6804" w:type="dxa"/>
            <w:vAlign w:val="center"/>
          </w:tcPr>
          <w:p>
            <w:pPr>
              <w:pStyle w:val="EPName"/>
            </w:pPr>
            <w:r w:rsidR="00A77B3E">
              <w:t>Europos Parlamentas</w:t>
            </w:r>
          </w:p>
          <w:p>
            <w:pPr>
              <w:pStyle w:val="EPTerm"/>
            </w:pPr>
            <w:r>
              <w:t>2024-2029</w:t>
            </w:r>
          </w:p>
        </w:tc>
        <w:tc>
          <w:tcPr>
            <w:tcW w:w="2488" w:type="dxa"/>
            <w:vAlign w:val="top"/>
          </w:tcPr>
          <w:p>
            <w:pPr>
              <w:pStyle w:val="EPLogo"/>
            </w:pPr>
            <w:r>
              <w:drawing>
                <wp:inline>
                  <wp:extent cx="1162812" cy="647954"/>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xmlns:r="http://schemas.openxmlformats.org/officeDocument/2006/relationships" r:embed="rId4"/>
                          <a:stretch>
                            <a:fillRect/>
                          </a:stretch>
                        </pic:blipFill>
                        <pic:spPr>
                          <a:xfrm>
                            <a:off x="0" y="0"/>
                            <a:ext cx="1162812" cy="647954"/>
                          </a:xfrm>
                          <a:prstGeom prst="rect">
                            <a:avLst/>
                          </a:prstGeom>
                        </pic:spPr>
                      </pic:pic>
                    </a:graphicData>
                  </a:graphic>
                </wp:inline>
              </w:drawing>
            </w:r>
          </w:p>
        </w:tc>
      </w:tr>
    </w:tbl>
    <w:p>
      <w:pPr>
        <w:pStyle w:val="LineTop"/>
      </w:pPr>
    </w:p>
    <w:p>
      <w:pPr>
        <w:pStyle w:val="EPBody"/>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Moterų teisių ir lyčių lygybės komitetas</w:t>
      </w:r>
      <w:r>
        <w:rPr>
          <w:rStyle w:val="HideTWBExt"/>
        </w:rPr>
        <w:t>&lt;/</w:t>
      </w:r>
      <w:r>
        <w:rPr>
          <w:rStyle w:val="HideTWBExt"/>
        </w:rPr>
        <w:t>Commission</w:t>
      </w:r>
      <w:r>
        <w:rPr>
          <w:rStyle w:val="HideTWBExt"/>
        </w:rPr>
        <w:t>&gt;</w:t>
      </w:r>
    </w:p>
    <w:p>
      <w:pPr>
        <w:pStyle w:val="LineBottom"/>
      </w:pPr>
    </w:p>
    <w:p>
      <w:pPr>
        <w:pStyle w:val="CoverReference"/>
      </w:pPr>
      <w:r>
        <w:rPr>
          <w:rStyle w:val="HideTWBExt"/>
        </w:rPr>
        <w:t>&lt;</w:t>
      </w:r>
      <w:r>
        <w:rPr>
          <w:rStyle w:val="HideTWBExt"/>
        </w:rPr>
        <w:t>RefProc</w:t>
      </w:r>
      <w:r>
        <w:rPr>
          <w:rStyle w:val="HideTWBExt"/>
        </w:rPr>
        <w:t>&gt;</w:t>
      </w:r>
      <w:r>
        <w:t>2025/2014</w:t>
      </w:r>
      <w:r>
        <w:rPr>
          <w:rStyle w:val="HideTWBExt"/>
        </w:rPr>
        <w:t>&lt;/</w:t>
      </w:r>
      <w:r>
        <w:rPr>
          <w:rStyle w:val="HideTWBExt"/>
        </w:rPr>
        <w:t>RefProc</w:t>
      </w:r>
      <w:r>
        <w:rPr>
          <w:rStyle w:val="HideTWBExt"/>
        </w:rPr>
        <w:t>&gt;</w:t>
      </w:r>
      <w:r>
        <w:rPr>
          <w:rStyle w:val="HideTWBExt"/>
        </w:rPr>
        <w:t>&lt;</w:t>
      </w:r>
      <w:r>
        <w:rPr>
          <w:rStyle w:val="HideTWBExt"/>
        </w:rPr>
        <w:t>RefTypeProc</w:t>
      </w:r>
      <w:r>
        <w:rPr>
          <w:rStyle w:val="HideTWBExt"/>
        </w:rPr>
        <w:t>&gt;</w:t>
      </w:r>
      <w:r>
        <w:t>(INI)</w:t>
      </w:r>
      <w:r>
        <w:rPr>
          <w:rStyle w:val="HideTWBExt"/>
        </w:rPr>
        <w:t>&lt;/</w:t>
      </w:r>
      <w:r>
        <w:rPr>
          <w:rStyle w:val="HideTWBExt"/>
        </w:rPr>
        <w:t>RefTypeProc</w:t>
      </w:r>
      <w:r>
        <w:rPr>
          <w:rStyle w:val="HideTWBExt"/>
        </w:rPr>
        <w:t>&gt;</w:t>
      </w:r>
    </w:p>
    <w:p>
      <w:pPr>
        <w:pStyle w:val="CoverDate"/>
      </w:pPr>
      <w:r>
        <w:rPr>
          <w:rStyle w:val="HideTWBExt"/>
        </w:rPr>
        <w:t>&lt;</w:t>
      </w:r>
      <w:r>
        <w:rPr>
          <w:rStyle w:val="HideTWBExt"/>
        </w:rPr>
        <w:t>Date</w:t>
      </w:r>
      <w:r>
        <w:rPr>
          <w:rStyle w:val="HideTWBExt"/>
        </w:rPr>
        <w:t>&gt;</w:t>
      </w:r>
      <w:r>
        <w:rPr>
          <w:rStyle w:val="HideTWBInt"/>
        </w:rPr>
        <w:t>{</w:t>
      </w:r>
      <w:r>
        <w:rPr>
          <w:rStyle w:val="HideTWBInt"/>
        </w:rPr>
        <w:t>26/05/2025</w:t>
      </w:r>
      <w:r>
        <w:rPr>
          <w:rStyle w:val="HideTWBInt"/>
        </w:rPr>
        <w:t>}</w:t>
      </w:r>
      <w:r>
        <w:t>26.05.2025</w:t>
      </w:r>
      <w:r>
        <w:rPr>
          <w:rStyle w:val="HideTWBExt"/>
        </w:rPr>
        <w:t>&lt;/</w:t>
      </w:r>
      <w:r>
        <w:rPr>
          <w:rStyle w:val="HideTWBExt"/>
        </w:rPr>
        <w:t>Date</w:t>
      </w:r>
      <w:r>
        <w:rPr>
          <w:rStyle w:val="HideTWBExt"/>
        </w:rPr>
        <w:t>&gt;</w:t>
      </w:r>
    </w:p>
    <w:p>
      <w:pPr>
        <w:pStyle w:val="CoverDocType24a"/>
      </w:pPr>
      <w:r>
        <w:rPr>
          <w:rStyle w:val="HideTWBExt"/>
        </w:rPr>
        <w:t>&lt;</w:t>
      </w:r>
      <w:r>
        <w:rPr>
          <w:rStyle w:val="HideTWBExt"/>
        </w:rPr>
        <w:t>TitreType</w:t>
      </w:r>
      <w:r>
        <w:rPr>
          <w:rStyle w:val="HideTWBExt"/>
        </w:rPr>
        <w:t>&gt;</w:t>
      </w:r>
      <w:r>
        <w:t>NUOMONĖ</w:t>
      </w:r>
      <w:r>
        <w:rPr>
          <w:rStyle w:val="HideTWBExt"/>
        </w:rPr>
        <w:t>&lt;/</w:t>
      </w:r>
      <w:r>
        <w:rPr>
          <w:rStyle w:val="HideTWBExt"/>
        </w:rPr>
        <w:t>TitreType</w:t>
      </w:r>
      <w:r>
        <w:rPr>
          <w:rStyle w:val="HideTWBExt"/>
        </w:rPr>
        <w:t>&gt;</w:t>
      </w:r>
    </w:p>
    <w:p>
      <w:pPr>
        <w:pStyle w:val="CoverNormal24a"/>
      </w:pPr>
      <w:r>
        <w:rPr>
          <w:rStyle w:val="HideTWBExt"/>
        </w:rPr>
        <w:t>&lt;</w:t>
      </w:r>
      <w:r>
        <w:rPr>
          <w:rStyle w:val="HideTWBExt"/>
        </w:rPr>
        <w:t>CommissionResp</w:t>
      </w:r>
      <w:r>
        <w:rPr>
          <w:rStyle w:val="HideTWBExt"/>
        </w:rPr>
        <w:t>&gt;</w:t>
      </w:r>
      <w:r>
        <w:t>Moterų teisių ir lyčių lygybės komiteto</w:t>
      </w:r>
      <w:r>
        <w:rPr>
          <w:rStyle w:val="HideTWBExt"/>
        </w:rPr>
        <w:t>&lt;/</w:t>
      </w:r>
      <w:r>
        <w:rPr>
          <w:rStyle w:val="HideTWBExt"/>
        </w:rPr>
        <w:t>CommissionResp</w:t>
      </w:r>
      <w:r>
        <w:rPr>
          <w:rStyle w:val="HideTWBExt"/>
        </w:rPr>
        <w:t>&gt;</w:t>
      </w:r>
    </w:p>
    <w:p>
      <w:pPr>
        <w:pStyle w:val="CoverNormal24a"/>
      </w:pPr>
      <w:r>
        <w:rPr>
          <w:rStyle w:val="HideTWBExt"/>
        </w:rPr>
        <w:t>&lt;</w:t>
      </w:r>
      <w:r>
        <w:rPr>
          <w:rStyle w:val="HideTWBExt"/>
        </w:rPr>
        <w:t>CommissionInt</w:t>
      </w:r>
      <w:r>
        <w:rPr>
          <w:rStyle w:val="HideTWBExt"/>
        </w:rPr>
        <w:t>&gt;</w:t>
      </w:r>
      <w:r>
        <w:t>pateikta Vystymosi komitetui ir Aplinkos, klimato ir maisto saugos komitetui</w:t>
      </w:r>
      <w:r>
        <w:rPr>
          <w:rStyle w:val="HideTWBExt"/>
        </w:rPr>
        <w:t>&lt;/</w:t>
      </w:r>
      <w:r>
        <w:rPr>
          <w:rStyle w:val="HideTWBExt"/>
        </w:rPr>
        <w:t>CommissionInt</w:t>
      </w:r>
      <w:r>
        <w:rPr>
          <w:rStyle w:val="HideTWBExt"/>
        </w:rPr>
        <w:t>&gt;</w:t>
      </w:r>
    </w:p>
    <w:p>
      <w:pPr>
        <w:pStyle w:val="CoverNormal"/>
      </w:pPr>
      <w:r>
        <w:rPr>
          <w:rStyle w:val="HideTWBExt"/>
        </w:rPr>
        <w:t>&lt;</w:t>
      </w:r>
      <w:r>
        <w:rPr>
          <w:rStyle w:val="HideTWBExt"/>
        </w:rPr>
        <w:t>Titre</w:t>
      </w:r>
      <w:r>
        <w:rPr>
          <w:rStyle w:val="HideTWBExt"/>
        </w:rPr>
        <w:t>&gt;</w:t>
      </w:r>
      <w:r>
        <w:t>dėl darnaus vystymosi tikslų įgyvendinimo ir vykdymo atsižvelgiant į 2025 m. aukšto lygio politinį forumą</w:t>
      </w:r>
      <w:r>
        <w:rPr>
          <w:rStyle w:val="HideTWBExt"/>
        </w:rPr>
        <w:t>&lt;/</w:t>
      </w:r>
      <w:r>
        <w:rPr>
          <w:rStyle w:val="HideTWBExt"/>
        </w:rPr>
        <w:t>Titre</w:t>
      </w:r>
      <w:r>
        <w:rPr>
          <w:rStyle w:val="HideTWBExt"/>
        </w:rPr>
        <w:t>&gt;</w:t>
      </w:r>
    </w:p>
    <w:p>
      <w:pPr>
        <w:pStyle w:val="CoverNormal24a"/>
      </w:pPr>
      <w:r>
        <w:rPr>
          <w:rStyle w:val="HideTWBExt"/>
        </w:rPr>
        <w:t>&lt;</w:t>
      </w:r>
      <w:r>
        <w:rPr>
          <w:rStyle w:val="HideTWBExt"/>
        </w:rPr>
        <w:t>DocRef</w:t>
      </w:r>
      <w:r>
        <w:rPr>
          <w:rStyle w:val="HideTWBExt"/>
        </w:rPr>
        <w:t>&gt;</w:t>
      </w:r>
      <w:r>
        <w:t>(2025/2014(INI))</w:t>
      </w:r>
      <w:r>
        <w:rPr>
          <w:rStyle w:val="HideTWBExt"/>
        </w:rPr>
        <w:t>&lt;/</w:t>
      </w:r>
      <w:r>
        <w:rPr>
          <w:rStyle w:val="HideTWBExt"/>
        </w:rPr>
        <w:t>DocRef</w:t>
      </w:r>
      <w:r>
        <w:rPr>
          <w:rStyle w:val="HideTWBExt"/>
        </w:rPr>
        <w:t>&gt;</w:t>
      </w:r>
    </w:p>
    <w:p>
      <w:pPr>
        <w:pStyle w:val="CoverNormal24a"/>
      </w:pPr>
      <w:r>
        <w:t>Nuomonės referentė</w:t>
      </w:r>
      <w:r>
        <w:t xml:space="preserve">: </w:t>
      </w:r>
      <w:r>
        <w:rPr>
          <w:rStyle w:val="HideTWBExt"/>
        </w:rPr>
        <w:t>&lt;</w:t>
      </w:r>
      <w:r>
        <w:rPr>
          <w:rStyle w:val="HideTWBExt"/>
        </w:rPr>
        <w:t>Depute</w:t>
      </w:r>
      <w:r>
        <w:rPr>
          <w:rStyle w:val="HideTWBExt"/>
        </w:rPr>
        <w:t>&gt;</w:t>
      </w:r>
      <w:r>
        <w:t>Lina Gálvez</w:t>
      </w:r>
      <w:r>
        <w:rPr>
          <w:rStyle w:val="HideTWBExt"/>
        </w:rPr>
        <w:t>&lt;/</w:t>
      </w:r>
      <w:r>
        <w:rPr>
          <w:rStyle w:val="HideTWBExt"/>
        </w:rPr>
        <w:t>Depute</w:t>
      </w:r>
      <w:r>
        <w:rPr>
          <w:rStyle w:val="HideTWBExt"/>
        </w:rPr>
        <w:t>&gt;</w:t>
      </w:r>
    </w:p>
    <w:p>
      <w:r>
        <w:br w:type="page"/>
      </w:r>
      <w:r>
        <w:t>PA_NonLeg</w:t>
      </w:r>
    </w:p>
    <w:p>
      <w:pPr>
        <w:sectPr>
          <w:footerReference w:type="even" r:id="rId5"/>
          <w:footerReference w:type="default" r:id="rId6"/>
          <w:footerReference w:type="first" r:id="rId7"/>
          <w:pgSz w:w="11906" w:h="16838"/>
          <w:pgMar w:top="1134" w:right="1417" w:bottom="1417" w:left="1417" w:header="1134" w:footer="567" w:gutter="0"/>
          <w:cols w:num="1" w:space="708"/>
          <w:titlePg/>
          <w:docGrid w:linePitch="360"/>
        </w:sectPr>
      </w:pPr>
    </w:p>
    <w:p>
      <w:pPr>
        <w:pStyle w:val="PageHeadingNotTOC"/>
      </w:pPr>
      <w:r>
        <w:t>PAKEITIMAI</w:t>
      </w:r>
    </w:p>
    <w:p>
      <w:pPr>
        <w:pStyle w:val="Normal12a"/>
      </w:pPr>
      <w:r>
        <w:t xml:space="preserve">Moterų teisių ir lyčių lygybės komitetas </w:t>
      </w:r>
      <w:r>
        <w:t>teikia atsakingiems Vystymosi komitetui ir Aplinkos, klimato ir maisto saugos komitetui toliau pateikiamą tekstą</w:t>
      </w:r>
      <w:r>
        <w:t>:</w:t>
      </w:r>
    </w:p>
    <w:p>
      <w:pPr>
        <w:pStyle w:val="AmNumberTabs"/>
      </w:pPr>
      <w:r>
        <w:rPr>
          <w:rStyle w:val="HideTWBExt"/>
        </w:rPr>
        <w:t>&lt;</w:t>
      </w:r>
      <w:r>
        <w:rPr>
          <w:rStyle w:val="HideTWBExt"/>
        </w:rPr>
        <w:t>RepeatBlock-Amend</w:t>
      </w:r>
      <w:r>
        <w:rPr>
          <w:rStyle w:val="HideTWBExt"/>
        </w:rPr>
        <w:t>&gt;</w:t>
      </w: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 a nurodomoji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atsižvelgdamas į savo 2021 m. birželio 24 d. rezoliuciją dėl lytinės ir reprodukcinės sveikatos bei teisių padėties Europos Sąjungoje, kiek tai susiję su moterų sveikata</w:t>
            </w:r>
            <w:r>
              <w:rPr>
                <w:rStyle w:val="Sup"/>
              </w:rPr>
              <w:t>1a</w:t>
            </w:r>
            <w:r>
              <w:rPr>
                <w:b/>
                <w:i/>
                <w:strike w:val="0"/>
                <w:color w:val="auto"/>
                <w:highlight w:val="none"/>
                <w:u w:val="none" w:color="auto"/>
                <w:vertAlign w:val="baseline"/>
              </w:rPr>
              <w: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OL C 81, 2022 2 18, p. 43.</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 a nurodomoji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t>atsižvelgdamas į savo 2024 m. balandžio 11 d. rezoliuciją dėl teisės į abortą įtraukimo į ES pagrindinių teisių chartiją,</w:t>
            </w:r>
            <w:r>
              <w:rPr>
                <w:rStyle w:val="Sup"/>
              </w:rPr>
              <w:t>1a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OL C, C/2025/1279, 2025 3 13, ELI: http://data.europa.eu/eli/C/2025/1279/oj.</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3 a nurodomoji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atsižvelgdamas į Komisijos ES veiksmų planą dėl moterų teisių,</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4 a nurodomoji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atsižvelgdamas į 1994 m. Tarptautinę konferenciją gyventojų ir vystymosi klausimais, vykusią Kaire, į jos veiksmų programą ir peržiūros konferencijų rezultatus,</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5 a nurodomoji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atsižvelgdamas į 2015 m. Pekino deklaraciją ir veiksmų platformą, taip pat į jos peržiūros konferencijų rezultatus,</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6 a nurodomoji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atsižvelgdamas į organizacijos „Equal Measures 2030“ ataskaitą „2024 m. DVT lyčių lygybės indekso išvados. Ar lyčių lygybės ateitis pavojuje?“ (angl. „Findings from the 2024 SDG Gender Index – A gender equal future in crisis?“),</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7 a nurodomoji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atsižvelgdamas į 2024 m. bendrą JT Moterų, Jungtinių Tautų vystymosi programos, Jungtinių Tautų gyventojų fondo (UNFPA), UNICEF ir Pasaulio maisto programos ataskaitą „Ar jau pasiekėme šį tikslą? JT atliktų 5-ojo DVT vertinimų sintezė“ (angl. „Are we getting there? A synthesis of the UN evaluations of SDG 5“),</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8 a nurodomoji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atsižvelgdamas į Maisto ir žemės ūkio organizacijos 2015 m. neprivalomas gaires dėl tausios smulkiosios žvejybos užtikrinimo atsižvelgiant į aprūpinimo maistu saugumo ir skurdo panaikinimo tikslus, be kita ko, jų 8 skyrių dėl lyčių lygybės ir teisingumo,</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31 a nurodomoji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t>atsižvelgdamas į savo 2024 m. gruodžio 19 d. rekomendaciją Tarybai dėl ES prioritetų 69-ojoje Jungtinių Tautų Moterų padėties komisijos sesijoje,</w:t>
            </w:r>
            <w:r>
              <w:rPr>
                <w:rStyle w:val="Sup"/>
              </w:rPr>
              <w:t>1a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OL C, C/2025/1971, 2025 4 11, ELI: http://data.europa.eu/eli/C/2025/1971/oj.</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10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55 a nurodomoji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atsižvelgdamas į 2024 m. kovo mėn. devintąją Komisijos ekonominės, socialinės ir teritorinės sanglaudos ataskaitą,</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11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55 b nurodomoji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atsižvelgdamas į Europos lyčių lygybės instituto ataskaitą „2023 m. lyčių lygybės ataskaitos. Siekiant žaliosios pertvarkos transporto ir energetikos srityse“,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12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B a konstatuojamoji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Ba.</w:t>
            </w:r>
            <w:r>
              <w:tab/>
            </w:r>
            <w:r>
              <w:rPr>
                <w:b/>
                <w:i/>
                <w:strike w:val="0"/>
                <w:color w:val="auto"/>
                <w:highlight w:val="none"/>
                <w:u w:val="none" w:color="auto"/>
                <w:vertAlign w:val="baseline"/>
              </w:rPr>
              <w:t>kadangi, remiantis 2024 m. pasauliniu taikos indeksu, vidutinis taikingumo lygis pasaulyje sumažėjo 0,56 proc., o tai reiškia, kad jis blogėja jau penktus metus iš eilės; kadangi, atsižvelgiant į šią tendenciją, į nuodugnią apžvalgą turėtų būti įtrauktas 16-asis DVT, kad būtų sprendžiami didėjantys taikos ir saugumo iššūkiai visame pasaulyje;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13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B b konstatuojamoji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Bb.</w:t>
            </w:r>
            <w:r>
              <w:tab/>
            </w:r>
            <w:r>
              <w:rPr>
                <w:b/>
                <w:i/>
                <w:strike w:val="0"/>
                <w:color w:val="auto"/>
                <w:highlight w:val="none"/>
                <w:u w:val="none" w:color="auto"/>
                <w:vertAlign w:val="baseline"/>
              </w:rPr>
              <w:t>kadangi didėjantis prekybos žmonėmis mastas ir toliau kelia didžiulę grėsmę taikai ir saugumui pasaulyje; kadangi siekiant kovoti su prekybos žmonėmis tinklais, apsaugoti aukas ir ginti žmogaus teises būtina stiprinti tarptautinį bendradarbiavimą ir vykdymo užtikrinimo mechanizmus pagal 16-ąjį DVT;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14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 konstatuojamoji dalis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C.</w:t>
            </w:r>
            <w:r>
              <w:tab/>
            </w:r>
            <w:r>
              <w:t>kadangi šiuo metu per metus trūksta 4 trln. JAV dolerių investicijų į DVT; kadangi aukštas mažų ir vidutinių pajamų šalių skolos lygis yra kliūtis investicijoms, kurių reikia DVT pasiekti;</w:t>
            </w:r>
          </w:p>
        </w:tc>
        <w:tc>
          <w:tcPr>
            <w:tcW w:w="4876" w:type="dxa"/>
            <w:vAlign w:val="top"/>
          </w:tcPr>
          <w:p>
            <w:pPr>
              <w:pStyle w:val="Normal6a"/>
            </w:pPr>
            <w:r>
              <w:t>C.</w:t>
            </w:r>
            <w:r>
              <w:tab/>
            </w:r>
            <w:r>
              <w:t>kadangi šiuo metu per metus trūksta 4 trln. JAV dolerių investicijų į DVT; kadangi aukštas mažų ir vidutinių pajamų šalių skolos lygis</w:t>
            </w:r>
            <w:r>
              <w:t>, kuriam sudaro sąlygas kai kurių institucijų vykdomos programos,</w:t>
            </w:r>
            <w:r>
              <w:t xml:space="preserve"> yra kliūtis investicijoms, kurių reikia DVT pasiekti;</w:t>
            </w:r>
            <w:r>
              <w:rPr>
                <w:b/>
                <w:i/>
                <w:strike w:val="0"/>
                <w:color w:val="auto"/>
                <w:highlight w:val="none"/>
                <w:u w:val="none" w:color="auto"/>
                <w:vertAlign w:val="baseline"/>
              </w:rPr>
              <w:t xml:space="preserve"> kadangi dėl šios priežasties taip pat didėja skurdas; kadangi moterys ir mergaitės visame pasaulyje neproporcingai kenčia nuo skurdo, humanitarinių krizių, klimato kaitos, konfliktų, ekstremizmo, terorizmo, karų ir maisto trūkumo; kadangi dėl to labiau pažeidžiami tampa ir vaikai; kadangi manoma, jog iki 2030 m. moterų ir vyrų skurdo atotrūkis dar labiau padidės, nes moterys ir toliau sudarys didžiąją dalį itin skurstančių pasaulio gyventojų;</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15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 a konstatuojamoji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Ca.</w:t>
            </w:r>
            <w:r>
              <w:tab/>
            </w:r>
            <w:r>
              <w:rPr>
                <w:b/>
                <w:i/>
                <w:strike w:val="0"/>
                <w:color w:val="auto"/>
                <w:highlight w:val="none"/>
                <w:u w:val="none" w:color="auto"/>
                <w:vertAlign w:val="baseline"/>
              </w:rPr>
              <w:t xml:space="preserve">kadangi nepakankamas lyčių lygybės finansavimas yra pagrindinė kliūtis siekiant rezultatų lyčių lygybės srityje; kadangi lyčių lygybė labai svarbi siekiant įgyvendinti pažadus tvarumo, gerovės, socialinio teisingumo, taikos ir žmonijos pažangos srityse; </w:t>
            </w:r>
            <w:r>
              <w:t>kadangi reikšmingi ir ilgalaikiai finansiniai įsipareigojimai ir sustiprinti biudžeto sudarymo procesai yra esminiai veiksniai, padedantys įgyvendinti teisės aktus, politiką ir į lyčių lygybę orientuotas paslaugas, kad lyčių lygybė būtų skatinama įgyvendinant visus 5-ojo DVT tikslinius rodiklius</w:t>
            </w:r>
            <w:r>
              <w:rPr>
                <w:rStyle w:val="Sup"/>
              </w:rPr>
              <w:t>1a</w:t>
            </w:r>
            <w:r>
              <w: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Organizacijos „Equal Measures 2030“ ataskaita „2024 m. DVT lyčių lygybės indekso išvados. Ar lyčių lygybės ateitis pavojuje?“ https://equalmeasures2030.org/wp-content/uploads/2024/09/EM2030_2024_SDG_Gender_Index_EN_digital.pdf.</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16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 b konstatuojamoji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Cb.</w:t>
            </w:r>
            <w:r>
              <w:tab/>
            </w:r>
            <w:r>
              <w:rPr>
                <w:b/>
                <w:i/>
                <w:strike w:val="0"/>
                <w:color w:val="auto"/>
                <w:highlight w:val="none"/>
                <w:u w:val="none" w:color="auto"/>
                <w:vertAlign w:val="baseline"/>
              </w:rPr>
              <w:t>kadangi bet kokio pobūdžio smurtas prieš moteris (fizinis, seksualinis, psichologinis, ekonominis ar kibernetinis smurtas) yra žmogaus teisių pažeidimas, labai sunkios formos moterų diskriminacija ir viena iš didžiausių kliūčių lyčių lygybei užtikrinti; kadangi smurtas dėl lyties glūdi netolygiame moterų ir vyrų galios pasidalijime, patriarchalinėse struktūrose ir lyčių stereotipuose (dėl šių priežasčių išsivystė vyrų dominavimas moterų atžvilgiu ir jų diskriminavimas), o toks smurtas gali skirtis išraiška, intensyvumu ir forma; kadangi visuomenė be smurto dėl lyties turi būti įvardijama kaip būtina išankstinė lyčių lygybės sąlyga;</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17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 dalis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w:t>
            </w:r>
            <w:r>
              <w:tab/>
            </w:r>
            <w:r>
              <w:t>dar kartą patvirtina savo tvirtą įsipareigojimą laiku ir visapusiškai įgyvendinti visus DVT;</w:t>
            </w:r>
          </w:p>
        </w:tc>
        <w:tc>
          <w:tcPr>
            <w:tcW w:w="4876" w:type="dxa"/>
            <w:vAlign w:val="top"/>
          </w:tcPr>
          <w:p>
            <w:pPr>
              <w:pStyle w:val="Normal6a"/>
            </w:pPr>
            <w:r>
              <w:t>1.</w:t>
            </w:r>
            <w:r>
              <w:tab/>
            </w:r>
            <w:r>
              <w:t>dar kartą patvirtina savo tvirtą įsipareigojimą</w:t>
            </w:r>
            <w:r>
              <w:t xml:space="preserve"> pasitelkiant ES išorės veiksmus</w:t>
            </w:r>
            <w:r>
              <w:t xml:space="preserve"> laiku ir visapusiškai įgyvendinti visus DVT</w:t>
            </w:r>
            <w:r>
              <w:t xml:space="preserve"> visose ES valstybėse narėse ir visame pasaulyje</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18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 dalies a punktas (naujas)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a)</w:t>
            </w:r>
            <w:r>
              <w:tab/>
            </w:r>
            <w:r>
              <w:rPr>
                <w:b/>
                <w:i/>
                <w:strike w:val="0"/>
                <w:color w:val="auto"/>
                <w:highlight w:val="none"/>
                <w:u w:val="none" w:color="auto"/>
                <w:vertAlign w:val="baseline"/>
              </w:rPr>
              <w:t>pabrėžia, kad ES padarė nedidelę pažangą įgyvendinant 1-ąjį DVT, tačiau moterims vis dar gresia didesnis skurdo ir socialinės atskirties pavojus;</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19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 dalies b punktas (naujas)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b)</w:t>
            </w:r>
            <w:r>
              <w:tab/>
            </w:r>
            <w:r>
              <w:rPr>
                <w:b/>
                <w:i/>
                <w:strike w:val="0"/>
                <w:color w:val="auto"/>
                <w:highlight w:val="none"/>
                <w:u w:val="none" w:color="auto"/>
                <w:vertAlign w:val="baseline"/>
              </w:rPr>
              <w:t>reiškia susirūpinimą dėl 2-ojo DVT ES, nes didėjantis moterų ir vaikų nutukimo lygis yra netinkamos mitybos požymis;</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20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 dalies c punktas (naujas)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c)</w:t>
            </w:r>
            <w:r>
              <w:tab/>
            </w:r>
            <w:r>
              <w:rPr>
                <w:b/>
                <w:i/>
                <w:strike w:val="0"/>
                <w:color w:val="auto"/>
                <w:highlight w:val="none"/>
                <w:u w:val="none" w:color="auto"/>
                <w:vertAlign w:val="baseline"/>
              </w:rPr>
              <w:t xml:space="preserve">yra labai susirūpinęs dėl moterų padėties ES, kiek ji susijusi su 7-uoju DVT, nes gaudamos mažesnes pajamas moterys dažniau patiria energijos nepriteklių; 2022 m. 9,8 proc. moterų ir 8,7 proc. vyrų negalėjo tinkamai apšildyti savo būsto, o energetikos krizė šią padėtį dar labiau pablogino; </w:t>
            </w:r>
            <w:r>
              <w:t>palankiai vertina Komisijos komunikatą dėl įperkamos energijos</w:t>
            </w:r>
            <w:r>
              <w:rPr>
                <w:rStyle w:val="Sup"/>
              </w:rPr>
              <w:t>1a</w:t>
            </w:r>
            <w:r>
              <w:t>;</w:t>
            </w:r>
            <w:r>
              <w:rPr>
                <w:b/>
                <w:i/>
                <w:strike w:val="0"/>
                <w:color w:val="auto"/>
                <w:highlight w:val="none"/>
                <w:u w:val="none" w:color="auto"/>
                <w:vertAlign w:val="baseline"/>
              </w:rPr>
              <w:t xml:space="preserve"> ragina Komisiją ir teisės aktų leidėjus paspartinti procesą, kad būtų nedelsiant užtikrintos galimybės naudotis įperkama energija;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Įperkamos energijos veiksmų planas. Mūsų energetikos sąjungos tikros vertės atskleidimas siekiant užtikrinti įperkamą, efektyviai naudojamą ir švarią energiją visiems europiečiams (COM(2025)0079).</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21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 dalies d punktas (naujas)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d)</w:t>
            </w:r>
            <w:r>
              <w:tab/>
            </w:r>
            <w:r>
              <w:rPr>
                <w:b/>
                <w:i/>
                <w:strike w:val="0"/>
                <w:color w:val="auto"/>
                <w:highlight w:val="none"/>
                <w:u w:val="none" w:color="auto"/>
                <w:vertAlign w:val="baseline"/>
              </w:rPr>
              <w:t>pabrėžia, kad 11-asis DVT ES vis dar nepasiektas, nes moterys dažniau gyvena prastuose būstuose (2022 m. – 4,6 proc., palyginti su 4,0 proc. vyrų) ir dažniau naudojasi viešuoju transportu, o tai kelia susirūpinimą dėl saugumo;</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22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 dalis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w:t>
            </w:r>
            <w:r>
              <w:tab/>
            </w:r>
            <w:r>
              <w:t>apgailestauja, kad pasaulio bendruomenė labai atsilieka įgyvendindama Darbotvarkę iki 2030 m. ir siekdama DVT tikslų;</w:t>
            </w:r>
          </w:p>
        </w:tc>
        <w:tc>
          <w:tcPr>
            <w:tcW w:w="4876" w:type="dxa"/>
            <w:vAlign w:val="top"/>
          </w:tcPr>
          <w:p>
            <w:pPr>
              <w:pStyle w:val="Normal6a"/>
            </w:pPr>
            <w:r>
              <w:t>2.</w:t>
            </w:r>
            <w:r>
              <w:tab/>
            </w:r>
            <w:r>
              <w:t>apgailestauja, kad pasaulio bendruomenė labai atsilieka įgyvendindama Darbotvarkę iki 2030 m. ir siekdama DVT tikslų</w:t>
            </w:r>
            <w:r>
              <w:t>, ir kad siekiant kai kurių DVT pastebima regresija</w:t>
            </w:r>
            <w:r>
              <w:t>;</w:t>
            </w:r>
            <w:r>
              <w:rPr>
                <w:b/>
                <w:i/>
                <w:strike w:val="0"/>
                <w:color w:val="auto"/>
                <w:highlight w:val="none"/>
                <w:u w:val="none" w:color="auto"/>
                <w:vertAlign w:val="baseline"/>
              </w:rPr>
              <w:t xml:space="preserve"> pabrėžia skirtumus tarp valstybių ir regionų bei jų viduje įvairiais klausimais, pvz., lyčių skirtumus; </w:t>
            </w:r>
            <w:r>
              <w:t>apgailestauja dėl to, kad buvo nutrauktas Jungtinių Amerikos Valstijų tarptautinio vystymosi agentūros (USAID) finansavimas, ir pripažįsta, kad tai turės pražūtingą poveikį pasaulinės bendruomenės siekiui pasiekti DVT tikslus, visų pirma 5-ąjį DVT;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23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 a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2a.</w:t>
            </w:r>
            <w:r>
              <w:tab/>
            </w:r>
            <w:r>
              <w:rPr>
                <w:b/>
                <w:i/>
                <w:strike w:val="0"/>
                <w:color w:val="auto"/>
                <w:highlight w:val="none"/>
                <w:u w:val="none" w:color="auto"/>
                <w:vertAlign w:val="baseline"/>
              </w:rPr>
              <w:t xml:space="preserve">ragina ES vykdyti savo įsipareigojimą visose ES politikos srityse ir skiriant finansavimą taikyti lyčių aspekto integravimą ir sąveikinį požiūrį; </w:t>
            </w:r>
            <w:r>
              <w:t>apgailestauja dėl to, kad pasaulio valstybės vis dar neturi 44 proc. duomenų, reikalingų 5-ajam DVT stebėti, o daugiau kaip 80 proc. valstybių trūksta duomenų apie bent vieną 5-ojo DVT tikslinį rodiklį</w:t>
            </w:r>
            <w:r>
              <w:rPr>
                <w:rStyle w:val="Sup"/>
              </w:rPr>
              <w:t>1a</w:t>
            </w:r>
            <w:r>
              <w:t>;</w:t>
            </w:r>
            <w:r>
              <w:rPr>
                <w:b/>
                <w:i/>
                <w:strike w:val="0"/>
                <w:color w:val="auto"/>
                <w:highlight w:val="none"/>
                <w:u w:val="none" w:color="auto"/>
                <w:vertAlign w:val="baseline"/>
              </w:rPr>
              <w:t xml:space="preserve"> todėl pabrėžia, kad reikia stiprinti nacionalines statistikos tarnybas ir gerinti jų pasaulinį koordinavimą ir bendradarbiavimą, taip pat užtikrinti informacija pagrįstą politikos formavimą ir panaikinti likusias duomenų spragas lyčių srityje;</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Organizacijos „Equal Measures 2030“ ataskaita „2024 m. DVT lyčių lygybės indekso išvados. Ar lyčių lygybės ateitis pavojuje?“ https://equalmeasures2030.org/wp-content/uploads/2024/09/EM2030_2024_SDG_Gender_Index_EN_digital.pdf.</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24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 b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2b.</w:t>
            </w:r>
            <w:r>
              <w:tab/>
            </w:r>
            <w:r>
              <w:rPr>
                <w:b/>
                <w:i/>
                <w:strike w:val="0"/>
                <w:color w:val="auto"/>
                <w:highlight w:val="none"/>
                <w:u w:val="none" w:color="auto"/>
                <w:vertAlign w:val="baseline"/>
              </w:rPr>
              <w:t>pabrėžia, kad duomenys yra labai svarbūs siekiant vykdyti DVT stebėseną; pažymi, kad, nepaisant pagirtino duomenų gausėjimo, taip pat jų atvirumo, prieinamumo ir veiksmingo naudojimo, vis dar esama esminių spragų; todėl pabrėžia nacionalinių statistikos tarnybų vaidmens svarbą ir poreikį stiprinti partnerystes, nes tai yra esminis dalykas siekiant gauti įtraukesnių duomenų, tokių kaip pagal lytį suskirstyti duomenys;</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25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3 dalis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3.</w:t>
            </w:r>
            <w:r>
              <w:tab/>
            </w:r>
            <w:r>
              <w:t>pabrėžia, kad skubiai reikalingas tarptautinis bendradarbiavimas ir ryžtingi pokyčius skatinantys veiksmai, kad mūsų visuomenė ir ekonomika galėtų tvirtai siekti DVT ir įveikti trejopą planetos krizę;</w:t>
            </w:r>
          </w:p>
        </w:tc>
        <w:tc>
          <w:tcPr>
            <w:tcW w:w="4876" w:type="dxa"/>
            <w:vAlign w:val="top"/>
          </w:tcPr>
          <w:p>
            <w:pPr>
              <w:pStyle w:val="Normal6a"/>
            </w:pPr>
            <w:r>
              <w:t>3.</w:t>
            </w:r>
            <w:r>
              <w:tab/>
            </w:r>
            <w:r>
              <w:t xml:space="preserve">pabrėžia, kad skubiai reikalingas tarptautinis bendradarbiavimas, ryžtingi pokyčius skatinantys veiksmai ir </w:t>
            </w:r>
            <w:r>
              <w:t>pasaulinės pagalbos vystymuisi išlaidų padidinimas</w:t>
            </w:r>
            <w:r>
              <w:t>, kad mūsų visuomenė ir ekonomika galėtų tvirtai siekti DVT ir įveikti trejopą planetos krizę</w:t>
            </w:r>
            <w:r>
              <w:t>:</w:t>
            </w:r>
            <w:r>
              <w:rPr>
                <w:b/>
                <w:i/>
                <w:strike w:val="0"/>
                <w:color w:val="auto"/>
                <w:highlight w:val="none"/>
                <w:u w:val="none" w:color="auto"/>
                <w:vertAlign w:val="baseline"/>
              </w:rPr>
              <w:t xml:space="preserve"> </w:t>
            </w:r>
            <w:r>
              <w:t>klimato kaitos, taršos ir biologinės įvairovės nykimo</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26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4 dalis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4.</w:t>
            </w:r>
            <w:r>
              <w:tab/>
            </w:r>
            <w:r>
              <w:t>pabrėžia, kad ES lyderystė pasauliniu mastu įgyvendinant DVT tebėra labai svarbi, ypač atsižvelgiant į daugialypius geopolitinius iššūkius ir tebesitęsiančias krizes;</w:t>
            </w:r>
          </w:p>
        </w:tc>
        <w:tc>
          <w:tcPr>
            <w:tcW w:w="4876" w:type="dxa"/>
            <w:vAlign w:val="top"/>
          </w:tcPr>
          <w:p>
            <w:pPr>
              <w:pStyle w:val="Normal6a"/>
            </w:pPr>
            <w:r>
              <w:t>4.</w:t>
            </w:r>
            <w:r>
              <w:tab/>
            </w:r>
            <w:r>
              <w:t>pabrėžia, kad ES lyderystė pasauliniu mastu įgyvendinant DVT tebėra labai svarbi, ypač atsižvelgiant į daugialypius geopolitinius iššūkius ir tebesitęsiančias krizes</w:t>
            </w:r>
            <w:r>
              <w:t>, be kita ko, didėjantį pasipriešinimą DVT ir priešišką reakciją į lyčių lygybę ir tarptautinę žmogaus teisių sistemą, kuria siekiama apsaugoti pažeidžiamas arba marginalizuotas grupes visame pasaulyje, įskaitant moteris, mergaites ir LGBTIQ+ asmenis</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27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4 a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4a.</w:t>
            </w:r>
            <w:r>
              <w:tab/>
            </w:r>
            <w:r>
              <w:rPr>
                <w:b/>
                <w:i/>
                <w:strike w:val="0"/>
                <w:color w:val="auto"/>
                <w:highlight w:val="none"/>
                <w:u w:val="none" w:color="auto"/>
                <w:vertAlign w:val="baseline"/>
              </w:rPr>
              <w:t>pripažįsta nuolatines Europos Sąjungos pastangas ir didelę pažangą, visų pirma siekiant 8-ojo DVT, tačiau taip pat pripažįsta, kad reikia didesnės pažangos siekiant 5-ojo DVT;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28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4 b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4b.</w:t>
            </w:r>
            <w:r>
              <w:tab/>
            </w:r>
            <w:r>
              <w:rPr>
                <w:b/>
                <w:i/>
                <w:strike w:val="0"/>
                <w:color w:val="auto"/>
                <w:highlight w:val="none"/>
                <w:u w:val="none" w:color="auto"/>
                <w:vertAlign w:val="baseline"/>
              </w:rPr>
              <w:t>pabrėžia, kad ES turėtų teikti pirmenybę politikai, kuria remiamos moterys, mergaitės ir šeimos, užtikrinant, kad jų ekonominė ir socialinė gerovė būtų vertinama kaip esminis dalykas siekiant tokių DVT kaip skurdo mažinimas, kokybiškas švietimas ir lyčių lygybė;</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29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5 dalis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5.</w:t>
            </w:r>
            <w:r>
              <w:tab/>
            </w:r>
            <w:r>
              <w:t>apgailestauja dėl labai mažos arba vidutinės pažangos siekiant daugumos 3-iojo DTV tikslų ir dėl lėto tempo nuo 2015 m. daugelyje pagrindinių sričių; susirūpinęs pažymi, kad mažiau nei 10 proc. 3-iojo DVT tikslų įgyvendinama pagal planą, ir tikėtina, kad iki 2030 m. bus pasiekta vos trečdalis tikslų;</w:t>
            </w:r>
          </w:p>
        </w:tc>
        <w:tc>
          <w:tcPr>
            <w:tcW w:w="4876" w:type="dxa"/>
            <w:vAlign w:val="top"/>
          </w:tcPr>
          <w:p>
            <w:pPr>
              <w:pStyle w:val="Normal6a"/>
            </w:pPr>
            <w:r>
              <w:t>5.</w:t>
            </w:r>
            <w:r>
              <w:tab/>
            </w:r>
            <w:r>
              <w:t>apgailestauja dėl labai mažos arba vidutinės pažangos siekiant daugumos 3-iojo DTV tikslų ir dėl lėto tempo nuo 2015 m. daugelyje pagrindinių sričių; susirūpinęs pažymi, kad mažiau nei 10 proc. 3-iojo DVT tikslų įgyvendinama pagal planą, ir tikėtina, kad iki 2030 m. bus pasiekta vos trečdalis tikslų;</w:t>
            </w:r>
            <w:r>
              <w:rPr>
                <w:b/>
                <w:i/>
                <w:strike w:val="0"/>
                <w:color w:val="auto"/>
                <w:highlight w:val="none"/>
                <w:u w:val="none" w:color="auto"/>
                <w:vertAlign w:val="baseline"/>
              </w:rPr>
              <w:t xml:space="preserve"> primena, kad ES egzistuoja didelė lyčių nelygybė ir kad nuo 2010 m. padaryta labai nedidelė pažanga ją mažinant;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30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5 a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5a.</w:t>
            </w:r>
            <w:r>
              <w:tab/>
            </w:r>
            <w:r>
              <w:rPr>
                <w:b/>
                <w:i/>
                <w:strike w:val="0"/>
                <w:color w:val="auto"/>
                <w:highlight w:val="none"/>
                <w:u w:val="none" w:color="auto"/>
                <w:vertAlign w:val="baseline"/>
              </w:rPr>
              <w:t>reiškia susirūpinimą dėl tebesitęsiančios moterų lyties organų žalojimo praktikos ir reiškia užuojautą jos aukoms; atkreipia dėmesį į tai, kad 2024 m. kovo mėn. UNICEF patikslino aukų skaičių iki daugiau kaip 230 mln., t. y. 15 proc. (apie 30 mln. daugiau) daugiau nei 2016 m., nepaisant sumažėjimo kai kuriose šalyse;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31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5 b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5b.</w:t>
            </w:r>
            <w:r>
              <w:tab/>
            </w:r>
            <w:r>
              <w:rPr>
                <w:b/>
                <w:i/>
                <w:strike w:val="0"/>
                <w:color w:val="auto"/>
                <w:highlight w:val="none"/>
                <w:u w:val="none" w:color="auto"/>
                <w:vertAlign w:val="baseline"/>
              </w:rPr>
              <w:t>pripažįsta, kad neseniai sumažintas USAID finansavimas dar labiau apsunkins pažangą siekiant 3-iojo DVT, nes visų pirma sumažės moterų ir mergaičių galimybės gauti reprodukcinės ir motinystės sveikatos priežiūros paslaugas;</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32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6 dalis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6.</w:t>
            </w:r>
            <w:r>
              <w:tab/>
            </w:r>
            <w:r>
              <w:t xml:space="preserve">pabrėžia, kad daugialypės </w:t>
            </w:r>
            <w:r>
              <w:t>ir</w:t>
            </w:r>
            <w:r>
              <w:t xml:space="preserve"> tarpusavyje susijusios krizės, silpna sveikatos priežiūros infrastruktūra, ekonominis nestabilumas, skurdas, nuolatinė nelygybė, ypač tarp pažeidžiamų gyventojų ir regionų, </w:t>
            </w:r>
            <w:r>
              <w:t>ir</w:t>
            </w:r>
            <w:r>
              <w:t xml:space="preserve"> vis labiau riboti ištekliai gali toliau trukdyti siekti 3-iojo DVT tikslų;</w:t>
            </w:r>
          </w:p>
        </w:tc>
        <w:tc>
          <w:tcPr>
            <w:tcW w:w="4876" w:type="dxa"/>
            <w:vAlign w:val="top"/>
          </w:tcPr>
          <w:p>
            <w:pPr>
              <w:pStyle w:val="Normal6a"/>
            </w:pPr>
            <w:r>
              <w:t>6.</w:t>
            </w:r>
            <w:r>
              <w:tab/>
            </w:r>
            <w:r>
              <w:t>pabrėžia, kad daugialypės, tarpusavyje susijusios</w:t>
            </w:r>
            <w:r>
              <w:t xml:space="preserve"> ir didėjančios</w:t>
            </w:r>
            <w:r>
              <w:t xml:space="preserve"> krizės</w:t>
            </w:r>
            <w:r>
              <w:t>, pavyzdžiui</w:t>
            </w:r>
            <w:r>
              <w:t xml:space="preserve">, silpna sveikatos priežiūros infrastruktūra, ekonominis nestabilumas, </w:t>
            </w:r>
            <w:r>
              <w:t>stiprėjanti geopolitinė įtampa,</w:t>
            </w:r>
            <w:r>
              <w:t xml:space="preserve"> skurdas </w:t>
            </w:r>
            <w:r>
              <w:t>ir</w:t>
            </w:r>
            <w:r>
              <w:t xml:space="preserve"> nuolatinė nelygybė</w:t>
            </w:r>
            <w:r>
              <w:t>, įskaitant lyčių nelygybę</w:t>
            </w:r>
            <w:r>
              <w:t xml:space="preserve">, ypač tarp pažeidžiamų gyventojų ir regionų, </w:t>
            </w:r>
            <w:r>
              <w:t>taip pat</w:t>
            </w:r>
            <w:r>
              <w:t xml:space="preserve"> vis labiau riboti ištekliai </w:t>
            </w:r>
            <w:r>
              <w:t>ir lyčiai atžvalgių medicinos mokslinių tyrimų trūkumas</w:t>
            </w:r>
            <w:r>
              <w:t xml:space="preserve"> gali toliau trukdyti siekti 3-iojo DVT tikslų;</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33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6 a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6a.</w:t>
            </w:r>
            <w:r>
              <w:tab/>
            </w:r>
            <w:r>
              <w:rPr>
                <w:b/>
                <w:i/>
                <w:strike w:val="0"/>
                <w:color w:val="auto"/>
                <w:highlight w:val="none"/>
                <w:u w:val="none" w:color="auto"/>
                <w:vertAlign w:val="baseline"/>
              </w:rPr>
              <w:t>susirūpinęs pažymi, kad JAV pasitraukė iš Pasaulio sveikatos organizacijos (PSO) ir visiškai įšaldė savo oficialią paramą vystymuisi (OPV); pabrėžia, kad, atsižvelgiant į JAV pagalbos vaidmenį stiprinant pasaulinę sveikatos apsaugą, tai turės didžiulį poveikį žmonių, įskaitant milijonus moterų ir mergaičių, gyvenimui ir galimybėms naudotis sveikatos priežiūros paslaugomis visame pasaulyje; be to, pabrėžia, kad atnaujinus visuotinio nutildymo taisyklės taikymą ypač didelis poveikis bus padarytas lytinei ir reprodukcinei sveikatai bei teisėms; ragina Komisiją ir valstybes nares šalinti JAV paliktas spragas, be kita ko, didinant ES indėlį į pagrindines lytinės ir reprodukcinės sveikatos bei teisių iniciatyvas, pvz., Jungtinių Tautų gyventojų fondo tiekimo partnerystę ir Europos komandos iniciatyvą dėl lytinės ir reprodukcinės sveikatos bei teisių Afrikoje į pietus nuo Sacharos;</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34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6 b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6b.</w:t>
            </w:r>
            <w:r>
              <w:tab/>
            </w:r>
            <w:r>
              <w:rPr>
                <w:b/>
                <w:i/>
                <w:strike w:val="0"/>
                <w:color w:val="auto"/>
                <w:highlight w:val="none"/>
                <w:u w:val="none" w:color="auto"/>
                <w:vertAlign w:val="baseline"/>
              </w:rPr>
              <w:t>apgailestauja dėl visuotinio paramos vystymuisi panaikinimo, kuris didžiausią poveikį sveikatos priežiūros prieinamumui daro skurdžiausiuose regionuose ir labiausiai marginalizuotiems asmenims, pvz., moterims ir mergaitėms; mano, kad silpnų sveikatos priežiūros sistemų ardymas kelia potencialų pavojų pasaulio gyventojų sveikatai; ragina imtis ryžtingų veiksmų visose ES valstybėse narėse ir vykdant ES išorės politiką, kad būtų padaryta didelė pažanga siekiant 2030 m. tikslo sumažinti motinų mirtingumą ir užtikrinti galimybę visiems naudotis lytinės ir reprodukcinės sveikatos priežiūros paslaugomis, įskaitant šeimos planavimo, saugių ir teisėtų abortų, motinų sveikatos priežiūros paslaugas ir visuotinę sveikatos apsaugą, be kita ko, galimybę visiems gauti saugių, veiksmingų, kokybiškų ir įperkamų būtinųjų vaistų; ragina ES pirmumo tvarka užtikrinti galimybę visose valstybėse narėse naudotis saugiu ir veiksmingu pasirinktos kontracepcijos metodu ir saugaus bei teisėto aborto paslaugomis;</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35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6 d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6d.</w:t>
            </w:r>
            <w:r>
              <w:tab/>
            </w:r>
            <w:r>
              <w:t>ragina ES ir jos valstybes nares teikti pirmenybę tam, kad berniukams ir mergaitėms būtų užtikrinta galimybė naudotis privalomu įrodymais pagrįstu išsamiu pagal amžių tinkamu lytiniu ir santykių švietimu ir informacija apie šeimos planavimą, atsižvelgiant į vertinimus, kad 164 mln. moterų turi nepatenkintų poreikių šioje srityje</w:t>
            </w:r>
            <w:r>
              <w:rPr>
                <w:rStyle w:val="Sup"/>
              </w:rPr>
              <w:t>1a</w:t>
            </w:r>
            <w:r>
              <w:t>, kartu prisidedant prie šių pastangų įgyvendinant išorės politiką;</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JT Ekonomikos ir socialinių reikalų departamentas, „World Family Planning 2022“, https://www.un.org/development/desa/pd/sites/www.un.org.development.desa.pd/files/files/documents/2023/Feb/undesa_pd_2022_world-family-planning.pdf.</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36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6 e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6e.</w:t>
            </w:r>
            <w:r>
              <w:tab/>
            </w:r>
            <w:r>
              <w:rPr>
                <w:b/>
                <w:i/>
                <w:strike w:val="0"/>
                <w:color w:val="auto"/>
                <w:highlight w:val="none"/>
                <w:u w:val="none" w:color="auto"/>
                <w:vertAlign w:val="baseline"/>
              </w:rPr>
              <w:t>ragina ES įgyvendinti Psichikos sveikatos strategijoje numatytus planus ir imtis ryžtingesnių veiksmų, kad visiems būtų užtikrintos geros psichikos sveikatos sąlygos, visų pirma atsižvelgiant į lyčių aspektą ir į tai, kad moterų ir LGBTIQ+ asmenų psichikos sveikatai daromas didesnis poveikis;</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37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6 f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6f.</w:t>
            </w:r>
            <w:r>
              <w:tab/>
            </w:r>
            <w:r>
              <w:rPr>
                <w:b/>
                <w:i/>
                <w:strike w:val="0"/>
                <w:color w:val="auto"/>
                <w:highlight w:val="none"/>
                <w:u w:val="none" w:color="auto"/>
                <w:vertAlign w:val="baseline"/>
              </w:rPr>
              <w:t>primena, kad visapusiškas lytinės ir reprodukcinės sveikatos bei teisių įgyvendinimas ir moterų bei mergaičių kūno autonomijos palaikymas yra labai svarbūs siekiant lyčių lygybės; pabrėžia, kad lytinė ir reprodukcinė sveikata bei teisės yra neatsiejama visuotinės sveikatos apsaugos dalis ir yra labai svarbios siekiant 3-iojo DVT, visų pirma 3.7 tikslo; ragina Komisiją užtikrinti, kad lytinė ir reprodukcinė sveikata bei teisės būtų įtrauktos į ES iniciatyvas ir programas dėl visuotinės sveikatos apsaugos;</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38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6 g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t>6g.</w:t>
            </w:r>
            <w:r>
              <w:tab/>
            </w:r>
            <w:r>
              <w:rPr>
                <w:b/>
                <w:i/>
                <w:strike w:val="0"/>
                <w:color w:val="auto"/>
                <w:highlight w:val="none"/>
                <w:u w:val="none" w:color="auto"/>
                <w:vertAlign w:val="baseline"/>
              </w:rPr>
              <w:t>įspėja, kad 3-iuoju ir 5-uoju DVT nustatyti tiksliniai rodikliai nebus pasiekti, jei ES ir visame pasaulyje nebus užtikrinta galimybė visiems naudotis lytinės ir reprodukcinės sveikatos priežiūros paslaugomis bei teisėmis; primena, kad galimybė naudotis pagrindinėmis sveikatos priežiūros paslaugomis ir gauti reikalingų vaistų bei pasirinkti saugų ir veiksmingą kontracepcijos metodą ir teisėto aborto paslaugas yra esminis lytinės ir reprodukcinės sveikatos priežiūros aspektas;</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39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6 h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6h.</w:t>
            </w:r>
            <w:r>
              <w:tab/>
            </w:r>
            <w:r>
              <w:rPr>
                <w:b/>
                <w:i/>
                <w:strike w:val="0"/>
                <w:color w:val="auto"/>
                <w:highlight w:val="none"/>
                <w:u w:val="none" w:color="auto"/>
                <w:vertAlign w:val="baseline"/>
              </w:rPr>
              <w:t>primena, kad neplanuotas nėštumas gali turėti didelių fizinių, emocinių ir finansinių pasekmių asmenims ir šeimoms, o paauglių nėštumo atvejais nepilnamečiams padaro ypač didelę žalą; pabrėžia, kad teisėtos abortų priežiūros paslaugos yra gyvybę gelbstinti pagalba įvykus persileidimui ar kitai gyvybei pavojingai akušerinei krizei, ir kad teisėta ir veiksminga galimybė atlikti saugų abortą gali padėti išvengti didelių komplikacijų ir didelės rizikos nėštumų, kurie gali būti motinų ir kūdikių mirtingumo priežastis;</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40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6 i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6i.</w:t>
            </w:r>
            <w:r>
              <w:tab/>
            </w:r>
            <w:r>
              <w:rPr>
                <w:b/>
                <w:i/>
                <w:strike w:val="0"/>
                <w:color w:val="auto"/>
                <w:highlight w:val="none"/>
                <w:u w:val="none" w:color="auto"/>
                <w:vertAlign w:val="baseline"/>
              </w:rPr>
              <w:t>be to, pabrėžia, kad medikamentinis abortas yra saugi ir mažiau invazinė chirurginio aborto alternatyva, todėl aborto ir persileidimo priežiūra tampa prieinamesnė asmenims, gyvenantiems vietovėse, kuriose chirurginio aborto priežiūra yra sunkiai prieinama dėl geografinių ar kitų kliūčių, ir kad laiku suteikta galimybė gauti saugius abortą sukeliančius vaistus taip pat gali leisti pacientams savarankiškai visiškai ar iš dalies pasirūpinti aborto ir persileidimo priežiūra, nelaukiant, kol bus per vėlu ir kils papildoma rizika sveikatai;</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41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6 j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6j.</w:t>
            </w:r>
            <w:r>
              <w:tab/>
            </w:r>
            <w:r>
              <w:t>ragina ES skubiai priimti Ypatingos svarbos vaistų aktą</w:t>
            </w:r>
            <w:r>
              <w:rPr>
                <w:rStyle w:val="Sup"/>
              </w:rPr>
              <w:t>1a</w:t>
            </w:r>
            <w:r>
              <w:t xml:space="preserve"> ir užtikrinti, kad juo visoje ES bet kuriuo metu būtų garantuotas PSO būtiniausių vaistų sąraše esančių pagrindinių lytinės ir reprodukcinės sveikatos vaistų prieinamumas ir pasiekiamumas;</w:t>
            </w:r>
            <w:r>
              <w:rPr>
                <w:b/>
                <w:i/>
                <w:strike w:val="0"/>
                <w:color w:val="auto"/>
                <w:highlight w:val="none"/>
                <w:u w:val="none" w:color="auto"/>
                <w:vertAlign w:val="baseline"/>
              </w:rPr>
              <w:t xml:space="preserve"> ragina Europos vaistų agentūrą atnaujinti ES ypatingos svarbos vaistų sąrašą ir į jį įtraukti visus Pasaulio sveikatos organizacijos būtinųjų vaistų sąraše esančius būtinuosius lytinės ir reprodukcinės sveikatos vaistus, pvz., kontraceptines priemones ir abortą sukeliančius vaistus; ragina ES užtikrinti, kad būtinieji lytinės ir reprodukcinės sveikatos vaistai būtų sistemingai įtraukiami į ES nepriklausančioms valstybėms teikiamą humanitarinę pagalbą;</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COM(2025)0102.</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42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7 dalis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7.</w:t>
            </w:r>
            <w:r>
              <w:tab/>
            </w:r>
            <w:r>
              <w:t xml:space="preserve">ragina imtis aktyvesnių koordinuotų veiksmų ir didelių investicijų, kad būtų užtikrinta visuotinė sveikatos apsauga, stiprinamos sveikatos sistemos, užtikrinamos vienodos galimybės gauti vaistų ir vakcinų, skatinama ligų prevencija ir gydymas, kovojama su sunkinančiais aplinkos veiksniais </w:t>
            </w:r>
            <w:r>
              <w:t>ir</w:t>
            </w:r>
            <w:r>
              <w:t xml:space="preserve"> šalinami skirtumai, susiję su galimybėmis gauti kokybišką priežiūrą ir paslaugas, ypač </w:t>
            </w:r>
            <w:r>
              <w:t>pažeidžiamoms</w:t>
            </w:r>
            <w:r>
              <w:t xml:space="preserve"> gyventojų grupėms ir regionams;</w:t>
            </w:r>
          </w:p>
        </w:tc>
        <w:tc>
          <w:tcPr>
            <w:tcW w:w="4876" w:type="dxa"/>
            <w:vAlign w:val="top"/>
          </w:tcPr>
          <w:p>
            <w:pPr>
              <w:pStyle w:val="Normal6a"/>
            </w:pPr>
            <w:r>
              <w:t>7.</w:t>
            </w:r>
            <w:r>
              <w:tab/>
            </w:r>
            <w:r>
              <w:t xml:space="preserve">ragina imtis aktyvesnių koordinuotų veiksmų ir didelių investicijų, kad būtų užtikrinta visuotinė sveikatos apsauga, stiprinamos sveikatos sistemos, užtikrinamos vienodos galimybės gauti vaistų ir vakcinų, skatinama ligų prevencija ir gydymas, kovojama su sunkinančiais aplinkos veiksniais, šalinami skirtumai, susiję su galimybėmis gauti kokybišką priežiūrą ir paslaugas, ypač </w:t>
            </w:r>
            <w:r>
              <w:t>pažeidžiamoje padėtyje esantiems asmenims</w:t>
            </w:r>
            <w:r>
              <w:t>, gyventojų grupėms ir regionams</w:t>
            </w:r>
            <w:r>
              <w:t>, įskaitant mažumų atstovus, moteris ir mergaites, taip pat neįgaliuosius</w:t>
            </w:r>
            <w:r>
              <w:t>;</w:t>
            </w:r>
            <w:r>
              <w:rPr>
                <w:b/>
                <w:i/>
                <w:strike w:val="0"/>
                <w:color w:val="auto"/>
                <w:highlight w:val="none"/>
                <w:u w:val="none" w:color="auto"/>
                <w:vertAlign w:val="baseline"/>
              </w:rPr>
              <w:t xml:space="preserve"> pabrėžia, kad visiems svarbu užtikrinti galimybę naudotis sveikatos priežiūros paslaugomis kaip vieną iš pagrindinių teisių; </w:t>
            </w:r>
            <w:r>
              <w:t>pabrėžia, kad reikia remti sveikatos priežiūros ir švietimo prieinamumą mergaitėms ekstremaliosiose situacijose, migrantėms, šalies viduje perkeltoms mergaitėms ir pabėgėlėms, taip pat mergaitėms, išgyvenančioms humanitarinę krizę ar konfliktinę situaciją;</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43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7 a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7a.</w:t>
            </w:r>
            <w:r>
              <w:tab/>
            </w:r>
            <w:r>
              <w:rPr>
                <w:b/>
                <w:i/>
                <w:strike w:val="0"/>
                <w:color w:val="auto"/>
                <w:highlight w:val="none"/>
                <w:u w:val="none" w:color="auto"/>
                <w:vertAlign w:val="baseline"/>
              </w:rPr>
              <w:t>ragina imtis aktyvesnių koordinuotų veiksmų ir didelių investicijų, kad būtų užtikrinta visuotinė sveikatos apsauga, stiprinamos sveikatos sistemos, užtikrinamos vienodos galimybės gauti vaistų ir vakcinų, skatinama ligų prevencija ir gydymas, kovojama su sunkinančiais aplinkos veiksniais, sprendžiamos psichikos sveikatos problemos ir mažinami skirtumai, susiję su galimybėmis gauti kokybišką priežiūrą ir paslaugas, ypač pažeidžiamoms gyventojų grupėms ir regionams;</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44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8 dalis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8.</w:t>
            </w:r>
            <w:r>
              <w:tab/>
            </w:r>
            <w:r>
              <w:rPr>
                <w:b/>
                <w:i/>
                <w:strike w:val="0"/>
                <w:color w:val="auto"/>
                <w:highlight w:val="none"/>
                <w:u w:val="none" w:color="auto"/>
                <w:vertAlign w:val="baseline"/>
              </w:rPr>
              <w:t>ragina į Europos žmogaus teisių konvenciją ir ES pagrindinių teisių chartiją įtraukti visuotinę teisę į sveiką aplinką ir sukurti teisiškai privalomą sistemą</w:t>
            </w:r>
            <w:r>
              <w:t>;</w:t>
            </w:r>
          </w:p>
        </w:tc>
        <w:tc>
          <w:tcPr>
            <w:tcW w:w="4876" w:type="dxa"/>
            <w:vAlign w:val="top"/>
          </w:tcPr>
          <w:p>
            <w:pPr>
              <w:pStyle w:val="Normal6a"/>
            </w:pPr>
            <w:r>
              <w:t>8.</w:t>
            </w:r>
            <w:r>
              <w:tab/>
            </w:r>
            <w:r>
              <w:rPr>
                <w:b/>
                <w:i/>
                <w:strike w:val="0"/>
                <w:color w:val="auto"/>
                <w:highlight w:val="none"/>
                <w:u w:val="none" w:color="auto"/>
                <w:vertAlign w:val="baseline"/>
              </w:rPr>
              <w:t>mano, kad sveika aplinka yra esminis sveikatos gerinimo aspektas</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45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8 a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8a.</w:t>
            </w:r>
            <w:r>
              <w:tab/>
            </w:r>
            <w:r>
              <w:rPr>
                <w:b/>
                <w:i/>
                <w:strike w:val="0"/>
                <w:color w:val="auto"/>
                <w:highlight w:val="none"/>
                <w:u w:val="none" w:color="auto"/>
                <w:vertAlign w:val="baseline"/>
              </w:rPr>
              <w:t xml:space="preserve">apgailestauja dėl to, kad nė viena valstybė greičiausiai nepasieks lyčių lygybės iki 2030 m. ir kad beveik 40 proc. valstybių 2019–2022 m. lyčių lygybė išliko tame pačiame lygyje arba netgi sumažėjo; pažymi, kad ši nesėkmė sutampa su konservatyvių, reakcingų ir neapykanta moterims persmelktų tendencijų, silpninančių moterų teises visame pasaulyje, didėjimu; </w:t>
            </w:r>
            <w:r>
              <w:t>įspėja, kad jei dabartinės pažangos nebuvimo ir padėties prastėjimo lyčių lygybės srityje tendencijos išliks, 2030 m. lyčių nelygybė pasaulyje gali būti dar didesnė nei 2015 m., kai buvo tariamasi dėl DVT</w:t>
            </w:r>
            <w:r>
              <w:rPr>
                <w:rStyle w:val="Sup"/>
              </w:rPr>
              <w:t>1a</w:t>
            </w:r>
            <w:r>
              <w: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Organizacijos „Equal Measures 2030“ ataskaita „2024 m. DVT lyčių lygybės indekso išvados. Ar lyčių lygybės ateitis pavojuje?“ https://equalmeasures2030.org/wp-content/uploads/2024/09/EM2030_2024_SDG_Gender_Index_EN_digital.pdf.</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46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8 b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8b.</w:t>
            </w:r>
            <w:r>
              <w:tab/>
            </w:r>
            <w:r>
              <w:rPr>
                <w:b/>
                <w:i/>
                <w:strike w:val="0"/>
                <w:color w:val="auto"/>
                <w:highlight w:val="none"/>
                <w:u w:val="none" w:color="auto"/>
                <w:vertAlign w:val="baseline"/>
              </w:rPr>
              <w:t>pabrėžia 5-ojo DVT kompleksinį pobūdį ir jo svarbą įgyvendinant Darbotvarkę iki 2030 m.; pabrėžia, kad lyčių lygybė tiesiogiai papildo visus kitus DVT ir kad šių tikslų nebus įmanoma pasiekti, jei nebus daroma pažanga moterų ir mergaičių teisių bei lyčių lygybės srityje;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47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9 dalis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9.</w:t>
            </w:r>
            <w:r>
              <w:tab/>
            </w:r>
            <w:r>
              <w:t xml:space="preserve">ragina imtis spartesnių ir tikslinių veiksmų siekiant nutraukti visų formų smurtą ir priekabiavimą prieš moteris, mergaites ir LGBTIQ+ asmenis, įskaitant seksualinį smurtą ir smurtą dėl lyties, </w:t>
            </w:r>
            <w:r>
              <w:rPr>
                <w:b/>
                <w:i/>
                <w:strike w:val="0"/>
                <w:color w:val="auto"/>
                <w:highlight w:val="none"/>
                <w:u w:val="none" w:color="auto"/>
                <w:vertAlign w:val="baseline"/>
              </w:rPr>
              <w:t>ir</w:t>
            </w:r>
            <w:r>
              <w:t xml:space="preserve"> nutraukti žalingą praktiką, pvz., vaikų santuokas </w:t>
            </w:r>
            <w:r>
              <w:rPr>
                <w:b/>
                <w:i/>
                <w:strike w:val="0"/>
                <w:color w:val="auto"/>
                <w:highlight w:val="none"/>
                <w:u w:val="none" w:color="auto"/>
                <w:vertAlign w:val="baseline"/>
              </w:rPr>
              <w:t>ir</w:t>
            </w:r>
            <w:r>
              <w:t xml:space="preserve"> moterų lyties organų žalojimą;</w:t>
            </w:r>
          </w:p>
        </w:tc>
        <w:tc>
          <w:tcPr>
            <w:tcW w:w="4876" w:type="dxa"/>
            <w:vAlign w:val="top"/>
          </w:tcPr>
          <w:p>
            <w:pPr>
              <w:pStyle w:val="Normal6a"/>
            </w:pPr>
            <w:r>
              <w:t>9.</w:t>
            </w:r>
            <w:r>
              <w:tab/>
            </w:r>
            <w:r>
              <w:rPr>
                <w:b/>
                <w:i/>
                <w:strike w:val="0"/>
                <w:color w:val="auto"/>
                <w:highlight w:val="none"/>
                <w:u w:val="none" w:color="auto"/>
                <w:vertAlign w:val="baseline"/>
              </w:rPr>
              <w:t xml:space="preserve">pakartoja, kad visuomenė be smurto dėl lyties yra būtina išankstinė lyčių lygybės sąlyga; </w:t>
            </w:r>
            <w:r>
              <w:t xml:space="preserve">ragina imtis spartesnių ir tikslinių veiksmų siekiant nutraukti visų formų smurtą ir priekabiavimą prieš moteris, mergaites ir LGBTIQ+ asmenis, įskaitant seksualinį smurtą ir smurtą dėl lyties, nutraukti žalingą praktiką, pvz., vaikų </w:t>
            </w:r>
            <w:r>
              <w:rPr>
                <w:b/>
                <w:i/>
                <w:strike w:val="0"/>
                <w:color w:val="auto"/>
                <w:highlight w:val="none"/>
                <w:u w:val="none" w:color="auto"/>
                <w:vertAlign w:val="baseline"/>
              </w:rPr>
              <w:t>ir priverstines</w:t>
            </w:r>
            <w:r>
              <w:t xml:space="preserve"> santuokas</w:t>
            </w:r>
            <w:r>
              <w:rPr>
                <w:b/>
                <w:i/>
                <w:strike w:val="0"/>
                <w:color w:val="auto"/>
                <w:highlight w:val="none"/>
                <w:u w:val="none" w:color="auto"/>
                <w:vertAlign w:val="baseline"/>
              </w:rPr>
              <w:t>, kurias kiekvienais metais priverstos sudaryti 12 mln. mergaičių</w:t>
            </w:r>
            <w:r>
              <w:rPr>
                <w:rStyle w:val="Sup"/>
              </w:rPr>
              <w:t>1a</w:t>
            </w:r>
            <w:r>
              <w:rPr>
                <w:b/>
                <w:i/>
                <w:strike w:val="0"/>
                <w:color w:val="auto"/>
                <w:highlight w:val="none"/>
                <w:u w:val="none" w:color="auto"/>
                <w:vertAlign w:val="baseline"/>
              </w:rPr>
              <w:t>,</w:t>
            </w:r>
            <w:r>
              <w:t xml:space="preserve"> moterų lyties organų žalojimą</w:t>
            </w:r>
            <w:r>
              <w:rPr>
                <w:b/>
                <w:i/>
                <w:strike w:val="0"/>
                <w:color w:val="auto"/>
                <w:highlight w:val="none"/>
                <w:u w:val="none" w:color="auto"/>
                <w:vertAlign w:val="baseline"/>
              </w:rPr>
              <w:t xml:space="preserve">, nėštumo nutraukimą dėl nepageidaujamos vaisiaus lyties, ir kovoti su smurto dėl lyties kaip karo ginklo naudojimu; mano, kad siekiant šio tikslo labai svarbus piliečių dalyvavimas ir vietos moterų organizacijos; yra susirūpinęs dėl to, kad pasaulyje vis dažniau persekiojami žmogaus teisių gynėjai, visų pirma tie, kurie gina moterų ir mažumų teises; </w:t>
            </w:r>
            <w:r>
              <w:rPr>
                <w:b/>
                <w:i/>
                <w:strike w:val="0"/>
                <w:color w:val="auto"/>
                <w:highlight w:val="none"/>
                <w:u w:val="none" w:color="auto"/>
                <w:vertAlign w:val="baseline"/>
              </w:rPr>
              <w:t>yra susirūpinęs dėl didelio motinų mirtingumo mažų ir vidutinių pajamų valstybėse</w:t>
            </w:r>
            <w:r>
              <w: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UNICEF, „Pagrindiniai faktai. 10 faktų, rodančių, kodėl turi būti sustabdytos vaikų santuokos, 2019 m. vasario 10 d.“ (angl. „Fast Facts: 10 facts illustrating why we must #EndChildMarriage10 February 2019“, https://www.unicef.org/press-releases/fast-facts-10-facts-illustrating-why-we-must-endchildmarriage.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48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9 a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9a.</w:t>
            </w:r>
            <w:r>
              <w:tab/>
            </w:r>
            <w:r>
              <w:rPr>
                <w:b/>
                <w:i/>
                <w:strike w:val="0"/>
                <w:color w:val="auto"/>
                <w:highlight w:val="none"/>
                <w:u w:val="none" w:color="auto"/>
                <w:vertAlign w:val="baseline"/>
              </w:rPr>
              <w:t>pabrėžia, kad išžaginimas tebėra vienas iš labiausiai paplitusių žmogaus teisių pažeidimų, ir primygtinai ragina suformuluoti bendrą išžaginimo apibrėžtį remiantis sutikimo nebuvimu;</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49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9 b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9b.</w:t>
            </w:r>
            <w:r>
              <w:tab/>
            </w:r>
            <w:r>
              <w:rPr>
                <w:b/>
                <w:i/>
                <w:strike w:val="0"/>
                <w:color w:val="auto"/>
                <w:highlight w:val="none"/>
                <w:u w:val="none" w:color="auto"/>
                <w:vertAlign w:val="baseline"/>
              </w:rPr>
              <w:t>apgailestauja, kad stiprėja neigiamas nusistatymas moterų teisių atžvilgiu, ir smerkia visus subjektus, kurie imasi veiksmų, kuriais siekiama sumenkinti pasaulinius lyčių lygybės laimėjimus; ragina ES ir jos valstybes nares aktyviau kovoti už lyčių lygybę, atsižvelgiant į tai, kad JAV mažina žmogaus teises ginančių organizacijų finansavimą;</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50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9 c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9c.</w:t>
            </w:r>
            <w:r>
              <w:tab/>
            </w:r>
            <w:r>
              <w:rPr>
                <w:b/>
                <w:i/>
                <w:strike w:val="0"/>
                <w:color w:val="auto"/>
                <w:highlight w:val="none"/>
                <w:u w:val="none" w:color="auto"/>
                <w:vertAlign w:val="baseline"/>
              </w:rPr>
              <w:t>ragina imtis ryžtingesnių veiksmų kovojant su plintančia prieš lytį nukreipta neapykantos kalba internete ir didėjančiomis grėsmėmis, su kuriomis susiduria moterys, užimančios politines pareigas, nes dėl to vis mažiau moterų pasiryžta šias pareigas eiti ir dažnai yra priverstos pasitraukti;</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51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10 dalis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10.</w:t>
            </w:r>
            <w:r>
              <w:tab/>
            </w:r>
            <w:r>
              <w:t xml:space="preserve">ragina </w:t>
            </w:r>
            <w:r>
              <w:rPr>
                <w:b/>
                <w:i/>
                <w:strike w:val="0"/>
                <w:color w:val="auto"/>
                <w:highlight w:val="none"/>
                <w:u w:val="none" w:color="auto"/>
                <w:vertAlign w:val="baseline"/>
              </w:rPr>
              <w:t>toliau finansuoti programas</w:t>
            </w:r>
            <w:r>
              <w:t xml:space="preserve">, kuriomis daugiausia dėmesio skiriama </w:t>
            </w:r>
            <w:r>
              <w:rPr>
                <w:b/>
                <w:i/>
                <w:strike w:val="0"/>
                <w:color w:val="auto"/>
                <w:highlight w:val="none"/>
                <w:u w:val="none" w:color="auto"/>
                <w:vertAlign w:val="baseline"/>
              </w:rPr>
              <w:t>moterų įgalėjimo</w:t>
            </w:r>
            <w:r>
              <w:t xml:space="preserve"> skatinimui ir kovai su visų formų smurtu dėl lyties; ragina Komisiją užtikrinti, kad į </w:t>
            </w:r>
            <w:r>
              <w:rPr>
                <w:b/>
                <w:i/>
                <w:strike w:val="0"/>
                <w:color w:val="auto"/>
                <w:highlight w:val="none"/>
                <w:u w:val="none" w:color="auto"/>
                <w:vertAlign w:val="baseline"/>
              </w:rPr>
              <w:t>85</w:t>
            </w:r>
            <w:r>
              <w:t xml:space="preserve"> proc. </w:t>
            </w:r>
            <w:r>
              <w:rPr>
                <w:b/>
                <w:i/>
                <w:strike w:val="0"/>
                <w:color w:val="auto"/>
                <w:highlight w:val="none"/>
                <w:u w:val="none" w:color="auto"/>
                <w:vertAlign w:val="baseline"/>
              </w:rPr>
              <w:t>visų naujų išorės veiksmų būtų</w:t>
            </w:r>
            <w:r>
              <w:t xml:space="preserve"> įtrauktas lyčių aspektas kaip svarbus arba pagrindinis tikslas ir kad 20 proc. oficialios paramos vystymuisi kiekvienoje šalyje būtų skiriama programoms, kurių vienas iš pagrindinių tikslų yra lyčių lygybė;</w:t>
            </w:r>
          </w:p>
        </w:tc>
        <w:tc>
          <w:tcPr>
            <w:tcW w:w="4876" w:type="dxa"/>
            <w:vAlign w:val="top"/>
          </w:tcPr>
          <w:p>
            <w:pPr>
              <w:pStyle w:val="Normal6a"/>
            </w:pPr>
            <w:r>
              <w:t>10.</w:t>
            </w:r>
            <w:r>
              <w:tab/>
            </w:r>
            <w:r>
              <w:t xml:space="preserve">ragina </w:t>
            </w:r>
            <w:r>
              <w:rPr>
                <w:b/>
                <w:i/>
                <w:strike w:val="0"/>
                <w:color w:val="auto"/>
                <w:highlight w:val="none"/>
                <w:u w:val="none" w:color="auto"/>
                <w:vertAlign w:val="baseline"/>
              </w:rPr>
              <w:t>padidinti finansavimą programoms</w:t>
            </w:r>
            <w:r>
              <w:t xml:space="preserve">, kuriomis daugiausia dėmesio skiriama </w:t>
            </w:r>
            <w:r>
              <w:rPr>
                <w:b/>
                <w:i/>
                <w:strike w:val="0"/>
                <w:color w:val="auto"/>
                <w:highlight w:val="none"/>
                <w:u w:val="none" w:color="auto"/>
                <w:vertAlign w:val="baseline"/>
              </w:rPr>
              <w:t>lyčių lygybės</w:t>
            </w:r>
            <w:r>
              <w:t xml:space="preserve"> skatinimui ir kovai su visų formų smurtu dėl lyties; ragina Komisiją užtikrinti, kad į </w:t>
            </w:r>
            <w:r>
              <w:rPr>
                <w:b/>
                <w:i/>
                <w:strike w:val="0"/>
                <w:color w:val="auto"/>
                <w:highlight w:val="none"/>
                <w:u w:val="none" w:color="auto"/>
                <w:vertAlign w:val="baseline"/>
              </w:rPr>
              <w:t>visus ES finansuojamus veiksmus būtų įtrauktas lyčių aspektas, kad 85</w:t>
            </w:r>
            <w:r>
              <w:t xml:space="preserve"> proc. </w:t>
            </w:r>
            <w:r>
              <w:rPr>
                <w:b/>
                <w:i/>
                <w:strike w:val="0"/>
                <w:color w:val="auto"/>
                <w:highlight w:val="none"/>
                <w:u w:val="none" w:color="auto"/>
                <w:vertAlign w:val="baseline"/>
              </w:rPr>
              <w:t>OPV būtų skiriama projektams, į kuriuos</w:t>
            </w:r>
            <w:r>
              <w:t xml:space="preserve"> įtrauktas lyčių aspektas kaip svarbus arba pagrindinis tikslas</w:t>
            </w:r>
            <w:r>
              <w:rPr>
                <w:b/>
                <w:i/>
                <w:strike w:val="0"/>
                <w:color w:val="auto"/>
                <w:highlight w:val="none"/>
                <w:u w:val="none" w:color="auto"/>
                <w:vertAlign w:val="baseline"/>
              </w:rPr>
              <w:t>,</w:t>
            </w:r>
            <w:r>
              <w:t xml:space="preserve"> ir kad 20 proc. oficialios paramos vystymuisi kiekvienoje šalyje būtų skiriama programoms, kurių vienas iš pagrindinių tikslų yra lyčių lygybė;</w:t>
            </w:r>
            <w:r>
              <w:rPr>
                <w:b/>
                <w:i/>
                <w:strike w:val="0"/>
                <w:color w:val="auto"/>
                <w:highlight w:val="none"/>
                <w:u w:val="none" w:color="auto"/>
                <w:vertAlign w:val="baseline"/>
              </w:rPr>
              <w:t xml:space="preserve"> ragina Komisiją įtraukti šiuos du tikslus į kitą DFP ir užtikrinti, kad lyčių aspekto integravimas ir biudžeto sudarymo atsižvelgiant į lyčių aspektą požiūris būtų svarbi visų ES politikos sričių, programų ir biudžeto dalis;</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52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10 a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10a.</w:t>
            </w:r>
            <w:r>
              <w:tab/>
            </w:r>
            <w:r>
              <w:rPr>
                <w:b/>
                <w:i/>
                <w:strike w:val="0"/>
                <w:color w:val="auto"/>
                <w:highlight w:val="none"/>
                <w:u w:val="none" w:color="auto"/>
                <w:vertAlign w:val="baseline"/>
              </w:rPr>
              <w:t xml:space="preserve">yra susirūpinęs dėl to, kad 5-asis DVT yra vienas iš mažiausiai finansuojamų DVT tikslų; </w:t>
            </w:r>
            <w:r>
              <w:t>smerkia tai, kad vis labiau mažinamas finansavimas moterų teisių srityje, ir tai, kad feministiniai pilietiniai judėjimai ir moterų teisių organizacijos ir toliau sistemingai nepakankamai finansuojamos – joms skiriama mažiau nei 1 proc. pasaulinės OPV</w:t>
            </w:r>
            <w:r>
              <w:rPr>
                <w:rStyle w:val="Sup"/>
              </w:rPr>
              <w:t>1a</w:t>
            </w:r>
            <w:r>
              <w:t>;</w:t>
            </w:r>
            <w:r>
              <w:rPr>
                <w:b/>
                <w:i/>
                <w:strike w:val="0"/>
                <w:color w:val="auto"/>
                <w:highlight w:val="none"/>
                <w:u w:val="none" w:color="auto"/>
                <w:vertAlign w:val="baseline"/>
              </w:rPr>
              <w:t xml:space="preserve"> ragina Komisiją užtikrinti nuolatinį, pakankamą ir tvarų Europos programų ir organizacijų, siekiančių lyčių lygybės ir moterų teisių, finansavimą;</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OPV politikos santrauka „Ko tikėtis feministinės užsienio politikos srityje dėl feministinių judėjimų finansavimo?“ (angl. „Where next for feminist foreign policy on funding feminist movements?“), https://media.odi.org/documents/ODI-ET-FundingMovements-PB-EN-May24-Final.pdf.</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53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10 b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10b.</w:t>
            </w:r>
            <w:r>
              <w:tab/>
            </w:r>
            <w:r>
              <w:rPr>
                <w:b/>
                <w:i/>
                <w:strike w:val="0"/>
                <w:color w:val="auto"/>
                <w:highlight w:val="none"/>
                <w:u w:val="none" w:color="auto"/>
                <w:vertAlign w:val="baseline"/>
              </w:rPr>
              <w:t>yra labai susirūpinęs dėl šiuo metu Afganistane vykdomo lyčių apartheido; atkreipia dėmesį į tai, kad 2,2 mln. mergaičių Afganistane neteko galimybės mokytis, ir šis skaičius gali išaugti iki 4 mln.; ragina pasaulio bendruomenę griežtai pasmerkti lyčių apartheidą Afganistane ir imtis visų būtinų veiksmų, kad jis būtų panaikintas, o atsakingi asmenys būtų patraukti atsakomybėn;</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54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10 c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10c.</w:t>
            </w:r>
            <w:r>
              <w:tab/>
            </w:r>
            <w:r>
              <w:t>apgailestauja dėl to, kad nuo Trečiojo ES lyčių lygybės veiksmų plano įgyvendinimo pradžios tik 3,8 proc. visų į lyčių lygybę orientuotų (tikslinių) veiksmų pagrindinis tikslas buvo lyčių lygybė, taigi, atsiliekama nuo KVTBP reglamente</w:t>
            </w:r>
            <w:r>
              <w:rPr>
                <w:rStyle w:val="Sup"/>
              </w:rPr>
              <w:t>1a</w:t>
            </w:r>
            <w:r>
              <w:t xml:space="preserve"> nustatyto 5 proc. tikslo:</w:t>
            </w:r>
            <w:r>
              <w:rPr>
                <w:b/>
                <w:i/>
                <w:strike w:val="0"/>
                <w:color w:val="auto"/>
                <w:highlight w:val="none"/>
                <w:u w:val="none" w:color="auto"/>
                <w:vertAlign w:val="baseline"/>
              </w:rPr>
              <w:t xml:space="preserve"> ragina valstybes nares ir Komisiją gerokai padidinti ES veiksmų, kurių pagrindinis tikslas yra skatinti lyčių lygybę, skaičių ir pasiekti 5 proc. tikslą; ragina ES padidinti finansavimą daugiašaliams lyčių lygybės fondams, tokiems kaip JT Moterys, ir lytinės bei reprodukcinės sveikatos fondams, tokiems kaip Jungtinių Tautų gyventojų fondas ir Pasaulinis kovos su AIDS, tuberkulioze ir maliarija fondas;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2021 m. birželio 9 d. Europos Parlamento ir Tarybos reglamentas (ES) 2021/947, kuriuo nustatoma Kaimynystės, vystomojo ir tarptautinio bendradarbiavimo priemonė „Globali Europa“, iš dalies keičiamas ir panaikinamas Europos Parlamento ir Tarybos sprendimas Nr. 466/2014/ES ir panaikinamas Europos Parlamento ir Tarybos reglamentas (ES) 2017/1601 ir Tarybos reglamentas (EB, Euratomas) Nr. 480/2009 (OL L 209, 2021 6 14, p. 1, ELI: http://data.europa.eu/eli/reg/2021/947/oj).</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55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11 dalis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11.</w:t>
            </w:r>
            <w:r>
              <w:tab/>
            </w:r>
            <w:r>
              <w:t xml:space="preserve">ragina dėti daugiau pastangų siekiant panaikinti vyrų ir moterų darbo užmokesčio skirtumą, </w:t>
            </w:r>
            <w:r>
              <w:rPr>
                <w:b/>
                <w:i/>
                <w:strike w:val="0"/>
                <w:color w:val="auto"/>
                <w:highlight w:val="none"/>
                <w:u w:val="none" w:color="auto"/>
                <w:vertAlign w:val="baseline"/>
              </w:rPr>
              <w:t>be kita ko</w:t>
            </w:r>
            <w:r>
              <w:t xml:space="preserve">, </w:t>
            </w:r>
            <w:r>
              <w:rPr>
                <w:b/>
                <w:i/>
                <w:strike w:val="0"/>
                <w:color w:val="auto"/>
                <w:highlight w:val="none"/>
                <w:u w:val="none" w:color="auto"/>
                <w:vertAlign w:val="baseline"/>
              </w:rPr>
              <w:t>priežiūros ekonomikoje</w:t>
            </w:r>
            <w:r>
              <w:t>, ir užtikrinti vienodas dalyvavimo ir lyderystės galimybes viešajame ir privačiajame sektoriuose;</w:t>
            </w:r>
          </w:p>
        </w:tc>
        <w:tc>
          <w:tcPr>
            <w:tcW w:w="4876" w:type="dxa"/>
            <w:vAlign w:val="top"/>
          </w:tcPr>
          <w:p>
            <w:pPr>
              <w:pStyle w:val="Normal6a"/>
            </w:pPr>
            <w:r>
              <w:t>11.</w:t>
            </w:r>
            <w:r>
              <w:tab/>
            </w:r>
            <w:r>
              <w:t xml:space="preserve">ragina dėti daugiau pastangų siekiant panaikinti vyrų ir moterų </w:t>
            </w:r>
            <w:r>
              <w:rPr>
                <w:b/>
                <w:i/>
                <w:strike w:val="0"/>
                <w:color w:val="auto"/>
                <w:highlight w:val="none"/>
                <w:u w:val="none" w:color="auto"/>
                <w:vertAlign w:val="baseline"/>
              </w:rPr>
              <w:t>užimtumo skirtumą ir vyrų ir moterų</w:t>
            </w:r>
            <w:r>
              <w:t xml:space="preserve"> darbo užmokesčio </w:t>
            </w:r>
            <w:r>
              <w:rPr>
                <w:b/>
                <w:i/>
                <w:strike w:val="0"/>
                <w:color w:val="auto"/>
                <w:highlight w:val="none"/>
                <w:u w:val="none" w:color="auto"/>
                <w:vertAlign w:val="baseline"/>
              </w:rPr>
              <w:t>bei pensijų</w:t>
            </w:r>
            <w:r>
              <w:t xml:space="preserve"> skirtumą </w:t>
            </w:r>
            <w:r>
              <w:rPr>
                <w:b/>
                <w:i/>
                <w:strike w:val="0"/>
                <w:color w:val="auto"/>
                <w:highlight w:val="none"/>
                <w:u w:val="none" w:color="auto"/>
                <w:vertAlign w:val="baseline"/>
              </w:rPr>
              <w:t>ir padidinti investicijas į viešąsias paslaugas ir socialinę infrastruktūrą</w:t>
            </w:r>
            <w:r>
              <w:t xml:space="preserve">, </w:t>
            </w:r>
            <w:r>
              <w:rPr>
                <w:b/>
                <w:i/>
                <w:strike w:val="0"/>
                <w:color w:val="auto"/>
                <w:highlight w:val="none"/>
                <w:u w:val="none" w:color="auto"/>
                <w:vertAlign w:val="baseline"/>
              </w:rPr>
              <w:t>taip pat ragina įsipareigoti daryti pažangą siekiant priežiūros visuomenės;</w:t>
            </w:r>
            <w:r>
              <w:rPr>
                <w:b/>
                <w:i/>
                <w:strike w:val="0"/>
                <w:color w:val="auto"/>
                <w:highlight w:val="none"/>
                <w:u w:val="none" w:color="auto"/>
                <w:vertAlign w:val="baseline"/>
              </w:rPr>
              <w:t xml:space="preserve"> </w:t>
            </w:r>
            <w:r>
              <w:rPr>
                <w:b/>
                <w:i/>
                <w:strike w:val="0"/>
                <w:color w:val="auto"/>
                <w:highlight w:val="none"/>
                <w:u w:val="none" w:color="auto"/>
                <w:vertAlign w:val="baseline"/>
              </w:rPr>
              <w:t>ragina užtikrinti teisingesnį darbo vertinimą ir atlyginimą sektoriuose, kuriuose daugiausia dirba moterys, darbo užmokesčio skaidrumą</w:t>
            </w:r>
            <w:r>
              <w:t xml:space="preserve">, </w:t>
            </w:r>
            <w:r>
              <w:rPr>
                <w:b/>
                <w:i/>
                <w:strike w:val="0"/>
                <w:color w:val="auto"/>
                <w:highlight w:val="none"/>
                <w:u w:val="none" w:color="auto"/>
                <w:vertAlign w:val="baseline"/>
              </w:rPr>
              <w:t>socialinės apsaugos reformas ir kokybiškų darbo vietų</w:t>
            </w:r>
            <w:r>
              <w:t xml:space="preserve">, </w:t>
            </w:r>
            <w:r>
              <w:rPr>
                <w:b/>
                <w:i/>
                <w:strike w:val="0"/>
                <w:color w:val="auto"/>
                <w:highlight w:val="none"/>
                <w:u w:val="none" w:color="auto"/>
                <w:vertAlign w:val="baseline"/>
              </w:rPr>
              <w:t>kuriose nebūtų seksualinio priekabiavimo</w:t>
            </w:r>
            <w:r>
              <w:t xml:space="preserve"> ir </w:t>
            </w:r>
            <w:r>
              <w:rPr>
                <w:b/>
                <w:i/>
                <w:strike w:val="0"/>
                <w:color w:val="auto"/>
                <w:highlight w:val="none"/>
                <w:u w:val="none" w:color="auto"/>
                <w:vertAlign w:val="baseline"/>
              </w:rPr>
              <w:t>smurto dėl lyties, skatinimą;</w:t>
            </w:r>
            <w:r>
              <w:rPr>
                <w:b/>
                <w:i/>
                <w:strike w:val="0"/>
                <w:color w:val="auto"/>
                <w:highlight w:val="none"/>
                <w:u w:val="none" w:color="auto"/>
                <w:vertAlign w:val="baseline"/>
              </w:rPr>
              <w:t xml:space="preserve"> </w:t>
            </w:r>
            <w:r>
              <w:rPr>
                <w:b/>
                <w:i/>
                <w:strike w:val="0"/>
                <w:color w:val="auto"/>
                <w:highlight w:val="none"/>
                <w:u w:val="none" w:color="auto"/>
                <w:vertAlign w:val="baseline"/>
              </w:rPr>
              <w:t>ragina dėti pastangas siekiant</w:t>
            </w:r>
            <w:r>
              <w:t xml:space="preserve"> užtikrinti vienodas dalyvavimo ir lyderystės galimybes </w:t>
            </w:r>
            <w:r>
              <w:rPr>
                <w:b/>
                <w:i/>
                <w:strike w:val="0"/>
                <w:color w:val="auto"/>
                <w:highlight w:val="none"/>
                <w:u w:val="none" w:color="auto"/>
                <w:vertAlign w:val="baseline"/>
              </w:rPr>
              <w:t>viešajame ir privačiajame sektoriuose skatinant lyčių pusiausvyrą skiriant į atsakingas bei su sprendimų priėmimu susijusias pareigas ir kovojant su seksizmu</w:t>
            </w:r>
            <w:r>
              <w:t xml:space="preserve"> viešajame ir privačiajame sektoriuose;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56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11 a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11a.</w:t>
            </w:r>
            <w:r>
              <w:tab/>
            </w:r>
            <w:r>
              <w:rPr>
                <w:b/>
                <w:i/>
                <w:strike w:val="0"/>
                <w:color w:val="auto"/>
                <w:highlight w:val="none"/>
                <w:u w:val="none" w:color="auto"/>
                <w:vertAlign w:val="baseline"/>
              </w:rPr>
              <w:t>pabrėžia, kad reikia skatinti lygias moterų ir mergaičių, ypač priklausančių marginalizuotoms grupėms ir patiriančių diskriminaciją, galimybes gauti išsilavinimą ir finansinį raštingumą; pabrėžia, kad šia politika turi būti siekiama skatinti lygias galimybes ir didinti moterų ir mergaičių galimybes gauti stabilų, gerai apmokamą ir atlygintiną darbą, kuris užtikrintų jų finansinę nepriklausomybę; ragina suteikti moterims ir mergaitėms geresnę prieigą prie skaitmeninių priemonių ir mokymo, taip pat skatinti programas ir finansavimą moterims ir mergaitėms gamtos mokslų, technologijų, inžinerijos ir matematikos (MTIM) bei verslumo studijų ir veiklos srityse;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57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11 b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11b.</w:t>
            </w:r>
            <w:r>
              <w:tab/>
            </w:r>
            <w:r>
              <w:rPr>
                <w:b/>
                <w:i/>
                <w:strike w:val="0"/>
                <w:color w:val="auto"/>
                <w:highlight w:val="none"/>
                <w:u w:val="none" w:color="auto"/>
                <w:vertAlign w:val="baseline"/>
              </w:rPr>
              <w:t>pabrėžia, koks svarbus Komisijos parengtas Moterų teisių veiksmų planas dar kartą patvirtinant ES įsipareigojimą siekti lyčių lygybės ir formuojant naują lyčių lygybės strategiją, kuri bus paskelbta 2026 m.; ragina valstybes nares aktyviau dalyvauti ir laikytis visapusiško požiūrio į lytinės ir reprodukcinės sveikatos priežiūros paslaugas, sąveikinę diskriminaciją ir pažeidžiamų moterų apsaugą;</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58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11 c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11c.</w:t>
            </w:r>
            <w:r>
              <w:tab/>
            </w:r>
            <w:r>
              <w:rPr>
                <w:b/>
                <w:i/>
                <w:strike w:val="0"/>
                <w:color w:val="auto"/>
                <w:highlight w:val="none"/>
                <w:u w:val="none" w:color="auto"/>
                <w:vertAlign w:val="baseline"/>
              </w:rPr>
              <w:t>ragina į ES pagrindinių teisių chartiją įtraukti visuotinę teisę į saugų ir teisėtą abortą ir sukurti teisiškai privalomą sistemą;</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59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11 d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11d.</w:t>
            </w:r>
            <w:r>
              <w:tab/>
            </w:r>
            <w:r>
              <w:rPr>
                <w:b/>
                <w:i/>
                <w:strike w:val="0"/>
                <w:color w:val="auto"/>
                <w:highlight w:val="none"/>
                <w:u w:val="none" w:color="auto"/>
                <w:vertAlign w:val="baseline"/>
              </w:rPr>
              <w:t>pakartoja, kad lytinė ir reprodukcinė sveikata bei teisės yra pagrindinės žmogaus teisės, o jų įgyvendinimas yra esminis žmogaus orumo aspektas ir būtina sąlyga siekiant lyčių lygybės; primena ES įsipareigojimą propaguoti, ginti ir įgyvendinti kiekvieno asmens teisę be diskriminacijos, prievartos ir smurto visiškai kontroliuoti ir laisvai bei atsakingai spręsti klausimus, susijusius su jų seksualumu ir lytinėmis bei reprodukcinėmis teisėmis;</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60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11 e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11e.</w:t>
            </w:r>
            <w:r>
              <w:tab/>
            </w:r>
            <w:r>
              <w:rPr>
                <w:b/>
                <w:i/>
                <w:strike w:val="0"/>
                <w:color w:val="auto"/>
                <w:highlight w:val="none"/>
                <w:u w:val="none" w:color="auto"/>
                <w:vertAlign w:val="baseline"/>
              </w:rPr>
              <w:t>pažymi, kad svarbu turėti prieigą prie patikimų duomenų, grindžiamų tvirtu statistiniu pagrindu, ir užtikrinti piliečių dalyvavimą kaip priemonę, kad nė vienas nebūtų paliktas nuošalyje; mano, kad tai labai svarbu nustatant skirtumus tarp valstybių ir regionų, formuojant politiką ir vertinant pasaulinių lyčių lygybės iniciatyvų pažangą;</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61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11 f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11f.</w:t>
            </w:r>
            <w:r>
              <w:tab/>
            </w:r>
            <w:r>
              <w:rPr>
                <w:b/>
                <w:i/>
                <w:strike w:val="0"/>
                <w:color w:val="auto"/>
                <w:highlight w:val="none"/>
                <w:u w:val="none" w:color="auto"/>
                <w:vertAlign w:val="baseline"/>
              </w:rPr>
              <w:t>ragina tvirčiau skatinti kiekvienos moters teisę derinti profesinį ir asmeninį gyvenimą, skatinant bendrą atsakomybę ir darbo sąlygas, kuriomis būtų sudarytos palankesnės sąlygos asmeninio, šeimos ir profesinio gyvenimo derinimui;</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62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11 g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11g.</w:t>
            </w:r>
            <w:r>
              <w:tab/>
            </w:r>
            <w:r>
              <w:rPr>
                <w:b/>
                <w:i/>
                <w:strike w:val="0"/>
                <w:color w:val="auto"/>
                <w:highlight w:val="none"/>
                <w:u w:val="none" w:color="auto"/>
                <w:vertAlign w:val="baseline"/>
              </w:rPr>
              <w:t>yra susirūpinęs dėl nuolatinio lytinės ir reprodukcinės sveikatos bei teisių padėties prastėjimo ir išpuolių prieš lytinės ir reprodukcinės sveikatos bei teisių gynėjus Europoje ir pasaulyje; ragina sustiprinti Europos pastangas siekiant apsaugoti mūsų pagrindines vertybes, pvz., lygias teises į kūno autonomiją, ir vykdyti tvirtesnę politiką, kuria visoms moterims ir mergaitėms būtų užtikrinta visuotinė prieiga prie lytinės ir reprodukcinės sveikatos paslaugų, įskaitant informaciją apie šeimos planavimą, įperkamas kontraceptines priemones, nemokamą, saugų ir teisėtą abortą ir gimdyvių sveikatos priežiūrą;</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63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11 h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11h.</w:t>
            </w:r>
            <w:r>
              <w:tab/>
            </w:r>
            <w:r>
              <w:rPr>
                <w:b/>
                <w:i/>
                <w:strike w:val="0"/>
                <w:color w:val="auto"/>
                <w:highlight w:val="none"/>
                <w:u w:val="none" w:color="auto"/>
                <w:vertAlign w:val="baseline"/>
              </w:rPr>
              <w:t>ragina imtis griežtesnės politikos ir veiksmų, kuriais būtų skatinamos galimybės gauti žemės ir kreditų, taip pat verslumo ir išsilavinimo, užimtumo ir sveikatos galimybės, visų pirma pažeidžiamoje padėtyje esančioms moterims ir mergaitėms, neįgalioms moterims, nėščioms moterims ir kaimuose, salose bei atokiausiuose regionuose gyvenančioms moterims;</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64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11 i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11i.</w:t>
            </w:r>
            <w:r>
              <w:tab/>
            </w:r>
            <w:r>
              <w:rPr>
                <w:b/>
                <w:i/>
                <w:strike w:val="0"/>
                <w:color w:val="auto"/>
                <w:highlight w:val="none"/>
                <w:u w:val="none" w:color="auto"/>
                <w:vertAlign w:val="baseline"/>
              </w:rPr>
              <w:t>ragina valstybes nares užtikrinti, kad pradinėse ir vidurinėse mokyklose būtų vykdomas privalomas įrodymais pagrįstas visapusiškas lytiškumo ir santykių ugdymas, siekiant kovoti su smurtu dėl lyties ir lyčių stereotipais; pabrėžia, kad investicijos į mergaičių švietimą duoda didelę grąžą būsimoms kartoms: jos tiesiogiai prisideda ne tik prie jų pagrindinių teisių įgyvendinimo ir apsaugos nuo visų formų smurto, bet ir prie didesnės visos visuomenės gerovės; atsižvelgdamas į tai ragina Komisiją parengti ES gaires dėl visapusiško ir įrodymais pagrįsto lytiškumo ugdymo, grindžiamo PSO standartais, ir skatinti valstybes nares dalytis gerąja patirtimi šioje srityje;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65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11 j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11j.</w:t>
            </w:r>
            <w:r>
              <w:tab/>
            </w:r>
            <w:r>
              <w:rPr>
                <w:b/>
                <w:i/>
                <w:strike w:val="0"/>
                <w:color w:val="auto"/>
                <w:highlight w:val="none"/>
                <w:u w:val="none" w:color="auto"/>
                <w:vertAlign w:val="baseline"/>
              </w:rPr>
              <w:t>primygtinai ragina Komisiją nustoti finansuoti judėjimus ES ir už jos ribų, kuriais prisidedama prie kokios nors formos moterų priespaudos, įskaitant kampanijas, nukreiptas prieš pagrindines teises, be kita ko, moterų teises ir lytinę ir reprodukcinę sveikatą bei teises;</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66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11 k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11k.</w:t>
            </w:r>
            <w:r>
              <w:tab/>
            </w:r>
            <w:r>
              <w:rPr>
                <w:b/>
                <w:i/>
                <w:strike w:val="0"/>
                <w:color w:val="auto"/>
                <w:highlight w:val="none"/>
                <w:u w:val="none" w:color="auto"/>
                <w:vertAlign w:val="baseline"/>
              </w:rPr>
              <w:t xml:space="preserve">apgailestauja dėl regreso LGBTIQ+ asmenų teisių ir transfobijos srityje, nes jis kelia grėsmę lyčių lygybei; </w:t>
            </w:r>
            <w:r>
              <w:t>smerkia tai, kad 2021–2022 m. vos trys prieš LGBTIQ+ asmenis nukreiptos organizacijos nurodė gavusios 1 mlrd. USD pajamų, palyginti su 8 000 pasaulinių LGBTIQ+ asmenų dotacijų gavėjų, kurie tarpusavyje pasidalijo 905 mln. USD</w:t>
            </w:r>
            <w:r>
              <w:rPr>
                <w:rStyle w:val="Sup"/>
              </w:rPr>
              <w:t>1a</w:t>
            </w:r>
            <w:r>
              <w:t>;</w:t>
            </w:r>
            <w:r>
              <w:rPr>
                <w:b/>
                <w:i/>
                <w:strike w:val="0"/>
                <w:color w:val="auto"/>
                <w:highlight w:val="none"/>
                <w:u w:val="none" w:color="auto"/>
                <w:vertAlign w:val="baseline"/>
              </w:rPr>
              <w:t xml:space="preserve"> įspėja dėl susirūpinimą keliančio didėjančio prieš lyčių teises nukreipto finansavimo, kuriuo siekiama neutralizuoti per pastaruosius dešimtmečius padarytą pažangą moterų ir LGBTIQ+ asmenų teisių srityje;</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OPV politikos santrauka „Ko tikėtis feministinės užsienio politikos srityje dėl feministinių judėjimų finansavimo?“ (angl. „Where next for feminist foreign policy on funding feminist movements?“), https://media.odi.org/documents/ODI-ET-FundingMovements-PB-EN-May24-Final.pdf.</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67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11 l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11l.</w:t>
            </w:r>
            <w:r>
              <w:tab/>
            </w:r>
            <w:r>
              <w:rPr>
                <w:b/>
                <w:i/>
                <w:strike w:val="0"/>
                <w:color w:val="auto"/>
                <w:highlight w:val="none"/>
                <w:u w:val="none" w:color="auto"/>
                <w:vertAlign w:val="baseline"/>
              </w:rPr>
              <w:t>ragina ES uždrausti konversijos centrus valstybėse narėse ir imtis visų įmanomų priemonių, kad šiai praktikai visur būtų užkirstas kelias;</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68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11 m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11m.</w:t>
            </w:r>
            <w:r>
              <w:tab/>
            </w:r>
            <w:r>
              <w:rPr>
                <w:b/>
                <w:i/>
                <w:strike w:val="0"/>
                <w:color w:val="auto"/>
                <w:highlight w:val="none"/>
                <w:u w:val="none" w:color="auto"/>
                <w:vertAlign w:val="baseline"/>
              </w:rPr>
              <w:t>ragina ES nustatyti konkretų finansavimo tikslą, skirtą moterų teisių ir LGBTIQ+ asmenų organizacijoms, feministiniams judėjimams ir žmogaus teisių gynėjams Europoje ir pasaulyje remti; pabrėžia, kad ES būtina sukurti žmogaus teisių gynėjų apsaugos mechanizmą, ypač daug dėmesio skiriant moterų, LGBTIQ+ asmenų ir žmogaus teisių gynėjams, veikiantiems lytinės ir reprodukcinės sveikatos bei teisių srityje;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69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12 a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12a.</w:t>
            </w:r>
            <w:r>
              <w:tab/>
            </w:r>
            <w:r>
              <w:rPr>
                <w:b/>
                <w:i/>
                <w:strike w:val="0"/>
                <w:color w:val="auto"/>
                <w:highlight w:val="none"/>
                <w:u w:val="none" w:color="auto"/>
                <w:vertAlign w:val="baseline"/>
              </w:rPr>
              <w:t>atkreipia dėmesį į tai, kad pastangos siekti DVT turėtų būti sutelktos į politiką, kuria skatinamos inovacijos, verslumas ir žaliųjų darbo vietų kūrimas, nes tai galiausiai paskatins platesniu mastu siekti DVT ir lyčių lygybės;</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70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13 dalis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13.</w:t>
            </w:r>
            <w:r>
              <w:tab/>
            </w:r>
            <w:r>
              <w:t xml:space="preserve">ragina vykdyti griežtesnę politiką ir imtis ryžtingų veiksmų siekiant skatinti įtraukų ir tvarų ekonomikos vystymąsi; primygtinai ragina ES ir pasaulinius partnerius naudoti tokias priemones kaip strategija „Global Gateway“ siekiant sukurti deramas darbo vietas, kuriomis būtų mažinama pajamų </w:t>
            </w:r>
            <w:r>
              <w:rPr>
                <w:b/>
                <w:i/>
                <w:strike w:val="0"/>
                <w:color w:val="auto"/>
                <w:highlight w:val="none"/>
                <w:u w:val="none" w:color="auto"/>
                <w:vertAlign w:val="baseline"/>
              </w:rPr>
              <w:t>nelygybę</w:t>
            </w:r>
            <w:r>
              <w:t xml:space="preserve"> ir užtikrinama, kad niekas nebūtų paliktas nuošalyje;</w:t>
            </w:r>
          </w:p>
        </w:tc>
        <w:tc>
          <w:tcPr>
            <w:tcW w:w="4876" w:type="dxa"/>
            <w:vAlign w:val="top"/>
          </w:tcPr>
          <w:p>
            <w:pPr>
              <w:pStyle w:val="Normal6a"/>
            </w:pPr>
            <w:r>
              <w:t>13.</w:t>
            </w:r>
            <w:r>
              <w:tab/>
            </w:r>
            <w:r>
              <w:t xml:space="preserve">ragina vykdyti griežtesnę politiką ir imtis ryžtingų veiksmų siekiant skatinti įtraukų ir tvarų ekonomikos vystymąsi; primygtinai ragina ES ir pasaulinius partnerius naudoti tokias priemones kaip strategija „Global Gateway“ siekiant sukurti deramas darbo vietas, kuriomis būtų mažinama pajamų </w:t>
            </w:r>
            <w:r>
              <w:rPr>
                <w:b/>
                <w:i/>
                <w:strike w:val="0"/>
                <w:color w:val="auto"/>
                <w:highlight w:val="none"/>
                <w:u w:val="none" w:color="auto"/>
                <w:vertAlign w:val="baseline"/>
              </w:rPr>
              <w:t>nelygybė</w:t>
            </w:r>
            <w:r>
              <w:t xml:space="preserve"> ir užtikrinama, kad niekas nebūtų paliktas nuošalyje;</w:t>
            </w:r>
            <w:r>
              <w:rPr>
                <w:b/>
                <w:i/>
                <w:strike w:val="0"/>
                <w:color w:val="auto"/>
                <w:highlight w:val="none"/>
                <w:u w:val="none" w:color="auto"/>
                <w:vertAlign w:val="baseline"/>
              </w:rPr>
              <w:t xml:space="preserve"> ragina dėti pastangas siekiant užtikrinti, kad būtų įsiklausoma į asmenų, kurie dažniau lieka nuošalyje, balsą, ir teikiama pirmenybė kovai su skurdu ir nesaugiomis darbo sąlygomis, ypač daug dėmesio skiriant moterims, kurios susiduria su sąveikinių formų diskriminacija;</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71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13 a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13a.</w:t>
            </w:r>
            <w:r>
              <w:tab/>
            </w:r>
            <w:r>
              <w:rPr>
                <w:b/>
                <w:i/>
                <w:strike w:val="0"/>
                <w:color w:val="auto"/>
                <w:highlight w:val="none"/>
                <w:u w:val="none" w:color="auto"/>
                <w:vertAlign w:val="baseline"/>
              </w:rPr>
              <w:t>pabrėžia, kad didžiąją dalį nemokamo priežiūros darbo vis dar atlieka vien moterys ir kad tai turi neigiamų pasekmių profesiniam lyčių skirtumui, ekonominei nepriklausomybei ir visuomenės gerovei; ragina ES parengti specialių priemonių, kuriomis būtų pripažintas priežiūros darbas ir suteiktos tinkamos viešosios gerovės paslaugos jam remti;</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72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14 dalis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14.</w:t>
            </w:r>
            <w:r>
              <w:tab/>
            </w:r>
            <w:r>
              <w:t xml:space="preserve">reiškia susirūpinimą dėl to, kad ekonomikos augimas daugelyje besivystančių šalių tebėra lėtas ir netolygus, </w:t>
            </w:r>
            <w:r>
              <w:rPr>
                <w:b/>
                <w:i/>
                <w:strike w:val="0"/>
                <w:color w:val="auto"/>
                <w:highlight w:val="none"/>
                <w:u w:val="none" w:color="auto"/>
                <w:vertAlign w:val="baseline"/>
              </w:rPr>
              <w:t>kurį</w:t>
            </w:r>
            <w:r>
              <w:t xml:space="preserve"> dažnai stabdo struktūriniai trūkumai, ekonominė nelygybė, politinis nestabilumas </w:t>
            </w:r>
            <w:r>
              <w:rPr>
                <w:b/>
                <w:i/>
                <w:strike w:val="0"/>
                <w:color w:val="auto"/>
                <w:highlight w:val="none"/>
                <w:u w:val="none" w:color="auto"/>
                <w:vertAlign w:val="baseline"/>
              </w:rPr>
              <w:t>ir</w:t>
            </w:r>
            <w:r>
              <w:t xml:space="preserve"> išorės sukrėtimai;</w:t>
            </w:r>
          </w:p>
        </w:tc>
        <w:tc>
          <w:tcPr>
            <w:tcW w:w="4876" w:type="dxa"/>
            <w:vAlign w:val="top"/>
          </w:tcPr>
          <w:p>
            <w:pPr>
              <w:pStyle w:val="Normal6a"/>
            </w:pPr>
            <w:r>
              <w:t>14.</w:t>
            </w:r>
            <w:r>
              <w:tab/>
            </w:r>
            <w:r>
              <w:t xml:space="preserve">reiškia susirūpinimą dėl to, kad ekonomikos augimas daugelyje besivystančių šalių tebėra lėtas ir netolygus, </w:t>
            </w:r>
            <w:r>
              <w:rPr>
                <w:b/>
                <w:i/>
                <w:strike w:val="0"/>
                <w:color w:val="auto"/>
                <w:highlight w:val="none"/>
                <w:u w:val="none" w:color="auto"/>
                <w:vertAlign w:val="baseline"/>
              </w:rPr>
              <w:t>jį</w:t>
            </w:r>
            <w:r>
              <w:t xml:space="preserve"> dažnai stabdo struktūriniai trūkumai, ekonominė</w:t>
            </w:r>
            <w:r>
              <w:rPr>
                <w:b/>
                <w:i/>
                <w:strike w:val="0"/>
                <w:color w:val="auto"/>
                <w:highlight w:val="none"/>
                <w:u w:val="none" w:color="auto"/>
                <w:vertAlign w:val="baseline"/>
              </w:rPr>
              <w:t>, socialinė ir lyčių</w:t>
            </w:r>
            <w:r>
              <w:t xml:space="preserve"> nelygybė, politinis nestabilumas, išorės sukrėtimai </w:t>
            </w:r>
            <w:r>
              <w:rPr>
                <w:b/>
                <w:i/>
                <w:strike w:val="0"/>
                <w:color w:val="auto"/>
                <w:highlight w:val="none"/>
                <w:u w:val="none" w:color="auto"/>
                <w:vertAlign w:val="baseline"/>
              </w:rPr>
              <w:t>ir užsienio kišimasis</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73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14 a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14a.</w:t>
            </w:r>
            <w:r>
              <w:tab/>
            </w:r>
            <w:r>
              <w:rPr>
                <w:b/>
                <w:i/>
                <w:strike w:val="0"/>
                <w:color w:val="auto"/>
                <w:highlight w:val="none"/>
                <w:u w:val="none" w:color="auto"/>
                <w:vertAlign w:val="baseline"/>
              </w:rPr>
              <w:t>yra susirūpinęs dėl to, kad ES lyčių nelygybė darbo rinkos srityje toliau didėja; primena, kad reikia palaikyti ir stiprinti lyčių aspekto integravimą ir biudžeto sudarymą ES sanglaudos politikoje, kad būtų sprendžiama lyčių užimtumo skirtumo problema;</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74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15 dalis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15.</w:t>
            </w:r>
            <w:r>
              <w:tab/>
            </w:r>
            <w:r>
              <w:t>rekomenduoja didinti viešąsias ir privačiąsias investicijas į mokslinius tyrimus, švietimą ir įgūdžių ugdymą;</w:t>
            </w:r>
          </w:p>
        </w:tc>
        <w:tc>
          <w:tcPr>
            <w:tcW w:w="4876" w:type="dxa"/>
            <w:vAlign w:val="top"/>
          </w:tcPr>
          <w:p>
            <w:pPr>
              <w:pStyle w:val="Normal6a"/>
            </w:pPr>
            <w:r>
              <w:t>15.</w:t>
            </w:r>
            <w:r>
              <w:tab/>
            </w:r>
            <w:r>
              <w:t>rekomenduoja didinti viešąsias ir privačiąsias investicijas į mokslinius tyrimus, švietimą ir įgūdžių ugdymą;</w:t>
            </w:r>
            <w:r>
              <w:rPr>
                <w:b/>
                <w:i/>
                <w:strike w:val="0"/>
                <w:color w:val="auto"/>
                <w:highlight w:val="none"/>
                <w:u w:val="none" w:color="auto"/>
                <w:vertAlign w:val="baseline"/>
              </w:rPr>
              <w:t xml:space="preserve"> ragina ES skatinti mokymą ir kokybišką užimtumą siekiant teisingos pertvarkos, ypač daug dėmesio skiriant sistemingai atskirtoms ir nepalankioje padėtyje esančioms grupėms, įskaitant moteris ir LGBTIQ+ asmenų bendruomenę;</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75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16 dalis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16.</w:t>
            </w:r>
            <w:r>
              <w:tab/>
            </w:r>
            <w:r>
              <w:t>pabrėžia, kad iniciatyvos, kuriomis siekiama skatinti ekonomikos augimą, negali būti vykdomos socialinio teisingumo, darbuotojų teisių ar aplinkos apsaugos sąskaita;</w:t>
            </w:r>
          </w:p>
        </w:tc>
        <w:tc>
          <w:tcPr>
            <w:tcW w:w="4876" w:type="dxa"/>
            <w:vAlign w:val="top"/>
          </w:tcPr>
          <w:p>
            <w:pPr>
              <w:pStyle w:val="Normal6a"/>
            </w:pPr>
            <w:r>
              <w:t>16.</w:t>
            </w:r>
            <w:r>
              <w:tab/>
            </w:r>
            <w:r>
              <w:t xml:space="preserve">pabrėžia, kad iniciatyvos, kuriomis siekiama skatinti ekonomikos augimą, negali būti vykdomos socialinio teisingumo, </w:t>
            </w:r>
            <w:r>
              <w:rPr>
                <w:b/>
                <w:i/>
                <w:strike w:val="0"/>
                <w:color w:val="auto"/>
                <w:highlight w:val="none"/>
                <w:u w:val="none" w:color="auto"/>
                <w:vertAlign w:val="baseline"/>
              </w:rPr>
              <w:t>lyčių lygybės,</w:t>
            </w:r>
            <w:r>
              <w:t xml:space="preserve"> darbuotojų teisių ar aplinkos apsaugos sąskaita</w:t>
            </w:r>
            <w:r>
              <w:rPr>
                <w:b/>
                <w:i/>
                <w:strike w:val="0"/>
                <w:color w:val="auto"/>
                <w:highlight w:val="none"/>
                <w:u w:val="none" w:color="auto"/>
                <w:vertAlign w:val="baseline"/>
              </w:rPr>
              <w:t>, visų pirma dėl to, kad moterys ir mažumų grupių atstovai dažniausiai pirmieji patiria ekonomikos augimo sukeltą nelygybę</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76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16 a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16a.</w:t>
            </w:r>
            <w:r>
              <w:tab/>
            </w:r>
            <w:r>
              <w:rPr>
                <w:b/>
                <w:i/>
                <w:strike w:val="0"/>
                <w:color w:val="auto"/>
                <w:highlight w:val="none"/>
                <w:u w:val="none" w:color="auto"/>
                <w:vertAlign w:val="baseline"/>
              </w:rPr>
              <w:t>pabrėžia, kad ir toliau egzistuoja moterų ir jaunimo nedarbo lygio pasaulyje skirtumai ir kad visame pasaulyje yra daugiau nei dvigubai didesnė tikimybė, jog NEET grupei (nesimokantis, nedirbantis ir mokymuose nedalyvaujantis jaunimas) priklausys jaunos moterys, o ne jauni vyrai; pripažįsta, kad lyčių lygybės skatinimas švietimo, mokymo, darbo rinkos ir profesinio bei asmeninio gyvenimo derinimo politikos srityse gali padidinti gerovę ir sustiprinti ekonomikos konkurencingumą, sykiu išvengiant atvejų, kai turtas ir talentai nevisiškai išnaudojami;</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77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16 b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16b.</w:t>
            </w:r>
            <w:r>
              <w:tab/>
            </w:r>
            <w:r>
              <w:rPr>
                <w:b/>
                <w:i/>
                <w:strike w:val="0"/>
                <w:color w:val="auto"/>
                <w:highlight w:val="none"/>
                <w:u w:val="none" w:color="auto"/>
                <w:vertAlign w:val="baseline"/>
              </w:rPr>
              <w:t>primena, kad labai svarbu suteikti paskatų įmonėms derinti savo veiklą su darnaus vystymosi tikslais, kartu užtikrinant, kad rinka išliktų konkurencinga ir gebanti skatinti inovacijas darnaus vystymosi srityje moterims ir mergaitėms;</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78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17 a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17a.</w:t>
            </w:r>
            <w:r>
              <w:tab/>
            </w:r>
            <w:r>
              <w:rPr>
                <w:b/>
                <w:i/>
                <w:strike w:val="0"/>
                <w:color w:val="auto"/>
                <w:highlight w:val="none"/>
                <w:u w:val="none" w:color="auto"/>
                <w:vertAlign w:val="baseline"/>
              </w:rPr>
              <w:t>pabrėžia neproporcingai didelį aplinkos būklės blogėjimo, ypač taršos plastiku, poveikį moterims ir mergaitėms; ragina skirti daugiau išteklių tyrimams, susijusiems su taršos (mikro)plastiku poveikiu moterų hormoninei sistemai ir galimu poveikiu vaisingumui;</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79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19 dalis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19.</w:t>
            </w:r>
            <w:r>
              <w:tab/>
            </w:r>
            <w:r>
              <w:t xml:space="preserve">mano, kad skubiai reikia privalomų visuotinių priemonių siekiant pašalinti trūkumus, paspartinti veiksmus ir užtikrinti ilgalaikį vandenynų tvarumą, be kita ko, taikant tausios žvejybos praktiką, kovojant su neteisėta, nedeklaruojama ir nereglamentuojama žvejyba, stiprinant jūrų išsaugojimo pastangas </w:t>
            </w:r>
            <w:r>
              <w:rPr>
                <w:b/>
                <w:i/>
                <w:strike w:val="0"/>
                <w:color w:val="auto"/>
                <w:highlight w:val="none"/>
                <w:u w:val="none" w:color="auto"/>
                <w:vertAlign w:val="baseline"/>
              </w:rPr>
              <w:t>ir</w:t>
            </w:r>
            <w:r>
              <w:t xml:space="preserve"> priimant pasaulinę sutartį dėl taršos plastiku;</w:t>
            </w:r>
          </w:p>
        </w:tc>
        <w:tc>
          <w:tcPr>
            <w:tcW w:w="4876" w:type="dxa"/>
            <w:vAlign w:val="top"/>
          </w:tcPr>
          <w:p>
            <w:pPr>
              <w:pStyle w:val="Normal6a"/>
            </w:pPr>
            <w:r>
              <w:t>19.</w:t>
            </w:r>
            <w:r>
              <w:tab/>
            </w:r>
            <w:r>
              <w:t xml:space="preserve">mano, kad skubiai reikia privalomų visuotinių priemonių siekiant pašalinti trūkumus, paspartinti veiksmus ir užtikrinti ilgalaikį vandenynų tvarumą, be kita ko, taikant tausios žvejybos praktiką, kovojant su neteisėta, nedeklaruojama ir nereglamentuojama žvejyba, stiprinant jūrų išsaugojimo pastangas </w:t>
            </w:r>
            <w:r>
              <w:rPr>
                <w:b/>
                <w:i/>
                <w:strike w:val="0"/>
                <w:color w:val="auto"/>
                <w:highlight w:val="none"/>
                <w:u w:val="none" w:color="auto"/>
                <w:vertAlign w:val="baseline"/>
              </w:rPr>
              <w:t>veiksmingai apsaugant jūrines teritorijas,</w:t>
            </w:r>
            <w:r>
              <w:t xml:space="preserve"> priimant pasaulinę sutartį dėl taršos plastiku</w:t>
            </w:r>
            <w:r>
              <w:rPr>
                <w:b/>
                <w:i/>
                <w:strike w:val="0"/>
                <w:color w:val="auto"/>
                <w:highlight w:val="none"/>
                <w:u w:val="none" w:color="auto"/>
                <w:vertAlign w:val="baseline"/>
              </w:rPr>
              <w:t>, taip pat apsaugoti smulkiųjų žvejų teises ir galimybes naudotis žvejybos ištekliais ir rinkomis, užtikrinant, kad moterys ir vyrai, užsiimantys smulkiąja žvejyba, lygiomis teisėmis ir veiksmingai dalyvautų priimant jiems svarbius sprendimus</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80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19 a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19a.</w:t>
            </w:r>
            <w:r>
              <w:tab/>
            </w:r>
            <w:r>
              <w:rPr>
                <w:b/>
                <w:i/>
                <w:strike w:val="0"/>
                <w:color w:val="auto"/>
                <w:highlight w:val="none"/>
                <w:u w:val="none" w:color="auto"/>
                <w:vertAlign w:val="baseline"/>
              </w:rPr>
              <w:t>konkrečiai pabrėžia, kad reikia pripažinti moterų darbą ir indėlį smulkiosios žvejybos vertės grandinėje ir gerinti jų darbo sąlygas;</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81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19 b dalis (nauja)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19b.</w:t>
            </w:r>
            <w:r>
              <w:tab/>
            </w:r>
            <w:r>
              <w:t>pabrėžia, kad būtina didinti lyčių lygybę vandenynų valdymo, ekonominės veiklos (pvz., turizmo, jūrų transporto ar žvejybos) ir vandenynų mokslo srityse</w:t>
            </w:r>
            <w:r>
              <w:rPr>
                <w:rStyle w:val="Sup"/>
              </w:rPr>
              <w:t>1a</w:t>
            </w:r>
            <w:r>
              <w: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UNESCO, „Lyčių lygybė vandenynų tvarumui užtikrinti“, https://www.unesco.org/en/articles/gender-equality-ocean-sustainability.</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82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20 dalis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20.</w:t>
            </w:r>
            <w:r>
              <w:tab/>
            </w:r>
            <w:r>
              <w:t>ragina ES toliau propaguoti daugiašališkumą ir užtikrinti pasaulinę lyderystę spartinant DVT ir Darbotvarkės iki 2030 m. įgyvendinimą; pabrėžia, kad ryžtingas atnaujintas įsipareigojimas siekti DVT bus aiškus ženklas partneriams visame pasaulyje ir ES pasaulinių veiksmų parama;</w:t>
            </w:r>
          </w:p>
        </w:tc>
        <w:tc>
          <w:tcPr>
            <w:tcW w:w="4876" w:type="dxa"/>
            <w:vAlign w:val="top"/>
          </w:tcPr>
          <w:p>
            <w:pPr>
              <w:pStyle w:val="Normal6a"/>
            </w:pPr>
            <w:r>
              <w:t>20.</w:t>
            </w:r>
            <w:r>
              <w:tab/>
            </w:r>
            <w:r>
              <w:t>ragina ES toliau propaguoti daugiašališkumą ir užtikrinti pasaulinę lyderystę spartinant DVT ir Darbotvarkės iki 2030 m. įgyvendinimą; pabrėžia, kad ryžtingas atnaujintas įsipareigojimas siekti DVT bus aiškus ženklas partneriams visame pasaulyje ir ES pasaulinių veiksmų parama;</w:t>
            </w:r>
            <w:r>
              <w:rPr>
                <w:b/>
                <w:i/>
                <w:strike w:val="0"/>
                <w:color w:val="auto"/>
                <w:highlight w:val="none"/>
                <w:u w:val="none" w:color="auto"/>
                <w:vertAlign w:val="baseline"/>
              </w:rPr>
              <w:t xml:space="preserve"> pabrėžia, kad ryžtingas pakartotinis įsipareigojimas turi būti derinamas su konkrečiomis ES priemonėmis ir juo turi būti užtikrinama, kad lyčių lygybė būtų neatsiejama politinio dialogo su šalimis partnerėmis dvišaliu ir daugiašaliu lygmenimis dalis;</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83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21 dalis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21.</w:t>
            </w:r>
            <w:r>
              <w:tab/>
            </w:r>
            <w:r>
              <w:t>dar kartą patvirtina, kad oficiali parama vystymuisi (OPV) tebėra labai svarbus viešojo finansavimo šaltinis; todėl ragina visas ES valstybes nares ir pasaulinius partnerius užtikrinti, kad būtų skiriamas pakankamas finansavimas, kad būtų galima įvykdyti įsipareigojimą 0,7 proc. bendrųjų nacionalinių pajamų skirti OPV;</w:t>
            </w:r>
          </w:p>
        </w:tc>
        <w:tc>
          <w:tcPr>
            <w:tcW w:w="4876" w:type="dxa"/>
            <w:vAlign w:val="top"/>
          </w:tcPr>
          <w:p>
            <w:pPr>
              <w:pStyle w:val="Normal6a"/>
            </w:pPr>
            <w:r>
              <w:t>21.</w:t>
            </w:r>
            <w:r>
              <w:tab/>
            </w:r>
            <w:r>
              <w:t xml:space="preserve">dar kartą patvirtina, kad </w:t>
            </w:r>
            <w:r>
              <w:rPr>
                <w:b/>
                <w:i/>
                <w:strike w:val="0"/>
                <w:color w:val="auto"/>
                <w:highlight w:val="none"/>
                <w:u w:val="none" w:color="auto"/>
                <w:vertAlign w:val="baseline"/>
              </w:rPr>
              <w:t>DVT bus pasiekti tik tuo atveju, jei jie bus pakankamai ir tvariai finansuojami, ir kad</w:t>
            </w:r>
            <w:r>
              <w:t xml:space="preserve"> oficiali parama vystymuisi (OPV) tebėra labai svarbus viešojo finansavimo šaltinis; todėl ragina visas ES valstybes nares ir pasaulinius partnerius užtikrinti, kad būtų skiriamas pakankamas finansavimas, kad būtų galima įvykdyti įsipareigojimą 0,7 proc. bendrųjų nacionalinių pajamų skirti OPV</w:t>
            </w:r>
            <w:r>
              <w:rPr>
                <w:b/>
                <w:i/>
                <w:strike w:val="0"/>
                <w:color w:val="auto"/>
                <w:highlight w:val="none"/>
                <w:u w:val="none" w:color="auto"/>
                <w:vertAlign w:val="baseline"/>
              </w:rPr>
              <w:t>, tačiau šio tarptautinio įsipareigojimo laikosi tik 4 iš 21 valstybės narės, kurios yra Paramos vystymuisi komiteto narės</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84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22 dalis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22.</w:t>
            </w:r>
            <w:r>
              <w:tab/>
            </w:r>
            <w:r>
              <w:t>pabrėžia itin svarbų įvairių suinteresuotųjų subjektų partnerysčių ir vietos valdžios institucijų, pilietinės visuomenės ir jaunimo atstovų dalyvavimo vaidmenį;</w:t>
            </w:r>
          </w:p>
        </w:tc>
        <w:tc>
          <w:tcPr>
            <w:tcW w:w="4876" w:type="dxa"/>
            <w:vAlign w:val="top"/>
          </w:tcPr>
          <w:p>
            <w:pPr>
              <w:pStyle w:val="Normal6a"/>
            </w:pPr>
            <w:r>
              <w:t>22.</w:t>
            </w:r>
            <w:r>
              <w:tab/>
            </w:r>
            <w:r>
              <w:t>pabrėžia itin svarbų įvairių suinteresuotųjų subjektų partnerysčių ir vietos valdžios institucijų, pilietinės visuomenės ir jaunimo atstovų dalyvavimo vaidmenį;</w:t>
            </w:r>
            <w:r>
              <w:rPr>
                <w:b/>
                <w:i/>
                <w:strike w:val="0"/>
                <w:color w:val="auto"/>
                <w:highlight w:val="none"/>
                <w:u w:val="none" w:color="auto"/>
                <w:vertAlign w:val="baseline"/>
              </w:rPr>
              <w:t xml:space="preserve"> pakartoja, kad pilietinės visuomenės organizacijos (PVO) yra pagrindinės gyvybingos demokratijos veikėjos, ir pabrėžia, kad DVT, visų pirma 5-ojo DVT, neįmanoma pasiekti be PVO, įskaitant visuomenines moterų ir LGBTIQ+ asmenų organizacijas, partnerystės; todėl apgailestauja dėl vis dažniau pasitaikančių nepagrįstų išpuolių prieš pilietinės visuomenės organizacijas ir pilietinių erdvių uždarymo tiek Europoje, tiek visame pasaulyje; atsižvelgdamas į tai pabrėžia, kad reikia užtikrinti nuolatinį, pakankamą ir tvarų pilietinės visuomenės organizacijų finansavimą ir su jomis palaikyti atvirą, skaidrų ir struktūruotą dialogą;</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85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23 dalis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23.</w:t>
            </w:r>
            <w:r>
              <w:tab/>
            </w:r>
            <w:r>
              <w:t>ragina mažinti besivystančių šalių skolas ir jas restruktūrizuoti, taip pat vykdyti pasaulinių finansų įstaigų, įskaitant daugiašalius plėtros bankus, reformas, kad jos būtų pasirengusios įgyvendinti DVT;</w:t>
            </w:r>
          </w:p>
        </w:tc>
        <w:tc>
          <w:tcPr>
            <w:tcW w:w="4876" w:type="dxa"/>
            <w:vAlign w:val="top"/>
          </w:tcPr>
          <w:p>
            <w:pPr>
              <w:pStyle w:val="Normal6a"/>
            </w:pPr>
            <w:r>
              <w:t>23.</w:t>
            </w:r>
            <w:r>
              <w:tab/>
            </w:r>
            <w:r>
              <w:t xml:space="preserve">ragina mažinti besivystančių šalių skolas ir jas restruktūrizuoti, taip pat vykdyti pasaulinių finansų įstaigų, įskaitant daugiašalius plėtros bankus, reformas, kad jos būtų pasirengusios įgyvendinti DVT </w:t>
            </w:r>
            <w:r>
              <w:rPr>
                <w:b/>
                <w:i/>
                <w:strike w:val="0"/>
                <w:color w:val="auto"/>
                <w:highlight w:val="none"/>
                <w:u w:val="none" w:color="auto"/>
                <w:vertAlign w:val="baseline"/>
              </w:rPr>
              <w:t>ir mažinti ekonominę, socialinę ir lyčių nelygybę;</w:t>
            </w:r>
            <w:r>
              <w:rPr>
                <w:b/>
                <w:i/>
                <w:strike w:val="0"/>
                <w:color w:val="auto"/>
                <w:highlight w:val="none"/>
                <w:u w:val="none" w:color="auto"/>
                <w:vertAlign w:val="baseline"/>
              </w:rPr>
              <w:t xml:space="preserve"> </w:t>
            </w:r>
            <w:r>
              <w:rPr>
                <w:b/>
                <w:i/>
                <w:strike w:val="0"/>
                <w:color w:val="auto"/>
                <w:highlight w:val="none"/>
                <w:u w:val="none" w:color="auto"/>
                <w:vertAlign w:val="baseline"/>
              </w:rPr>
              <w:t>ragina į 4-osios tarptautinės vystymosi finansavimo konferencijos baigiamąjį dokumentą įtraukti tvirtesnį lyčių aspektą</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Pakeitimas</w:t>
      </w:r>
      <w:r>
        <w:tab/>
      </w:r>
      <w:r>
        <w:tab/>
      </w:r>
      <w:r>
        <w:rPr>
          <w:rStyle w:val="HideTWBExt"/>
        </w:rPr>
        <w:t>&lt;</w:t>
      </w:r>
      <w:r>
        <w:rPr>
          <w:rStyle w:val="HideTWBExt"/>
        </w:rPr>
        <w:t>NumAm</w:t>
      </w:r>
      <w:r>
        <w:rPr>
          <w:rStyle w:val="HideTWBExt"/>
        </w:rPr>
        <w:t>&gt;</w:t>
      </w:r>
      <w:r>
        <w:t>86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Pasiūlymas dėl rezoliucijos</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26 dalis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Pasiūlymas dėl rezoliucijos</w:t>
            </w:r>
          </w:p>
        </w:tc>
        <w:tc>
          <w:tcPr>
            <w:tcW w:w="4876" w:type="dxa"/>
            <w:vAlign w:val="top"/>
          </w:tcPr>
          <w:p>
            <w:pPr>
              <w:pStyle w:val="AmColumnHeading"/>
            </w:pPr>
            <w:r>
              <w:t>Pakeitimas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26.</w:t>
            </w:r>
            <w:r>
              <w:tab/>
            </w:r>
            <w:r>
              <w:t>pakartoja, kad DVT yra vienintelis visuotinai sutartas ir išsamus tikslų rinkinys, kuriuo sprendžiami pagrindiniai iššūkiai, su kuriais susiduria tiek išsivysčiusios, tiek besivystančios šalys, ir yra geriausia priemonė pagrindinėms jų priežastims šalinti;</w:t>
            </w:r>
          </w:p>
        </w:tc>
        <w:tc>
          <w:tcPr>
            <w:tcW w:w="4876" w:type="dxa"/>
            <w:vAlign w:val="top"/>
          </w:tcPr>
          <w:p>
            <w:pPr>
              <w:pStyle w:val="Normal6a"/>
            </w:pPr>
            <w:r>
              <w:t>26.</w:t>
            </w:r>
            <w:r>
              <w:tab/>
            </w:r>
            <w:r>
              <w:t>pakartoja, kad DVT yra vienintelis visuotinai sutartas ir išsamus tikslų rinkinys, kuriuo sprendžiami pagrindiniai iššūkiai, su kuriais susiduria tiek išsivysčiusios, tiek besivystančios šalys, ir yra geriausia priemonė pagrindinėms jų priežastims šalinti;</w:t>
            </w:r>
            <w:r>
              <w:rPr>
                <w:b/>
                <w:i/>
                <w:strike w:val="0"/>
                <w:color w:val="auto"/>
                <w:highlight w:val="none"/>
                <w:u w:val="none" w:color="auto"/>
                <w:vertAlign w:val="baseline"/>
              </w:rPr>
              <w:t xml:space="preserve"> primygtinai ragina Komisiją ir valstybes nares siekti, kad DVT, kaip universali sistema, būtų visapusiškai įgyvendinami tiek ES, tiek už jos ribų;</w:t>
            </w:r>
          </w:p>
        </w:tc>
      </w:tr>
    </w:tbl>
    <w:p>
      <w:r>
        <w:rPr>
          <w:rStyle w:val="HideTWBExt"/>
        </w:rPr>
        <w:t>&lt;/</w:t>
      </w:r>
      <w:r>
        <w:rPr>
          <w:rStyle w:val="HideTWBExt"/>
        </w:rPr>
        <w:t>Amend</w:t>
      </w:r>
      <w:r>
        <w:rPr>
          <w:rStyle w:val="HideTWBExt"/>
        </w:rPr>
        <w:t>&gt;</w:t>
      </w:r>
    </w:p>
    <w:p>
      <w:r>
        <w:rPr>
          <w:rStyle w:val="HideTWBExt"/>
        </w:rPr>
        <w:t>&lt;/</w:t>
      </w:r>
      <w:r>
        <w:rPr>
          <w:rStyle w:val="HideTWBExt"/>
        </w:rPr>
        <w:t>RepeatBlock-Amend</w:t>
      </w:r>
      <w:r>
        <w:rPr>
          <w:rStyle w:val="HideTWBExt"/>
        </w:rPr>
        <w:t>&gt;</w:t>
      </w:r>
    </w:p>
    <w:p>
      <w:pPr>
        <w:sectPr>
          <w:type w:val="nextPage"/>
          <w:pgSz w:w="11906" w:h="16838"/>
          <w:pgMar w:top="1134" w:right="1417" w:bottom="1417" w:left="1417" w:header="1134" w:footer="567" w:gutter="0"/>
          <w:cols w:num="1" w:space="708"/>
          <w:titlePg w:val="0"/>
          <w:docGrid w:linePitch="360"/>
        </w:sectPr>
      </w:pPr>
    </w:p>
    <w:p>
      <w:pPr>
        <w:pStyle w:val="PageHeadingNotTOC"/>
      </w:pPr>
      <w:r>
        <w:t>PRIEDAS. SUBJEKTAI AR ASMENYS, IŠ KURIŲ NUOMONĖS REFERENTĖ GAVO INFORMACIJOS</w:t>
      </w:r>
    </w:p>
    <w:p>
      <w:pPr>
        <w:pStyle w:val="Normal12a"/>
      </w:pPr>
    </w:p>
    <w:p>
      <w:pPr>
        <w:pStyle w:val="Normal12a"/>
      </w:pPr>
      <w:r>
        <w:t>Pranešėja, prisiimdama visą atsakomybę, pareiškia, kad negavo informacijos iš jokio subjekto ar asmens, kuris turi būti nurodytas šiame priede pagal Darbo tvarkos taisyklių I priedo 8 straipsnį.</w:t>
      </w:r>
    </w:p>
    <w:p>
      <w:pPr>
        <w:pStyle w:val="Normal12a"/>
        <w:sectPr>
          <w:type w:val="nextPage"/>
          <w:pgSz w:w="11906" w:h="16838"/>
          <w:pgMar w:top="1134" w:right="1417" w:bottom="1417" w:left="1417" w:header="1134" w:footer="567" w:gutter="0"/>
          <w:cols w:num="1" w:space="708"/>
          <w:titlePg w:val="0"/>
          <w:docGrid w:linePitch="360"/>
        </w:sectPr>
      </w:pPr>
    </w:p>
    <w:p>
      <w:pPr>
        <w:pStyle w:val="PageHeading"/>
      </w:pPr>
      <w:r>
        <w:t>INFORMACIJA APIE PRIĖMIMĄ NUOMONĘ TEIKIANČIAME KOMITETE</w:t>
      </w:r>
    </w:p>
    <w:tbl>
      <w:tblPr>
        <w:jc w:val="left"/>
        <w:tblLayout w:type="fixed"/>
        <w:tblCellMar>
          <w:top w:w="54" w:type="dxa"/>
          <w:left w:w="108" w:type="dxa"/>
          <w:bottom w:w="54" w:type="dxa"/>
          <w:right w:w="108" w:type="dxa"/>
        </w:tblCellMar>
      </w:tblPr>
      <w:tblGrid>
        <w:gridCol w:w="3600"/>
        <w:gridCol w:w="6400"/>
      </w:tblGrid>
      <w:tr>
        <w:tblPrEx>
          <w:jc w:val="left"/>
          <w:tblLayout w:type="fixed"/>
          <w:tblCellMar>
            <w:top w:w="54" w:type="dxa"/>
            <w:left w:w="108" w:type="dxa"/>
            <w:bottom w:w="54" w:type="dxa"/>
            <w:right w:w="108" w:type="dxa"/>
          </w:tblCellMar>
        </w:tblPrEx>
        <w:trPr>
          <w:cantSplit w:val="0"/>
          <w:trHeight w:hRule="auto" w:val="0"/>
          <w:jc w:val="left"/>
        </w:trPr>
        <w:tc>
          <w:tcPr>
            <w:tcW w:w="3600" w:type="dxa"/>
            <w:tcBorders>
              <w:top w:val="single" w:sz="8" w:space="0" w:color="000000"/>
              <w:left w:val="single" w:sz="8" w:space="0" w:color="000000"/>
              <w:bottom w:val="single" w:sz="8" w:space="0" w:color="000000"/>
              <w:right w:val="single" w:sz="8" w:space="0" w:color="000000"/>
            </w:tcBorders>
            <w:vAlign w:val="top"/>
          </w:tcPr>
          <w:p>
            <w:pPr>
              <w:pStyle w:val="ProcedureTableBold"/>
            </w:pPr>
            <w:r>
              <w:t>Priėmimo data</w:t>
            </w:r>
          </w:p>
        </w:tc>
        <w:tc>
          <w:tcPr>
            <w:tcW w:w="6400" w:type="dxa"/>
            <w:tcBorders>
              <w:top w:val="single" w:sz="8" w:space="0" w:color="000000"/>
              <w:bottom w:val="single" w:sz="8" w:space="0" w:color="000000"/>
              <w:right w:val="single" w:sz="8" w:space="0" w:color="000000"/>
            </w:tcBorders>
            <w:vAlign w:val="top"/>
          </w:tcPr>
          <w:p>
            <w:pPr>
              <w:pStyle w:val="ProcedureTable"/>
            </w:pPr>
            <w:r>
              <w:t>20.5.2025</w:t>
            </w:r>
          </w:p>
        </w:tc>
      </w:tr>
      <w:tr>
        <w:tblPrEx>
          <w:jc w:val="left"/>
          <w:tblLayout w:type="fixed"/>
          <w:tblCellMar>
            <w:top w:w="54" w:type="dxa"/>
            <w:left w:w="108" w:type="dxa"/>
            <w:bottom w:w="54" w:type="dxa"/>
            <w:right w:w="108" w:type="dxa"/>
          </w:tblCellMar>
        </w:tblPrEx>
        <w:trPr>
          <w:cantSplit w:val="0"/>
          <w:trHeight w:hRule="auto" w:val="0"/>
          <w:jc w:val="left"/>
        </w:trPr>
        <w:tc>
          <w:tcPr>
            <w:tcW w:w="3600" w:type="dxa"/>
            <w:tcBorders>
              <w:top w:val="single" w:sz="8" w:space="0" w:color="000000"/>
              <w:left w:val="single" w:sz="8" w:space="0" w:color="000000"/>
              <w:bottom w:val="single" w:sz="8" w:space="0" w:color="000000"/>
              <w:right w:val="single" w:sz="8" w:space="0" w:color="000000"/>
            </w:tcBorders>
            <w:vAlign w:val="top"/>
          </w:tcPr>
          <w:p>
            <w:pPr>
              <w:pStyle w:val="ProcedureTableBold"/>
            </w:pPr>
            <w:r>
              <w:t>Galutinio balsavimo rezultatai</w:t>
            </w:r>
          </w:p>
        </w:tc>
        <w:tc>
          <w:tcPr>
            <w:tcW w:w="6400" w:type="dxa"/>
            <w:tcBorders>
              <w:top w:val="single" w:sz="8" w:space="0" w:color="000000"/>
              <w:bottom w:val="single" w:sz="8" w:space="0" w:color="000000"/>
              <w:right w:val="single" w:sz="8" w:space="0" w:color="000000"/>
            </w:tcBorders>
            <w:vAlign w:val="top"/>
          </w:tcPr>
          <w:p>
            <w:pPr>
              <w:pStyle w:val="ProcedureTable"/>
            </w:pPr>
            <w:r>
              <w:t>+</w:t>
            </w:r>
            <w:r>
              <w:tab/>
            </w:r>
            <w:r>
              <w:t>:</w:t>
            </w:r>
            <w:r>
              <w:tab/>
            </w:r>
            <w:r>
              <w:t>17</w:t>
            </w:r>
          </w:p>
          <w:p>
            <w:pPr>
              <w:pStyle w:val="ProcedureTable"/>
            </w:pPr>
            <w:r>
              <w:t>-</w:t>
            </w:r>
            <w:r>
              <w:tab/>
            </w:r>
            <w:r>
              <w:t>:</w:t>
            </w:r>
            <w:r>
              <w:tab/>
            </w:r>
            <w:r>
              <w:t>11</w:t>
            </w:r>
          </w:p>
          <w:p>
            <w:pPr>
              <w:pStyle w:val="ProcedureTable"/>
            </w:pPr>
            <w:r>
              <w:t>0</w:t>
            </w:r>
            <w:r>
              <w:tab/>
            </w:r>
            <w:r>
              <w:t>:</w:t>
            </w:r>
            <w:r>
              <w:tab/>
            </w:r>
            <w:r>
              <w:t>8</w:t>
            </w:r>
          </w:p>
        </w:tc>
      </w:tr>
      <w:tr>
        <w:tblPrEx>
          <w:jc w:val="left"/>
          <w:tblLayout w:type="fixed"/>
          <w:tblCellMar>
            <w:top w:w="54" w:type="dxa"/>
            <w:left w:w="108" w:type="dxa"/>
            <w:bottom w:w="54" w:type="dxa"/>
            <w:right w:w="108" w:type="dxa"/>
          </w:tblCellMar>
        </w:tblPrEx>
        <w:trPr>
          <w:cantSplit w:val="0"/>
          <w:trHeight w:hRule="auto" w:val="0"/>
          <w:jc w:val="left"/>
        </w:trPr>
        <w:tc>
          <w:tcPr>
            <w:tcW w:w="3600" w:type="dxa"/>
            <w:tcBorders>
              <w:top w:val="single" w:sz="8" w:space="0" w:color="000000"/>
              <w:left w:val="single" w:sz="8" w:space="0" w:color="000000"/>
              <w:bottom w:val="single" w:sz="8" w:space="0" w:color="000000"/>
              <w:right w:val="single" w:sz="8" w:space="0" w:color="000000"/>
            </w:tcBorders>
            <w:vAlign w:val="top"/>
          </w:tcPr>
          <w:p>
            <w:pPr>
              <w:pStyle w:val="ProcedureTableBold"/>
            </w:pPr>
            <w:r>
              <w:t>Posėdyje per galutinį balsavimą dalyvavę nariai</w:t>
            </w:r>
          </w:p>
        </w:tc>
        <w:tc>
          <w:tcPr>
            <w:tcW w:w="6400" w:type="dxa"/>
            <w:tcBorders>
              <w:top w:val="single" w:sz="8" w:space="0" w:color="000000"/>
              <w:bottom w:val="single" w:sz="8" w:space="0" w:color="000000"/>
              <w:right w:val="single" w:sz="8" w:space="0" w:color="000000"/>
            </w:tcBorders>
            <w:vAlign w:val="top"/>
          </w:tcPr>
          <w:p>
            <w:pPr>
              <w:pStyle w:val="ProcedureTable"/>
            </w:pPr>
            <w:r>
              <w:t>Mathilde Androuët, Mireia Borrás Pabón, Irmhild Boßdorf, Mélissa Camara, Margarita de la Pisa Carrión, Valérie Devaux, Elisabeth Dieringer, Rosa Estaràs Ferragut, Viktória Ferenc, Heléne Fritzon, Lina Gálvez, Chiara Gemma, Gabriella Gerzsenyi, Arba Kokalari, Sebastian Kruis, Judita Laššáková, Eleonora Meleti, Irene Montero, Maria Noichl, Sirpa Pietikäinen, Giusi Princi, Joanna Scheuring-Wielgus, Benedetta Scuderi, Laurence Trochu, Marko Vešligaj, Dainius Žalimas</w:t>
            </w:r>
          </w:p>
        </w:tc>
      </w:tr>
      <w:tr>
        <w:tblPrEx>
          <w:jc w:val="left"/>
          <w:tblLayout w:type="fixed"/>
          <w:tblCellMar>
            <w:top w:w="54" w:type="dxa"/>
            <w:left w:w="108" w:type="dxa"/>
            <w:bottom w:w="54" w:type="dxa"/>
            <w:right w:w="108" w:type="dxa"/>
          </w:tblCellMar>
        </w:tblPrEx>
        <w:trPr>
          <w:cantSplit w:val="0"/>
          <w:trHeight w:hRule="auto" w:val="0"/>
          <w:jc w:val="left"/>
        </w:trPr>
        <w:tc>
          <w:tcPr>
            <w:tcW w:w="3600" w:type="dxa"/>
            <w:tcBorders>
              <w:top w:val="single" w:sz="8" w:space="0" w:color="000000"/>
              <w:left w:val="single" w:sz="8" w:space="0" w:color="000000"/>
              <w:bottom w:val="single" w:sz="8" w:space="0" w:color="000000"/>
              <w:right w:val="single" w:sz="8" w:space="0" w:color="000000"/>
            </w:tcBorders>
            <w:vAlign w:val="top"/>
          </w:tcPr>
          <w:p>
            <w:pPr>
              <w:pStyle w:val="ProcedureTableBold"/>
            </w:pPr>
            <w:r>
              <w:t>Posėdyje per galutinį balsavimą dalyvavę pavaduojantys nariai</w:t>
            </w:r>
          </w:p>
        </w:tc>
        <w:tc>
          <w:tcPr>
            <w:tcW w:w="6400" w:type="dxa"/>
            <w:tcBorders>
              <w:top w:val="single" w:sz="8" w:space="0" w:color="000000"/>
              <w:bottom w:val="single" w:sz="8" w:space="0" w:color="000000"/>
              <w:right w:val="single" w:sz="8" w:space="0" w:color="000000"/>
            </w:tcBorders>
            <w:vAlign w:val="top"/>
          </w:tcPr>
          <w:p>
            <w:pPr>
              <w:pStyle w:val="ProcedureTable"/>
            </w:pPr>
            <w:r>
              <w:t>Loucas Fourlas, Kathleen Funchion, Raquel García Hermida-Van Der Walle, Hanna Gedin, Katrin Langensiepen, Jagna Marczułajtis-Walczak, Beatrice Timgren, Jana Toom</w:t>
            </w:r>
          </w:p>
        </w:tc>
      </w:tr>
      <w:tr>
        <w:tblPrEx>
          <w:jc w:val="left"/>
          <w:tblLayout w:type="fixed"/>
          <w:tblCellMar>
            <w:top w:w="54" w:type="dxa"/>
            <w:left w:w="108" w:type="dxa"/>
            <w:bottom w:w="54" w:type="dxa"/>
            <w:right w:w="108" w:type="dxa"/>
          </w:tblCellMar>
        </w:tblPrEx>
        <w:trPr>
          <w:cantSplit w:val="0"/>
          <w:trHeight w:hRule="auto" w:val="0"/>
          <w:jc w:val="left"/>
        </w:trPr>
        <w:tc>
          <w:tcPr>
            <w:tcW w:w="3600" w:type="dxa"/>
            <w:tcBorders>
              <w:top w:val="single" w:sz="8" w:space="0" w:color="000000"/>
              <w:left w:val="single" w:sz="8" w:space="0" w:color="000000"/>
              <w:bottom w:val="single" w:sz="8" w:space="0" w:color="000000"/>
              <w:right w:val="single" w:sz="8" w:space="0" w:color="000000"/>
            </w:tcBorders>
            <w:vAlign w:val="top"/>
          </w:tcPr>
          <w:p>
            <w:pPr>
              <w:pStyle w:val="ProcedureTableBold"/>
            </w:pPr>
            <w:r>
              <w:t>Posėdyje per galutinį balsavimą pagal 216 straipsnio 7 dalį dalyvavę nariai</w:t>
            </w:r>
          </w:p>
        </w:tc>
        <w:tc>
          <w:tcPr>
            <w:tcW w:w="6400" w:type="dxa"/>
            <w:tcBorders>
              <w:top w:val="single" w:sz="8" w:space="0" w:color="000000"/>
              <w:bottom w:val="single" w:sz="8" w:space="0" w:color="000000"/>
              <w:right w:val="single" w:sz="8" w:space="0" w:color="000000"/>
            </w:tcBorders>
            <w:vAlign w:val="top"/>
          </w:tcPr>
          <w:p>
            <w:pPr>
              <w:pStyle w:val="ProcedureTable"/>
            </w:pPr>
            <w:r>
              <w:t>Georgios Aftias, Niels Geuking</w:t>
            </w:r>
          </w:p>
        </w:tc>
      </w:tr>
    </w:tbl>
    <w:p>
      <w:pPr>
        <w:pStyle w:val="PageHeading"/>
        <w:sectPr>
          <w:type w:val="nextPage"/>
          <w:pgSz w:w="11906" w:h="16838"/>
          <w:pgMar w:top="1134" w:right="1417" w:bottom="1417" w:left="1417" w:header="1134" w:footer="567" w:gutter="0"/>
          <w:cols w:num="1" w:space="708"/>
          <w:titlePg w:val="0"/>
          <w:docGrid w:linePitch="360"/>
        </w:sectPr>
      </w:pPr>
    </w:p>
    <w:p>
      <w:pPr>
        <w:pStyle w:val="PageHeading"/>
      </w:pPr>
      <w:r>
        <w:t>GALUTINIS VARDINIS BALSAVIMAS</w:t>
        <w:br/>
        <w:t>NUOMONĘ TEIKIANČIAME KOMITETE</w:t>
      </w:r>
    </w:p>
    <w:tbl>
      <w:tblPr>
        <w:jc w:val="left"/>
        <w:tblBorders>
          <w:top w:val="double" w:sz="8" w:space="0" w:color="000000"/>
          <w:left w:val="double" w:sz="8" w:space="0" w:color="000000"/>
          <w:bottom w:val="double" w:sz="8" w:space="0" w:color="000000"/>
          <w:right w:val="double" w:sz="8" w:space="0" w:color="000000"/>
          <w:insideH w:val="single" w:sz="8" w:space="0" w:color="000000"/>
          <w:insideV w:val="single" w:sz="8" w:space="0" w:color="000000"/>
        </w:tblBorders>
        <w:tblLayout w:type="fixed"/>
        <w:tblCellMar>
          <w:top w:w="54" w:type="dxa"/>
          <w:left w:w="108" w:type="dxa"/>
          <w:bottom w:w="54" w:type="dxa"/>
          <w:right w:w="108" w:type="dxa"/>
        </w:tblCellMar>
      </w:tblPr>
      <w:tblGrid>
        <w:gridCol w:w="1600"/>
        <w:gridCol w:w="7600"/>
      </w:tblGrid>
      <w:tr>
        <w:tblPrEx>
          <w:jc w:val="left"/>
          <w:tblBorders>
            <w:top w:val="double" w:sz="8" w:space="0" w:color="000000"/>
            <w:left w:val="double" w:sz="8" w:space="0" w:color="000000"/>
            <w:bottom w:val="double" w:sz="8" w:space="0" w:color="000000"/>
            <w:right w:val="double" w:sz="8" w:space="0" w:color="000000"/>
            <w:insideH w:val="single" w:sz="8" w:space="0" w:color="000000"/>
            <w:insideV w:val="single" w:sz="8" w:space="0" w:color="000000"/>
          </w:tblBorders>
          <w:tblLayout w:type="fixed"/>
          <w:tblCellMar>
            <w:top w:w="54" w:type="dxa"/>
            <w:left w:w="108" w:type="dxa"/>
            <w:bottom w:w="54" w:type="dxa"/>
            <w:right w:w="108" w:type="dxa"/>
          </w:tblCellMar>
        </w:tblPrEx>
        <w:trPr>
          <w:cantSplit w:val="0"/>
          <w:trHeight w:hRule="auto" w:val="0"/>
          <w:jc w:val="left"/>
        </w:trPr>
        <w:tc>
          <w:tcPr>
            <w:tcW w:w="1600" w:type="dxa"/>
            <w:shd w:val="clear" w:color="auto" w:fill="C0C0C0"/>
            <w:vAlign w:val="top"/>
          </w:tcPr>
          <w:p>
            <w:pPr>
              <w:pStyle w:val="NormalBold"/>
            </w:pPr>
            <w:r>
              <w:t>17</w:t>
            </w:r>
          </w:p>
        </w:tc>
        <w:tc>
          <w:tcPr>
            <w:tcW w:w="7600" w:type="dxa"/>
            <w:shd w:val="clear" w:color="auto" w:fill="C0C0C0"/>
            <w:vAlign w:val="top"/>
          </w:tcPr>
          <w:p>
            <w:pPr>
              <w:pStyle w:val="Arial14CentreBold"/>
            </w:pPr>
            <w:r>
              <w:t>+</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PPE</w:t>
            </w:r>
          </w:p>
        </w:tc>
        <w:tc>
          <w:tcPr>
            <w:tcW w:w="7600" w:type="dxa"/>
            <w:vAlign w:val="top"/>
          </w:tcPr>
          <w:p>
            <w:pPr>
              <w:pStyle w:val="ProcedureTable"/>
            </w:pPr>
            <w:r>
              <w:t>Kokalari Arba, Pietikäinen Sirpa</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Renew</w:t>
            </w:r>
          </w:p>
        </w:tc>
        <w:tc>
          <w:tcPr>
            <w:tcW w:w="7600" w:type="dxa"/>
            <w:vAlign w:val="top"/>
          </w:tcPr>
          <w:p>
            <w:pPr>
              <w:pStyle w:val="ProcedureTable"/>
            </w:pPr>
            <w:r>
              <w:t>Devaux Valérie, García Hermida-Van Der Walle Raquel, Toom Jana, Zalimas Dainius</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S&amp;D</w:t>
            </w:r>
          </w:p>
        </w:tc>
        <w:tc>
          <w:tcPr>
            <w:tcW w:w="7600" w:type="dxa"/>
            <w:vAlign w:val="top"/>
          </w:tcPr>
          <w:p>
            <w:pPr>
              <w:pStyle w:val="ProcedureTable"/>
            </w:pPr>
            <w:r>
              <w:t>Fritzon Heléne, Gálvez Lina, Noichl Maria, Scheuring-Wielgus Joanna, Vesligaj Marko</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The Left</w:t>
            </w:r>
          </w:p>
        </w:tc>
        <w:tc>
          <w:tcPr>
            <w:tcW w:w="7600" w:type="dxa"/>
            <w:vAlign w:val="top"/>
          </w:tcPr>
          <w:p>
            <w:pPr>
              <w:pStyle w:val="ProcedureTable"/>
            </w:pPr>
            <w:r>
              <w:t>Funchion Kathleen, Gedin Hanna, Montero Irene</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Verts/ALE</w:t>
            </w:r>
          </w:p>
        </w:tc>
        <w:tc>
          <w:tcPr>
            <w:tcW w:w="7600" w:type="dxa"/>
            <w:vAlign w:val="top"/>
          </w:tcPr>
          <w:p>
            <w:pPr>
              <w:pStyle w:val="ProcedureTable"/>
            </w:pPr>
            <w:r>
              <w:t>Camara Mélissa, Langensiepen Katrin, Scuderi Benedetta</w:t>
            </w:r>
          </w:p>
        </w:tc>
      </w:tr>
    </w:tbl>
    <w:p/>
    <w:tbl>
      <w:tblPr>
        <w:jc w:val="left"/>
        <w:tblBorders>
          <w:top w:val="double" w:sz="8" w:space="0" w:color="000000"/>
          <w:left w:val="double" w:sz="8" w:space="0" w:color="000000"/>
          <w:bottom w:val="double" w:sz="8" w:space="0" w:color="000000"/>
          <w:right w:val="double" w:sz="8" w:space="0" w:color="000000"/>
          <w:insideH w:val="single" w:sz="8" w:space="0" w:color="000000"/>
          <w:insideV w:val="single" w:sz="8" w:space="0" w:color="000000"/>
        </w:tblBorders>
        <w:tblLayout w:type="fixed"/>
        <w:tblCellMar>
          <w:top w:w="54" w:type="dxa"/>
          <w:left w:w="108" w:type="dxa"/>
          <w:bottom w:w="54" w:type="dxa"/>
          <w:right w:w="108" w:type="dxa"/>
        </w:tblCellMar>
      </w:tblPr>
      <w:tblGrid>
        <w:gridCol w:w="1600"/>
        <w:gridCol w:w="7600"/>
      </w:tblGrid>
      <w:tr>
        <w:tblPrEx>
          <w:jc w:val="left"/>
          <w:tblBorders>
            <w:top w:val="double" w:sz="8" w:space="0" w:color="000000"/>
            <w:left w:val="double" w:sz="8" w:space="0" w:color="000000"/>
            <w:bottom w:val="double" w:sz="8" w:space="0" w:color="000000"/>
            <w:right w:val="double" w:sz="8" w:space="0" w:color="000000"/>
            <w:insideH w:val="single" w:sz="8" w:space="0" w:color="000000"/>
            <w:insideV w:val="single" w:sz="8" w:space="0" w:color="000000"/>
          </w:tblBorders>
          <w:tblLayout w:type="fixed"/>
          <w:tblCellMar>
            <w:top w:w="54" w:type="dxa"/>
            <w:left w:w="108" w:type="dxa"/>
            <w:bottom w:w="54" w:type="dxa"/>
            <w:right w:w="108" w:type="dxa"/>
          </w:tblCellMar>
        </w:tblPrEx>
        <w:trPr>
          <w:cantSplit w:val="0"/>
          <w:trHeight w:hRule="auto" w:val="0"/>
          <w:jc w:val="left"/>
        </w:trPr>
        <w:tc>
          <w:tcPr>
            <w:tcW w:w="1600" w:type="dxa"/>
            <w:shd w:val="clear" w:color="auto" w:fill="C0C0C0"/>
            <w:vAlign w:val="top"/>
          </w:tcPr>
          <w:p>
            <w:pPr>
              <w:pStyle w:val="NormalBold"/>
            </w:pPr>
            <w:r>
              <w:t>11</w:t>
            </w:r>
          </w:p>
        </w:tc>
        <w:tc>
          <w:tcPr>
            <w:tcW w:w="7600" w:type="dxa"/>
            <w:shd w:val="clear" w:color="auto" w:fill="C0C0C0"/>
            <w:vAlign w:val="top"/>
          </w:tcPr>
          <w:p>
            <w:pPr>
              <w:pStyle w:val="Arial14CentreBold"/>
            </w:pPr>
            <w:r>
              <w:t>-</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ECR</w:t>
            </w:r>
          </w:p>
        </w:tc>
        <w:tc>
          <w:tcPr>
            <w:tcW w:w="7600" w:type="dxa"/>
            <w:vAlign w:val="top"/>
          </w:tcPr>
          <w:p>
            <w:pPr>
              <w:pStyle w:val="ProcedureTable"/>
            </w:pPr>
            <w:r>
              <w:t>Gemma Chiara, Timgren Beatrice, Trochu Laurence</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ESN</w:t>
            </w:r>
          </w:p>
        </w:tc>
        <w:tc>
          <w:tcPr>
            <w:tcW w:w="7600" w:type="dxa"/>
            <w:vAlign w:val="top"/>
          </w:tcPr>
          <w:p>
            <w:pPr>
              <w:pStyle w:val="ProcedureTable"/>
            </w:pPr>
            <w:r>
              <w:t>Boßdorf Irmhild</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NI</w:t>
            </w:r>
          </w:p>
        </w:tc>
        <w:tc>
          <w:tcPr>
            <w:tcW w:w="7600" w:type="dxa"/>
            <w:vAlign w:val="top"/>
          </w:tcPr>
          <w:p>
            <w:pPr>
              <w:pStyle w:val="ProcedureTable"/>
            </w:pPr>
            <w:r>
              <w:t>Lassáková Judita</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PfE</w:t>
            </w:r>
          </w:p>
        </w:tc>
        <w:tc>
          <w:tcPr>
            <w:tcW w:w="7600" w:type="dxa"/>
            <w:vAlign w:val="top"/>
          </w:tcPr>
          <w:p>
            <w:pPr>
              <w:pStyle w:val="ProcedureTable"/>
            </w:pPr>
            <w:r>
              <w:t>Androuët Mathilde, Borrás Pabón Mireia, Dieringer Elisabeth, Ferenc Viktória, Kruis Sebastian, de la Pisa Carrión Margarita</w:t>
            </w:r>
          </w:p>
        </w:tc>
      </w:tr>
    </w:tbl>
    <w:p/>
    <w:tbl>
      <w:tblPr>
        <w:jc w:val="left"/>
        <w:tblBorders>
          <w:top w:val="double" w:sz="8" w:space="0" w:color="000000"/>
          <w:left w:val="double" w:sz="8" w:space="0" w:color="000000"/>
          <w:bottom w:val="double" w:sz="8" w:space="0" w:color="000000"/>
          <w:right w:val="double" w:sz="8" w:space="0" w:color="000000"/>
          <w:insideH w:val="single" w:sz="8" w:space="0" w:color="000000"/>
          <w:insideV w:val="single" w:sz="8" w:space="0" w:color="000000"/>
        </w:tblBorders>
        <w:tblLayout w:type="fixed"/>
        <w:tblCellMar>
          <w:top w:w="54" w:type="dxa"/>
          <w:left w:w="108" w:type="dxa"/>
          <w:bottom w:w="54" w:type="dxa"/>
          <w:right w:w="108" w:type="dxa"/>
        </w:tblCellMar>
      </w:tblPr>
      <w:tblGrid>
        <w:gridCol w:w="1600"/>
        <w:gridCol w:w="7600"/>
      </w:tblGrid>
      <w:tr>
        <w:tblPrEx>
          <w:jc w:val="left"/>
          <w:tblBorders>
            <w:top w:val="double" w:sz="8" w:space="0" w:color="000000"/>
            <w:left w:val="double" w:sz="8" w:space="0" w:color="000000"/>
            <w:bottom w:val="double" w:sz="8" w:space="0" w:color="000000"/>
            <w:right w:val="double" w:sz="8" w:space="0" w:color="000000"/>
            <w:insideH w:val="single" w:sz="8" w:space="0" w:color="000000"/>
            <w:insideV w:val="single" w:sz="8" w:space="0" w:color="000000"/>
          </w:tblBorders>
          <w:tblLayout w:type="fixed"/>
          <w:tblCellMar>
            <w:top w:w="54" w:type="dxa"/>
            <w:left w:w="108" w:type="dxa"/>
            <w:bottom w:w="54" w:type="dxa"/>
            <w:right w:w="108" w:type="dxa"/>
          </w:tblCellMar>
        </w:tblPrEx>
        <w:trPr>
          <w:cantSplit w:val="0"/>
          <w:trHeight w:hRule="auto" w:val="0"/>
          <w:jc w:val="left"/>
        </w:trPr>
        <w:tc>
          <w:tcPr>
            <w:tcW w:w="1600" w:type="dxa"/>
            <w:shd w:val="clear" w:color="auto" w:fill="C0C0C0"/>
            <w:vAlign w:val="top"/>
          </w:tcPr>
          <w:p>
            <w:pPr>
              <w:pStyle w:val="NormalBold"/>
            </w:pPr>
            <w:r>
              <w:t>8</w:t>
            </w:r>
          </w:p>
        </w:tc>
        <w:tc>
          <w:tcPr>
            <w:tcW w:w="7600" w:type="dxa"/>
            <w:shd w:val="clear" w:color="auto" w:fill="C0C0C0"/>
            <w:vAlign w:val="top"/>
          </w:tcPr>
          <w:p>
            <w:pPr>
              <w:pStyle w:val="Arial14CentreBold"/>
            </w:pPr>
            <w:r>
              <w:t>0</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PPE</w:t>
            </w:r>
          </w:p>
        </w:tc>
        <w:tc>
          <w:tcPr>
            <w:tcW w:w="7600" w:type="dxa"/>
            <w:vAlign w:val="top"/>
          </w:tcPr>
          <w:p>
            <w:pPr>
              <w:pStyle w:val="ProcedureTable"/>
            </w:pPr>
            <w:r>
              <w:t>Aftias Georgios, Estaràs Ferragut Rosa, Fourlas Loucas, Gerzsenyi Gabriella, Geuking Niels, Marczulajtis-Walczak Jagna, Meleti Eleonora, Princi Giusi</w:t>
            </w:r>
          </w:p>
        </w:tc>
      </w:tr>
    </w:tbl>
    <w:p/>
    <w:p>
      <w:r>
        <w:t>Sutartiniai ženklai:</w:t>
      </w:r>
    </w:p>
    <w:p>
      <w:pPr>
        <w:pStyle w:val="NormalTab"/>
      </w:pPr>
      <w:r>
        <w:t>+</w:t>
      </w:r>
      <w:r>
        <w:tab/>
        <w:t>:</w:t>
        <w:tab/>
      </w:r>
      <w:r>
        <w:t>už</w:t>
      </w:r>
    </w:p>
    <w:p>
      <w:pPr>
        <w:pStyle w:val="NormalTab"/>
      </w:pPr>
      <w:r>
        <w:t>-</w:t>
      </w:r>
      <w:r>
        <w:tab/>
        <w:t>:</w:t>
        <w:tab/>
      </w:r>
      <w:r>
        <w:t>prieš</w:t>
      </w:r>
    </w:p>
    <w:p>
      <w:pPr>
        <w:pStyle w:val="NormalTab"/>
      </w:pPr>
      <w:r>
        <w:t>0</w:t>
      </w:r>
      <w:r>
        <w:tab/>
        <w:t>:</w:t>
        <w:tab/>
      </w:r>
      <w:r>
        <w:t>susilaikė</w:t>
      </w:r>
    </w:p>
    <w:p>
      <w:pPr>
        <w:pStyle w:val="Normal12a"/>
      </w:pPr>
    </w:p>
    <w:sectPr>
      <w:type w:val="nextPage"/>
      <w:pgSz w:w="11906" w:h="16838"/>
      <w:pgMar w:top="1134" w:right="1417" w:bottom="1417" w:left="1417" w:header="1134" w:footer="567" w:gutter="0"/>
      <w:cols w:num="1"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w:t>
    </w:r>
    <w:r>
      <w:rPr>
        <w:rStyle w:val="HideTWBExt"/>
      </w:rPr>
      <w:t>NoPE</w:t>
    </w:r>
    <w:r>
      <w:rPr>
        <w:rStyle w:val="HideTWBExt"/>
      </w:rPr>
      <w:t>&gt;</w:t>
    </w:r>
    <w:r>
      <w:t>770.238</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v02-00</w:t>
    </w:r>
    <w:r>
      <w:rPr>
        <w:rStyle w:val="HideTWBExt"/>
      </w:rPr>
      <w:t>&lt;/</w:t>
    </w:r>
    <w:r>
      <w:rPr>
        <w:rStyle w:val="HideTWBExt"/>
      </w:rPr>
      <w:t>Version</w:t>
    </w:r>
    <w:r>
      <w:rPr>
        <w:rStyle w:val="HideTWBExt"/>
      </w:rPr>
      <w:t>&gt;</w:t>
    </w:r>
    <w:r>
      <w:tab/>
    </w:r>
    <w:r>
      <w:fldChar w:fldCharType="begin"/>
    </w:r>
    <w:r>
      <w:instrText>PAGE</w:instrText>
    </w:r>
    <w:r>
      <w:fldChar w:fldCharType="separate"/>
    </w:r>
    <w:r>
      <w:t>42</w:t>
    </w:r>
    <w:r>
      <w:fldChar w:fldCharType="end"/>
    </w:r>
    <w:r>
      <w:t>/</w:t>
    </w:r>
    <w:r>
      <w:fldChar w:fldCharType="begin"/>
    </w:r>
    <w:r>
      <w:instrText>NUMPAGES</w:instrText>
    </w:r>
    <w:r>
      <w:fldChar w:fldCharType="separate"/>
    </w:r>
    <w:r>
      <w:t>42</w:t>
    </w:r>
    <w:r>
      <w:fldChar w:fldCharType="end"/>
    </w:r>
    <w:r>
      <w:tab/>
    </w:r>
    <w:r>
      <w:rPr>
        <w:rStyle w:val="HideTWBExt"/>
      </w:rPr>
      <w:t>&lt;</w:t>
    </w:r>
    <w:r>
      <w:rPr>
        <w:rStyle w:val="HideTWBExt"/>
      </w:rPr>
      <w:t>PathFdR</w:t>
    </w:r>
    <w:r>
      <w:rPr>
        <w:rStyle w:val="HideTWBExt"/>
      </w:rPr>
      <w:t>&gt;</w:t>
    </w:r>
    <w:r>
      <w:t>AD\1321310LT.docx</w:t>
    </w:r>
    <w:r>
      <w:rPr>
        <w:rStyle w:val="HideTWBExt"/>
      </w:rPr>
      <w:t>&lt;/</w:t>
    </w:r>
    <w:r>
      <w:rPr>
        <w:rStyle w:val="HideTWBExt"/>
      </w:rPr>
      <w:t>PathFdR</w:t>
    </w:r>
    <w:r>
      <w:rPr>
        <w:rStyle w:val="HideTWBExt"/>
      </w:rPr>
      <w:t>&gt;</w:t>
    </w:r>
  </w:p>
  <w:p>
    <w:pPr>
      <w:pStyle w:val="EPFooter2"/>
    </w:pPr>
    <w:r>
      <w:t>LT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AD\1321310LT.docx</w:t>
    </w:r>
    <w:r>
      <w:rPr>
        <w:rStyle w:val="HideTWBExt"/>
      </w:rPr>
      <w:t>&lt;/</w:t>
    </w:r>
    <w:r>
      <w:rPr>
        <w:rStyle w:val="HideTWBExt"/>
      </w:rPr>
      <w:t>PathFdR</w:t>
    </w:r>
    <w:r>
      <w:rPr>
        <w:rStyle w:val="HideTWBExt"/>
      </w:rPr>
      <w:t>&gt;</w:t>
    </w:r>
    <w:r>
      <w:tab/>
    </w:r>
    <w:r>
      <w:fldChar w:fldCharType="begin"/>
    </w:r>
    <w:r>
      <w:instrText>PAGE</w:instrText>
    </w:r>
    <w:r>
      <w:fldChar w:fldCharType="separate"/>
    </w:r>
    <w:r>
      <w:t>41</w:t>
    </w:r>
    <w:r>
      <w:fldChar w:fldCharType="end"/>
    </w:r>
    <w:r>
      <w:t>/</w:t>
    </w:r>
    <w:r>
      <w:fldChar w:fldCharType="begin"/>
    </w:r>
    <w:r>
      <w:instrText>NUMPAGES</w:instrText>
    </w:r>
    <w:r>
      <w:fldChar w:fldCharType="separate"/>
    </w:r>
    <w:r>
      <w:t>42</w:t>
    </w:r>
    <w:r>
      <w:fldChar w:fldCharType="end"/>
    </w:r>
    <w:r>
      <w:tab/>
    </w:r>
    <w:r>
      <w:t>PE</w:t>
    </w:r>
    <w:r>
      <w:rPr>
        <w:rStyle w:val="HideTWBExt"/>
      </w:rPr>
      <w:t>&lt;</w:t>
    </w:r>
    <w:r>
      <w:rPr>
        <w:rStyle w:val="HideTWBExt"/>
      </w:rPr>
      <w:t>NoPE</w:t>
    </w:r>
    <w:r>
      <w:rPr>
        <w:rStyle w:val="HideTWBExt"/>
      </w:rPr>
      <w:t>&gt;</w:t>
    </w:r>
    <w:r>
      <w:t>770.238</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v02-00</w:t>
    </w:r>
    <w:r>
      <w:rPr>
        <w:rStyle w:val="HideTWBExt"/>
      </w:rPr>
      <w:t>&lt;/</w:t>
    </w:r>
    <w:r>
      <w:rPr>
        <w:rStyle w:val="HideTWBExt"/>
      </w:rPr>
      <w:t>Version</w:t>
    </w:r>
    <w:r>
      <w:rPr>
        <w:rStyle w:val="HideTWBExt"/>
      </w:rPr>
      <w:t>&gt;</w:t>
    </w:r>
  </w:p>
  <w:p>
    <w:pPr>
      <w:pStyle w:val="EPFooter2"/>
    </w:pPr>
    <w:r>
      <w:tab/>
    </w:r>
    <w:r>
      <w:tab/>
    </w:r>
    <w:r>
      <w:t>LT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AD\1321310LT.docx</w:t>
    </w:r>
    <w:r>
      <w:rPr>
        <w:rStyle w:val="HideTWBExt"/>
      </w:rPr>
      <w:t>&lt;/</w:t>
    </w:r>
    <w:r>
      <w:rPr>
        <w:rStyle w:val="HideTWBExt"/>
      </w:rPr>
      <w:t>PathFdR</w:t>
    </w:r>
    <w:r>
      <w:rPr>
        <w:rStyle w:val="HideTWBExt"/>
      </w:rPr>
      <w:t>&gt;</w:t>
    </w:r>
    <w:r>
      <w:tab/>
    </w:r>
    <w:r>
      <w:tab/>
    </w:r>
    <w:r>
      <w:t>PE</w:t>
    </w:r>
    <w:r>
      <w:rPr>
        <w:rStyle w:val="HideTWBExt"/>
      </w:rPr>
      <w:t>&lt;</w:t>
    </w:r>
    <w:r>
      <w:rPr>
        <w:rStyle w:val="HideTWBExt"/>
      </w:rPr>
      <w:t>NoPE</w:t>
    </w:r>
    <w:r>
      <w:rPr>
        <w:rStyle w:val="HideTWBExt"/>
      </w:rPr>
      <w:t>&gt;</w:t>
    </w:r>
    <w:r>
      <w:t>770.238</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v02-00</w:t>
    </w:r>
    <w:r>
      <w:rPr>
        <w:rStyle w:val="HideTWBExt"/>
      </w:rPr>
      <w:t>&lt;/</w:t>
    </w:r>
    <w:r>
      <w:rPr>
        <w:rStyle w:val="HideTWBExt"/>
      </w:rPr>
      <w:t>Version</w:t>
    </w:r>
    <w:r>
      <w:rPr>
        <w:rStyle w:val="HideTWBExt"/>
      </w:rPr>
      <w:t>&gt;</w:t>
    </w:r>
  </w:p>
  <w:p>
    <w:pPr>
      <w:pStyle w:val="EPFooter2"/>
    </w:pPr>
    <w:r>
      <w:t>LT</w:t>
    </w:r>
    <w:r>
      <w:tab/>
    </w:r>
    <w:r>
      <w:rPr>
        <w:rStyle w:val="EPFooter2Motto"/>
      </w:rPr>
      <w:t>Suvienijusi įvairovę</w:t>
    </w:r>
    <w:r>
      <w:tab/>
    </w:r>
    <w:r>
      <w:t>LT</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3538D7"/>
    <w:multiLevelType w:val="hybridMultilevel"/>
    <w:tmpl w:val="B4A836B6"/>
    <w:lvl w:ilvl="0">
      <w:start w:val="1"/>
      <w:numFmt w:val="bullet"/>
      <w:pStyle w:val="Normal12aBullet1"/>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COMKEY"/>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semiHidden/>
    <w:unhideWhenUsed/>
  </w:style>
  <w:style w:type="table" w:default="1" w:styleId="TableNormal">
    <w:name w:val="Normal Table"/>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Normal12a">
    <w:name w:val="Normal12a"/>
    <w:basedOn w:val="Normal"/>
    <w:pPr>
      <w:spacing w:after="240"/>
    </w:pPr>
  </w:style>
  <w:style w:type="paragraph" w:styleId="TOC1">
    <w:name w:val="toc 1"/>
    <w:basedOn w:val="Normal12a"/>
    <w:next w:val="Normal12a"/>
    <w:autoRedefine/>
    <w:semiHidden/>
  </w:style>
  <w:style w:type="paragraph" w:styleId="TOCHeading">
    <w:name w:val="TOC Heading"/>
    <w:basedOn w:val="Normal12a"/>
    <w:next w:val="Normal12a"/>
    <w:qFormat/>
    <w:rsid w:val="00DC11F3"/>
    <w:pPr>
      <w:keepNext/>
      <w:spacing w:before="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NotTOC">
    <w:name w:val="PageHeadingNotTOC"/>
    <w:basedOn w:val="Normal"/>
    <w:pPr>
      <w:keepNext/>
      <w:spacing w:after="480"/>
      <w:jc w:val="center"/>
    </w:pPr>
    <w:rPr>
      <w:rFonts w:ascii="Arial" w:hAnsi="Arial" w:cs="Arial"/>
      <w:b/>
    </w:rPr>
  </w:style>
  <w:style w:type="paragraph" w:customStyle="1" w:styleId="AmJustText">
    <w:name w:val="AmJustText"/>
    <w:basedOn w:val="Normal"/>
    <w:rsid w:val="00F06867"/>
    <w:pPr>
      <w:spacing w:after="240"/>
    </w:pPr>
    <w:rPr>
      <w:i/>
    </w:rPr>
  </w:style>
  <w:style w:type="paragraph" w:customStyle="1" w:styleId="EPName">
    <w:name w:val="EPName"/>
    <w:basedOn w:val="Normal"/>
    <w:rsid w:val="00E856D2"/>
    <w:pPr>
      <w:spacing w:before="80" w:after="80"/>
    </w:pPr>
    <w:rPr>
      <w:rFonts w:ascii="Arial Narrow" w:hAnsi="Arial Narrow" w:cs="Arial"/>
      <w:b/>
      <w:sz w:val="32"/>
      <w:szCs w:val="22"/>
    </w:rPr>
  </w:style>
  <w:style w:type="paragraph" w:customStyle="1" w:styleId="CoverNormal24a">
    <w:name w:val="CoverNormal24a"/>
    <w:basedOn w:val="Normal"/>
    <w:rsid w:val="00B44AFC"/>
    <w:pPr>
      <w:spacing w:after="480"/>
      <w:ind w:left="1417"/>
    </w:pPr>
  </w:style>
  <w:style w:type="paragraph" w:customStyle="1" w:styleId="CoverNormal">
    <w:name w:val="CoverNormal"/>
    <w:basedOn w:val="Normal"/>
    <w:pPr>
      <w:ind w:left="1418"/>
    </w:pPr>
  </w:style>
  <w:style w:type="paragraph" w:styleId="Header">
    <w:name w:val="header"/>
    <w:basedOn w:val="Normal"/>
    <w:link w:val="HeaderChar"/>
    <w:semiHidden/>
    <w:rsid w:val="00B44AFC"/>
    <w:pPr>
      <w:tabs>
        <w:tab w:val="center" w:pos="4513"/>
        <w:tab w:val="right" w:pos="9026"/>
      </w:tabs>
    </w:pPr>
  </w:style>
  <w:style w:type="paragraph" w:customStyle="1" w:styleId="AmOrLang">
    <w:name w:val="AmOrLang"/>
    <w:basedOn w:val="Normal"/>
    <w:rsid w:val="008B277F"/>
    <w:pPr>
      <w:spacing w:before="240" w:after="240"/>
      <w:jc w:val="right"/>
    </w:pPr>
  </w:style>
  <w:style w:type="paragraph" w:customStyle="1" w:styleId="Normal6a">
    <w:name w:val="Normal6a"/>
    <w:basedOn w:val="Normal"/>
    <w:rsid w:val="008B277F"/>
    <w:pPr>
      <w:spacing w:after="120"/>
    </w:pPr>
  </w:style>
  <w:style w:type="paragraph" w:customStyle="1" w:styleId="CoverReference">
    <w:name w:val="CoverReference"/>
    <w:basedOn w:val="Normal"/>
    <w:rsid w:val="005D6988"/>
    <w:pPr>
      <w:spacing w:before="1080"/>
      <w:jc w:val="right"/>
    </w:pPr>
    <w:rPr>
      <w:rFonts w:ascii="Arial" w:hAnsi="Arial" w:cs="Arial"/>
      <w:b/>
    </w:rPr>
  </w:style>
  <w:style w:type="paragraph" w:customStyle="1" w:styleId="CoverDocType24a">
    <w:name w:val="CoverDocType24a"/>
    <w:basedOn w:val="Normal"/>
    <w:rsid w:val="00A23545"/>
    <w:pPr>
      <w:spacing w:after="480"/>
      <w:ind w:left="1418"/>
    </w:pPr>
    <w:rPr>
      <w:rFonts w:ascii="Arial" w:hAnsi="Arial"/>
      <w:b/>
      <w:sz w:val="48"/>
    </w:rPr>
  </w:style>
  <w:style w:type="paragraph" w:customStyle="1" w:styleId="CoverDate">
    <w:name w:val="CoverDate"/>
    <w:basedOn w:val="Normal"/>
    <w:pPr>
      <w:spacing w:before="240" w:after="1200"/>
    </w:pPr>
  </w:style>
  <w:style w:type="table" w:styleId="TableGrid">
    <w:name w:val="Table Grid"/>
    <w:basedOn w:val="TableNormal"/>
    <w:rsid w:val="001746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746D0"/>
    <w:pPr>
      <w:jc w:val="center"/>
    </w:pPr>
    <w:rPr>
      <w:rFonts w:ascii="Arial" w:hAnsi="Arial" w:cs="Arial"/>
      <w:i/>
      <w:sz w:val="22"/>
      <w:szCs w:val="22"/>
    </w:rPr>
  </w:style>
  <w:style w:type="paragraph" w:customStyle="1" w:styleId="LineTop">
    <w:name w:val="LineTop"/>
    <w:basedOn w:val="Normal"/>
    <w:next w:val="Normal"/>
    <w:rsid w:val="001746D0"/>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1746D0"/>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E856D2"/>
    <w:pPr>
      <w:spacing w:after="80"/>
    </w:pPr>
    <w:rPr>
      <w:rFonts w:ascii="Arial" w:hAnsi="Arial" w:cs="Arial"/>
      <w:sz w:val="20"/>
      <w:szCs w:val="22"/>
    </w:rPr>
  </w:style>
  <w:style w:type="paragraph" w:customStyle="1" w:styleId="EPLogo">
    <w:name w:val="EPLogo"/>
    <w:basedOn w:val="Normal"/>
    <w:qFormat/>
    <w:rsid w:val="00E856D2"/>
    <w:pPr>
      <w:jc w:val="right"/>
    </w:pPr>
  </w:style>
  <w:style w:type="paragraph" w:customStyle="1" w:styleId="NormalBold">
    <w:name w:val="NormalBold"/>
    <w:basedOn w:val="Normal"/>
    <w:rsid w:val="008B277F"/>
    <w:rPr>
      <w:b/>
    </w:rPr>
  </w:style>
  <w:style w:type="paragraph" w:customStyle="1" w:styleId="AmColumnHeading">
    <w:name w:val="AmColumnHeading"/>
    <w:basedOn w:val="Normal"/>
    <w:rsid w:val="008B277F"/>
    <w:pPr>
      <w:spacing w:after="240"/>
      <w:jc w:val="center"/>
    </w:pPr>
    <w:rPr>
      <w:i/>
    </w:rPr>
  </w:style>
  <w:style w:type="paragraph" w:customStyle="1" w:styleId="AmNumberTabs">
    <w:name w:val="AmNumberTabs"/>
    <w:basedOn w:val="Normal"/>
    <w:rsid w:val="008B277F"/>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8B277F"/>
    <w:pPr>
      <w:spacing w:before="240"/>
    </w:pPr>
    <w:rPr>
      <w:b/>
    </w:rPr>
  </w:style>
  <w:style w:type="paragraph" w:customStyle="1" w:styleId="AmCrossRef">
    <w:name w:val="AmCrossRef"/>
    <w:basedOn w:val="Normal"/>
    <w:rsid w:val="00DE4330"/>
    <w:pPr>
      <w:spacing w:before="240" w:after="240"/>
      <w:jc w:val="center"/>
    </w:pPr>
    <w:rPr>
      <w:i/>
    </w:rPr>
  </w:style>
  <w:style w:type="paragraph" w:customStyle="1" w:styleId="AmJustTitle">
    <w:name w:val="AmJustTitle"/>
    <w:basedOn w:val="Normal"/>
    <w:next w:val="AmJustText"/>
    <w:rsid w:val="00F06867"/>
    <w:pPr>
      <w:keepNext/>
      <w:spacing w:before="240" w:after="240"/>
      <w:jc w:val="center"/>
    </w:pPr>
    <w:rPr>
      <w:i/>
    </w:rPr>
  </w:style>
  <w:style w:type="paragraph" w:customStyle="1" w:styleId="EPFooter">
    <w:name w:val="EPFooter"/>
    <w:basedOn w:val="Normal"/>
    <w:rsid w:val="00A23545"/>
    <w:pPr>
      <w:tabs>
        <w:tab w:val="center" w:pos="4535"/>
        <w:tab w:val="right" w:pos="9071"/>
      </w:tabs>
      <w:spacing w:before="240" w:after="240"/>
    </w:pPr>
    <w:rPr>
      <w:sz w:val="22"/>
    </w:rPr>
  </w:style>
  <w:style w:type="character" w:customStyle="1" w:styleId="HeaderChar">
    <w:name w:val="Header Char"/>
    <w:basedOn w:val="DefaultParagraphFont"/>
    <w:link w:val="Header"/>
    <w:semiHidden/>
    <w:rsid w:val="00B44AFC"/>
    <w:rPr>
      <w:sz w:val="24"/>
    </w:rPr>
  </w:style>
  <w:style w:type="paragraph" w:customStyle="1" w:styleId="Arial14CentreBold">
    <w:name w:val="Arial14CentreBold"/>
    <w:basedOn w:val="Normal"/>
    <w:qFormat/>
    <w:rsid w:val="00DA7A40"/>
    <w:pPr>
      <w:jc w:val="center"/>
    </w:pPr>
    <w:rPr>
      <w:rFonts w:ascii="Arial" w:hAnsi="Arial"/>
      <w:b/>
      <w:sz w:val="28"/>
    </w:rPr>
  </w:style>
  <w:style w:type="character" w:customStyle="1" w:styleId="Bold">
    <w:name w:val="Bold"/>
    <w:uiPriority w:val="1"/>
    <w:rsid w:val="007E4DED"/>
    <w:rPr>
      <w:b/>
    </w:rPr>
  </w:style>
  <w:style w:type="character" w:customStyle="1" w:styleId="BoldItalic">
    <w:name w:val="BoldItalic"/>
    <w:uiPriority w:val="1"/>
    <w:rsid w:val="007E4DED"/>
    <w:rPr>
      <w:b/>
      <w:i/>
      <w:u w:val="none"/>
    </w:rPr>
  </w:style>
  <w:style w:type="paragraph" w:customStyle="1" w:styleId="CoverNormal12a">
    <w:name w:val="CoverNormal12a"/>
    <w:basedOn w:val="Normal"/>
    <w:rsid w:val="00DA7A40"/>
    <w:pPr>
      <w:spacing w:after="240"/>
      <w:ind w:left="1418"/>
    </w:pPr>
  </w:style>
  <w:style w:type="paragraph" w:customStyle="1" w:styleId="CoverDocType">
    <w:name w:val="CoverDocType"/>
    <w:basedOn w:val="Normal"/>
    <w:rsid w:val="00DA7A40"/>
    <w:pPr>
      <w:ind w:left="1418"/>
    </w:pPr>
    <w:rPr>
      <w:rFonts w:ascii="Arial" w:hAnsi="Arial"/>
      <w:b/>
      <w:sz w:val="48"/>
    </w:rPr>
  </w:style>
  <w:style w:type="paragraph" w:customStyle="1" w:styleId="EPFooter2Landscape">
    <w:name w:val="EPFooter2Landscape"/>
    <w:qFormat/>
    <w:rsid w:val="00DA7A40"/>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E04FE2"/>
    <w:rPr>
      <w:rFonts w:ascii="Arial" w:hAnsi="Arial"/>
      <w:b/>
      <w:i/>
      <w:color w:val="C0C0C0"/>
      <w:sz w:val="22"/>
    </w:rPr>
  </w:style>
  <w:style w:type="paragraph" w:customStyle="1" w:styleId="EPFooterLandscape">
    <w:name w:val="EPFooterLandscape"/>
    <w:qFormat/>
    <w:rsid w:val="00DA7A40"/>
    <w:pPr>
      <w:tabs>
        <w:tab w:val="center" w:pos="6804"/>
        <w:tab w:val="right" w:pos="15026"/>
      </w:tabs>
    </w:pPr>
    <w:rPr>
      <w:sz w:val="22"/>
    </w:rPr>
  </w:style>
  <w:style w:type="character" w:customStyle="1" w:styleId="Italic">
    <w:name w:val="Italic"/>
    <w:uiPriority w:val="1"/>
    <w:rsid w:val="007E4DED"/>
    <w:rPr>
      <w:i/>
    </w:rPr>
  </w:style>
  <w:style w:type="paragraph" w:customStyle="1" w:styleId="ProcedureTable">
    <w:name w:val="ProcedureTable"/>
    <w:basedOn w:val="Normal"/>
    <w:rsid w:val="000203F7"/>
    <w:rPr>
      <w:sz w:val="20"/>
    </w:rPr>
  </w:style>
  <w:style w:type="paragraph" w:customStyle="1" w:styleId="ProcedureTableBold">
    <w:name w:val="ProcedureTableBold"/>
    <w:basedOn w:val="Normal"/>
    <w:rsid w:val="000203F7"/>
    <w:rPr>
      <w:b/>
      <w:sz w:val="20"/>
    </w:rPr>
  </w:style>
  <w:style w:type="paragraph" w:customStyle="1" w:styleId="NormalCenter">
    <w:name w:val="NormalCenter"/>
    <w:basedOn w:val="Normal"/>
    <w:rsid w:val="007417D2"/>
    <w:pPr>
      <w:jc w:val="center"/>
    </w:pPr>
  </w:style>
  <w:style w:type="paragraph" w:customStyle="1" w:styleId="Normal12a12b">
    <w:name w:val="Normal12a12b"/>
    <w:basedOn w:val="Normal"/>
    <w:rsid w:val="00DA7A40"/>
    <w:pPr>
      <w:spacing w:before="240" w:after="240"/>
    </w:pPr>
  </w:style>
  <w:style w:type="character" w:customStyle="1" w:styleId="NormalBI">
    <w:name w:val="NormalBI"/>
    <w:basedOn w:val="DefaultParagraphFont"/>
    <w:uiPriority w:val="1"/>
    <w:qFormat/>
    <w:rsid w:val="001659AC"/>
    <w:rPr>
      <w:rFonts w:ascii="Times New Roman" w:hAnsi="Times New Roman"/>
      <w:b/>
      <w:i/>
      <w:sz w:val="24"/>
    </w:rPr>
  </w:style>
  <w:style w:type="paragraph" w:customStyle="1" w:styleId="Normal12aBullet1">
    <w:name w:val="Normal12aBullet1"/>
    <w:basedOn w:val="Normal12a"/>
    <w:qFormat/>
    <w:rsid w:val="00DA7A40"/>
    <w:pPr>
      <w:numPr>
        <w:numId w:val="1"/>
      </w:numPr>
    </w:pPr>
  </w:style>
  <w:style w:type="paragraph" w:customStyle="1" w:styleId="NormalHanging12a1">
    <w:name w:val="NormalHanging12a1"/>
    <w:basedOn w:val="Normal"/>
    <w:qFormat/>
    <w:rsid w:val="006400BF"/>
    <w:pPr>
      <w:spacing w:after="240"/>
      <w:ind w:left="992" w:hanging="425"/>
    </w:pPr>
  </w:style>
  <w:style w:type="paragraph" w:customStyle="1" w:styleId="NormalHanging12a2">
    <w:name w:val="NormalHanging12a2"/>
    <w:basedOn w:val="Normal"/>
    <w:qFormat/>
    <w:rsid w:val="00DA7A40"/>
    <w:pPr>
      <w:spacing w:after="240"/>
      <w:ind w:left="1417" w:hanging="425"/>
    </w:pPr>
  </w:style>
  <w:style w:type="paragraph" w:customStyle="1" w:styleId="NormalHanging12a3">
    <w:name w:val="NormalHanging12a3"/>
    <w:basedOn w:val="NormalHanging12a2"/>
    <w:qFormat/>
    <w:rsid w:val="00DA7A40"/>
    <w:pPr>
      <w:ind w:left="1843"/>
    </w:pPr>
  </w:style>
  <w:style w:type="paragraph" w:customStyle="1" w:styleId="NormalHanging12a4">
    <w:name w:val="NormalHanging12a4"/>
    <w:basedOn w:val="NormalHanging12a3"/>
    <w:qFormat/>
    <w:rsid w:val="00DA7A40"/>
    <w:pPr>
      <w:ind w:left="2268"/>
    </w:pPr>
  </w:style>
  <w:style w:type="paragraph" w:customStyle="1" w:styleId="NormalHanging12a5">
    <w:name w:val="NormalHanging12a5"/>
    <w:basedOn w:val="NormalHanging12a4"/>
    <w:qFormat/>
    <w:rsid w:val="00DA7A40"/>
    <w:pPr>
      <w:ind w:left="2693"/>
    </w:pPr>
  </w:style>
  <w:style w:type="paragraph" w:customStyle="1" w:styleId="NormalHanging12a6">
    <w:name w:val="NormalHanging12a6"/>
    <w:basedOn w:val="NormalHanging12a5"/>
    <w:qFormat/>
    <w:rsid w:val="00DA7A40"/>
    <w:pPr>
      <w:ind w:left="3118"/>
    </w:pPr>
  </w:style>
  <w:style w:type="paragraph" w:customStyle="1" w:styleId="NormalHanging12a7">
    <w:name w:val="NormalHanging12a7"/>
    <w:basedOn w:val="NormalHanging12a6"/>
    <w:qFormat/>
    <w:rsid w:val="00DA7A40"/>
    <w:pPr>
      <w:ind w:left="3544"/>
    </w:pPr>
  </w:style>
  <w:style w:type="paragraph" w:customStyle="1" w:styleId="NormalHanging12a8">
    <w:name w:val="NormalHanging12a8"/>
    <w:basedOn w:val="NormalHanging12a7"/>
    <w:qFormat/>
    <w:rsid w:val="00DA7A40"/>
    <w:pPr>
      <w:ind w:left="3969"/>
    </w:pPr>
  </w:style>
  <w:style w:type="paragraph" w:customStyle="1" w:styleId="Normal12HangingCenter">
    <w:name w:val="Normal12HangingCenter"/>
    <w:basedOn w:val="Normal"/>
    <w:qFormat/>
    <w:rsid w:val="00DA7A40"/>
    <w:pPr>
      <w:spacing w:after="240"/>
      <w:ind w:left="567" w:hanging="567"/>
      <w:jc w:val="center"/>
    </w:pPr>
  </w:style>
  <w:style w:type="paragraph" w:customStyle="1" w:styleId="Normal12HangingJustified">
    <w:name w:val="Normal12HangingJustified"/>
    <w:basedOn w:val="Normal"/>
    <w:qFormat/>
    <w:rsid w:val="00DA7A40"/>
    <w:pPr>
      <w:spacing w:after="240"/>
      <w:ind w:left="714" w:hanging="357"/>
      <w:jc w:val="both"/>
    </w:pPr>
  </w:style>
  <w:style w:type="paragraph" w:customStyle="1" w:styleId="Normal2">
    <w:name w:val="Normal2"/>
    <w:next w:val="Normal"/>
    <w:qFormat/>
    <w:rsid w:val="00DA7A40"/>
    <w:pPr>
      <w:spacing w:line="120" w:lineRule="auto"/>
    </w:pPr>
    <w:rPr>
      <w:color w:val="000000"/>
      <w:sz w:val="4"/>
      <w:szCs w:val="24"/>
    </w:rPr>
  </w:style>
  <w:style w:type="paragraph" w:customStyle="1" w:styleId="NormalBoldCenter">
    <w:name w:val="NormalBoldCenter"/>
    <w:basedOn w:val="Normal"/>
    <w:rsid w:val="00DA7A40"/>
    <w:pPr>
      <w:jc w:val="center"/>
    </w:pPr>
    <w:rPr>
      <w:b/>
    </w:rPr>
  </w:style>
  <w:style w:type="paragraph" w:customStyle="1" w:styleId="NormalBoldItalic6a">
    <w:name w:val="NormalBoldItalic6a"/>
    <w:basedOn w:val="Normal6a"/>
    <w:qFormat/>
    <w:rsid w:val="00DA7A40"/>
    <w:rPr>
      <w:b/>
      <w:i/>
    </w:rPr>
  </w:style>
  <w:style w:type="paragraph" w:customStyle="1" w:styleId="NormalBoldItalicCenter6a">
    <w:name w:val="NormalBoldItalicCenter6a"/>
    <w:basedOn w:val="Normal6a"/>
    <w:qFormat/>
    <w:rsid w:val="00DA7A40"/>
    <w:pPr>
      <w:jc w:val="center"/>
    </w:pPr>
    <w:rPr>
      <w:b/>
      <w:i/>
    </w:rPr>
  </w:style>
  <w:style w:type="paragraph" w:customStyle="1" w:styleId="NormalItalic6a">
    <w:name w:val="NormalItalic6a"/>
    <w:basedOn w:val="Normal6a"/>
    <w:qFormat/>
    <w:rsid w:val="00DA7A40"/>
    <w:rPr>
      <w:i/>
    </w:rPr>
  </w:style>
  <w:style w:type="character" w:customStyle="1" w:styleId="Sub">
    <w:name w:val="Sub"/>
    <w:uiPriority w:val="1"/>
    <w:qFormat/>
    <w:rsid w:val="007E4DED"/>
    <w:rPr>
      <w:vertAlign w:val="subscript"/>
    </w:rPr>
  </w:style>
  <w:style w:type="character" w:customStyle="1" w:styleId="SubBold">
    <w:name w:val="SubBold"/>
    <w:uiPriority w:val="1"/>
    <w:qFormat/>
    <w:rsid w:val="007E4DED"/>
    <w:rPr>
      <w:b/>
      <w:vertAlign w:val="subscript"/>
    </w:rPr>
  </w:style>
  <w:style w:type="character" w:customStyle="1" w:styleId="SubBoldItalic">
    <w:name w:val="SubBoldItalic"/>
    <w:uiPriority w:val="1"/>
    <w:rsid w:val="007E4DED"/>
    <w:rPr>
      <w:b/>
      <w:i/>
      <w:vertAlign w:val="subscript"/>
    </w:rPr>
  </w:style>
  <w:style w:type="character" w:customStyle="1" w:styleId="SubItalic">
    <w:name w:val="SubItalic"/>
    <w:uiPriority w:val="1"/>
    <w:qFormat/>
    <w:rsid w:val="007E4DED"/>
    <w:rPr>
      <w:b/>
      <w:i/>
      <w:vertAlign w:val="subscript"/>
    </w:rPr>
  </w:style>
  <w:style w:type="character" w:customStyle="1" w:styleId="Sup">
    <w:name w:val="Sup"/>
    <w:uiPriority w:val="1"/>
    <w:rsid w:val="007E4DED"/>
    <w:rPr>
      <w:vertAlign w:val="superscript"/>
    </w:rPr>
  </w:style>
  <w:style w:type="character" w:customStyle="1" w:styleId="SupBoldItalic">
    <w:name w:val="SupBoldItalic"/>
    <w:uiPriority w:val="1"/>
    <w:qFormat/>
    <w:rsid w:val="007E4DED"/>
    <w:rPr>
      <w:b/>
      <w:i/>
      <w:vertAlign w:val="superscript"/>
    </w:rPr>
  </w:style>
  <w:style w:type="paragraph" w:customStyle="1" w:styleId="PageHeading">
    <w:name w:val="PageHeading"/>
    <w:basedOn w:val="Normal12a12b"/>
    <w:rsid w:val="00DA7A40"/>
    <w:pPr>
      <w:keepNext/>
      <w:jc w:val="center"/>
    </w:pPr>
    <w:rPr>
      <w:rFonts w:ascii="Arial" w:hAnsi="Arial"/>
      <w:b/>
    </w:rPr>
  </w:style>
  <w:style w:type="paragraph" w:customStyle="1" w:styleId="Olang">
    <w:name w:val="Olang"/>
    <w:basedOn w:val="Normal"/>
    <w:rsid w:val="00DA7A40"/>
    <w:pPr>
      <w:spacing w:before="240" w:after="240"/>
      <w:jc w:val="right"/>
    </w:pPr>
    <w:rPr>
      <w:noProof/>
    </w:rPr>
  </w:style>
  <w:style w:type="paragraph" w:customStyle="1" w:styleId="TOCPage">
    <w:name w:val="TOC Page"/>
    <w:basedOn w:val="Normal12a"/>
    <w:next w:val="TOC1"/>
    <w:rsid w:val="00DA7A40"/>
    <w:pPr>
      <w:keepNext/>
      <w:jc w:val="right"/>
    </w:pPr>
    <w:rPr>
      <w:rFonts w:ascii="Arial" w:hAnsi="Arial"/>
      <w:b/>
    </w:rPr>
  </w:style>
  <w:style w:type="character" w:customStyle="1" w:styleId="Underline">
    <w:name w:val="Underline"/>
    <w:uiPriority w:val="1"/>
    <w:rsid w:val="007E4DED"/>
    <w:rPr>
      <w:u w:val="single"/>
    </w:rPr>
  </w:style>
  <w:style w:type="character" w:customStyle="1" w:styleId="HideTermComment">
    <w:name w:val="HideTermComment"/>
    <w:uiPriority w:val="1"/>
    <w:qFormat/>
    <w:rsid w:val="0046408C"/>
    <w:rPr>
      <w:rFonts w:ascii="Arial" w:hAnsi="Arial"/>
      <w:vanish/>
      <w:color w:val="0066CC"/>
      <w:sz w:val="18"/>
    </w:rPr>
  </w:style>
  <w:style w:type="character" w:customStyle="1" w:styleId="HideTerminTermComment">
    <w:name w:val="HideTerminTermComment"/>
    <w:basedOn w:val="HideTermComment"/>
    <w:uiPriority w:val="1"/>
    <w:qFormat/>
    <w:rsid w:val="0046408C"/>
    <w:rPr>
      <w:rFonts w:ascii="Arial" w:hAnsi="Arial"/>
      <w:vanish/>
      <w:color w:val="538135" w:themeColor="accent6" w:themeShade="BF"/>
      <w:sz w:val="18"/>
    </w:rPr>
  </w:style>
  <w:style w:type="paragraph" w:customStyle="1" w:styleId="NormalCenter12a">
    <w:name w:val="NormalCenter12a"/>
    <w:basedOn w:val="Normal"/>
    <w:rsid w:val="00975932"/>
    <w:pPr>
      <w:spacing w:after="240"/>
      <w:jc w:val="center"/>
    </w:pPr>
  </w:style>
  <w:style w:type="paragraph" w:customStyle="1" w:styleId="NormalHanging12a">
    <w:name w:val="NormalHanging12a"/>
    <w:basedOn w:val="Normal"/>
    <w:rsid w:val="00160E3B"/>
    <w:pPr>
      <w:spacing w:after="240"/>
      <w:ind w:left="567" w:hanging="567"/>
    </w:pPr>
  </w:style>
  <w:style w:type="paragraph" w:customStyle="1" w:styleId="Subheading">
    <w:name w:val="Subheading"/>
    <w:basedOn w:val="Normal"/>
    <w:rsid w:val="00312D68"/>
    <w:pPr>
      <w:spacing w:before="480" w:after="240"/>
    </w:pPr>
    <w:rPr>
      <w:b/>
      <w:i/>
      <w:szCs w:val="24"/>
    </w:rPr>
  </w:style>
  <w:style w:type="character" w:customStyle="1" w:styleId="BoldItalicUnderline">
    <w:name w:val="BoldItalicUnderline"/>
    <w:uiPriority w:val="1"/>
    <w:rsid w:val="007E4DED"/>
    <w:rPr>
      <w:b/>
      <w:i/>
      <w:u w:val="single"/>
    </w:rPr>
  </w:style>
  <w:style w:type="character" w:customStyle="1" w:styleId="BoldUnderline">
    <w:name w:val="BoldUnderline"/>
    <w:uiPriority w:val="1"/>
    <w:rsid w:val="007E4DED"/>
    <w:rPr>
      <w:b/>
      <w:u w:val="single"/>
    </w:rPr>
  </w:style>
  <w:style w:type="character" w:customStyle="1" w:styleId="ItalicUnderline">
    <w:name w:val="ItalicUnderline"/>
    <w:uiPriority w:val="1"/>
    <w:rsid w:val="007E4DED"/>
    <w:rPr>
      <w:i/>
      <w:u w:val="single"/>
    </w:rPr>
  </w:style>
  <w:style w:type="character" w:customStyle="1" w:styleId="SubBoldItalicUnderline">
    <w:name w:val="SubBoldItalicUnderline"/>
    <w:uiPriority w:val="1"/>
    <w:rsid w:val="007E4DED"/>
    <w:rPr>
      <w:b/>
      <w:i/>
      <w:u w:val="single"/>
      <w:vertAlign w:val="subscript"/>
    </w:rPr>
  </w:style>
  <w:style w:type="character" w:customStyle="1" w:styleId="SubBoldUnderline">
    <w:name w:val="SubBoldUnderline"/>
    <w:uiPriority w:val="1"/>
    <w:rsid w:val="007E4DED"/>
    <w:rPr>
      <w:b/>
      <w:u w:val="single"/>
      <w:vertAlign w:val="subscript"/>
    </w:rPr>
  </w:style>
  <w:style w:type="character" w:customStyle="1" w:styleId="SubItalicUnderline">
    <w:name w:val="SubItalicUnderline"/>
    <w:uiPriority w:val="1"/>
    <w:rsid w:val="007E4DED"/>
    <w:rPr>
      <w:i/>
      <w:u w:val="single"/>
      <w:vertAlign w:val="subscript"/>
    </w:rPr>
  </w:style>
  <w:style w:type="character" w:customStyle="1" w:styleId="SubUnderline">
    <w:name w:val="SubUnderline"/>
    <w:uiPriority w:val="1"/>
    <w:rsid w:val="007E4DED"/>
    <w:rPr>
      <w:u w:val="single"/>
      <w:vertAlign w:val="subscript"/>
    </w:rPr>
  </w:style>
  <w:style w:type="character" w:customStyle="1" w:styleId="SupBold">
    <w:name w:val="SupBold"/>
    <w:uiPriority w:val="1"/>
    <w:rsid w:val="007E4DED"/>
    <w:rPr>
      <w:b/>
      <w:vertAlign w:val="superscript"/>
    </w:rPr>
  </w:style>
  <w:style w:type="character" w:customStyle="1" w:styleId="SupBoldItalicUnderline">
    <w:name w:val="SupBoldItalicUnderline"/>
    <w:uiPriority w:val="1"/>
    <w:rsid w:val="007E4DED"/>
    <w:rPr>
      <w:b/>
      <w:i/>
      <w:u w:val="single"/>
      <w:vertAlign w:val="superscript"/>
    </w:rPr>
  </w:style>
  <w:style w:type="character" w:customStyle="1" w:styleId="SupBoldUnderline">
    <w:name w:val="SupBoldUnderline"/>
    <w:uiPriority w:val="1"/>
    <w:rsid w:val="007E4DED"/>
    <w:rPr>
      <w:b/>
      <w:u w:val="single"/>
      <w:vertAlign w:val="superscript"/>
    </w:rPr>
  </w:style>
  <w:style w:type="character" w:customStyle="1" w:styleId="SupItalic">
    <w:name w:val="SupItalic"/>
    <w:uiPriority w:val="1"/>
    <w:rsid w:val="007E4DED"/>
    <w:rPr>
      <w:i/>
      <w:vertAlign w:val="superscript"/>
    </w:rPr>
  </w:style>
  <w:style w:type="character" w:customStyle="1" w:styleId="SupItalicUnderline">
    <w:name w:val="SupItalicUnderline"/>
    <w:uiPriority w:val="1"/>
    <w:rsid w:val="007E4DED"/>
    <w:rPr>
      <w:i/>
      <w:u w:val="single"/>
      <w:vertAlign w:val="superscript"/>
    </w:rPr>
  </w:style>
  <w:style w:type="character" w:customStyle="1" w:styleId="SupUnderline">
    <w:name w:val="SupUnderline"/>
    <w:uiPriority w:val="1"/>
    <w:rsid w:val="007E4DED"/>
    <w:rPr>
      <w:u w:val="single"/>
      <w:vertAlign w:val="superscript"/>
    </w:rPr>
  </w:style>
  <w:style w:type="paragraph" w:customStyle="1" w:styleId="NormalTab">
    <w:name w:val="NormalTab"/>
    <w:basedOn w:val="Normal"/>
    <w:rsid w:val="006B7F7C"/>
    <w:pPr>
      <w:tabs>
        <w:tab w:val="center" w:pos="284"/>
        <w:tab w:val="left" w:pos="425"/>
      </w:tabs>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42</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LT</vt:lpwstr>
  </property>
  <property fmtid="{D5CDD505-2E9C-101B-9397-08002B2CF9AE}" pid="3" name="&lt;FdR&gt;">
    <vt:lpwstr>1321310</vt:lpwstr>
  </property>
  <property fmtid="{D5CDD505-2E9C-101B-9397-08002B2CF9AE}" pid="4" name="&lt;Model&gt;">
    <vt:lpwstr>PA_NonLeg</vt:lpwstr>
  </property>
  <property fmtid="{D5CDD505-2E9C-101B-9397-08002B2CF9AE}" pid="5" name="&lt;Type&gt;">
    <vt:lpwstr>AD</vt:lpwstr>
  </property>
  <property fmtid="{D5CDD505-2E9C-101B-9397-08002B2CF9AE}" pid="6" name="DMXMLUID">
    <vt:lpwstr>20250611-154403-000872-192142</vt:lpwstr>
  </property>
  <property fmtid="{D5CDD505-2E9C-101B-9397-08002B2CF9AE}" pid="7" name="FooterPath">
    <vt:lpwstr>AD\1321310LT.doc</vt:lpwstr>
  </property>
  <property fmtid="{D5CDD505-2E9C-101B-9397-08002B2CF9AE}" pid="8" name="PE Number">
    <vt:lpwstr>770.238</vt:lpwstr>
  </property>
  <property fmtid="{D5CDD505-2E9C-101B-9397-08002B2CF9AE}" pid="9" name="UID">
    <vt:lpwstr>eu.europa.europarl-DIN1-2025-0000107752_01.09-lt-01.00_text-xml</vt:lpwstr>
  </property>
</Properties>
</file>