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Eiropas Parlaments</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Sieviešu tiesību un dzimumu līdztiesības komiteja</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2025/2014</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26/05/2025</w:t>
      </w:r>
      <w:r>
        <w:rPr>
          <w:rStyle w:val="HideTWBInt"/>
        </w:rPr>
        <w:t>}</w:t>
      </w:r>
      <w:r>
        <w:t>26.05.2025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ATZINUMS</w:t>
      </w:r>
      <w:r>
        <w:rPr>
          <w:rStyle w:val="HideTWBExt"/>
        </w:rPr>
        <w:t>&lt;/</w:t>
      </w:r>
      <w:r>
        <w:rPr>
          <w:rStyle w:val="HideTWBExt"/>
        </w:rPr>
        <w:t>TitreType</w:t>
      </w:r>
      <w:r>
        <w:rPr>
          <w:rStyle w:val="HideTWBExt"/>
        </w:rPr>
        <w:t>&gt;</w:t>
      </w:r>
    </w:p>
    <w:p>
      <w:pPr>
        <w:pStyle w:val="CoverNormal24a"/>
      </w:pPr>
      <w:r>
        <w:rPr>
          <w:rStyle w:val="HideTWBExt"/>
        </w:rPr>
        <w:t>&lt;</w:t>
      </w:r>
      <w:r>
        <w:rPr>
          <w:rStyle w:val="HideTWBExt"/>
        </w:rPr>
        <w:t>CommissionResp</w:t>
      </w:r>
      <w:r>
        <w:rPr>
          <w:rStyle w:val="HideTWBExt"/>
        </w:rPr>
        <w:t>&gt;</w:t>
      </w:r>
      <w:r>
        <w:t>Sniegusi Sieviešu tiesību un dzimumu līdztiesības komiteja</w:t>
      </w:r>
      <w:r>
        <w:rPr>
          <w:rStyle w:val="HideTWBExt"/>
        </w:rPr>
        <w:t>&lt;/</w:t>
      </w:r>
      <w:r>
        <w:rPr>
          <w:rStyle w:val="HideTWBExt"/>
        </w:rPr>
        <w:t>CommissionResp</w:t>
      </w:r>
      <w:r>
        <w:rPr>
          <w:rStyle w:val="HideTWBExt"/>
        </w:rPr>
        <w:t>&gt;</w:t>
      </w:r>
    </w:p>
    <w:p>
      <w:pPr>
        <w:pStyle w:val="CoverNormal24a"/>
      </w:pPr>
      <w:r>
        <w:rPr>
          <w:rStyle w:val="HideTWBExt"/>
        </w:rPr>
        <w:t>&lt;</w:t>
      </w:r>
      <w:r>
        <w:rPr>
          <w:rStyle w:val="HideTWBExt"/>
        </w:rPr>
        <w:t>CommissionInt</w:t>
      </w:r>
      <w:r>
        <w:rPr>
          <w:rStyle w:val="HideTWBExt"/>
        </w:rPr>
        <w:t>&gt;</w:t>
      </w:r>
      <w:r>
        <w:t>Attīstības komitejai un Vides, klimata un pārtikas nekaitīguma komitejai</w:t>
      </w:r>
      <w:r>
        <w:rPr>
          <w:rStyle w:val="HideTWBExt"/>
        </w:rPr>
        <w:t>&lt;/</w:t>
      </w:r>
      <w:r>
        <w:rPr>
          <w:rStyle w:val="HideTWBExt"/>
        </w:rPr>
        <w:t>CommissionInt</w:t>
      </w:r>
      <w:r>
        <w:rPr>
          <w:rStyle w:val="HideTWBExt"/>
        </w:rPr>
        <w:t>&gt;</w:t>
      </w:r>
    </w:p>
    <w:p>
      <w:pPr>
        <w:pStyle w:val="CoverNormal"/>
      </w:pPr>
      <w:r>
        <w:rPr>
          <w:rStyle w:val="HideTWBExt"/>
        </w:rPr>
        <w:t>&lt;</w:t>
      </w:r>
      <w:r>
        <w:rPr>
          <w:rStyle w:val="HideTWBExt"/>
        </w:rPr>
        <w:t>Titre</w:t>
      </w:r>
      <w:r>
        <w:rPr>
          <w:rStyle w:val="HideTWBExt"/>
        </w:rPr>
        <w:t>&gt;</w:t>
      </w:r>
      <w:r>
        <w:t>par ilgtspējīgas attīstības mērķu īstenošanu un izpildi 2025. gadā gaidāmā Augsta līmeņa politiskā foruma kontekstā</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(2025/2014(INI))</w:t>
      </w:r>
      <w:r>
        <w:rPr>
          <w:rStyle w:val="HideTWBExt"/>
        </w:rPr>
        <w:t>&lt;/</w:t>
      </w:r>
      <w:r>
        <w:rPr>
          <w:rStyle w:val="HideTWBExt"/>
        </w:rPr>
        <w:t>DocRef</w:t>
      </w:r>
      <w:r>
        <w:rPr>
          <w:rStyle w:val="HideTWBExt"/>
        </w:rPr>
        <w:t>&gt;</w:t>
      </w:r>
    </w:p>
    <w:p>
      <w:pPr>
        <w:pStyle w:val="CoverNormal24a"/>
      </w:pPr>
      <w:r>
        <w:t>Atzinuma sagatavotāja</w:t>
      </w:r>
      <w:r>
        <w:t xml:space="preserve">: </w:t>
      </w:r>
      <w:r>
        <w:rPr>
          <w:rStyle w:val="HideTWBExt"/>
        </w:rPr>
        <w:t>&lt;</w:t>
      </w:r>
      <w:r>
        <w:rPr>
          <w:rStyle w:val="HideTWBExt"/>
        </w:rPr>
        <w:t>Depute</w:t>
      </w:r>
      <w:r>
        <w:rPr>
          <w:rStyle w:val="HideTWBExt"/>
        </w:rPr>
        <w:t>&gt;</w:t>
      </w:r>
      <w:r>
        <w:t>Lina Gálvez</w:t>
      </w:r>
      <w:r>
        <w:rPr>
          <w:rStyle w:val="HideTWBExt"/>
        </w:rPr>
        <w:t>&lt;/</w:t>
      </w:r>
      <w:r>
        <w:rPr>
          <w:rStyle w:val="HideTWBExt"/>
        </w:rPr>
        <w:t>Depute</w:t>
      </w:r>
      <w:r>
        <w:rPr>
          <w:rStyle w:val="HideTWBExt"/>
        </w:rPr>
        <w:t>&gt;</w:t>
      </w:r>
    </w:p>
    <w:p>
      <w:r>
        <w:br w:type="page"/>
      </w:r>
      <w:r>
        <w:t>PA_NonLeg</w:t>
      </w:r>
    </w:p>
    <w:p>
      <w:pPr>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pPr>
    </w:p>
    <w:p>
      <w:pPr>
        <w:pStyle w:val="PageHeadingNotTOC"/>
      </w:pPr>
      <w:r>
        <w:t>GROZĪJUMI Nr.</w:t>
      </w:r>
    </w:p>
    <w:p>
      <w:pPr>
        <w:pStyle w:val="Normal12a"/>
      </w:pPr>
      <w:r>
        <w:t>Sieviešu tiesību un dzimumu līdztiesības komiteja</w:t>
      </w:r>
      <w:r>
        <w:t xml:space="preserve"> </w:t>
      </w:r>
      <w:r>
        <w:t>iesniedz par jautājumu atbildīgajai Attīstības komitejai un Vides, klimata un pārtikas nekaitīguma komitejai turpmāk minēto</w:t>
      </w:r>
      <w:r>
        <w:t>:</w:t>
      </w:r>
    </w:p>
    <w:p>
      <w:pPr>
        <w:pStyle w:val="AmNumberTabs"/>
      </w:pPr>
      <w:r>
        <w:rPr>
          <w:rStyle w:val="HideTWBExt"/>
        </w:rPr>
        <w:t>&lt;</w:t>
      </w:r>
      <w:r>
        <w:rPr>
          <w:rStyle w:val="HideTWBExt"/>
        </w:rPr>
        <w:t>RepeatBlock-Amend</w:t>
      </w:r>
      <w:r>
        <w:rPr>
          <w:rStyle w:val="HideTWBExt"/>
        </w:rPr>
        <w:t>&gt;</w:t>
      </w: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t>ņemot vērā Parlamenta 2021. gada 24. jūnija rezolūciju par seksuālās un reproduktīvās veselības un tiesību uz to stāvokli Eiropas Savienībā sieviešu veselības kontekstā</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OV C 81, 18.2.2022., 43. lpp.</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t>ņemot vērā 2024. gada 11. aprīļa rezolūciju par grūtniecības pārtraukšanas tiesību iekļaušanu ES Pamattiesību hartā</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OV C, C/2025/1279, 13.3.2025., ELI: http://data.europa.eu/eli/C/2025/1279/oj.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Komisijas ES Sieviešu tiesību ceļvedi,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1994. gadā Kairā notikušo Starptautisko konferenci par iedzīvotājiem un attīstību, tās rīcības programmu un pārskatīšanas konferenču rezultātus,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2015. gada Pekinas deklarāciju un Rīcības platformu un tās pārskatīšanas konferenču rezultātus,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koalīcijas “Equal Measures 2030” ziņojumu “Secinājumi no 2024. gada IAM dzimumu indeksa — dzimumlīdztiesīgas nākotnes krīze?”,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UN Women, ANO Attīstības programmas, ANO Iedzīvotāju fonda (UNFPA), UNICEF un Pasaules Pārtikas programmas 2024. gada kopīgo ziņojumu “Vai mēs to sasniedzam? ANO novērtējumu kopsavilkums par 5. IAM”,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Pārtikas un lauksaimniecības organizācijas 2015. gada “Brīvprātīgās vadlīnijas par ilgtspējīgas mazapjoma zvejas saglabāšanu pārtikas nodrošinājuma un nabadzības izskaušanas kontekstā”, tostarp 8. nodaļu par dzimumu līdztiesību un vienlīdzību,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31.a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t>ņemot vērā 2024. gada 19. decembra ieteikumu Padomei saistībā ar ES prioritātēm ANO Sieviešu statusa komisijas 69. sesijā</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OV C, C/2025/1971, 11.4.2025., ELI: http://data.europa.eu/eli/C/2025/1971/oj.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55.a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Komisijas 2024. gada marta ziņojumu “Devītais ziņojums par ekonomisko, sociālo un teritoriālo kohēziju”,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55.b norāde (jauna)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ņemot vērā Eiropas Dzimumu līdztiesības institūta ziņojumu “Dzimumu līdztiesības ziņojumi par 2023. gadu. Virzība uz zaļo pārkārtošanos transporta un enerģētikas jomā”,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tā kā saskaņā ar 2024. gada globālo miera indeksu vidējais globālās miermīlības līmenis ir pazeminājies par 0,56 %, kas ir piektais gads pēc kārtas ar stāvokļa pasliktināšanos; tā kā, ņemot vērā šo tendenci, 16. IAM būtu jāiekļauj padziļinātā pārskatā, lai risinātu pieaugošās problēmas ar mieru un drošību visā pasaulē;</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Bb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Bb.</w:t>
            </w:r>
            <w:r>
              <w:tab/>
            </w:r>
            <w:r>
              <w:rPr>
                <w:b/>
                <w:i/>
                <w:strike w:val="0"/>
                <w:color w:val="auto"/>
                <w:highlight w:val="none"/>
                <w:u w:val="none" w:color="auto"/>
                <w:vertAlign w:val="baseline"/>
              </w:rPr>
              <w:t>tā kā aizvien pieaugošā cilvēktirdzniecības izplatība joprojām ir būtisks drauds globālajam mieram un drošībai; tā kā starptautiskās sadarbības un izpildes mehānismu stiprināšana saskaņā ar 16. IAM ir būtiska cilvēktirdzniecības tīklu apkarošanai, cietušo aizsardzībai un cilvēktiesību ievērošanai;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 apsvērums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tā kā patlaban ilgtspējīgas attīstības mērķu īstenošanai ik gadu trūkst 4 triljonu USD ieguldījumu; tā kā augstais parāda līmenis valstīs ar zemiem un vidējiem ienākumiem ir šķērslis ieguldījumiem, kas vajadzīgi IAM sasniegšanai,</w:t>
            </w:r>
          </w:p>
        </w:tc>
        <w:tc>
          <w:tcPr>
            <w:tcW w:w="4876" w:type="dxa"/>
            <w:vAlign w:val="top"/>
          </w:tcPr>
          <w:p>
            <w:pPr>
              <w:pStyle w:val="Normal6a"/>
            </w:pPr>
            <w:r>
              <w:t>C.</w:t>
            </w:r>
            <w:r>
              <w:tab/>
            </w:r>
            <w:r>
              <w:t>tā kā patlaban ilgtspējīgas attīstības mērķu īstenošanai ik gadu trūkst 4 triljonu USD ieguldījumu; tā kā augstais parāda līmenis valstīs ar zemiem un vidējiem ienākumiem</w:t>
            </w:r>
            <w:r>
              <w:t>, ko veicina dažu finanšu iestāžu programmas,</w:t>
            </w:r>
            <w:r>
              <w:t xml:space="preserve"> ir šķērslis ieguldījumiem, kas vajadzīgi IAM sasniegšanai,</w:t>
            </w:r>
            <w:r>
              <w:rPr>
                <w:b/>
                <w:i/>
                <w:strike w:val="0"/>
                <w:color w:val="auto"/>
                <w:highlight w:val="none"/>
                <w:u w:val="none" w:color="auto"/>
                <w:vertAlign w:val="baseline"/>
              </w:rPr>
              <w:t xml:space="preserve"> tā kā tas ir saistīts arī ar nabadzības līmeņa paaugstināšanos; tā kā sievietes un meitenes visā pasaulē nesamērīgi skar nabadzība, humanitārās krīzes, klimata pārmaiņas, konflikti, ekstrēmisms, terorisms, kari un pārtikas trūkums; tā kā tas padara neaizsargātākus arī bērnus; tā kā paredzams, ka līdz 2030. gadam dzimumu nabadzības atšķirība palielināsies, jo sievietes joprojām veidos lielāko daļu no pasaules galēji nabadzīgajiem iedzīvotājiem;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Ca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 xml:space="preserve">tā kā dzimumu līdztiesībai paredzēta finansējuma trūkums ir būtisks šķērslis dzimumu līdztiesības rezultātu sasniegšanai; tā kā dzimumu līdztiesība ir būtiska, lai izpildītu solījumus par ilgtspēju, labklājību, sociālo taisnīgumu, mieru un cilvēces progresu; </w:t>
            </w:r>
            <w:r>
              <w:t>tā kā jēgpilnām un noturīgām finanšu saistībām un stingrākiem budžeta plānošanas procesiem ir būtiska nozīme, lai atbalstītu tiesību aktu, politikas virzienu un dzimumvērīgu pakalpojumu īstenošanu nolūkā veicināt dzimumu līdztiesību visos 5. IAM mērķrādītājos</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“Secinājumi no 2024. gada IAM dzimumu indeksa — dzimumlīdztiesīgas nākotnes krīze?”</w:t>
              <w:br/>
              <w:t>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Cb apsvērums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Cb.</w:t>
            </w:r>
            <w:r>
              <w:tab/>
            </w:r>
            <w:r>
              <w:rPr>
                <w:b/>
                <w:i/>
                <w:strike w:val="0"/>
                <w:color w:val="auto"/>
                <w:highlight w:val="none"/>
                <w:u w:val="none" w:color="auto"/>
                <w:vertAlign w:val="baseline"/>
              </w:rPr>
              <w:t>tā kā vardarbība pret sievietēm visās tās izpausmēs (fiziskā, seksuālā, psiholoģiskā un ekonomiskā vardarbība vai kibervardarbība) ir cilvēktiesību pārkāpums, galējs sieviešu diskriminācijas veids un viens no lielākajiem šķēršļiem dzimumu līdztiesības sasniegšanā; tā kā ar dzimumu saistīta vardarbība sakņojas nevienlīdzīgā varas sadalījumā starp dzimumiem, patriarhālās struktūrās un dzimumu stereotipos, kā rezultātā vīrieši dominē pār sievietēm un diskriminē viņas, un tās izpausme, intensitāte un forma var atšķirties; tā kā no dzimuma vardarbības brīva sabiedrība ir jāatzīst par absolūtu dzimumu līdztiesības priekšnosacījumu;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atkārtoti apstiprina savu stingro apņemšanos savlaicīgi un pilnībā sasniegt visus IAM;</w:t>
            </w:r>
          </w:p>
        </w:tc>
        <w:tc>
          <w:tcPr>
            <w:tcW w:w="4876" w:type="dxa"/>
            <w:vAlign w:val="top"/>
          </w:tcPr>
          <w:p>
            <w:pPr>
              <w:pStyle w:val="Normal6a"/>
            </w:pPr>
            <w:r>
              <w:t>1.</w:t>
            </w:r>
            <w:r>
              <w:tab/>
            </w:r>
            <w:r>
              <w:t xml:space="preserve">atkārtoti apstiprina savu stingro apņemšanos savlaicīgi un pilnībā sasniegt visus IAM </w:t>
            </w:r>
            <w:r>
              <w:t>visās dalībvalstīs un visā pasaulē, izmantojot ES ārējo darbību</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punkts – a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uzsver, ka ES ir panākusi mērenu progresu 1. IAM sasniegšanā, taču sievietes joprojām ir pakļautas lielākam nabadzības un sociālās atstumtības riskam;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19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punkts – b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pauž bažas par 2. IAM Eiropas Savienībā, jo pieaugošais aptaukošanās līmenis sievietēm un bērniem liecina par nepilnvērtīgu uzturu;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punkts – c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 xml:space="preserve">pauž nopietnas bažas par sieviešu stāvokli ES saistībā ar 7. IAM, jo sievietes zemāku ienākumu dēļ biežāk saskaras ar enerģētisko nabadzību; 9,8 % sieviešu un 8,7 % vīriešu 2022. gadā nevarēja pienācīgi apsildīt mājokli, un stāvokli vēl vairāk pasliktināja enerģētiskā krīze; </w:t>
            </w:r>
            <w:r>
              <w:t>atzinīgi vērtē Komisijas paziņojumu par enerģiju par pieņemamu cenu</w:t>
            </w:r>
            <w:r>
              <w:rPr>
                <w:rStyle w:val="Sup"/>
              </w:rPr>
              <w:t>1a</w:t>
            </w:r>
            <w:r>
              <w:t>;</w:t>
            </w:r>
            <w:r>
              <w:rPr>
                <w:b/>
                <w:i/>
                <w:strike w:val="0"/>
                <w:color w:val="auto"/>
                <w:highlight w:val="none"/>
                <w:u w:val="none" w:color="auto"/>
                <w:vertAlign w:val="baseline"/>
              </w:rPr>
              <w:t xml:space="preserve"> aicina Komisiju un abus likumdevējus paātrināt procesu, lai nodrošinātu ātru piekļuvi enerģijai par pieņemamu cenu;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“Lētākas enerģijas rīcības plāns. Enerģētikas savienības patiesās vērtības atraisīšana: lētas, efektīvas un tīras enerģijas nodrošināšana ikvienam Eiropas iedzīvotājam” (COM(2025)0079).</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 punkts – d apakšpunkts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d)</w:t>
            </w:r>
            <w:r>
              <w:tab/>
            </w:r>
            <w:r>
              <w:rPr>
                <w:b/>
                <w:i/>
                <w:strike w:val="0"/>
                <w:color w:val="auto"/>
                <w:highlight w:val="none"/>
                <w:u w:val="none" w:color="auto"/>
                <w:vertAlign w:val="baseline"/>
              </w:rPr>
              <w:t>uzsver, ka 11. IAM joprojām nav sasniegts ES, jo sievietes biežāk saskaras ar sliktiem sadzīves apstākļiem (4,6 % salīdzinājumā ar 4,0 % vīriešu 2022. gadā) un vairāk paļaujas uz sabiedrisko transportu, kur joprojām pastāv bažas par drošumu;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pauž nožēlu par to, ka globālā sabiedrība būtiski atpaliek Programmas 2030. gadam īstenošanā un IAM mērķu sasniegšanā;</w:t>
            </w:r>
          </w:p>
        </w:tc>
        <w:tc>
          <w:tcPr>
            <w:tcW w:w="4876" w:type="dxa"/>
            <w:vAlign w:val="top"/>
          </w:tcPr>
          <w:p>
            <w:pPr>
              <w:pStyle w:val="Normal6a"/>
            </w:pPr>
            <w:r>
              <w:t>2.</w:t>
            </w:r>
            <w:r>
              <w:tab/>
            </w:r>
            <w:r>
              <w:t>pauž nožēlu par to, ka globālā sabiedrība būtiski atpaliek Programmas 2030. gadam īstenošanā un IAM mērķu sasniegšanā</w:t>
            </w:r>
            <w:r>
              <w:t xml:space="preserve"> un ka progress dažu IAM sasniegšanā ir pasliktinājies</w:t>
            </w:r>
            <w:r>
              <w:t>;</w:t>
            </w:r>
            <w:r>
              <w:rPr>
                <w:b/>
                <w:i/>
                <w:strike w:val="0"/>
                <w:color w:val="auto"/>
                <w:highlight w:val="none"/>
                <w:u w:val="none" w:color="auto"/>
                <w:vertAlign w:val="baseline"/>
              </w:rPr>
              <w:t xml:space="preserve"> uzsver, ka pastāv atšķirības starp valstīm un reģioniem un to iekšienē dažādos jautājumos, piemēram, dzimumu nelīdztiesību; </w:t>
            </w:r>
            <w:r>
              <w:t>pauž nožēlu par ASV Starptautiskās attīstības aģentūras (USAID) finansējuma atsaukšanu un atzīst postošo ietekmi uz pasaules sabiedrības mērķi sasniegt IAM mērķrādītājus, jo īpaši 5. IAM</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2.a</w:t>
            </w:r>
            <w:r>
              <w:tab/>
            </w:r>
            <w:r>
              <w:rPr>
                <w:b/>
                <w:i/>
                <w:strike w:val="0"/>
                <w:color w:val="auto"/>
                <w:highlight w:val="none"/>
                <w:u w:val="none" w:color="auto"/>
                <w:vertAlign w:val="baseline"/>
              </w:rPr>
              <w:t xml:space="preserve">aicina ES pildīt savu apņemšanos piemērot integrētu pieeju dzimumu līdztiesībai un intersekcionālu perspektīvu visās ES politikas jomās un finansējumā; </w:t>
            </w:r>
            <w:r>
              <w:t>pauž nožēlu par to, ka valstīm visā pasaulē joprojām trūkst 44 % datu, kas vajadzīgi, lai izsekotu 5. IAM, un vairāk nekā 80 % valstu trūkst datu par vismaz vienu 5. IAM mērķrādītāju</w:t>
            </w:r>
            <w:r>
              <w:rPr>
                <w:rStyle w:val="Sup"/>
              </w:rPr>
              <w:t>1a</w:t>
            </w:r>
            <w:r>
              <w:t>;</w:t>
            </w:r>
            <w:r>
              <w:rPr>
                <w:b/>
                <w:i/>
                <w:strike w:val="0"/>
                <w:color w:val="auto"/>
                <w:highlight w:val="none"/>
                <w:u w:val="none" w:color="auto"/>
                <w:vertAlign w:val="baseline"/>
              </w:rPr>
              <w:t xml:space="preserve"> tādēļ uzsver, ka ir jāstiprina valstu statistikas biroji un jāuzlabo to globālā koordinācija un sadarbība, kā arī jānodrošina uz informāciju balstīta politikas veidošana un jānovērš atlikušās dzimumu datu atšķirības;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“Secinājumi no 2024. gada IAM dzimumu indeksa — dzimumlīdztiesīgas nākotnes krīze?”</w:t>
              <w:br/>
              <w:t>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2.b</w:t>
            </w:r>
            <w:r>
              <w:tab/>
            </w:r>
            <w:r>
              <w:rPr>
                <w:b/>
                <w:i/>
                <w:strike w:val="0"/>
                <w:color w:val="auto"/>
                <w:highlight w:val="none"/>
                <w:u w:val="none" w:color="auto"/>
                <w:vertAlign w:val="baseline"/>
              </w:rPr>
              <w:t>uzsver datu nozīmi IAM uzraudzībā, uzsverot, ka, neraugoties uz atzinīgi vērtējamo datu pieaugumu, kā arī to atvērtību, pieejamību un efektīvu izmantošanu, joprojām pastāv būtiskas nepilnības; tādēļ uzsver valstu statistikas biroju nozīmi un nepieciešamību stiprināt partnerības, kas ir būtiskas iekļaujošāku datu, piemēram, dzimumu segregācijas datu, sasniegšanai;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uzsver, ka ir steidzami vajadzīga starptautiska sadarbība </w:t>
            </w:r>
            <w:r>
              <w:t>un</w:t>
            </w:r>
            <w:r>
              <w:t xml:space="preserve"> izlēmīga pārveidojoša rīcība, lai mūsu sabiedrību un ekonomiku stingri virzītu uz IAM sasniegšanu un planētas trīskāršas krīzes novēršanu;</w:t>
            </w:r>
          </w:p>
        </w:tc>
        <w:tc>
          <w:tcPr>
            <w:tcW w:w="4876" w:type="dxa"/>
            <w:vAlign w:val="top"/>
          </w:tcPr>
          <w:p>
            <w:pPr>
              <w:pStyle w:val="Normal6a"/>
            </w:pPr>
            <w:r>
              <w:t>3.</w:t>
            </w:r>
            <w:r>
              <w:tab/>
            </w:r>
            <w:r>
              <w:t>uzsver, ka ir steidzami vajadzīga starptautiska sadarbība</w:t>
            </w:r>
            <w:r>
              <w:t>,</w:t>
            </w:r>
            <w:r>
              <w:t xml:space="preserve"> </w:t>
            </w:r>
            <w:r>
              <w:t xml:space="preserve">izlēmīga pārveidojoša rīcība </w:t>
            </w:r>
            <w:r>
              <w:t>un globālo attīstības palīdzības izdevumu palielināšana</w:t>
            </w:r>
            <w:r>
              <w:t>, lai mūsu sabiedrību un ekonomiku stingri virzītu uz IAM sasniegšanu un planētas trīskāršas krīzes novēršanu</w:t>
            </w:r>
            <w:r>
              <w:t xml:space="preserve"> </w:t>
            </w:r>
            <w:r>
              <w:t>šādās jomās:</w:t>
            </w:r>
            <w:r>
              <w:rPr>
                <w:b/>
                <w:i/>
                <w:strike w:val="0"/>
                <w:color w:val="auto"/>
                <w:highlight w:val="none"/>
                <w:u w:val="none" w:color="auto"/>
                <w:vertAlign w:val="baseline"/>
              </w:rPr>
              <w:t xml:space="preserve"> </w:t>
            </w:r>
            <w:r>
              <w:t>klimata pārmaiņas, piesārņojums un biodaudzveidības izzušana</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uzsver, ka ES vadošā loma IAM globālajā īstenošanā joprojām ir būtiska, jo īpaši ņemot vērā daudzās ģeopolitiskās problēmas un pašreizējās krīzes;</w:t>
            </w:r>
          </w:p>
        </w:tc>
        <w:tc>
          <w:tcPr>
            <w:tcW w:w="4876" w:type="dxa"/>
            <w:vAlign w:val="top"/>
          </w:tcPr>
          <w:p>
            <w:pPr>
              <w:pStyle w:val="Normal6a"/>
            </w:pPr>
            <w:r>
              <w:t>4.</w:t>
            </w:r>
            <w:r>
              <w:tab/>
            </w:r>
            <w:r>
              <w:t>uzsver, ka ES vadošā loma IAM globālajā īstenošanā joprojām ir būtiska, jo īpaši ņemot vērā daudzās ģeopolitiskās problēmas un pašreizējās krīzes</w:t>
            </w:r>
            <w:r>
              <w:t>, tostarp pieaugošo opozīciju IAM un pretreakciju pret dzimumu līdztiesību un starptautisko cilvēktiesību satvaru, kura mērķis ir aizsargāt neaizsargātas vai marginalizētas grupas visā pasaulē, tostarp sievietes, meitenes un LGBTIQ+ personas</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w:t>
            </w:r>
            <w:r>
              <w:tab/>
            </w:r>
            <w:r>
              <w:rPr>
                <w:b/>
                <w:i/>
                <w:strike w:val="0"/>
                <w:color w:val="auto"/>
                <w:highlight w:val="none"/>
                <w:u w:val="none" w:color="auto"/>
                <w:vertAlign w:val="baseline"/>
              </w:rPr>
              <w:t>atzīst Eiropas Savienības pastāvīgos centienus un ievērojamo progresu, jo īpaši 8. IAM īstenošanā, vienlaikus atzīstot, ka ir vajadzīgi turpmāki uzlabojumi 5. IAM sasniegšanā;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4.b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4.b</w:t>
            </w:r>
            <w:r>
              <w:tab/>
            </w:r>
            <w:r>
              <w:rPr>
                <w:b/>
                <w:i/>
                <w:strike w:val="0"/>
                <w:color w:val="auto"/>
                <w:highlight w:val="none"/>
                <w:u w:val="none" w:color="auto"/>
                <w:vertAlign w:val="baseline"/>
              </w:rPr>
              <w:t>uzsver, ka ES par prioritāti būtu jānosaka politika, kas atbalsta sievietes, meitenes un ģimenes, nodrošinot, ka viņu ekonomiskā un sociālā labklājība tiek uzskatīta par būtisku IAM sasniegšanai, piemēram, nabadzības mazināšanai, kvalitatīvai izglītībai un dzimumu līdztiesībai;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29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pauž nožēlu par nelielo vai mēreno progresu lielākās daļas 3. IAM mērķrādītāju sasniegšanā un rīcības tempa palēnināšanos kopš 2015. gada vairākās svarīgās jomās; ar bažām norāda, ka tiek pienācīgi īstenoti mazāk nekā 10 % no 3. IAM mērķrādītājiem un ka līdz 2030. gadam, visticamāk, tiks sasniegta mazāk nekā viena trešdaļa no tiem;</w:t>
            </w:r>
          </w:p>
        </w:tc>
        <w:tc>
          <w:tcPr>
            <w:tcW w:w="4876" w:type="dxa"/>
            <w:vAlign w:val="top"/>
          </w:tcPr>
          <w:p>
            <w:pPr>
              <w:pStyle w:val="Normal6a"/>
            </w:pPr>
            <w:r>
              <w:t>5.</w:t>
            </w:r>
            <w:r>
              <w:tab/>
            </w:r>
            <w:r>
              <w:t>pauž nožēlu par nelielo vai mēreno progresu lielākās daļas 3. IAM mērķrādītāju sasniegšanā un rīcības tempa palēnināšanos kopš 2015. gada vairākās svarīgās jomās; ar bažām norāda, ka tiek pienācīgi īstenoti mazāk nekā 10 % no 3. IAM mērķrādītājiem un ka līdz 2030. gadam, visticamāk, tiks sasniegta mazāk nekā viena trešdaļa no tiem;</w:t>
            </w:r>
            <w:r>
              <w:rPr>
                <w:b/>
                <w:i/>
                <w:strike w:val="0"/>
                <w:color w:val="auto"/>
                <w:highlight w:val="none"/>
                <w:u w:val="none" w:color="auto"/>
                <w:vertAlign w:val="baseline"/>
              </w:rPr>
              <w:t xml:space="preserve"> atgādina, ka ES pastāv liela dzimumu nevienlīdzība un ka kopš 2010. gada šīs nevienlīdzības novēršanā ir panākts ļoti ierobežots progress;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pauž bažas par sieviešu dzimumorgānu kropļošanas prakses turpināšanos un pauž līdzjūtību cietušajiem; uzsver, ka UNICEF 2024. gada martā pārskatīja novērtējumu par cietušo skaitu līdz vairāk nekā 230 miljoniem, kas ir par 15 % (par aptuveni 30 miljoniem vairāk) vairāk nekā 2016. gadā, neraugoties uz dažās valstīs novēroto samazinājumu;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5.b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5.b</w:t>
            </w:r>
            <w:r>
              <w:tab/>
            </w:r>
            <w:r>
              <w:rPr>
                <w:b/>
                <w:i/>
                <w:strike w:val="0"/>
                <w:color w:val="auto"/>
                <w:highlight w:val="none"/>
                <w:u w:val="none" w:color="auto"/>
                <w:vertAlign w:val="baseline"/>
              </w:rPr>
              <w:t>atzīst, ka nesenie USAID finansējuma samazinājumi vēl vairāk kavēs virzību uz 3. IAM sasniegšanu, jo īpaši ietekmējot sieviešu un meiteņu piekļuvi reproduktīvās un mātes veselības aprūpes pakalpojumiem;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 xml:space="preserve">uzsver, ka daudzās </w:t>
            </w:r>
            <w:r>
              <w:t>un</w:t>
            </w:r>
            <w:r>
              <w:t xml:space="preserve"> savstarpēji saistītās krīzes, vāja veselības aprūpes infrastruktūra, ekonomiskā nestabilitāte, nabadzība, pastāvīga nevienlīdzība, jo īpaši starp neaizsargātām iedzīvotāju grupām un reģioniem, </w:t>
            </w:r>
            <w:r>
              <w:t>un</w:t>
            </w:r>
            <w:r>
              <w:t xml:space="preserve"> arvien vairāk ierobežoti resursi draud vēl vairāk kavēt virzību 3. IAM mērķrādītāju sasniegšanā;</w:t>
            </w:r>
          </w:p>
        </w:tc>
        <w:tc>
          <w:tcPr>
            <w:tcW w:w="4876" w:type="dxa"/>
            <w:vAlign w:val="top"/>
          </w:tcPr>
          <w:p>
            <w:pPr>
              <w:pStyle w:val="Normal6a"/>
            </w:pPr>
            <w:r>
              <w:t>6.</w:t>
            </w:r>
            <w:r>
              <w:tab/>
            </w:r>
            <w:r>
              <w:t>uzsver, ka daudzās</w:t>
            </w:r>
            <w:r>
              <w:t>,</w:t>
            </w:r>
            <w:r>
              <w:t xml:space="preserve"> savstarpēji saistītās </w:t>
            </w:r>
            <w:r>
              <w:t>un pieaugošās</w:t>
            </w:r>
            <w:r>
              <w:t xml:space="preserve"> </w:t>
            </w:r>
            <w:r>
              <w:t xml:space="preserve">krīzes, </w:t>
            </w:r>
            <w:r>
              <w:t>piemēram,</w:t>
            </w:r>
            <w:r>
              <w:t xml:space="preserve"> vāja veselības aprūpes infrastruktūra, ekonomiskā nestabilitāte, </w:t>
            </w:r>
            <w:r>
              <w:t>pieaugošā ģeopolitiskā spriedze,</w:t>
            </w:r>
            <w:r>
              <w:t xml:space="preserve"> </w:t>
            </w:r>
            <w:r>
              <w:t xml:space="preserve">nabadzība </w:t>
            </w:r>
            <w:r>
              <w:t>un</w:t>
            </w:r>
            <w:r>
              <w:t xml:space="preserve"> </w:t>
            </w:r>
            <w:r>
              <w:t xml:space="preserve">pastāvīga nevienlīdzība, jo īpaši starp neaizsargātām iedzīvotāju grupām un reģioniem, </w:t>
            </w:r>
            <w:r>
              <w:t>kā arī</w:t>
            </w:r>
            <w:r>
              <w:t xml:space="preserve"> </w:t>
            </w:r>
            <w:r>
              <w:t xml:space="preserve">arvien vairāk ierobežoti resursi </w:t>
            </w:r>
            <w:r>
              <w:t>un dzimumsensitīvu medicīnisko pētījumu trūkums</w:t>
            </w:r>
            <w:r>
              <w:t xml:space="preserve"> draud vēl vairāk kavēt virzību 3. IAM mērķrādītāju sasniegšanā;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ar bažām norāda uz ASV izstāšanos no Pasaules Veselības organizācijas (PVO) un tās oficiālās attīstības palīdzības (OAP) pilnīgu iesaldēšanu; uzsver, ka, ņemot vērā USAID lomu globālās veselības stiprināšanā, tam būs milzīga ietekme uz cilvēku dzīvi un piekļuvi veselības aprūpes pakalpojumiem visā pasaulē, tostarp miljoniem sieviešu un meiteņu; turklāt uzsver, ka “Global Gag Rule” atjaunošana īpaši ietekmē seksuālo un reproduktīvo veselību un ar to saistītās tiesības (SRVT); aicina Komisiju un dalībvalstis novērst ASV radīto trūkumu, tostarp palielinot ES iemaksu galvenajās SRVT iniciatīvās, piemēram, UNFPA piegādes partnerībā un Eiropas komandas iniciatīvā par SRVT Subsahāras Āfrikā;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6.b</w:t>
            </w:r>
            <w:r>
              <w:tab/>
            </w:r>
            <w:r>
              <w:rPr>
                <w:b/>
                <w:i/>
                <w:strike w:val="0"/>
                <w:color w:val="auto"/>
                <w:highlight w:val="none"/>
                <w:u w:val="none" w:color="auto"/>
                <w:vertAlign w:val="baseline"/>
              </w:rPr>
              <w:t>pauž nožēlu par attīstības palīdzības globālo samazināšanos, kas galvenokārt ietekmē veselības aprūpes pieejamību nabadzīgākajos reģionos un visvairāk atstumtajiem iedzīvotājiem, piemēram, sievietēm un meitenēm; uzskata, ka trauslu veselības aprūpes sistēmu sagraušana potenciāli apdraud pasaules iedzīvotāju veselību; aicina uz izlēmīgu rīcību visās dalībvalstīs un ES ārpolitikas ietvaros panākt būtisku progresu virzībā uz 2030. gada mērķi samazināt māšu mirstību un nodrošināt vispārēju piekļuvi seksuālās un reproduktīvās veselības aprūpes pakalpojumiem, tostarp ģimenes plānošanai un drošiem un likumīgiem abortiem, mātes veselības aprūpei un vispārējas veselības aprūpes nodrošināšanai, tostarp piekļuvei drošām, efektīvām, kvalitatīvām un cenas ziņā pieejamām pirmās nepieciešamības zālēm visiem; aicina ES prioritārā kārtā nodrošināt piekļuvi drošai un efektīvai kontracepcijas metodei pēc savas izvēles un drošu un likumīgu abortu pakalpojumiem visās dalībvalstīs;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6.d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6.d</w:t>
            </w:r>
            <w:r>
              <w:tab/>
            </w:r>
            <w:r>
              <w:t>aicina ES un tās dalībvalstis par prioritāti noteikt to, ka zēniem un meitenēm tiek nodrošināta piekļuve obligātai, uz pierādījumiem balstītai, vecumam atbilstošai visaptverošai dzimumaudzināšanai, attiecību izglītībai un informācijai par ģimenes plānošanu, ņemot vērā to, ka par 164 miljoniem sieviešu tiek uzskatīts, ka tām ir neapmierinātas vajadzības šajā jomā</w:t>
            </w:r>
            <w:r>
              <w:rPr>
                <w:rStyle w:val="Sup"/>
              </w:rPr>
              <w:t>1a</w:t>
            </w:r>
            <w:r>
              <w:t>, vienlaikus veicinot šos centienus arī ar ārpolitikas palīdzību;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ANO Ekonomikas un sociālo lietu departaments, “Ģimenes plānošana pasaulē 2022. gadā”, https://www.un.org/development/desa/pd/sites/www.un.org.development.desa.pd/files/files/documents/2023/Feb/undesa_pd_2022_world-family-planning.pdf.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6.e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6.e</w:t>
            </w:r>
            <w:r>
              <w:tab/>
            </w:r>
            <w:r>
              <w:rPr>
                <w:b/>
                <w:i/>
                <w:strike w:val="0"/>
                <w:color w:val="auto"/>
                <w:highlight w:val="none"/>
                <w:u w:val="none" w:color="auto"/>
                <w:vertAlign w:val="baseline"/>
              </w:rPr>
              <w:t>aicina ES īstenot garīgās veselības stratēģijā iekļautos plānus un īstenot izlēmīgākas darbības, lai nodrošinātu labus garīgās veselības apstākļus visiem, jo īpaši ņemot vērā dzimumu perspektīvu un to, kā garīgās veselības stāvoklis vairāk ietekmē sievietes un LGBTIQ+ personas;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6.f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6.f</w:t>
            </w:r>
            <w:r>
              <w:tab/>
            </w:r>
            <w:r>
              <w:rPr>
                <w:b/>
                <w:i/>
                <w:strike w:val="0"/>
                <w:color w:val="auto"/>
                <w:highlight w:val="none"/>
                <w:u w:val="none" w:color="auto"/>
                <w:vertAlign w:val="baseline"/>
              </w:rPr>
              <w:t>atgādina, ka SRVT pilnīgai īstenošanai un sieviešu un meiteņu ķermeņa autonomijas saglabāšanai ir izšķiroša nozīme, lai panāktu dzimumu līdztiesību; uzsver, ka SRVT ir neatņemama daļa no vispārējās veselības apdrošināšanas un tām ir izšķiroša nozīme 3. IAM un jo īpaši 3.7. mērķrādītāja sasniegšanā; aicina Komisiju nodrošināt, ka SRVT tiek iekļautas ES iniciatīvās un programmās par vispārēju veselības apdrošināšanu;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6.g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6.g</w:t>
            </w:r>
            <w:r>
              <w:tab/>
            </w:r>
            <w:r>
              <w:rPr>
                <w:b/>
                <w:i/>
                <w:strike w:val="0"/>
                <w:color w:val="auto"/>
                <w:highlight w:val="none"/>
                <w:u w:val="none" w:color="auto"/>
                <w:vertAlign w:val="baseline"/>
              </w:rPr>
              <w:t>brīdina, ka 3. un 5. IAM noteiktie mērķi netiks sasniegti, ja ES un pasaulē netiks garantēta vispārēja piekļuve seksuālajai un reproduktīvajai veselībai un reproduktīvajām tiesībām; atgādina, ka piekļuve veselības aprūpes pamatpakalpojumiem un nepieciešamajām zālēm, droša un efektīva kontracepcijas metode pēc savas izvēles un legāla aborta pakalpojumi ir seksuālās un reproduktīvās veselības aprūpes būtisks aspekts;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39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6.h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6.h</w:t>
            </w:r>
            <w:r>
              <w:tab/>
            </w:r>
            <w:r>
              <w:rPr>
                <w:b/>
                <w:i/>
                <w:strike w:val="0"/>
                <w:color w:val="auto"/>
                <w:highlight w:val="none"/>
                <w:u w:val="none" w:color="auto"/>
                <w:vertAlign w:val="baseline"/>
              </w:rPr>
              <w:t>atgādina, ka neplānota grūtniecība var radīt ievērojamas fiziskas, emocionālas un finansiālas sekas indivīdiem un ģimenēm un īpaši būtisku kaitējumu nepilngadīgajiem pusaudžu grūtniecības gadījumā; uzsver, ka legāla aborta aprūpe ir dzīvību glābjoša aprūpe spontāno abortu un citu dzīvību apdraudošu dzemdību ārkārtas situāciju laikā un ka likumīga un efektīva piekļuve drošiem abortiem var palīdzēt risināt būtiskus sarežģījumus un novērst augsta riska grūtniecību, kas var novest pie mātes un bērna nāves;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6.i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6.i</w:t>
            </w:r>
            <w:r>
              <w:tab/>
            </w:r>
            <w:r>
              <w:rPr>
                <w:b/>
                <w:i/>
                <w:strike w:val="0"/>
                <w:color w:val="auto"/>
                <w:highlight w:val="none"/>
                <w:u w:val="none" w:color="auto"/>
                <w:vertAlign w:val="baseline"/>
              </w:rPr>
              <w:t>turklāt uzsver, ka aborta zāles ir droša un mazāk invazīva alternatīva ķirurģiskajiem abortiem un padara abortu un spontāno abortu aprūpi pieejamāku personām, kuras dzīvo vietās, kur ķirurģisko abortu aprūpe ir grūti pieejama ģeogrāfisko vai citu šķēršļu dēļ, un ka savlaicīga piekļuve drošām aborta zālēm var arī ļaut pacientiem pilnībā vai daļēji pārvaldīt abortus un spontāno abortu aprūpi, novēršot aprūpes kavēšanos, kas var radīt papildu riskus veselībai;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6.j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6.j</w:t>
            </w:r>
            <w:r>
              <w:tab/>
            </w:r>
            <w:r>
              <w:t>aicina ES ātri pieņemt Kritiski svarīgo zāļu aktu</w:t>
            </w:r>
            <w:r>
              <w:rPr>
                <w:rStyle w:val="Sup"/>
              </w:rPr>
              <w:t>1.a</w:t>
            </w:r>
            <w:r>
              <w:t xml:space="preserve"> un nodrošināt, ka tas garantē PVO svarīgāko zāļu sarakstā iekļauto būtisko seksuālās un reproduktīvās veselības zāļu piekļūstamību un pieejamību visā ES;</w:t>
            </w:r>
            <w:r>
              <w:rPr>
                <w:b/>
                <w:i/>
                <w:strike w:val="0"/>
                <w:color w:val="auto"/>
                <w:highlight w:val="none"/>
                <w:u w:val="none" w:color="auto"/>
                <w:vertAlign w:val="baseline"/>
              </w:rPr>
              <w:t xml:space="preserve"> aicina Eiropas Zāļu aģentūru atjaunināt ES kritiski svarīgo zāļu sarakstu, lai iekļautu pilnīgu sarakstu ar seksuālās un reproduktīvās veselības zālēm, kas iekļautas PVO svarīgāko zāļu sarakstā, piemēram, kontracepcijas un aborta zāles; aicina ES nodrošināt, ka būtiskas seksuālās un reproduktīvās veselības zāles tiek sistemātiski iekļautas humānajā palīdzībā trešām valstīm;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COM(2025)0102.</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 xml:space="preserve">aicina pastiprināt koordinētu rīcību un veikt būtiskus ieguldījumus, lai panāktu vispārēju veselības apdrošināšanu, stiprinātu veselības aprūpes sistēmas, nodrošinātu vienlīdzīgu piekļuvi zālēm un vakcīnām, veicinātu slimību profilaksi un ārstēšanu, novērstu pastiprinošus vides faktorus </w:t>
            </w:r>
            <w:r>
              <w:t>un</w:t>
            </w:r>
            <w:r>
              <w:t xml:space="preserve"> pievērstos atšķirībām piekļuvē kvalitatīvai aprūpei un pakalpojumiem, jo īpaši attiecībā uz neaizsargātām iedzīvotāju grupām un reģioniem;</w:t>
            </w:r>
          </w:p>
        </w:tc>
        <w:tc>
          <w:tcPr>
            <w:tcW w:w="4876" w:type="dxa"/>
            <w:vAlign w:val="top"/>
          </w:tcPr>
          <w:p>
            <w:pPr>
              <w:pStyle w:val="Normal6a"/>
            </w:pPr>
            <w:r>
              <w:t>7.</w:t>
            </w:r>
            <w:r>
              <w:tab/>
            </w:r>
            <w:r>
              <w:t>aicina pastiprināt koordinētu rīcību un veikt būtiskus ieguldījumus, lai panāktu vispārēju veselības apdrošināšanu, stiprinātu veselības aprūpes sistēmas, nodrošinātu vienlīdzīgu piekļuvi zālēm un vakcīnām, veicinātu slimību profilaksi un ārstēšanu, novērstu pastiprinošus vides faktorus</w:t>
            </w:r>
            <w:r>
              <w:t>,</w:t>
            </w:r>
            <w:r>
              <w:t xml:space="preserve"> pievērstos atšķirībām piekļuvē kvalitatīvai aprūpei un pakalpojumiem, jo īpaši attiecībā uz </w:t>
            </w:r>
            <w:r>
              <w:t>neaizsargātām personām un</w:t>
            </w:r>
            <w:r>
              <w:t xml:space="preserve"> neaizsargātām iedzīvotāju grupām un reģioniem</w:t>
            </w:r>
            <w:r>
              <w:t>, tostarp minoritātēm, sievietēm, meitenēm un personām ar invaliditāti</w:t>
            </w:r>
            <w:r>
              <w:t xml:space="preserve">; </w:t>
            </w:r>
            <w:r>
              <w:rPr>
                <w:b/>
                <w:i/>
                <w:strike w:val="0"/>
                <w:color w:val="auto"/>
                <w:highlight w:val="none"/>
                <w:u w:val="none" w:color="auto"/>
                <w:vertAlign w:val="baseline"/>
              </w:rPr>
              <w:t xml:space="preserve"> uzsver, ka ir svarīgi garantēt visiem piekļuvi veselības aprūpei kā vienu no pamattiesībām; </w:t>
            </w:r>
            <w:r>
              <w:t>uzsver, ka ir jāatbalsta piekļuve veselības aprūpei un izglītībai meitenēm ārkārtas situācijās, migrantēm, iekšzemē pārvietotām un bēgļu meitenēm, kā arī meitenēm, kuras atrodas humanitārās krīzēs un konflikta situācijās</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7.a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7.a</w:t>
            </w:r>
            <w:r>
              <w:tab/>
            </w:r>
            <w:r>
              <w:rPr>
                <w:b/>
                <w:i/>
                <w:strike w:val="0"/>
                <w:color w:val="auto"/>
                <w:highlight w:val="none"/>
                <w:u w:val="none" w:color="auto"/>
                <w:vertAlign w:val="baseline"/>
              </w:rPr>
              <w:t>aicina pastiprināt koordinētu rīcību un veikt būtiskas investīcijas, lai panāktu vispārēju veselības apdrošināšanu, stiprinātu veselības aprūpes sistēmas, nodrošinātu vienlīdzīgu piekļuvi zālēm un vakcīnām, veicinātu slimību profilaksi un ārstēšanu, novērstu pastiprinošus vides faktorus, risinātu garīgās veselības problēmas un samazinātu atšķirības piekļuvē kvalitatīvai aprūpei un pakalpojumiem, jo īpaši neaizsargātām iedzīvotāju grupām un reģioniem;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aicina Eiropas Cilvēktiesību konvencijā un ES Pamattiesību hartā iekļaut vispārējās tiesības uz veselīgu vidi un ieviest juridiski saistošu regulējumu;</w:t>
            </w:r>
          </w:p>
        </w:tc>
        <w:tc>
          <w:tcPr>
            <w:tcW w:w="4876" w:type="dxa"/>
            <w:vAlign w:val="top"/>
          </w:tcPr>
          <w:p>
            <w:pPr>
              <w:pStyle w:val="Normal6a"/>
            </w:pPr>
            <w:r>
              <w:t>8.</w:t>
            </w:r>
            <w:r>
              <w:tab/>
            </w:r>
            <w:r>
              <w:t>uzskata, ka veselīga vide ir kritiski svarīgs faktors veselības uzlabošanā;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 xml:space="preserve">pauž nožēlu par to, ka neviena valsts nav uz pareizā ceļa, lai līdz 2030. gadam panāktu dzimumu līdztiesību, un ka no 2019. līdz 2022. gadam gandrīz 40 % valstu dzimumu līdztiesības situācija ir stagnējusi vai pat pasliktinājusies; norāda, ka šī pretreakcija sakrīt ar konservatīvu, reakcionāru un mizogīnisku tendenču pieaugumu pret sieviešu tiesībām visā pasaulē; </w:t>
            </w:r>
            <w:r>
              <w:t>brīdina, ka, ja pieaugs pašreizējās pretreakcijas un stagnācijas tendences dzimumu līdztiesības jomā, dzimumu globālā nevienlīdzība 2030. gadā varētu būt sliktāka nekā tad, kad 2015. gadā tika panākta vienošanās par IAM</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“Equal Measures 2030”, “Secinājumi no 2024. gada IAM dzimumu indeksa — dzimumlīdztiesīgas nākotnes krīze?”</w:t>
              <w:br/>
              <w:t>https://equalmeasures2030.org/wp-content/uploads/2024/09/EM2030_2024_SDG_Gender_Index_EN_digital.pdf.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8.b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8.b</w:t>
            </w:r>
            <w:r>
              <w:tab/>
            </w:r>
            <w:r>
              <w:rPr>
                <w:b/>
                <w:i/>
                <w:strike w:val="0"/>
                <w:color w:val="auto"/>
                <w:highlight w:val="none"/>
                <w:u w:val="none" w:color="auto"/>
                <w:vertAlign w:val="baseline"/>
              </w:rPr>
              <w:t>uzsver 5. IAM transversālo raksturu un tā nozīmi Programmas 2030. gadam īstenošanā; uzsver, ka dzimumu līdztiesības panākšana tieši papildina visus pārējos IAM un šo mērķu sasniegšanu nevar īstenot, ja netiek veicinātas sieviešu un meiteņu tiesības un dzimumu līdztiesība;</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aicina paātrināti un mērķtiecīgi rīkoties, lai izbeigtu visu veidu vardarbību un aizskarošu izturēšanos pret sievietēm, meitenēm un LGBTIQ+ personām, tostarp seksuālu un ar dzimumu saistītu vardarbību, un izbeigt tādu kaitīgu praksi kā bērnu laulības un sieviešu dzimumorgānu kropļošana;</w:t>
            </w:r>
          </w:p>
        </w:tc>
        <w:tc>
          <w:tcPr>
            <w:tcW w:w="4876" w:type="dxa"/>
            <w:vAlign w:val="top"/>
          </w:tcPr>
          <w:p>
            <w:pPr>
              <w:pStyle w:val="Normal6a"/>
            </w:pPr>
            <w:r>
              <w:t>9.</w:t>
            </w:r>
            <w:r>
              <w:tab/>
            </w:r>
            <w:r>
              <w:rPr>
                <w:b/>
                <w:i/>
                <w:strike w:val="0"/>
                <w:color w:val="auto"/>
                <w:highlight w:val="none"/>
                <w:u w:val="none" w:color="auto"/>
                <w:vertAlign w:val="baseline"/>
              </w:rPr>
              <w:t xml:space="preserve">atkārtoti norāda, ka sabiedrība bez dzimumbalstītas vardarbības ir neaizstājams priekšnoteikums dzimumu līdztiesības panākšanai; </w:t>
            </w:r>
            <w:r>
              <w:t xml:space="preserve">aicina paātrināti un mērķtiecīgi rīkoties, lai izbeigtu visu veidu vardarbību un aizskarošu izturēšanos pret sievietēm, meitenēm un LGBTIQ+ personām, tostarp seksuālu un ar dzimumu saistītu vardarbību, un izbeigt tādu kaitīgu praksi kā bērnu </w:t>
            </w:r>
            <w:r>
              <w:t xml:space="preserve">un piespiedu </w:t>
            </w:r>
            <w:r>
              <w:t>laulības</w:t>
            </w:r>
            <w:r>
              <w:t>, kurām katru gadu tiek pakļauti 12 miljoni meiteņu</w:t>
            </w:r>
            <w:r>
              <w:rPr>
                <w:rStyle w:val="Sup"/>
              </w:rPr>
              <w:t>1.a</w:t>
            </w:r>
            <w:r>
              <w:t>, sieviešu dzimumorgānu kropļošana</w:t>
            </w:r>
            <w:r>
              <w:t>, dzimumselektīvs aborts un ar dzimumu saistītas vardarbības izmantošana par kara ieroci</w:t>
            </w:r>
            <w:r>
              <w:t>;</w:t>
            </w:r>
            <w:r>
              <w:rPr>
                <w:b/>
                <w:i/>
                <w:strike w:val="0"/>
                <w:color w:val="auto"/>
                <w:highlight w:val="none"/>
                <w:u w:val="none" w:color="auto"/>
                <w:vertAlign w:val="baseline"/>
              </w:rPr>
              <w:t xml:space="preserve"> uzskata, ka šā mērķa sasniegšanā būtiska nozīme ir pilsoniskajai līdzdalībai un vietēja līmeņa sieviešu organizācijām; pauž bažas par to, ka pasaulē pieaug cilvēktiesību aizstāvju kriminālvajāšana, jo īpaši attiecībā uz sieviešu un minoritāšu tiesību aizstāvjiem; </w:t>
            </w:r>
            <w:r>
              <w:t>pauž bažas par augsto māšu mirstības līmeni valstīs ar zemiem un vidēji zemiem ienākumiem;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UNICEF, “Fakti īsumā: 10 fakti, kas parāda, kāpēc mums jāizbeidz bērnu laulības #EndChildMarriage”, 2019. gada 10. februāris https://www.unicef.org/press-releases/fast-facts-10-facts-illustrating-why-we-must-endchildmarriage.</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9.a</w:t>
            </w:r>
            <w:r>
              <w:tab/>
            </w:r>
            <w:r>
              <w:rPr>
                <w:b/>
                <w:i/>
                <w:strike w:val="0"/>
                <w:color w:val="auto"/>
                <w:highlight w:val="none"/>
                <w:u w:val="none" w:color="auto"/>
                <w:vertAlign w:val="baseline"/>
              </w:rPr>
              <w:t>uzsver, ka izvarošana joprojām ir viens no izplatītākajiem cilvēktiesību pārkāpumiem, un mudina noteikt vienotu izvarošanas definīciju, pamatojoties uz piekrišanas trūkumu;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49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9.b</w:t>
            </w:r>
            <w:r>
              <w:tab/>
            </w:r>
            <w:r>
              <w:rPr>
                <w:b/>
                <w:i/>
                <w:strike w:val="0"/>
                <w:color w:val="auto"/>
                <w:highlight w:val="none"/>
                <w:u w:val="none" w:color="auto"/>
                <w:vertAlign w:val="baseline"/>
              </w:rPr>
              <w:t>pauž nožēlu par globālo vēršanos pret sieviešu tiesībām un nosoda visus dalībniekus, kas veic darbības, lai grautu globālos dzimumu līdztiesības sasniegumus; aicina ES un dalībvalstis pastiprināt cīņu par dzimumu līdztiesību šobrīd, kad ASV atņem finansējumu organizācijām, kas aizstāv cilvēktiesības;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9.c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9.c</w:t>
            </w:r>
            <w:r>
              <w:tab/>
            </w:r>
            <w:r>
              <w:rPr>
                <w:b/>
                <w:i/>
                <w:strike w:val="0"/>
                <w:color w:val="auto"/>
                <w:highlight w:val="none"/>
                <w:u w:val="none" w:color="auto"/>
                <w:vertAlign w:val="baseline"/>
              </w:rPr>
              <w:t>aicina apņēmīgāk rīkoties, lai apkarotu pret dzimumu līdztiesību vērstu naida runu tiešsaistē un pieaugošo apdraudējumu, ar ko saskaras sievietes politiskos amatos, kā rezultātā mazāk sieviešu sāk pildīt savus pienākumus un sievietes bieži vien ir spiestas pamest amatu;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aicina </w:t>
            </w:r>
            <w:r>
              <w:t>turpināt finansēt programmas</w:t>
            </w:r>
            <w:r>
              <w:t xml:space="preserve">, kas vērstas uz </w:t>
            </w:r>
            <w:r>
              <w:t>sieviešu iespēju veicināšanu</w:t>
            </w:r>
            <w:r>
              <w:t xml:space="preserve"> un cīņu pret visu veidu ar dzimumu saistītu vardarbību; aicina Komisiju nodrošināt, lai 85 % </w:t>
            </w:r>
            <w:r>
              <w:t>visu jauno ārējo darbību ietvertu dzimumu kā svarīgu vai galveno mērķi</w:t>
            </w:r>
            <w:r>
              <w:t xml:space="preserve"> un lai 20 % no oficiālās attīstības palīdzības visās valstīs tiktu piešķirti programmām, kurās viens no galvenajiem mērķiem ir dzimumu līdztiesība;</w:t>
            </w:r>
          </w:p>
        </w:tc>
        <w:tc>
          <w:tcPr>
            <w:tcW w:w="4876" w:type="dxa"/>
            <w:vAlign w:val="top"/>
          </w:tcPr>
          <w:p>
            <w:pPr>
              <w:pStyle w:val="Normal6a"/>
            </w:pPr>
            <w:r>
              <w:t>10.</w:t>
            </w:r>
            <w:r>
              <w:tab/>
            </w:r>
            <w:r>
              <w:t xml:space="preserve">prasa </w:t>
            </w:r>
            <w:r>
              <w:t>palielināt finansējumu programmām</w:t>
            </w:r>
            <w:r>
              <w:t xml:space="preserve">, kas vērstas uz </w:t>
            </w:r>
            <w:r>
              <w:t>dzimumu līdztiesības veicināšanu</w:t>
            </w:r>
            <w:r>
              <w:t xml:space="preserve"> un cīņu pret visu veidu ar dzimumu saistītu vardarbību; aicina Komisiju nodrošināt, lai </w:t>
            </w:r>
            <w:r>
              <w:t>visās ES finansētajās darbībās tiek integrēta dzimumu dimensija, lai</w:t>
            </w:r>
            <w:r>
              <w:t xml:space="preserve"> 85 % </w:t>
            </w:r>
            <w:r>
              <w:t>no OAP tiek novirzīti projektiem</w:t>
            </w:r>
            <w:r>
              <w:t>, kuros dzimums ietverts kā svarīgs vai galvenais mērķis,</w:t>
            </w:r>
            <w:r>
              <w:t xml:space="preserve"> un lai 20 % no oficiālās attīstības palīdzības visās valstīs tiktu piešķirti programmām, kurās viens no galvenajiem mērķiem ir dzimumu līdztiesība;</w:t>
            </w:r>
            <w:r>
              <w:rPr>
                <w:b/>
                <w:i/>
                <w:strike w:val="0"/>
                <w:color w:val="auto"/>
                <w:highlight w:val="none"/>
                <w:u w:val="none" w:color="auto"/>
                <w:vertAlign w:val="baseline"/>
              </w:rPr>
              <w:t xml:space="preserve"> aicina Komisiju iekļaut šos divus mērķus nākamajā DFS un nodrošināt, ka visās ES politikas jomās, programmās un budžetos tiek iekļauta integrēta pieeja dzimumu līdztiesības nodrošināšanai un dzimumu līdztiesības principa ievērošana budžeta plānošanā;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10.a</w:t>
            </w:r>
            <w:r>
              <w:tab/>
            </w:r>
            <w:r>
              <w:rPr>
                <w:b/>
                <w:i/>
                <w:strike w:val="0"/>
                <w:color w:val="auto"/>
                <w:highlight w:val="none"/>
                <w:u w:val="none" w:color="auto"/>
                <w:vertAlign w:val="baseline"/>
              </w:rPr>
              <w:t xml:space="preserve">pauž satraukumu par to, ka 5. IAM ir viens no vismazāk finansētajiem IAM; </w:t>
            </w:r>
            <w:r>
              <w:t>nosoda aizvien pieaugošo sieviešu tiesību finansējuma deprioritizāciju un to, ka feministu tautas kustības un sieviešu tiesību organizācijas joprojām tiek sistemātiski nepietiekami finansētas, saņemot mazāk nekā 1 % no pasaules OAP</w:t>
            </w:r>
            <w:r>
              <w:rPr>
                <w:rStyle w:val="Sup"/>
              </w:rPr>
              <w:t>1.a</w:t>
            </w:r>
            <w:r>
              <w:t>;</w:t>
            </w:r>
            <w:r>
              <w:rPr>
                <w:b/>
                <w:i/>
                <w:strike w:val="0"/>
                <w:color w:val="auto"/>
                <w:highlight w:val="none"/>
                <w:u w:val="none" w:color="auto"/>
                <w:vertAlign w:val="baseline"/>
              </w:rPr>
              <w:t xml:space="preserve"> aicina Komisiju nodrošināt regulāru, pienācīgu un ilgtspējīgu finansējumu Eiropas programmām un organizācijām, kas darbojas dzimumu līdztiesības un sieviešu tiesību jomā;</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ODI politikas kopsavilkums “Kurp virzīt turpmāko feministisko ārpolitiku attiecībā uz feministisku kustību finansēšanu?”,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10.b</w:t>
            </w:r>
            <w:r>
              <w:tab/>
            </w:r>
            <w:r>
              <w:rPr>
                <w:b/>
                <w:i/>
                <w:strike w:val="0"/>
                <w:color w:val="auto"/>
                <w:highlight w:val="none"/>
                <w:u w:val="none" w:color="auto"/>
                <w:vertAlign w:val="baseline"/>
              </w:rPr>
              <w:t>pauž nopietnas bažas par dzimumu aparteīdu, kas tagad tiek īstenots Afganistānā; uzsver, ka 2,2 miljoniem meiteņu Afganistānā jau pašlaik ir liegta piekļuve izglītībai un šis skaits palielināsies līdz 4 miljoniem; aicina pasaules sabiedrību stingri nosodīt dzimumu aparteīdu Afganistānā un veikt visus nepieciešamos pasākumus, lai izbeigtu dzimumu aparteīdu un sauktu vainīgos pie atbildības;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10.c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10.c</w:t>
            </w:r>
            <w:r>
              <w:tab/>
            </w:r>
            <w:r>
              <w:t>pauž nožēlu par to, ka kopš dzimumu līdztiesības III rīcības plāna īstenošanas uzsākšanas tikai 3,8 % no visām dzimumvērīgām/mērķtiecīgām darbībām dzimumu līdztiesība ir bijusi galvenais mērķis, atpaliekot no NDICI regulā noteiktā 5 % mērķa</w:t>
            </w:r>
            <w:r>
              <w:rPr>
                <w:rStyle w:val="Sup"/>
              </w:rPr>
              <w:t>1.a</w:t>
            </w:r>
            <w:r>
              <w:t>:</w:t>
            </w:r>
            <w:r>
              <w:rPr>
                <w:b/>
                <w:i/>
                <w:strike w:val="0"/>
                <w:color w:val="auto"/>
                <w:highlight w:val="none"/>
                <w:u w:val="none" w:color="auto"/>
                <w:vertAlign w:val="baseline"/>
              </w:rPr>
              <w:t xml:space="preserve"> aicina dalībvalstis un Komisiju būtiski palielināt to ES darbību skaitu, kuru galvenais mērķis ir veicināt dzimumu līdztiesību, un sasniegt 5 % mērķi; aicina ES palielināt finansējumu daudzpusējiem fondiem dzimumu līdztiesības mērķiem, piemēram, UN Women, un seksuālajai un reproduktīvajai veselībai, piemēram, UNFPA un Pasaules fondam AIDS, tuberkulozes un malārijas apkarošanai;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Eiropas Parlamenta un Padomes Regula (ES) 2021/947 (2021. gada 9. jūnijs), ar ko izveido Kaimiņattiecību, attīstības sadarbības un starptautiskās sadarbības instrumentu “Eiropa pasaulē”, groza un atceļ Eiropas Parlamenta un Padomes Lēmumu Nr. 466/2014/ES un atceļ Eiropas Parlamenta un Padomes Regulu (ES) 2017/1601 un Padomes Regulu (EK, Euratom) Nr. 480/2009 (OV L 209, 14.6.2021., 1. lpp., ELI: http://data.europa.eu/eli/reg/2021/947/oj).</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aicina paātrināt centienus novērst vīriešu un sieviešu </w:t>
            </w:r>
            <w:r>
              <w:t>darba samaksas atšķirību, tostarp aprūpes nozarē,</w:t>
            </w:r>
            <w:r>
              <w:t xml:space="preserve"> un nodrošināt vienlīdzīgas līdzdalības un vadības iespējas publiskajā un privātajā sektorā;</w:t>
            </w:r>
          </w:p>
        </w:tc>
        <w:tc>
          <w:tcPr>
            <w:tcW w:w="4876" w:type="dxa"/>
            <w:vAlign w:val="top"/>
          </w:tcPr>
          <w:p>
            <w:pPr>
              <w:pStyle w:val="Normal6a"/>
            </w:pPr>
            <w:r>
              <w:t>11.</w:t>
            </w:r>
            <w:r>
              <w:tab/>
            </w:r>
            <w:r>
              <w:t xml:space="preserve">aicina paātrināt centienus novērst vīriešu un sieviešu </w:t>
            </w:r>
            <w:r>
              <w:t>nodarbinātības atšķirības un dzimumu darba samaksas un pensiju atšķirības un palielināt investīcijas sabiedriskajos pakalpojumos un sociālajā infrastruktūrā, un aicina apņemties virzīties uz aprūpes sabiedrību</w:t>
            </w:r>
            <w:r>
              <w:t>;</w:t>
            </w:r>
            <w:r>
              <w:rPr>
                <w:b/>
                <w:i/>
                <w:strike w:val="0"/>
                <w:color w:val="auto"/>
                <w:highlight w:val="none"/>
                <w:u w:val="none" w:color="auto"/>
                <w:vertAlign w:val="baseline"/>
              </w:rPr>
              <w:t xml:space="preserve"> </w:t>
            </w:r>
            <w:r>
              <w:t>prasa taisnīgāk novērtēt un atalgot darbu nozarēs, kurās dominē sievietes, īstenot darba samaksas pārredzamību un sociālās aizsardzības reformas un veicināt kvalitatīvas darbvietas, kurās nav seksuālas uzmākšanās un ar dzimumu saistītas vardarbības;</w:t>
            </w:r>
            <w:r>
              <w:rPr>
                <w:b/>
                <w:i/>
                <w:strike w:val="0"/>
                <w:color w:val="auto"/>
                <w:highlight w:val="none"/>
                <w:u w:val="none" w:color="auto"/>
                <w:vertAlign w:val="baseline"/>
              </w:rPr>
              <w:t xml:space="preserve"> </w:t>
            </w:r>
            <w:r>
              <w:t xml:space="preserve">aicina censties </w:t>
            </w:r>
            <w:r>
              <w:t>nodrošināt vienlīdzīgas līdzdalības un vadības iespējas publiskajā un privātajā sektorā</w:t>
            </w:r>
            <w:r>
              <w:t>, veicinot dzimumu līdzsvarotu pārstāvību atbildīgos amatos un lēmumu pieņemšanā un apkarojot seksismu publiskajā un privātajā sektorā;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11.a</w:t>
            </w:r>
            <w:r>
              <w:tab/>
            </w:r>
            <w:r>
              <w:rPr>
                <w:b/>
                <w:i/>
                <w:strike w:val="0"/>
                <w:color w:val="auto"/>
                <w:highlight w:val="none"/>
                <w:u w:val="none" w:color="auto"/>
                <w:vertAlign w:val="baseline"/>
              </w:rPr>
              <w:t>uzsver, ka ir jāveicina vienlīdzīga piekļuve izglītībai un finanšpratībai sievietēm un meitenēm, jo īpaši sievietēm un meitenēm no marginalizētām grupām, kuras skar diskriminācija; uzsver, ka šīs politikas mērķim jābūt veicināt vienlīdzīgas iespējas un palielināt sieviešu un meiteņu iespējas iegūt stabilu, labi apmaksātu un atalgotu darbu, kas garantē viņu finansiālo neatkarību; aicina nodrošināt sievietēm un meitenēm labāku piekļuvi digitālajiem rīkiem un apmācībai un stimulēt programmas un finansējumu sievietēm un meitenēm zinātnes, tehnoloģiju, inženierzinātņu un matemātikas (STEM) un uzņēmējdarbības studiju un aktivitāšu jomā;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11.b</w:t>
            </w:r>
            <w:r>
              <w:tab/>
            </w:r>
            <w:r>
              <w:rPr>
                <w:b/>
                <w:i/>
                <w:strike w:val="0"/>
                <w:color w:val="auto"/>
                <w:highlight w:val="none"/>
                <w:u w:val="none" w:color="auto"/>
                <w:vertAlign w:val="baseline"/>
              </w:rPr>
              <w:t>uzsver, ka Komisijas Sieviešu tiesību ceļvedis ir svarīgs, lai atkārtoti apliecinātu ES apņemšanos attiecībā uz dzimumu līdztiesību un izstrādātu jaunu dzimumu līdztiesības stratēģiju, kas tiks publicēta 2026. gadā; aicina vairāk iesaistīt dalībvalstis un īstenot visaptverošu pieeju, pievēršoties ar seksuālo un reproduktīvo veselību saistītiem pakalpojumiem, intersekcionālajai diskriminācijai un neaizsargātu sieviešu aizsardzībai;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11.c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11.c</w:t>
            </w:r>
            <w:r>
              <w:tab/>
            </w:r>
            <w:r>
              <w:rPr>
                <w:b/>
                <w:i/>
                <w:strike w:val="0"/>
                <w:color w:val="auto"/>
                <w:highlight w:val="none"/>
                <w:u w:val="none" w:color="auto"/>
                <w:vertAlign w:val="baseline"/>
              </w:rPr>
              <w:t>aicina ES Pamattiesību hartā iekļaut vispārējās tiesības uz piekļuvi drošiem un likumīgiem abortiem un ieviest juridiski saistošu regulējumu;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59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11.d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11.d</w:t>
            </w:r>
            <w:r>
              <w:tab/>
            </w:r>
            <w:r>
              <w:rPr>
                <w:b/>
                <w:i/>
                <w:strike w:val="0"/>
                <w:color w:val="auto"/>
                <w:highlight w:val="none"/>
                <w:u w:val="none" w:color="auto"/>
                <w:vertAlign w:val="baseline"/>
              </w:rPr>
              <w:t>atkārtoti norāda, ka SRVT ir cilvēka pamattiesības un to īstenošana ir būtisks cilvēka cieņas aspekts un priekšnoteikums dzimumu līdztiesības sasniegšanai; atgādina par ES apņemšanos veicināt, aizsargāt un īstenot ikvienas personas tiesības bez diskriminācijas, piespiešanas un vardarbības pilnībā kontrolēt un brīvi un atbildīgi lemt par jautājumiem, kas saistīti ar viņu seksualitāti un seksuālajām un reproduktīvajām tiesībām;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11.e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11.e</w:t>
            </w:r>
            <w:r>
              <w:tab/>
            </w:r>
            <w:r>
              <w:rPr>
                <w:b/>
                <w:i/>
                <w:strike w:val="0"/>
                <w:color w:val="auto"/>
                <w:highlight w:val="none"/>
                <w:u w:val="none" w:color="auto"/>
                <w:vertAlign w:val="baseline"/>
              </w:rPr>
              <w:t>uzsver, ka ir svarīgi nodrošināt piekļuvi uzticamiem datiem, kas balstīti uz stingriem statistikas pamatiem, un pilsoņu iesaisti kā instrumentu, lai nodrošinātu, ka neviens netiek atstāts novārtā; uzskata, ka tas ir būtiski, lai apzinātu atšķirības starp valstīm un reģioniem, izstrādātu politiku un novērtētu progresu globālajās dzimumu līdztiesības iniciatīvās;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11.f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11.f</w:t>
            </w:r>
            <w:r>
              <w:tab/>
            </w:r>
            <w:r>
              <w:rPr>
                <w:b/>
                <w:i/>
                <w:strike w:val="0"/>
                <w:color w:val="auto"/>
                <w:highlight w:val="none"/>
                <w:u w:val="none" w:color="auto"/>
                <w:vertAlign w:val="baseline"/>
              </w:rPr>
              <w:t>aicina spēcīgāk veicināt ikvienas sievietes tiesības uz profesionālās un privātās dzīves līdzsvarošanu, šajā nolūkā veicinot kopīgu atbildību un tādus darba apstākļus, kas atvieglo privātās, ģimenes un darba dzīves saskaņošanu;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11.g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11.g</w:t>
            </w:r>
            <w:r>
              <w:tab/>
            </w:r>
            <w:r>
              <w:rPr>
                <w:b/>
                <w:i/>
                <w:strike w:val="0"/>
                <w:color w:val="auto"/>
                <w:highlight w:val="none"/>
                <w:u w:val="none" w:color="auto"/>
                <w:vertAlign w:val="baseline"/>
              </w:rPr>
              <w:t>pauž satraukumu par SRVT pastāvīgo atcelšanu un uzbrukumiem seksuālās un reproduktīvās veselības un ar to saistīto tiesību aizstāvjiem Eiropā un pasaulē; aicina īstenot stingrus Eiropas centienus, lai aizsargātu mūsu pamatvērtības, piemēram, vienlīdzīgas tiesības uz ķermeņa autonomiju, un īstenot stingrāku politiku, lai visām sievietēm un meitenēm garantētu vispārēju piekļuvi seksuālās un reproduktīvās veselības pakalpojumiem, tostarp informācijai par ģimenes plānošanu, cenas ziņā pieejamai kontracepcijai, bezmaksas, drošiem un likumīgiem abortiem un mātes veselības aprūpei;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11.h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11.h</w:t>
            </w:r>
            <w:r>
              <w:tab/>
            </w:r>
            <w:r>
              <w:rPr>
                <w:b/>
                <w:i/>
                <w:strike w:val="0"/>
                <w:color w:val="auto"/>
                <w:highlight w:val="none"/>
                <w:u w:val="none" w:color="auto"/>
                <w:vertAlign w:val="baseline"/>
              </w:rPr>
              <w:t>aicina īstenot stingrāku politiku un darbības, lai veicinātu piekļuvi zemei, kredītiem, uzņēmējdarbībai un izglītībai, kā arī nodarbinātībai un veselībai, jo īpaši sievietēm un meitenēm neaizsargātības apstākļos, sievietēm ar invaliditāti, grūtniecēm un sievietēm lauku, salu un tālākajos reģionos;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11.i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11.i</w:t>
            </w:r>
            <w:r>
              <w:tab/>
            </w:r>
            <w:r>
              <w:rPr>
                <w:b/>
                <w:i/>
                <w:strike w:val="0"/>
                <w:color w:val="auto"/>
                <w:highlight w:val="none"/>
                <w:u w:val="none" w:color="auto"/>
                <w:vertAlign w:val="baseline"/>
              </w:rPr>
              <w:t>aicina dalībvalstis nodrošināt obligātu, uz pierādījumiem balstītu visaptverošu dzimumizglītību un attiecību izglītību pamatskolās un vidusskolās, lai apkarotu ar dzimumu saistītu vardarbību un dzimumu stereotipus; uzsver, ka investīcijas meiteņu izglītībā sniedz lielu atdevi nākamajām paaudzēm, tieši veicinot viņu pamattiesību īstenošanu un aizsardzību pret visu veidu vardarbību, kā arī veicinot visai sabiedrībai labklājības līmeņa uzlabošanu; šajā sakarā aicina Komisiju nākt klajā ar ES vadlīnijām par visaptverošu un uz pierādījumiem balstītu dzimumaudzināšanu, pamatojoties uz PVO standartiem, un veicināt labas prakses apmaiņu starp dalībvalstīm šajā jomā;</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11.j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11.j</w:t>
            </w:r>
            <w:r>
              <w:tab/>
            </w:r>
            <w:r>
              <w:rPr>
                <w:b/>
                <w:i/>
                <w:strike w:val="0"/>
                <w:color w:val="auto"/>
                <w:highlight w:val="none"/>
                <w:u w:val="none" w:color="auto"/>
                <w:vertAlign w:val="baseline"/>
              </w:rPr>
              <w:t>mudina Komisiju beigt finansēt tādas darbības ES un ārpus tās, kas veicina jebkāda veida sieviešu apspiešanu, ieskaitot kampaņas pret pamattiesībām, tostarp sieviešu tiesībām un SRVT;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11.k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11.k</w:t>
            </w:r>
            <w:r>
              <w:tab/>
            </w:r>
            <w:r>
              <w:rPr>
                <w:b/>
                <w:i/>
                <w:strike w:val="0"/>
                <w:color w:val="auto"/>
                <w:highlight w:val="none"/>
                <w:u w:val="none" w:color="auto"/>
                <w:vertAlign w:val="baseline"/>
              </w:rPr>
              <w:t xml:space="preserve">pauž nožēlu par LGBTIQ+ tiesību regresu un transfobiju, kas apdraud dzimumu līdztiesību; </w:t>
            </w:r>
            <w:r>
              <w:t>nosoda to, ka 2021. un 2022. gadā vien trīs pret LGBTIK+ vērstas organizācijas ziņoja par ienākumiem 1 miljarda USD apmērā — salīdzinājumā ar 8000 globālajiem LGBTIK+ dotāciju saņēmējiem, kas kopumā saņēma 905 miljonus USD</w:t>
            </w:r>
            <w:r>
              <w:rPr>
                <w:rStyle w:val="Sup"/>
              </w:rPr>
              <w:t>1.a</w:t>
            </w:r>
            <w:r>
              <w:t>;</w:t>
            </w:r>
            <w:r>
              <w:rPr>
                <w:b/>
                <w:i/>
                <w:strike w:val="0"/>
                <w:color w:val="auto"/>
                <w:highlight w:val="none"/>
                <w:u w:val="none" w:color="auto"/>
                <w:vertAlign w:val="baseline"/>
              </w:rPr>
              <w:t xml:space="preserve"> brīdina par satraucošo pret dzimumu līdztiesību vērsta finansējuma pieaugumu, kura mērķis ir novērst pēdējās desmitgadēs panāktos sieviešu un LGBTIQ+ tiesību progresīvos sasniegumus;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ODI politikas kopsavilkums “Kurp virzīt turpmāko feministisko ārpolitiku attiecībā uz feministisku kustību finansēšanu?”, https://media.odi.org/documents/ODI-ET-FundingMovements-PB-EN-May24-Final.pdf.</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11.l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11.l</w:t>
            </w:r>
            <w:r>
              <w:tab/>
            </w:r>
            <w:r>
              <w:rPr>
                <w:b/>
                <w:i/>
                <w:strike w:val="0"/>
                <w:color w:val="auto"/>
                <w:highlight w:val="none"/>
                <w:u w:val="none" w:color="auto"/>
                <w:vertAlign w:val="baseline"/>
              </w:rPr>
              <w:t>aicina ES aizliegt konversijas centrus dalībvalstīs un darīt visu iespējamo, lai visā pasaulē novērstu šādu praksi;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11.m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11.m</w:t>
            </w:r>
            <w:r>
              <w:tab/>
            </w:r>
            <w:r>
              <w:rPr>
                <w:b/>
                <w:i/>
                <w:strike w:val="0"/>
                <w:color w:val="auto"/>
                <w:highlight w:val="none"/>
                <w:u w:val="none" w:color="auto"/>
                <w:vertAlign w:val="baseline"/>
              </w:rPr>
              <w:t>aicina ES noteikt konkrētu finansējuma mērķi, lai atbalstītu sieviešu tiesības un LGBTIQ+ organizācijas, feministu kustības un cilvēktiesību aizstāvjus Eiropā un pasaulē; uzsver, ka ir jāizveido cilvēktiesību aizstāvju aizsardzības mehānisms ES, īpašu uzmanību pievēršot sievietēm, LGBTIQ+ personām un SRVT cilvēktiesību aizstāvjiem;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69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12.a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norāda, ka centienos sasniegt IAM būtu jāuzsver politika, ar kuru veicina inovāciju, uzņēmējdarbību un zaļo darbvietu radīšanu, kas galu galā virzīs plašāku IAM sasniegšanu un dzimumu līdztiesību;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aicina īstenot stingrāku politiku un drosmīgus pasākumus, lai veicinātu iekļaujošu un ilgtspējīgu ekonomikas attīstību; mudina ES un globālos partnerus izmantot tādus instrumentus kā “Global Gateway”, lai radītu pienācīgas kvalitātes darbvietas, kas samazinās ienākumu nevienlīdzību un nodrošinās, ka neviens netiek atstāts novārtā;</w:t>
            </w:r>
          </w:p>
        </w:tc>
        <w:tc>
          <w:tcPr>
            <w:tcW w:w="4876" w:type="dxa"/>
            <w:vAlign w:val="top"/>
          </w:tcPr>
          <w:p>
            <w:pPr>
              <w:pStyle w:val="Normal6a"/>
            </w:pPr>
            <w:r>
              <w:t>13.</w:t>
            </w:r>
            <w:r>
              <w:tab/>
            </w:r>
            <w:r>
              <w:t>aicina īstenot stingrāku politiku un drosmīgus pasākumus, lai veicinātu iekļaujošu un ilgtspējīgu ekonomikas attīstību; mudina ES un globālos partnerus izmantot tādus instrumentus kā “Global Gateway”, lai radītu pienācīgas kvalitātes darbvietas, kas samazinās ienākumu nevienlīdzību un nodrošinās, ka neviens netiek atstāts novārtā;</w:t>
            </w:r>
            <w:r>
              <w:rPr>
                <w:b/>
                <w:i/>
                <w:strike w:val="0"/>
                <w:color w:val="auto"/>
                <w:highlight w:val="none"/>
                <w:u w:val="none" w:color="auto"/>
                <w:vertAlign w:val="baseline"/>
              </w:rPr>
              <w:t xml:space="preserve"> aicina censties nodrošināt, ka tiek uzklausīti to personu viedokļi, kuras, visticamāk, tiks atstātas novārtā, un piešķirt prioritāti cīņai pret nabadzību un nestabiliem darba apstākļiem, īpašu uzmanību pievēršot sievietēm, kas saskaras ar intersekcionāliem diskriminācijas veidiem;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13.a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13.a</w:t>
            </w:r>
            <w:r>
              <w:tab/>
            </w:r>
            <w:r>
              <w:rPr>
                <w:b/>
                <w:i/>
                <w:strike w:val="0"/>
                <w:color w:val="auto"/>
                <w:highlight w:val="none"/>
                <w:u w:val="none" w:color="auto"/>
                <w:vertAlign w:val="baseline"/>
              </w:rPr>
              <w:t>uzsver, ka lielākā daļa neapmaksāta aprūpes darba joprojām ir tikai slogs sievietēm un tas negatīvi ietekmē dzimumu atšķirības profesionālajā jomā, ekonomisko neatkarību un sabiedrības labklājību; aicina ES izstrādāt īpašus pasākumus, lai atzītu aprūpes darbu un sniegtu pienācīgus sabiedriskos labklājības pakalpojumus tā atbalstam;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14.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 xml:space="preserve">pauž bažas par to, ka ekonomikas izaugsme daudzās jaunattīstības valstīs joprojām ir lēna un nevienmērīga un to bieži kavē strukturālas nepilnības, ekonomiskā nevienlīdzība, politiskā nestabilitāte </w:t>
            </w:r>
            <w:r>
              <w:t>un</w:t>
            </w:r>
            <w:r>
              <w:t xml:space="preserve"> ārēji satricinājumi;</w:t>
            </w:r>
          </w:p>
        </w:tc>
        <w:tc>
          <w:tcPr>
            <w:tcW w:w="4876" w:type="dxa"/>
            <w:vAlign w:val="top"/>
          </w:tcPr>
          <w:p>
            <w:pPr>
              <w:pStyle w:val="Normal6a"/>
            </w:pPr>
            <w:r>
              <w:t>14.</w:t>
            </w:r>
            <w:r>
              <w:tab/>
            </w:r>
            <w:r>
              <w:t>pauž bažas par to, ka ekonomikas izaugsme daudzās jaunattīstības valstīs joprojām ir lēna un nevienmērīga un to bieži kavē strukturālas nepilnības, ekonomiskā</w:t>
            </w:r>
            <w:r>
              <w:t>, sociālā un dzimumu</w:t>
            </w:r>
            <w:r>
              <w:t xml:space="preserve"> </w:t>
            </w:r>
            <w:r>
              <w:t>nevienlīdzība, politiskā nestabilitāte</w:t>
            </w:r>
            <w:r>
              <w:t>,</w:t>
            </w:r>
            <w:r>
              <w:t xml:space="preserve"> ārēji satricinājumi </w:t>
            </w:r>
            <w:r>
              <w:t>un ārvalstu iejaukšanās</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14.a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14.a</w:t>
            </w:r>
            <w:r>
              <w:tab/>
            </w:r>
            <w:r>
              <w:rPr>
                <w:b/>
                <w:i/>
                <w:strike w:val="0"/>
                <w:color w:val="auto"/>
                <w:highlight w:val="none"/>
                <w:u w:val="none" w:color="auto"/>
                <w:vertAlign w:val="baseline"/>
              </w:rPr>
              <w:t>pauž bažas par to, ka ES turpina palielināties dzimumu nevienlīdzība attiecībā uz darba tirgu; atgādina, ka ES kohēzijas politikā ir jāsaglabā un jāstiprina dzimumu līdztiesības aspekta integrēšana un budžeta plānošana, lai novērstu dzimumu nodarbinātības atšķirības;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15.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iesaka palielināt publiskos un privātos ieguldījumus pētniecībā, izglītībā un prasmju pilnveidē;</w:t>
            </w:r>
          </w:p>
        </w:tc>
        <w:tc>
          <w:tcPr>
            <w:tcW w:w="4876" w:type="dxa"/>
            <w:vAlign w:val="top"/>
          </w:tcPr>
          <w:p>
            <w:pPr>
              <w:pStyle w:val="Normal6a"/>
            </w:pPr>
            <w:r>
              <w:t>15.</w:t>
            </w:r>
            <w:r>
              <w:tab/>
            </w:r>
            <w:r>
              <w:t>iesaka palielināt publiskos un privātos ieguldījumus pētniecībā, izglītībā un prasmju pilnveidē;</w:t>
            </w:r>
            <w:r>
              <w:rPr>
                <w:b/>
                <w:i/>
                <w:strike w:val="0"/>
                <w:color w:val="auto"/>
                <w:highlight w:val="none"/>
                <w:u w:val="none" w:color="auto"/>
                <w:vertAlign w:val="baseline"/>
              </w:rPr>
              <w:t xml:space="preserve"> aicina ES veicināt apmācību un kvalitatīvu nodarbinātību taisnīgas pārkārtošanās nolūkā, īpašu uzmanību pievēršot sistemātiski atstumtām un nelabvēlīgā situācijā esošām grupām, tostarp sievietēm un LGBTIQ+ kopienai;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16.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uzsver, ka iniciatīvas, kuru mērķis ir veicināt ekonomikas izaugsmi, nedrīkst īstenot uz sociālā taisnīguma, darba tiesību vai vides aizsardzības rēķina;</w:t>
            </w:r>
          </w:p>
        </w:tc>
        <w:tc>
          <w:tcPr>
            <w:tcW w:w="4876" w:type="dxa"/>
            <w:vAlign w:val="top"/>
          </w:tcPr>
          <w:p>
            <w:pPr>
              <w:pStyle w:val="Normal6a"/>
            </w:pPr>
            <w:r>
              <w:t>16.</w:t>
            </w:r>
            <w:r>
              <w:tab/>
            </w:r>
            <w:r>
              <w:t xml:space="preserve">uzsver, ka iniciatīvas, kuru mērķis ir veicināt ekonomikas izaugsmi, nedrīkst notikt uz sociālā taisnīguma, </w:t>
            </w:r>
            <w:r>
              <w:t>dzimumu līdztiesības,</w:t>
            </w:r>
            <w:r>
              <w:t xml:space="preserve"> darba tiesību vai vides aizsardzības rēķina</w:t>
            </w:r>
            <w:r>
              <w:t>, jo īpaši tāpēc, ka sievietes un personas no minoritāšu grupām visvairāk cieš no nevienlīdzības, ko rada ekonomikas izaugsme</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16.a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16.a</w:t>
            </w:r>
            <w:r>
              <w:tab/>
            </w:r>
            <w:r>
              <w:rPr>
                <w:b/>
                <w:i/>
                <w:strike w:val="0"/>
                <w:color w:val="auto"/>
                <w:highlight w:val="none"/>
                <w:u w:val="none" w:color="auto"/>
                <w:vertAlign w:val="baseline"/>
              </w:rPr>
              <w:t>uzsver, ka sieviešu un jauniešu bezdarba līmenis globāli joprojām ir atšķirīgs un ka visā pasaulē jaunām sievietēm ir vairāk nekā divas reizes lielākas izredzes nonākt NEET situācijā (jaunieši, kas nemācās, nestrādā un neapgūst arodu) salīdzinājumā ar jauniem vīriešiem; atzīst, ka dzimumu līdztiesības veicināšana izglītībā, apmācībā, darba tirgū un darba un privātās dzīves līdzsvara politikā var palielināt labklājību un uzlabot ekonomikas konkurētspēju, vienlaikus izvairoties no līdzekļu un talantu nepietiekamas izmantošanas;</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77</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16.b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16.b</w:t>
            </w:r>
            <w:r>
              <w:tab/>
            </w:r>
            <w:r>
              <w:rPr>
                <w:b/>
                <w:i/>
                <w:strike w:val="0"/>
                <w:color w:val="auto"/>
                <w:highlight w:val="none"/>
                <w:u w:val="none" w:color="auto"/>
                <w:vertAlign w:val="baseline"/>
              </w:rPr>
              <w:t>atgādina, ka ir būtiski radīt stimulus uzņēmumiem saskaņot savu darbību ar IAM, vienlaikus nodrošinot, ka tirgus joprojām ir konkurētspējīgs un spēj veicināt inovāciju ilgtspējīgā attīstībā attiecībā uz sievietēm un meitenēm;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78</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17.a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17.a</w:t>
            </w:r>
            <w:r>
              <w:tab/>
            </w:r>
            <w:r>
              <w:rPr>
                <w:b/>
                <w:i/>
                <w:strike w:val="0"/>
                <w:color w:val="auto"/>
                <w:highlight w:val="none"/>
                <w:u w:val="none" w:color="auto"/>
                <w:vertAlign w:val="baseline"/>
              </w:rPr>
              <w:t>uzsver vides degradācijas, jo īpaši plastmasas piesārņojuma, nesamērīgo ietekmi uz sievietēm un meitenēm; aicina palielināt resursus pētījumiem par (mikro-) plastmasas piesārņojuma ietekmi uz sieviešu hormonālo sistēmu un iespējamo ietekmi uz auglību;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79</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19.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uzskata, ka steidzami ir jāveic saistoši globāli pasākumi, lai novērstu trūkumus, paātrinātu rīcību un nodrošinātu okeānu ilgtermiņa ilgtspēju, tostarp izmantojot ilgtspējīgu zvejas praksi, apkarojot nelegālu, nereģistrētu un neregulētu zveju, pastiprinot jūras saglabāšanas centienus </w:t>
            </w:r>
            <w:r>
              <w:t>un</w:t>
            </w:r>
            <w:r>
              <w:t xml:space="preserve"> pieņemot globālu līgumu par plastmasas piesārņojumu;</w:t>
            </w:r>
          </w:p>
        </w:tc>
        <w:tc>
          <w:tcPr>
            <w:tcW w:w="4876" w:type="dxa"/>
            <w:vAlign w:val="top"/>
          </w:tcPr>
          <w:p>
            <w:pPr>
              <w:pStyle w:val="Normal6a"/>
            </w:pPr>
            <w:r>
              <w:t>19.</w:t>
            </w:r>
            <w:r>
              <w:tab/>
            </w:r>
            <w:r>
              <w:t xml:space="preserve">uzskata, ka steidzami ir jāveic saistoši globāli pasākumi, lai novērstu trūkumus, paātrinātu rīcību un nodrošinātu okeānu ilgtermiņa ilgtspēju, tostarp izmantojot ilgtspējīgu zvejas praksi, apkarojot nelegālu, nereģistrētu un neregulētu zveju, pastiprinot jūras saglabāšanas centienus </w:t>
            </w:r>
            <w:r>
              <w:t>ar aizsargājamo jūras teritoriju efektīvu aizsardzību,</w:t>
            </w:r>
            <w:r>
              <w:t xml:space="preserve"> pieņemot globālu līgumu par plastmasas piesārņojumu </w:t>
            </w:r>
            <w:r>
              <w:t>un aizsargājot mazapjoma zvejnieku tiesības un piekļuvi zvejas resursiem un tirgiem, nodrošinot, ka sievietes un vīrieši nerūpnieciskajā zvejā vienlīdzīgi un efektīvi piedalās tādu lēmumu pieņemšanā, kas viņus ietekmē</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80</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19.a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19.a</w:t>
            </w:r>
            <w:r>
              <w:tab/>
            </w:r>
            <w:r>
              <w:rPr>
                <w:b/>
                <w:i/>
                <w:strike w:val="0"/>
                <w:color w:val="auto"/>
                <w:highlight w:val="none"/>
                <w:u w:val="none" w:color="auto"/>
                <w:vertAlign w:val="baseline"/>
              </w:rPr>
              <w:t>uzsver, ka jo īpaši ir jāatzīst sieviešu darbs un devums mazapjoma zvejas vērtības ķēdē un ka ir jāuzlabo viņu darba apstākļi;</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81</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19.b punkts (jauns)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19.b</w:t>
            </w:r>
            <w:r>
              <w:tab/>
            </w:r>
            <w:r>
              <w:t>uzsver, ka ir jāuzlabo dzimumu līdztiesība okeānu pārvaldībā, saimnieciskajās darbībās (piemēram, tūrismā, jūras transportā vai zivsaimniecībā) un okeānu zinātnē</w:t>
            </w:r>
            <w:r>
              <w:rPr>
                <w:rStyle w:val="Sup"/>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
              </w:rPr>
              <w:t>1a</w:t>
            </w:r>
            <w:r>
              <w:t xml:space="preserve"> </w:t>
            </w:r>
            <w:r>
              <w:rPr>
                <w:b/>
                <w:i/>
                <w:strike w:val="0"/>
                <w:color w:val="auto"/>
                <w:highlight w:val="none"/>
                <w:u w:val="none" w:color="auto"/>
                <w:vertAlign w:val="baseline"/>
              </w:rPr>
              <w:t>UNESCO, “Dzimumu līdztiesība okeāna ilgtspējai”, https://www.unesco.org/en/articles/gender-equality-ocean-sustainability.</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82</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20.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aicina ES turpināt iestāties par multilaterālismu un nodrošināt globālu līderību IAM un Programmas 2030. gadam īstenošanas veicināšanā; uzsver, ka aktīva atkārtota apņemšanās sasniegt IAM būs skaidrs signāls partneriem visā pasaulē un sekmēs ES globālo rīcību;</w:t>
            </w:r>
          </w:p>
        </w:tc>
        <w:tc>
          <w:tcPr>
            <w:tcW w:w="4876" w:type="dxa"/>
            <w:vAlign w:val="top"/>
          </w:tcPr>
          <w:p>
            <w:pPr>
              <w:pStyle w:val="Normal6a"/>
            </w:pPr>
            <w:r>
              <w:t>20.</w:t>
            </w:r>
            <w:r>
              <w:tab/>
            </w:r>
            <w:r>
              <w:t>aicina ES turpināt iestāties par multilaterālismu un nodrošināt globālu līderību IAM un Programmas 2030. gadam īstenošanas veicināšanā; uzsver, ka aktīva atkārtota apņemšanās sasniegt IAM būs skaidrs signāls partneriem visā pasaulē un sekmēs ES globālo rīcību;</w:t>
            </w:r>
            <w:r>
              <w:rPr>
                <w:b/>
                <w:i/>
                <w:strike w:val="0"/>
                <w:color w:val="auto"/>
                <w:highlight w:val="none"/>
                <w:u w:val="none" w:color="auto"/>
                <w:vertAlign w:val="baseline"/>
              </w:rPr>
              <w:t xml:space="preserve"> uzsver, ka šāda aktīva atkārtota apņemšanās ir jāpapildina ar konkrētiem ES pasākumiem un ka tai ir jānodrošina, ka dzimumu līdztiesība ir neatņemama daļa divpusējos un daudzpusējos politiskajos dialogos ar partnervalstīm;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83</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21.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atkārtoti apstiprina, ka oficiālā attīstības palīdzība (OAP) joprojām ir būtisks publiskā finansējuma avots; tādēļ aicina visas ES dalībvalstis un globālos partnerus nodrošināt, ka tiek atvēlēts pietiekams finansējums, lai izpildītu apņemšanos 0,7 % no nacionālā kopienākuma tērēt OAP;</w:t>
            </w:r>
          </w:p>
        </w:tc>
        <w:tc>
          <w:tcPr>
            <w:tcW w:w="4876" w:type="dxa"/>
            <w:vAlign w:val="top"/>
          </w:tcPr>
          <w:p>
            <w:pPr>
              <w:pStyle w:val="Normal6a"/>
            </w:pPr>
            <w:r>
              <w:t>21.</w:t>
            </w:r>
            <w:r>
              <w:tab/>
            </w:r>
            <w:r>
              <w:t xml:space="preserve">atkārtoti apstiprina, </w:t>
            </w:r>
            <w:r>
              <w:t>ka IAM tiks sasniegti tikai tad, ja tos finansēs pietiekamā un ilgtspējīgā veidā, un</w:t>
            </w:r>
            <w:r>
              <w:t xml:space="preserve"> </w:t>
            </w:r>
            <w:r>
              <w:t>ka oficiālā attīstības palīdzība (OAP) joprojām ir būtisks publiskā finansējuma avots; tādēļ aicina visas ES dalībvalstis un globālos partnerus nodrošināt, ka tiek atvēlēts pietiekams finansējums, lai izpildītu apņemšanos 0,7 % no nacionālā kopienākuma tērēt OAP</w:t>
            </w:r>
            <w:r>
              <w:t>, ņemot vērā, ka tikai 4 no 21 dalībvalsts, kas ir Attīstības palīdzības komitejas locekles, ievēro šo starptautisko apņemšanos</w:t>
            </w:r>
            <w:r>
              <w:t>;</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84</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22.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uzsver, ka ārkārtīgi būtiska nozīme ir daudzu ieinteresēto personu partnerībām un vietējo pašvaldību, pilsoniskās sabiedrības un jaunatnes pārstāvju iesaistei;</w:t>
            </w:r>
          </w:p>
        </w:tc>
        <w:tc>
          <w:tcPr>
            <w:tcW w:w="4876" w:type="dxa"/>
            <w:vAlign w:val="top"/>
          </w:tcPr>
          <w:p>
            <w:pPr>
              <w:pStyle w:val="Normal6a"/>
            </w:pPr>
            <w:r>
              <w:t>22.</w:t>
            </w:r>
            <w:r>
              <w:tab/>
            </w:r>
            <w:r>
              <w:t>uzsver, ka ārkārtīgi būtiska nozīme ir daudzu ieinteresēto personu partnerībām un vietējo pašvaldību, pilsoniskās sabiedrības un jaunatnes pārstāvju iesaistei;</w:t>
            </w:r>
            <w:r>
              <w:rPr>
                <w:b/>
                <w:i/>
                <w:strike w:val="0"/>
                <w:color w:val="auto"/>
                <w:highlight w:val="none"/>
                <w:u w:val="none" w:color="auto"/>
                <w:vertAlign w:val="baseline"/>
              </w:rPr>
              <w:t xml:space="preserve"> atkārtoti norāda, ka pilsoniskās sabiedrības organizācijas (PSO) ir būtiski dalībnieki dinamiskās demokrātijās, un uzsver, ka IAM, jo īpaši 5. IAM, nevar sasniegt bez partnerības ar pilsoniskās sabiedrības organizācijām, tostarp vietējām sieviešu un LGBTIQ+ organizācijām; šajā sakarā pauž nožēlu par pieaugošajiem nepamatotajiem uzbrukumiem pilsoniskās sabiedrības organizācijām un par pilsonisko telpu slēgšanu gan Eiropā, gan visā pasaulē; šajā sakarā uzsver nepieciešamību nodrošināt regulāru, pienācīgu un ilgtspējīgu finansējumu pilsoniskās sabiedrības organizācijām un uzturēt atklātu, pārredzamu un strukturētu dialogu ar pilsoniskās sabiedrības organizācijām;</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85</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23.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prasa atvieglot jaunattīstības valstu parādus un tos pārstrukturēt, kā arī veikt globālo finanšu iestāžu, tostarp daudzpusējo attīstības banku, reformas, lai to darbu pielāgotu IAM īstenošanai;</w:t>
            </w:r>
          </w:p>
        </w:tc>
        <w:tc>
          <w:tcPr>
            <w:tcW w:w="4876" w:type="dxa"/>
            <w:vAlign w:val="top"/>
          </w:tcPr>
          <w:p>
            <w:pPr>
              <w:pStyle w:val="Normal6a"/>
            </w:pPr>
            <w:r>
              <w:t>23.</w:t>
            </w:r>
            <w:r>
              <w:tab/>
            </w:r>
            <w:r>
              <w:t>prasa atvieglot jaunattīstības valstu parādus un tos pārstrukturēt, kā arī veikt globālo finanšu iestāžu, tostarp daudzpusējo attīstības banku, reformas, lai to darbu pielāgotu IAM īstenošanai</w:t>
            </w:r>
            <w:r>
              <w:t xml:space="preserve"> un samazinātu ekonomisko, sociālo un dzimumu nevienlīdzību</w:t>
            </w:r>
            <w:r>
              <w:t>;</w:t>
            </w:r>
            <w:r>
              <w:rPr>
                <w:b/>
                <w:i/>
                <w:strike w:val="0"/>
                <w:color w:val="auto"/>
                <w:highlight w:val="none"/>
                <w:u w:val="none" w:color="auto"/>
                <w:vertAlign w:val="baseline"/>
              </w:rPr>
              <w:t xml:space="preserve"> </w:t>
            </w:r>
            <w:r>
              <w:t>aicina Ceturtās starptautiskās konferences par attīstības finansēšanu noslēguma dokumentā iekļaut spēcīgāku dzimumu perspektīvu;</w:t>
            </w:r>
          </w:p>
        </w:tc>
      </w:tr>
    </w:tbl>
    <w:p>
      <w:r>
        <w:rPr>
          <w:rStyle w:val="HideTWBExt"/>
        </w:rPr>
        <w:t>&lt;/</w:t>
      </w:r>
      <w:r>
        <w:rPr>
          <w:rStyle w:val="HideTWBExt"/>
        </w:rPr>
        <w:t>Amend</w:t>
      </w:r>
      <w:r>
        <w:rPr>
          <w:rStyle w:val="HideTWBExt"/>
        </w:rPr>
        <w:t>&gt;</w:t>
      </w:r>
    </w:p>
    <w:p>
      <w:pPr>
        <w:pStyle w:val="AmNumberTabs"/>
      </w:pPr>
      <w:r>
        <w:rPr>
          <w:rStyle w:val="HideTWBExt"/>
        </w:rPr>
        <w:t>&lt;</w:t>
      </w:r>
      <w:r>
        <w:rPr>
          <w:rStyle w:val="HideTWBExt"/>
        </w:rPr>
        <w:t>Amend</w:t>
      </w:r>
      <w:r>
        <w:rPr>
          <w:rStyle w:val="HideTWBExt"/>
        </w:rPr>
        <w:t>&gt;</w:t>
      </w:r>
      <w:r>
        <w:t>Grozījums Nr.</w:t>
      </w:r>
      <w:r>
        <w:tab/>
      </w:r>
      <w:r>
        <w:tab/>
      </w:r>
      <w:r>
        <w:rPr>
          <w:rStyle w:val="HideTWBExt"/>
        </w:rPr>
        <w:t>&lt;</w:t>
      </w:r>
      <w:r>
        <w:rPr>
          <w:rStyle w:val="HideTWBExt"/>
        </w:rPr>
        <w:t>NumAm</w:t>
      </w:r>
      <w:r>
        <w:rPr>
          <w:rStyle w:val="HideTWBExt"/>
        </w:rPr>
        <w:t>&gt;</w:t>
      </w:r>
      <w:r>
        <w:t>86</w:t>
      </w:r>
      <w:r>
        <w:rPr>
          <w:rStyle w:val="HideTWBExt"/>
        </w:rPr>
        <w:t>&lt;/</w:t>
      </w:r>
      <w:r>
        <w:rPr>
          <w:rStyle w:val="HideTWBExt"/>
        </w:rPr>
        <w:t>NumAm</w:t>
      </w:r>
      <w:r>
        <w:rPr>
          <w:rStyle w:val="HideTWBExt"/>
        </w:rPr>
        <w:t>&gt;</w:t>
      </w:r>
    </w:p>
    <w:p>
      <w:pPr>
        <w:pStyle w:val="NormalBold12b"/>
      </w:pPr>
      <w:r>
        <w:rPr>
          <w:rStyle w:val="HideTWBExt"/>
        </w:rPr>
        <w:t>&lt;</w:t>
      </w:r>
      <w:r>
        <w:rPr>
          <w:rStyle w:val="HideTWBExt"/>
        </w:rPr>
        <w:t>DocAmend</w:t>
      </w:r>
      <w:r>
        <w:rPr>
          <w:rStyle w:val="HideTWBExt"/>
        </w:rPr>
        <w:t>&gt;</w:t>
      </w:r>
      <w:r>
        <w:t>Rezolūcijas priekšlikums</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26. punkts</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Rezolūcijas priekšlikums</w:t>
            </w:r>
          </w:p>
        </w:tc>
        <w:tc>
          <w:tcPr>
            <w:tcW w:w="4876" w:type="dxa"/>
            <w:vAlign w:val="top"/>
          </w:tcPr>
          <w:p>
            <w:pPr>
              <w:pStyle w:val="AmColumnHeading"/>
            </w:pPr>
            <w:r>
              <w:t>Grozījums</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atkārtoti norāda, ka IAM ir vienīgais globāli saskaņotais un visaptverošais mērķu kopums attiecībā uz galvenajām problēmām, ar kurām saskaras gan attīstītās, gan jaunattīstības valstis, un tie ir labākais instruments šo problēmu pamatcēloņu novēršanai;</w:t>
            </w:r>
          </w:p>
        </w:tc>
        <w:tc>
          <w:tcPr>
            <w:tcW w:w="4876" w:type="dxa"/>
            <w:vAlign w:val="top"/>
          </w:tcPr>
          <w:p>
            <w:pPr>
              <w:pStyle w:val="Normal6a"/>
            </w:pPr>
            <w:r>
              <w:t>26.</w:t>
            </w:r>
            <w:r>
              <w:tab/>
            </w:r>
            <w:r>
              <w:t>atkārtoti norāda, ka IAM ir vienīgais globāli saskaņotais un visaptverošais mērķu kopums attiecībā uz galvenajām problēmām, ar kurām saskaras gan attīstītās, gan jaunattīstības valstis, un tie ir labākais instruments šo problēmu pamatcēloņu novēršanai;</w:t>
            </w:r>
            <w:r>
              <w:rPr>
                <w:b/>
                <w:i/>
                <w:strike w:val="0"/>
                <w:color w:val="auto"/>
                <w:highlight w:val="none"/>
                <w:u w:val="none" w:color="auto"/>
                <w:vertAlign w:val="baseline"/>
              </w:rPr>
              <w:t xml:space="preserve"> mudina Komisiju un dalībvalstis strādāt pie tā, lai IAM tiktu pilnībā īstenoti gan ES, gan ārpus tās kā universāls satvars;</w:t>
            </w:r>
          </w:p>
        </w:tc>
      </w:tr>
    </w:tbl>
    <w:p>
      <w:r>
        <w:rPr>
          <w:rStyle w:val="HideTWBExt"/>
        </w:rPr>
        <w:t>&lt;/</w:t>
      </w:r>
      <w:r>
        <w:rPr>
          <w:rStyle w:val="HideTWBExt"/>
        </w:rPr>
        <w:t>Amend</w:t>
      </w:r>
      <w:r>
        <w:rPr>
          <w:rStyle w:val="HideTWBExt"/>
        </w:rPr>
        <w:t>&gt;</w:t>
      </w:r>
    </w:p>
    <w:p>
      <w:r>
        <w:rPr>
          <w:rStyle w:val="HideTWBExt"/>
        </w:rPr>
        <w:t>&lt;/</w:t>
      </w:r>
      <w:r>
        <w:rPr>
          <w:rStyle w:val="HideTWBExt"/>
        </w:rPr>
        <w:t>RepeatBlock-Amend</w:t>
      </w:r>
      <w:r>
        <w:rPr>
          <w:rStyle w:val="HideTWBExt"/>
        </w:rPr>
        <w:t>&gt;</w:t>
      </w:r>
    </w:p>
    <w:p>
      <w:pPr>
        <w:sectPr>
          <w:type w:val="nextPage"/>
          <w:pgSz w:w="11906" w:h="16838"/>
          <w:pgMar w:top="1134" w:right="1417" w:bottom="1417" w:left="1417" w:header="1134" w:footer="567" w:gutter="0"/>
          <w:cols w:num="1" w:space="708"/>
          <w:titlePg w:val="0"/>
          <w:docGrid w:linePitch="360"/>
        </w:sectPr>
      </w:pPr>
    </w:p>
    <w:p>
      <w:pPr>
        <w:pStyle w:val="PageHeadingNotTOC"/>
      </w:pPr>
      <w:r>
        <w:t>PIELIKUMS. VIENĪBAS VAI PERSONAS, NO KURĀM ATZINUMA SAGATAVOTĀJA IR SAŅĒMUSI PIENESUMU</w:t>
      </w:r>
    </w:p>
    <w:p>
      <w:pPr>
        <w:pStyle w:val="Normal12a"/>
      </w:pPr>
    </w:p>
    <w:p>
      <w:pPr>
        <w:pStyle w:val="Normal12a"/>
      </w:pPr>
      <w:r>
        <w:t>Atzinuma sagatavotāja, pilnībā uzņemoties visu atbildību, apliecina, ka viņa nav saņēmusi nekādu pienesumu no vienībām vai personām, kas būtu jānorāda šajā pielikumā saskaņā ar Reglamenta I pielikuma 8. pantu.</w:t>
      </w:r>
    </w:p>
    <w:p>
      <w:pPr>
        <w:pStyle w:val="Normal12a"/>
        <w:sectPr>
          <w:type w:val="nextPage"/>
          <w:pgSz w:w="11906" w:h="16838"/>
          <w:pgMar w:top="1134" w:right="1417" w:bottom="1417" w:left="1417" w:header="1134" w:footer="567" w:gutter="0"/>
          <w:cols w:num="1" w:space="708"/>
          <w:titlePg w:val="0"/>
          <w:docGrid w:linePitch="360"/>
        </w:sectPr>
      </w:pPr>
    </w:p>
    <w:p>
      <w:pPr>
        <w:pStyle w:val="PageHeading"/>
      </w:pPr>
      <w:r>
        <w:t>INFORMĀCIJA PAR PIEŅEMŠANU ATZINUMU SNIEDZOŠAJĀ KOMITEJĀ</w:t>
      </w:r>
    </w:p>
    <w:tbl>
      <w:tblPr>
        <w:jc w:val="left"/>
        <w:tblLayout w:type="fixed"/>
        <w:tblCellMar>
          <w:top w:w="54" w:type="dxa"/>
          <w:left w:w="108" w:type="dxa"/>
          <w:bottom w:w="54" w:type="dxa"/>
          <w:right w:w="108" w:type="dxa"/>
        </w:tblCellMar>
      </w:tblPr>
      <w:tblGrid>
        <w:gridCol w:w="3600"/>
        <w:gridCol w:w="6400"/>
      </w:tblGrid>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Pieņemšanas datums</w:t>
            </w:r>
          </w:p>
        </w:tc>
        <w:tc>
          <w:tcPr>
            <w:tcW w:w="6400" w:type="dxa"/>
            <w:tcBorders>
              <w:top w:val="single" w:sz="8" w:space="0" w:color="000000"/>
              <w:bottom w:val="single" w:sz="8" w:space="0" w:color="000000"/>
              <w:right w:val="single" w:sz="8" w:space="0" w:color="000000"/>
            </w:tcBorders>
            <w:vAlign w:val="top"/>
          </w:tcPr>
          <w:p>
            <w:pPr>
              <w:pStyle w:val="ProcedureTable"/>
            </w:pPr>
            <w:r>
              <w:t>20.5.2025</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Galīgais balsojums</w:t>
            </w:r>
          </w:p>
        </w:tc>
        <w:tc>
          <w:tcPr>
            <w:tcW w:w="6400" w:type="dxa"/>
            <w:tcBorders>
              <w:top w:val="single" w:sz="8" w:space="0" w:color="000000"/>
              <w:bottom w:val="single" w:sz="8" w:space="0" w:color="000000"/>
              <w:right w:val="single" w:sz="8" w:space="0" w:color="000000"/>
            </w:tcBorders>
            <w:vAlign w:val="top"/>
          </w:tcPr>
          <w:p>
            <w:pPr>
              <w:pStyle w:val="ProcedureTable"/>
            </w:pPr>
            <w:r>
              <w:t>+</w:t>
            </w:r>
            <w:r>
              <w:tab/>
            </w:r>
            <w:r>
              <w:t>:</w:t>
            </w:r>
            <w:r>
              <w:tab/>
            </w:r>
            <w:r>
              <w:t>17</w:t>
            </w:r>
          </w:p>
          <w:p>
            <w:pPr>
              <w:pStyle w:val="ProcedureTable"/>
            </w:pPr>
            <w:r>
              <w:t>-</w:t>
            </w:r>
            <w:r>
              <w:tab/>
            </w:r>
            <w:r>
              <w:t>:</w:t>
            </w:r>
            <w:r>
              <w:tab/>
            </w:r>
            <w:r>
              <w:t>11</w:t>
            </w:r>
          </w:p>
          <w:p>
            <w:pPr>
              <w:pStyle w:val="ProcedureTable"/>
            </w:pPr>
            <w:r>
              <w:t>0</w:t>
            </w:r>
            <w:r>
              <w:tab/>
            </w:r>
            <w:r>
              <w:t>:</w:t>
            </w:r>
            <w:r>
              <w:tab/>
            </w:r>
            <w:r>
              <w:t>8</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Komitejas locekļi, kas bija klāt galīgajā balsošanā</w:t>
            </w:r>
          </w:p>
        </w:tc>
        <w:tc>
          <w:tcPr>
            <w:tcW w:w="6400" w:type="dxa"/>
            <w:tcBorders>
              <w:top w:val="single" w:sz="8" w:space="0" w:color="000000"/>
              <w:bottom w:val="single" w:sz="8" w:space="0" w:color="000000"/>
              <w:right w:val="single" w:sz="8" w:space="0" w:color="000000"/>
            </w:tcBorders>
            <w:vAlign w:val="top"/>
          </w:tcPr>
          <w:p>
            <w:pPr>
              <w:pStyle w:val="ProcedureTable"/>
            </w:pPr>
            <w:r>
              <w:t>Mathilde Androuët, Mireia Borrás Pabón, Irmhild Boßdorf, Mélissa Camara, Margarita de la Pisa Carrión, Valérie Devaux, Elisabeth Dieringer, Rosa Estaràs Ferragut, Viktória Ferenc, Heléne Fritzon, Lina Gálvez, Chiara Gemma, Gabriella Gerzsenyi, Arba Kokalari, Sebastian Kruis, Judita Laššáková, Eleonora Meleti, Irene Montero, Maria Noichl, Sirpa Pietikäinen, Giusi Princi, Joanna Scheuring-Wielgus, Benedetta Scuderi, Laurence Trochu, Marko Vešligaj, Dainius Žalimas</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Aizstājēji, kas bija klāt galīgajā balsošanā</w:t>
            </w:r>
          </w:p>
        </w:tc>
        <w:tc>
          <w:tcPr>
            <w:tcW w:w="6400" w:type="dxa"/>
            <w:tcBorders>
              <w:top w:val="single" w:sz="8" w:space="0" w:color="000000"/>
              <w:bottom w:val="single" w:sz="8" w:space="0" w:color="000000"/>
              <w:right w:val="single" w:sz="8" w:space="0" w:color="000000"/>
            </w:tcBorders>
            <w:vAlign w:val="top"/>
          </w:tcPr>
          <w:p>
            <w:pPr>
              <w:pStyle w:val="ProcedureTable"/>
            </w:pPr>
            <w:r>
              <w:t>Loucas Fourlas, Kathleen Funchion, Raquel García Hermida-Van Der Walle, Hanna Gedin, Katrin Langensiepen, Jagna Marczułajtis-Walczak, Beatrice Timgren, Jana Toom</w:t>
            </w:r>
          </w:p>
        </w:tc>
      </w:tr>
      <w:tr>
        <w:tblPrEx>
          <w:jc w:val="left"/>
          <w:tblLayout w:type="fixed"/>
          <w:tblCellMar>
            <w:top w:w="54" w:type="dxa"/>
            <w:left w:w="108" w:type="dxa"/>
            <w:bottom w:w="54" w:type="dxa"/>
            <w:right w:w="108" w:type="dxa"/>
          </w:tblCellMar>
        </w:tblPrEx>
        <w:trPr>
          <w:cantSplit w:val="0"/>
          <w:trHeight w:hRule="auto" w:val="0"/>
          <w:jc w:val="left"/>
        </w:trPr>
        <w:tc>
          <w:tcPr>
            <w:tcW w:w="3600" w:type="dxa"/>
            <w:tcBorders>
              <w:top w:val="single" w:sz="8" w:space="0" w:color="000000"/>
              <w:left w:val="single" w:sz="8" w:space="0" w:color="000000"/>
              <w:bottom w:val="single" w:sz="8" w:space="0" w:color="000000"/>
              <w:right w:val="single" w:sz="8" w:space="0" w:color="000000"/>
            </w:tcBorders>
            <w:vAlign w:val="top"/>
          </w:tcPr>
          <w:p>
            <w:pPr>
              <w:pStyle w:val="ProcedureTableBold"/>
            </w:pPr>
            <w:r>
              <w:t>Reglamenta 216. panta 7. punktā minētie deputāti, kas bija klāt galīgajā balsošanā</w:t>
            </w:r>
          </w:p>
        </w:tc>
        <w:tc>
          <w:tcPr>
            <w:tcW w:w="6400" w:type="dxa"/>
            <w:tcBorders>
              <w:top w:val="single" w:sz="8" w:space="0" w:color="000000"/>
              <w:bottom w:val="single" w:sz="8" w:space="0" w:color="000000"/>
              <w:right w:val="single" w:sz="8" w:space="0" w:color="000000"/>
            </w:tcBorders>
            <w:vAlign w:val="top"/>
          </w:tcPr>
          <w:p>
            <w:pPr>
              <w:pStyle w:val="ProcedureTable"/>
            </w:pPr>
            <w:r>
              <w:t>Georgios Aftias, Niels Geuking</w:t>
            </w:r>
          </w:p>
        </w:tc>
      </w:tr>
    </w:tbl>
    <w:p>
      <w:pPr>
        <w:pStyle w:val="PageHeading"/>
        <w:sectPr>
          <w:type w:val="nextPage"/>
          <w:pgSz w:w="11906" w:h="16838"/>
          <w:pgMar w:top="1134" w:right="1417" w:bottom="1417" w:left="1417" w:header="1134" w:footer="567" w:gutter="0"/>
          <w:cols w:num="1" w:space="708"/>
          <w:titlePg w:val="0"/>
          <w:docGrid w:linePitch="360"/>
        </w:sectPr>
      </w:pPr>
    </w:p>
    <w:p>
      <w:pPr>
        <w:pStyle w:val="PageHeading"/>
      </w:pPr>
      <w:r>
        <w:t xml:space="preserve">ATZINUMU SNIEDZOŠĀS KOMITEJAS </w:t>
        <w:br/>
        <w:t>GALĪGAIS ATKLĀTAIS BALSOJUMS</w:t>
      </w:r>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17</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Kokalari Arba, Pietikäinen Sirpa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Renew</w:t>
            </w:r>
          </w:p>
        </w:tc>
        <w:tc>
          <w:tcPr>
            <w:tcW w:w="7600" w:type="dxa"/>
            <w:vAlign w:val="top"/>
          </w:tcPr>
          <w:p>
            <w:pPr>
              <w:pStyle w:val="ProcedureTable"/>
            </w:pPr>
            <w:r>
              <w:t>Devaux Valérie, García Hermida-Van Der Walle Raquel, Toom Jana, Zalimas Dainius</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S&amp;D</w:t>
            </w:r>
          </w:p>
        </w:tc>
        <w:tc>
          <w:tcPr>
            <w:tcW w:w="7600" w:type="dxa"/>
            <w:vAlign w:val="top"/>
          </w:tcPr>
          <w:p>
            <w:pPr>
              <w:pStyle w:val="ProcedureTable"/>
            </w:pPr>
            <w:r>
              <w:t>Fritzon Heléne, Gálvez Lina, Noichl Maria, Scheuring-Wielgus Joanna, Vesligaj Marko</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The Left</w:t>
            </w:r>
          </w:p>
        </w:tc>
        <w:tc>
          <w:tcPr>
            <w:tcW w:w="7600" w:type="dxa"/>
            <w:vAlign w:val="top"/>
          </w:tcPr>
          <w:p>
            <w:pPr>
              <w:pStyle w:val="ProcedureTable"/>
            </w:pPr>
            <w:r>
              <w:t>Funchion Kathleen, Gedin Hanna, Montero Irene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Verts/ALE</w:t>
            </w:r>
          </w:p>
        </w:tc>
        <w:tc>
          <w:tcPr>
            <w:tcW w:w="7600" w:type="dxa"/>
            <w:vAlign w:val="top"/>
          </w:tcPr>
          <w:p>
            <w:pPr>
              <w:pStyle w:val="ProcedureTable"/>
            </w:pPr>
            <w:r>
              <w:t>Camara Mélissa, Langensiepen Katrin, Scuderi Benedetta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11</w:t>
            </w:r>
          </w:p>
        </w:tc>
        <w:tc>
          <w:tcPr>
            <w:tcW w:w="7600" w:type="dxa"/>
            <w:shd w:val="clear" w:color="auto" w:fill="C0C0C0"/>
            <w:vAlign w:val="top"/>
          </w:tcPr>
          <w:p>
            <w:pPr>
              <w:pStyle w:val="Arial14CentreBold"/>
            </w:pPr>
            <w:r>
              <w:t>-</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ECR</w:t>
            </w:r>
          </w:p>
        </w:tc>
        <w:tc>
          <w:tcPr>
            <w:tcW w:w="7600" w:type="dxa"/>
            <w:vAlign w:val="top"/>
          </w:tcPr>
          <w:p>
            <w:pPr>
              <w:pStyle w:val="ProcedureTable"/>
            </w:pPr>
            <w:r>
              <w:t>Gemma Chiara, Timgren Beatrice, Trochu Laurence</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ESN</w:t>
            </w:r>
          </w:p>
        </w:tc>
        <w:tc>
          <w:tcPr>
            <w:tcW w:w="7600" w:type="dxa"/>
            <w:vAlign w:val="top"/>
          </w:tcPr>
          <w:p>
            <w:pPr>
              <w:pStyle w:val="ProcedureTable"/>
            </w:pPr>
            <w:r>
              <w:t>Boßdorf Irmhild</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NI</w:t>
            </w:r>
          </w:p>
        </w:tc>
        <w:tc>
          <w:tcPr>
            <w:tcW w:w="7600" w:type="dxa"/>
            <w:vAlign w:val="top"/>
          </w:tcPr>
          <w:p>
            <w:pPr>
              <w:pStyle w:val="ProcedureTable"/>
            </w:pPr>
            <w:r>
              <w:t>Lassáková Judita</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PfE</w:t>
            </w:r>
          </w:p>
        </w:tc>
        <w:tc>
          <w:tcPr>
            <w:tcW w:w="7600" w:type="dxa"/>
            <w:vAlign w:val="top"/>
          </w:tcPr>
          <w:p>
            <w:pPr>
              <w:pStyle w:val="ProcedureTable"/>
            </w:pPr>
            <w:r>
              <w:t>Androuët Mathilde, Borrás Pabón Mireia, Dieringer Elisabeth, Ferenc Viktória, Kruis Sebastian, de la Pisa Carrión Margarita</w:t>
            </w:r>
          </w:p>
        </w:tc>
      </w:tr>
    </w:tbl>
    <w:p/>
    <w:tbl>
      <w:tblPr>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
      <w:tblGrid>
        <w:gridCol w:w="1600"/>
        <w:gridCol w:w="7600"/>
      </w:tblGrid>
      <w:tr>
        <w:tblPrEx>
          <w:jc w:val="left"/>
          <w:tblBorders>
            <w:top w:val="double" w:sz="8" w:space="0" w:color="000000"/>
            <w:left w:val="double" w:sz="8" w:space="0" w:color="000000"/>
            <w:bottom w:val="double" w:sz="8" w:space="0" w:color="000000"/>
            <w:right w:val="double" w:sz="8" w:space="0" w:color="000000"/>
            <w:insideH w:val="single" w:sz="8" w:space="0" w:color="000000"/>
            <w:insideV w:val="single" w:sz="8" w:space="0" w:color="000000"/>
          </w:tblBorders>
          <w:tblLayout w:type="fixed"/>
          <w:tblCellMar>
            <w:top w:w="54" w:type="dxa"/>
            <w:left w:w="108" w:type="dxa"/>
            <w:bottom w:w="54" w:type="dxa"/>
            <w:right w:w="108" w:type="dxa"/>
          </w:tblCellMar>
        </w:tblPrEx>
        <w:trPr>
          <w:cantSplit w:val="0"/>
          <w:trHeight w:hRule="auto" w:val="0"/>
          <w:jc w:val="left"/>
        </w:trPr>
        <w:tc>
          <w:tcPr>
            <w:tcW w:w="1600" w:type="dxa"/>
            <w:shd w:val="clear" w:color="auto" w:fill="C0C0C0"/>
            <w:vAlign w:val="top"/>
          </w:tcPr>
          <w:p>
            <w:pPr>
              <w:pStyle w:val="NormalBold"/>
            </w:pPr>
            <w:r>
              <w:t>8</w:t>
            </w:r>
          </w:p>
        </w:tc>
        <w:tc>
          <w:tcPr>
            <w:tcW w:w="7600" w:type="dxa"/>
            <w:shd w:val="clear" w:color="auto" w:fill="C0C0C0"/>
            <w:vAlign w:val="top"/>
          </w:tcPr>
          <w:p>
            <w:pPr>
              <w:pStyle w:val="Arial14CentreBold"/>
            </w:pPr>
            <w:r>
              <w:t>0</w:t>
            </w:r>
          </w:p>
        </w:tc>
      </w:tr>
      <w:tr>
        <w:tblPrEx>
          <w:jc w:val="left"/>
          <w:tblLayout w:type="fixed"/>
          <w:tblCellMar>
            <w:top w:w="54" w:type="dxa"/>
            <w:left w:w="108" w:type="dxa"/>
            <w:bottom w:w="54" w:type="dxa"/>
            <w:right w:w="108" w:type="dxa"/>
          </w:tblCellMar>
        </w:tblPrEx>
        <w:trPr>
          <w:cantSplit w:val="0"/>
          <w:trHeight w:hRule="auto" w:val="0"/>
          <w:jc w:val="left"/>
        </w:trPr>
        <w:tc>
          <w:tcPr>
            <w:tcW w:w="1600" w:type="dxa"/>
            <w:vAlign w:val="top"/>
          </w:tcPr>
          <w:p>
            <w:pPr>
              <w:pStyle w:val="ProcedureTable"/>
            </w:pPr>
            <w:r>
              <w:t>PPE</w:t>
            </w:r>
          </w:p>
        </w:tc>
        <w:tc>
          <w:tcPr>
            <w:tcW w:w="7600" w:type="dxa"/>
            <w:vAlign w:val="top"/>
          </w:tcPr>
          <w:p>
            <w:pPr>
              <w:pStyle w:val="ProcedureTable"/>
            </w:pPr>
            <w:r>
              <w:t>Aftias Georgios, Estaràs Ferragut Rosa, Fourlas Loucas, Gerzsenyi Gabriella, Geuking Niels, Marczulajtis-Walczak Jagna, Meleti Eleonora, Princi Giusi</w:t>
            </w:r>
          </w:p>
        </w:tc>
      </w:tr>
    </w:tbl>
    <w:p/>
    <w:p>
      <w:r>
        <w:t>Izmantoto apzīmējumu skaidrojums:</w:t>
      </w:r>
    </w:p>
    <w:p>
      <w:pPr>
        <w:pStyle w:val="NormalTab"/>
      </w:pPr>
      <w:r>
        <w:t>+</w:t>
      </w:r>
      <w:r>
        <w:tab/>
        <w:t>:</w:t>
        <w:tab/>
      </w:r>
      <w:r>
        <w:t>par</w:t>
      </w:r>
    </w:p>
    <w:p>
      <w:pPr>
        <w:pStyle w:val="NormalTab"/>
      </w:pPr>
      <w:r>
        <w:t>-</w:t>
      </w:r>
      <w:r>
        <w:tab/>
        <w:t>:</w:t>
        <w:tab/>
      </w:r>
      <w:r>
        <w:t>pret</w:t>
      </w:r>
    </w:p>
    <w:p>
      <w:pPr>
        <w:pStyle w:val="NormalTab"/>
      </w:pPr>
      <w:r>
        <w:t>0</w:t>
      </w:r>
      <w:r>
        <w:tab/>
        <w:t>:</w:t>
        <w:tab/>
      </w:r>
      <w:r>
        <w:t>atturas</w:t>
      </w:r>
    </w:p>
    <w:p>
      <w:pPr>
        <w:pStyle w:val="Normal12a"/>
      </w:pPr>
    </w:p>
    <w:sect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r>
      <w:tab/>
    </w:r>
    <w:r>
      <w:fldChar w:fldCharType="begin"/>
    </w:r>
    <w:r>
      <w:instrText>PAGE</w:instrText>
    </w:r>
    <w:r>
      <w:fldChar w:fldCharType="separate"/>
    </w:r>
    <w:r>
      <w:t>40</w:t>
    </w:r>
    <w:r>
      <w:fldChar w:fldCharType="end"/>
    </w:r>
    <w:r>
      <w:t>/</w:t>
    </w:r>
    <w:r>
      <w:fldChar w:fldCharType="begin"/>
    </w:r>
    <w:r>
      <w:instrText>NUMPAGES</w:instrText>
    </w:r>
    <w:r>
      <w:fldChar w:fldCharType="separate"/>
    </w:r>
    <w:r>
      <w:t>41</w:t>
    </w:r>
    <w:r>
      <w:fldChar w:fldCharType="end"/>
    </w:r>
    <w:r>
      <w:tab/>
    </w:r>
    <w:r>
      <w:rPr>
        <w:rStyle w:val="HideTWBExt"/>
      </w:rPr>
      <w:t>&lt;</w:t>
    </w:r>
    <w:r>
      <w:rPr>
        <w:rStyle w:val="HideTWBExt"/>
      </w:rPr>
      <w:t>PathFdR</w:t>
    </w:r>
    <w:r>
      <w:rPr>
        <w:rStyle w:val="HideTWBExt"/>
      </w:rPr>
      <w:t>&gt;</w:t>
    </w:r>
    <w:r>
      <w:t>AD\1321310LV.docx</w:t>
    </w:r>
    <w:r>
      <w:rPr>
        <w:rStyle w:val="HideTWBExt"/>
      </w:rPr>
      <w:t>&lt;/</w:t>
    </w:r>
    <w:r>
      <w:rPr>
        <w:rStyle w:val="HideTWBExt"/>
      </w:rPr>
      <w:t>PathFdR</w:t>
    </w:r>
    <w:r>
      <w:rPr>
        <w:rStyle w:val="HideTWBExt"/>
      </w:rPr>
      <w:t>&gt;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AD\1321310LV.docx</w:t>
    </w:r>
    <w:r>
      <w:rPr>
        <w:rStyle w:val="HideTWBExt"/>
      </w:rPr>
      <w:t>&lt;/</w:t>
    </w:r>
    <w:r>
      <w:rPr>
        <w:rStyle w:val="HideTWBExt"/>
      </w:rPr>
      <w:t>PathFdR</w:t>
    </w:r>
    <w:r>
      <w:rPr>
        <w:rStyle w:val="HideTWBExt"/>
      </w:rPr>
      <w:t>&gt;</w:t>
    </w:r>
    <w:r>
      <w:tab/>
    </w:r>
    <w:r>
      <w:fldChar w:fldCharType="begin"/>
    </w:r>
    <w:r>
      <w:instrText>PAGE</w:instrText>
    </w:r>
    <w:r>
      <w:fldChar w:fldCharType="separate"/>
    </w:r>
    <w:r>
      <w:t>41</w:t>
    </w:r>
    <w:r>
      <w:fldChar w:fldCharType="end"/>
    </w:r>
    <w:r>
      <w:t>/</w:t>
    </w:r>
    <w:r>
      <w:fldChar w:fldCharType="begin"/>
    </w:r>
    <w:r>
      <w:instrText>NUMPAGES</w:instrText>
    </w:r>
    <w:r>
      <w:fldChar w:fldCharType="separate"/>
    </w:r>
    <w:r>
      <w:t>41</w:t>
    </w:r>
    <w:r>
      <w:fldChar w:fldCharType="end"/>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AD\1321310LV.docx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770.238</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v02-00</w:t>
    </w:r>
    <w:r>
      <w:rPr>
        <w:rStyle w:val="HideTWBExt"/>
      </w:rPr>
      <w:t>&lt;/</w:t>
    </w:r>
    <w:r>
      <w:rPr>
        <w:rStyle w:val="HideTWBExt"/>
      </w:rPr>
      <w:t>Version</w:t>
    </w:r>
    <w:r>
      <w:rPr>
        <w:rStyle w:val="HideTWBExt"/>
      </w:rPr>
      <w:t>&gt;</w:t>
    </w:r>
  </w:p>
  <w:p>
    <w:pPr>
      <w:pStyle w:val="EPFooter2"/>
    </w:pPr>
    <w:r>
      <w:t>LV</w:t>
    </w:r>
    <w:r>
      <w:tab/>
    </w:r>
    <w:r>
      <w:rPr>
        <w:rStyle w:val="EPFooter2Motto"/>
      </w:rPr>
      <w:t>Vienoti daudzveidībā</w:t>
    </w:r>
    <w:r>
      <w:tab/>
    </w:r>
    <w:r>
      <w:t>LV</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3538D7"/>
    <w:multiLevelType w:val="hybridMultilevel"/>
    <w:tmpl w:val="B4A836B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COMKEY"/>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12a"/>
    <w:next w:val="Normal12a"/>
    <w:qFormat/>
    <w:rsid w:val="00DC11F3"/>
    <w:pPr>
      <w:keepNext/>
      <w:spacing w:before="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AmJustText">
    <w:name w:val="AmJustText"/>
    <w:basedOn w:val="Normal"/>
    <w:rsid w:val="00F06867"/>
    <w:pPr>
      <w:spacing w:after="240"/>
    </w:pPr>
    <w:rPr>
      <w:i/>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B44AF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B44AFC"/>
    <w:pPr>
      <w:tabs>
        <w:tab w:val="center" w:pos="4513"/>
        <w:tab w:val="right" w:pos="9026"/>
      </w:tabs>
    </w:pPr>
  </w:style>
  <w:style w:type="paragraph" w:customStyle="1" w:styleId="AmOrLang">
    <w:name w:val="AmOrLang"/>
    <w:basedOn w:val="Normal"/>
    <w:rsid w:val="008B277F"/>
    <w:pPr>
      <w:spacing w:before="240" w:after="240"/>
      <w:jc w:val="right"/>
    </w:pPr>
  </w:style>
  <w:style w:type="paragraph" w:customStyle="1" w:styleId="Normal6a">
    <w:name w:val="Normal6a"/>
    <w:basedOn w:val="Normal"/>
    <w:rsid w:val="008B277F"/>
    <w:pPr>
      <w:spacing w:after="120"/>
    </w:pPr>
  </w:style>
  <w:style w:type="paragraph" w:customStyle="1" w:styleId="CoverReference">
    <w:name w:val="CoverReference"/>
    <w:basedOn w:val="Normal"/>
    <w:rsid w:val="005D6988"/>
    <w:pPr>
      <w:spacing w:before="1080"/>
      <w:jc w:val="right"/>
    </w:pPr>
    <w:rPr>
      <w:rFonts w:ascii="Arial" w:hAnsi="Arial" w:cs="Arial"/>
      <w:b/>
    </w:rPr>
  </w:style>
  <w:style w:type="paragraph" w:customStyle="1" w:styleId="CoverDocType24a">
    <w:name w:val="CoverDocType24a"/>
    <w:basedOn w:val="Normal"/>
    <w:rsid w:val="00A23545"/>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Bold">
    <w:name w:val="NormalBold"/>
    <w:basedOn w:val="Normal"/>
    <w:rsid w:val="008B277F"/>
    <w:rPr>
      <w:b/>
    </w:rPr>
  </w:style>
  <w:style w:type="paragraph" w:customStyle="1" w:styleId="AmColumnHeading">
    <w:name w:val="AmColumnHeading"/>
    <w:basedOn w:val="Normal"/>
    <w:rsid w:val="008B277F"/>
    <w:pPr>
      <w:spacing w:after="240"/>
      <w:jc w:val="center"/>
    </w:pPr>
    <w:rPr>
      <w:i/>
    </w:rPr>
  </w:style>
  <w:style w:type="paragraph" w:customStyle="1" w:styleId="AmNumberTabs">
    <w:name w:val="AmNumberTabs"/>
    <w:basedOn w:val="Normal"/>
    <w:rsid w:val="008B277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B277F"/>
    <w:pPr>
      <w:spacing w:before="240"/>
    </w:pPr>
    <w:rPr>
      <w:b/>
    </w:rPr>
  </w:style>
  <w:style w:type="paragraph" w:customStyle="1" w:styleId="AmCrossRef">
    <w:name w:val="AmCrossRef"/>
    <w:basedOn w:val="Normal"/>
    <w:rsid w:val="00DE4330"/>
    <w:pPr>
      <w:spacing w:before="240" w:after="240"/>
      <w:jc w:val="center"/>
    </w:pPr>
    <w:rPr>
      <w:i/>
    </w:rPr>
  </w:style>
  <w:style w:type="paragraph" w:customStyle="1" w:styleId="AmJustTitle">
    <w:name w:val="AmJustTitle"/>
    <w:basedOn w:val="Normal"/>
    <w:next w:val="AmJustText"/>
    <w:rsid w:val="00F06867"/>
    <w:pPr>
      <w:keepNext/>
      <w:spacing w:before="240" w:after="240"/>
      <w:jc w:val="center"/>
    </w:pPr>
    <w:rPr>
      <w:i/>
    </w:rPr>
  </w:style>
  <w:style w:type="paragraph" w:customStyle="1" w:styleId="EPFooter">
    <w:name w:val="EPFooter"/>
    <w:basedOn w:val="Normal"/>
    <w:rsid w:val="00A23545"/>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B44AFC"/>
    <w:rPr>
      <w:sz w:val="24"/>
    </w:rPr>
  </w:style>
  <w:style w:type="paragraph" w:customStyle="1" w:styleId="Arial14CentreBold">
    <w:name w:val="Arial14CentreBold"/>
    <w:basedOn w:val="Normal"/>
    <w:qFormat/>
    <w:rsid w:val="00DA7A40"/>
    <w:pPr>
      <w:jc w:val="center"/>
    </w:pPr>
    <w:rPr>
      <w:rFonts w:ascii="Arial" w:hAnsi="Arial"/>
      <w:b/>
      <w:sz w:val="28"/>
    </w:rPr>
  </w:style>
  <w:style w:type="character" w:customStyle="1" w:styleId="Bold">
    <w:name w:val="Bold"/>
    <w:uiPriority w:val="1"/>
    <w:rsid w:val="007E4DED"/>
    <w:rPr>
      <w:b/>
    </w:rPr>
  </w:style>
  <w:style w:type="character" w:customStyle="1" w:styleId="BoldItalic">
    <w:name w:val="BoldItalic"/>
    <w:uiPriority w:val="1"/>
    <w:rsid w:val="007E4DED"/>
    <w:rPr>
      <w:b/>
      <w:i/>
      <w:u w:val="none"/>
    </w:rPr>
  </w:style>
  <w:style w:type="paragraph" w:customStyle="1" w:styleId="CoverNormal12a">
    <w:name w:val="CoverNormal12a"/>
    <w:basedOn w:val="Normal"/>
    <w:rsid w:val="00DA7A40"/>
    <w:pPr>
      <w:spacing w:after="240"/>
      <w:ind w:left="1418"/>
    </w:pPr>
  </w:style>
  <w:style w:type="paragraph" w:customStyle="1" w:styleId="CoverDocType">
    <w:name w:val="CoverDocType"/>
    <w:basedOn w:val="Normal"/>
    <w:rsid w:val="00DA7A40"/>
    <w:pPr>
      <w:ind w:left="1418"/>
    </w:pPr>
    <w:rPr>
      <w:rFonts w:ascii="Arial" w:hAnsi="Arial"/>
      <w:b/>
      <w:sz w:val="48"/>
    </w:rPr>
  </w:style>
  <w:style w:type="paragraph" w:customStyle="1" w:styleId="EPFooter2Landscape">
    <w:name w:val="EPFooter2Landscape"/>
    <w:qFormat/>
    <w:rsid w:val="00DA7A4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E04FE2"/>
    <w:rPr>
      <w:rFonts w:ascii="Arial" w:hAnsi="Arial"/>
      <w:b/>
      <w:i/>
      <w:color w:val="C0C0C0"/>
      <w:sz w:val="22"/>
    </w:rPr>
  </w:style>
  <w:style w:type="paragraph" w:customStyle="1" w:styleId="EPFooterLandscape">
    <w:name w:val="EPFooterLandscape"/>
    <w:qFormat/>
    <w:rsid w:val="00DA7A40"/>
    <w:pPr>
      <w:tabs>
        <w:tab w:val="center" w:pos="6804"/>
        <w:tab w:val="right" w:pos="15026"/>
      </w:tabs>
    </w:pPr>
    <w:rPr>
      <w:sz w:val="22"/>
    </w:rPr>
  </w:style>
  <w:style w:type="character" w:customStyle="1" w:styleId="Italic">
    <w:name w:val="Italic"/>
    <w:uiPriority w:val="1"/>
    <w:rsid w:val="007E4DED"/>
    <w:rPr>
      <w:i/>
    </w:rPr>
  </w:style>
  <w:style w:type="paragraph" w:customStyle="1" w:styleId="ProcedureTable">
    <w:name w:val="ProcedureTable"/>
    <w:basedOn w:val="Normal"/>
    <w:rsid w:val="000203F7"/>
    <w:rPr>
      <w:sz w:val="20"/>
    </w:rPr>
  </w:style>
  <w:style w:type="paragraph" w:customStyle="1" w:styleId="ProcedureTableBold">
    <w:name w:val="ProcedureTableBold"/>
    <w:basedOn w:val="Normal"/>
    <w:rsid w:val="000203F7"/>
    <w:rPr>
      <w:b/>
      <w:sz w:val="20"/>
    </w:rPr>
  </w:style>
  <w:style w:type="paragraph" w:customStyle="1" w:styleId="NormalCenter">
    <w:name w:val="NormalCenter"/>
    <w:basedOn w:val="Normal"/>
    <w:rsid w:val="007417D2"/>
    <w:pPr>
      <w:jc w:val="center"/>
    </w:pPr>
  </w:style>
  <w:style w:type="paragraph" w:customStyle="1" w:styleId="Normal12a12b">
    <w:name w:val="Normal12a12b"/>
    <w:basedOn w:val="Normal"/>
    <w:rsid w:val="00DA7A40"/>
    <w:pPr>
      <w:spacing w:before="240" w:after="240"/>
    </w:pPr>
  </w:style>
  <w:style w:type="character" w:customStyle="1" w:styleId="NormalBI">
    <w:name w:val="NormalBI"/>
    <w:basedOn w:val="DefaultParagraphFont"/>
    <w:uiPriority w:val="1"/>
    <w:qFormat/>
    <w:rsid w:val="001659AC"/>
    <w:rPr>
      <w:rFonts w:ascii="Times New Roman" w:hAnsi="Times New Roman"/>
      <w:b/>
      <w:i/>
      <w:sz w:val="24"/>
    </w:rPr>
  </w:style>
  <w:style w:type="paragraph" w:customStyle="1" w:styleId="Normal12aBullet1">
    <w:name w:val="Normal12aBullet1"/>
    <w:basedOn w:val="Normal12a"/>
    <w:qFormat/>
    <w:rsid w:val="00DA7A40"/>
    <w:pPr>
      <w:numPr>
        <w:numId w:val="1"/>
      </w:numPr>
    </w:pPr>
  </w:style>
  <w:style w:type="paragraph" w:customStyle="1" w:styleId="NormalHanging12a1">
    <w:name w:val="NormalHanging12a1"/>
    <w:basedOn w:val="Normal"/>
    <w:qFormat/>
    <w:rsid w:val="006400BF"/>
    <w:pPr>
      <w:spacing w:after="240"/>
      <w:ind w:left="992" w:hanging="425"/>
    </w:pPr>
  </w:style>
  <w:style w:type="paragraph" w:customStyle="1" w:styleId="NormalHanging12a2">
    <w:name w:val="NormalHanging12a2"/>
    <w:basedOn w:val="Normal"/>
    <w:qFormat/>
    <w:rsid w:val="00DA7A40"/>
    <w:pPr>
      <w:spacing w:after="240"/>
      <w:ind w:left="1417" w:hanging="425"/>
    </w:pPr>
  </w:style>
  <w:style w:type="paragraph" w:customStyle="1" w:styleId="NormalHanging12a3">
    <w:name w:val="NormalHanging12a3"/>
    <w:basedOn w:val="NormalHanging12a2"/>
    <w:qFormat/>
    <w:rsid w:val="00DA7A40"/>
    <w:pPr>
      <w:ind w:left="1843"/>
    </w:pPr>
  </w:style>
  <w:style w:type="paragraph" w:customStyle="1" w:styleId="NormalHanging12a4">
    <w:name w:val="NormalHanging12a4"/>
    <w:basedOn w:val="NormalHanging12a3"/>
    <w:qFormat/>
    <w:rsid w:val="00DA7A40"/>
    <w:pPr>
      <w:ind w:left="2268"/>
    </w:pPr>
  </w:style>
  <w:style w:type="paragraph" w:customStyle="1" w:styleId="NormalHanging12a5">
    <w:name w:val="NormalHanging12a5"/>
    <w:basedOn w:val="NormalHanging12a4"/>
    <w:qFormat/>
    <w:rsid w:val="00DA7A40"/>
    <w:pPr>
      <w:ind w:left="2693"/>
    </w:pPr>
  </w:style>
  <w:style w:type="paragraph" w:customStyle="1" w:styleId="NormalHanging12a6">
    <w:name w:val="NormalHanging12a6"/>
    <w:basedOn w:val="NormalHanging12a5"/>
    <w:qFormat/>
    <w:rsid w:val="00DA7A40"/>
    <w:pPr>
      <w:ind w:left="3118"/>
    </w:pPr>
  </w:style>
  <w:style w:type="paragraph" w:customStyle="1" w:styleId="NormalHanging12a7">
    <w:name w:val="NormalHanging12a7"/>
    <w:basedOn w:val="NormalHanging12a6"/>
    <w:qFormat/>
    <w:rsid w:val="00DA7A40"/>
    <w:pPr>
      <w:ind w:left="3544"/>
    </w:pPr>
  </w:style>
  <w:style w:type="paragraph" w:customStyle="1" w:styleId="NormalHanging12a8">
    <w:name w:val="NormalHanging12a8"/>
    <w:basedOn w:val="NormalHanging12a7"/>
    <w:qFormat/>
    <w:rsid w:val="00DA7A40"/>
    <w:pPr>
      <w:ind w:left="3969"/>
    </w:pPr>
  </w:style>
  <w:style w:type="paragraph" w:customStyle="1" w:styleId="Normal12HangingCenter">
    <w:name w:val="Normal12HangingCenter"/>
    <w:basedOn w:val="Normal"/>
    <w:qFormat/>
    <w:rsid w:val="00DA7A40"/>
    <w:pPr>
      <w:spacing w:after="240"/>
      <w:ind w:left="567" w:hanging="567"/>
      <w:jc w:val="center"/>
    </w:pPr>
  </w:style>
  <w:style w:type="paragraph" w:customStyle="1" w:styleId="Normal12HangingJustified">
    <w:name w:val="Normal12HangingJustified"/>
    <w:basedOn w:val="Normal"/>
    <w:qFormat/>
    <w:rsid w:val="00DA7A40"/>
    <w:pPr>
      <w:spacing w:after="240"/>
      <w:ind w:left="714" w:hanging="357"/>
      <w:jc w:val="both"/>
    </w:pPr>
  </w:style>
  <w:style w:type="paragraph" w:customStyle="1" w:styleId="Normal2">
    <w:name w:val="Normal2"/>
    <w:next w:val="Normal"/>
    <w:qFormat/>
    <w:rsid w:val="00DA7A40"/>
    <w:pPr>
      <w:spacing w:line="120" w:lineRule="auto"/>
    </w:pPr>
    <w:rPr>
      <w:color w:val="000000"/>
      <w:sz w:val="4"/>
      <w:szCs w:val="24"/>
    </w:rPr>
  </w:style>
  <w:style w:type="paragraph" w:customStyle="1" w:styleId="NormalBoldCenter">
    <w:name w:val="NormalBoldCenter"/>
    <w:basedOn w:val="Normal"/>
    <w:rsid w:val="00DA7A40"/>
    <w:pPr>
      <w:jc w:val="center"/>
    </w:pPr>
    <w:rPr>
      <w:b/>
    </w:rPr>
  </w:style>
  <w:style w:type="paragraph" w:customStyle="1" w:styleId="NormalBoldItalic6a">
    <w:name w:val="NormalBoldItalic6a"/>
    <w:basedOn w:val="Normal6a"/>
    <w:qFormat/>
    <w:rsid w:val="00DA7A40"/>
    <w:rPr>
      <w:b/>
      <w:i/>
    </w:rPr>
  </w:style>
  <w:style w:type="paragraph" w:customStyle="1" w:styleId="NormalBoldItalicCenter6a">
    <w:name w:val="NormalBoldItalicCenter6a"/>
    <w:basedOn w:val="Normal6a"/>
    <w:qFormat/>
    <w:rsid w:val="00DA7A40"/>
    <w:pPr>
      <w:jc w:val="center"/>
    </w:pPr>
    <w:rPr>
      <w:b/>
      <w:i/>
    </w:rPr>
  </w:style>
  <w:style w:type="paragraph" w:customStyle="1" w:styleId="NormalItalic6a">
    <w:name w:val="NormalItalic6a"/>
    <w:basedOn w:val="Normal6a"/>
    <w:qFormat/>
    <w:rsid w:val="00DA7A40"/>
    <w:rPr>
      <w:i/>
    </w:rPr>
  </w:style>
  <w:style w:type="character" w:customStyle="1" w:styleId="Sub">
    <w:name w:val="Sub"/>
    <w:uiPriority w:val="1"/>
    <w:qFormat/>
    <w:rsid w:val="007E4DED"/>
    <w:rPr>
      <w:vertAlign w:val="subscript"/>
    </w:rPr>
  </w:style>
  <w:style w:type="character" w:customStyle="1" w:styleId="SubBold">
    <w:name w:val="SubBold"/>
    <w:uiPriority w:val="1"/>
    <w:qFormat/>
    <w:rsid w:val="007E4DED"/>
    <w:rPr>
      <w:b/>
      <w:vertAlign w:val="subscript"/>
    </w:rPr>
  </w:style>
  <w:style w:type="character" w:customStyle="1" w:styleId="SubBoldItalic">
    <w:name w:val="SubBoldItalic"/>
    <w:uiPriority w:val="1"/>
    <w:rsid w:val="007E4DED"/>
    <w:rPr>
      <w:b/>
      <w:i/>
      <w:vertAlign w:val="subscript"/>
    </w:rPr>
  </w:style>
  <w:style w:type="character" w:customStyle="1" w:styleId="SubItalic">
    <w:name w:val="SubItalic"/>
    <w:uiPriority w:val="1"/>
    <w:qFormat/>
    <w:rsid w:val="007E4DED"/>
    <w:rPr>
      <w:b/>
      <w:i/>
      <w:vertAlign w:val="subscript"/>
    </w:rPr>
  </w:style>
  <w:style w:type="character" w:customStyle="1" w:styleId="Sup">
    <w:name w:val="Sup"/>
    <w:uiPriority w:val="1"/>
    <w:rsid w:val="007E4DED"/>
    <w:rPr>
      <w:vertAlign w:val="superscript"/>
    </w:rPr>
  </w:style>
  <w:style w:type="character" w:customStyle="1" w:styleId="SupBoldItalic">
    <w:name w:val="SupBoldItalic"/>
    <w:uiPriority w:val="1"/>
    <w:qFormat/>
    <w:rsid w:val="007E4DED"/>
    <w:rPr>
      <w:b/>
      <w:i/>
      <w:vertAlign w:val="superscript"/>
    </w:rPr>
  </w:style>
  <w:style w:type="paragraph" w:customStyle="1" w:styleId="PageHeading">
    <w:name w:val="PageHeading"/>
    <w:basedOn w:val="Normal12a12b"/>
    <w:rsid w:val="00DA7A40"/>
    <w:pPr>
      <w:keepNext/>
      <w:jc w:val="center"/>
    </w:pPr>
    <w:rPr>
      <w:rFonts w:ascii="Arial" w:hAnsi="Arial"/>
      <w:b/>
    </w:rPr>
  </w:style>
  <w:style w:type="paragraph" w:customStyle="1" w:styleId="Olang">
    <w:name w:val="Olang"/>
    <w:basedOn w:val="Normal"/>
    <w:rsid w:val="00DA7A40"/>
    <w:pPr>
      <w:spacing w:before="240" w:after="240"/>
      <w:jc w:val="right"/>
    </w:pPr>
    <w:rPr>
      <w:noProof/>
    </w:rPr>
  </w:style>
  <w:style w:type="paragraph" w:customStyle="1" w:styleId="TOCPage">
    <w:name w:val="TOC Page"/>
    <w:basedOn w:val="Normal12a"/>
    <w:next w:val="TOC1"/>
    <w:rsid w:val="00DA7A40"/>
    <w:pPr>
      <w:keepNext/>
      <w:jc w:val="right"/>
    </w:pPr>
    <w:rPr>
      <w:rFonts w:ascii="Arial" w:hAnsi="Arial"/>
      <w:b/>
    </w:rPr>
  </w:style>
  <w:style w:type="character" w:customStyle="1" w:styleId="Underline">
    <w:name w:val="Underline"/>
    <w:uiPriority w:val="1"/>
    <w:rsid w:val="007E4DED"/>
    <w:rPr>
      <w:u w:val="single"/>
    </w:rPr>
  </w:style>
  <w:style w:type="character" w:customStyle="1" w:styleId="HideTermComment">
    <w:name w:val="HideTermComment"/>
    <w:uiPriority w:val="1"/>
    <w:qFormat/>
    <w:rsid w:val="0046408C"/>
    <w:rPr>
      <w:rFonts w:ascii="Arial" w:hAnsi="Arial"/>
      <w:vanish/>
      <w:color w:val="0066CC"/>
      <w:sz w:val="18"/>
    </w:rPr>
  </w:style>
  <w:style w:type="character" w:customStyle="1" w:styleId="HideTerminTermComment">
    <w:name w:val="HideTerminTermComment"/>
    <w:basedOn w:val="HideTermComment"/>
    <w:uiPriority w:val="1"/>
    <w:qFormat/>
    <w:rsid w:val="0046408C"/>
    <w:rPr>
      <w:rFonts w:ascii="Arial" w:hAnsi="Arial"/>
      <w:vanish/>
      <w:color w:val="538135" w:themeColor="accent6" w:themeShade="BF"/>
      <w:sz w:val="18"/>
    </w:rPr>
  </w:style>
  <w:style w:type="paragraph" w:customStyle="1" w:styleId="NormalCenter12a">
    <w:name w:val="NormalCenter12a"/>
    <w:basedOn w:val="Normal"/>
    <w:rsid w:val="00975932"/>
    <w:pPr>
      <w:spacing w:after="240"/>
      <w:jc w:val="center"/>
    </w:pPr>
  </w:style>
  <w:style w:type="paragraph" w:customStyle="1" w:styleId="NormalHanging12a">
    <w:name w:val="NormalHanging12a"/>
    <w:basedOn w:val="Normal"/>
    <w:rsid w:val="00160E3B"/>
    <w:pPr>
      <w:spacing w:after="240"/>
      <w:ind w:left="567" w:hanging="567"/>
    </w:pPr>
  </w:style>
  <w:style w:type="paragraph" w:customStyle="1" w:styleId="Subheading">
    <w:name w:val="Subheading"/>
    <w:basedOn w:val="Normal"/>
    <w:rsid w:val="00312D68"/>
    <w:pPr>
      <w:spacing w:before="480" w:after="240"/>
    </w:pPr>
    <w:rPr>
      <w:b/>
      <w:i/>
      <w:szCs w:val="24"/>
    </w:rPr>
  </w:style>
  <w:style w:type="character" w:customStyle="1" w:styleId="BoldItalicUnderline">
    <w:name w:val="BoldItalicUnderline"/>
    <w:uiPriority w:val="1"/>
    <w:rsid w:val="007E4DED"/>
    <w:rPr>
      <w:b/>
      <w:i/>
      <w:u w:val="single"/>
    </w:rPr>
  </w:style>
  <w:style w:type="character" w:customStyle="1" w:styleId="BoldUnderline">
    <w:name w:val="BoldUnderline"/>
    <w:uiPriority w:val="1"/>
    <w:rsid w:val="007E4DED"/>
    <w:rPr>
      <w:b/>
      <w:u w:val="single"/>
    </w:rPr>
  </w:style>
  <w:style w:type="character" w:customStyle="1" w:styleId="ItalicUnderline">
    <w:name w:val="ItalicUnderline"/>
    <w:uiPriority w:val="1"/>
    <w:rsid w:val="007E4DED"/>
    <w:rPr>
      <w:i/>
      <w:u w:val="single"/>
    </w:rPr>
  </w:style>
  <w:style w:type="character" w:customStyle="1" w:styleId="SubBoldItalicUnderline">
    <w:name w:val="SubBoldItalicUnderline"/>
    <w:uiPriority w:val="1"/>
    <w:rsid w:val="007E4DED"/>
    <w:rPr>
      <w:b/>
      <w:i/>
      <w:u w:val="single"/>
      <w:vertAlign w:val="subscript"/>
    </w:rPr>
  </w:style>
  <w:style w:type="character" w:customStyle="1" w:styleId="SubBoldUnderline">
    <w:name w:val="SubBoldUnderline"/>
    <w:uiPriority w:val="1"/>
    <w:rsid w:val="007E4DED"/>
    <w:rPr>
      <w:b/>
      <w:u w:val="single"/>
      <w:vertAlign w:val="subscript"/>
    </w:rPr>
  </w:style>
  <w:style w:type="character" w:customStyle="1" w:styleId="SubItalicUnderline">
    <w:name w:val="SubItalicUnderline"/>
    <w:uiPriority w:val="1"/>
    <w:rsid w:val="007E4DED"/>
    <w:rPr>
      <w:i/>
      <w:u w:val="single"/>
      <w:vertAlign w:val="subscript"/>
    </w:rPr>
  </w:style>
  <w:style w:type="character" w:customStyle="1" w:styleId="SubUnderline">
    <w:name w:val="SubUnderline"/>
    <w:uiPriority w:val="1"/>
    <w:rsid w:val="007E4DED"/>
    <w:rPr>
      <w:u w:val="single"/>
      <w:vertAlign w:val="subscript"/>
    </w:rPr>
  </w:style>
  <w:style w:type="character" w:customStyle="1" w:styleId="SupBold">
    <w:name w:val="SupBold"/>
    <w:uiPriority w:val="1"/>
    <w:rsid w:val="007E4DED"/>
    <w:rPr>
      <w:b/>
      <w:vertAlign w:val="superscript"/>
    </w:rPr>
  </w:style>
  <w:style w:type="character" w:customStyle="1" w:styleId="SupBoldItalicUnderline">
    <w:name w:val="SupBoldItalicUnderline"/>
    <w:uiPriority w:val="1"/>
    <w:rsid w:val="007E4DED"/>
    <w:rPr>
      <w:b/>
      <w:i/>
      <w:u w:val="single"/>
      <w:vertAlign w:val="superscript"/>
    </w:rPr>
  </w:style>
  <w:style w:type="character" w:customStyle="1" w:styleId="SupBoldUnderline">
    <w:name w:val="SupBoldUnderline"/>
    <w:uiPriority w:val="1"/>
    <w:rsid w:val="007E4DED"/>
    <w:rPr>
      <w:b/>
      <w:u w:val="single"/>
      <w:vertAlign w:val="superscript"/>
    </w:rPr>
  </w:style>
  <w:style w:type="character" w:customStyle="1" w:styleId="SupItalic">
    <w:name w:val="SupItalic"/>
    <w:uiPriority w:val="1"/>
    <w:rsid w:val="007E4DED"/>
    <w:rPr>
      <w:i/>
      <w:vertAlign w:val="superscript"/>
    </w:rPr>
  </w:style>
  <w:style w:type="character" w:customStyle="1" w:styleId="SupItalicUnderline">
    <w:name w:val="SupItalicUnderline"/>
    <w:uiPriority w:val="1"/>
    <w:rsid w:val="007E4DED"/>
    <w:rPr>
      <w:i/>
      <w:u w:val="single"/>
      <w:vertAlign w:val="superscript"/>
    </w:rPr>
  </w:style>
  <w:style w:type="character" w:customStyle="1" w:styleId="SupUnderline">
    <w:name w:val="SupUnderline"/>
    <w:uiPriority w:val="1"/>
    <w:rsid w:val="007E4DED"/>
    <w:rPr>
      <w:u w:val="single"/>
      <w:vertAlign w:val="superscript"/>
    </w:rPr>
  </w:style>
  <w:style w:type="paragraph" w:customStyle="1" w:styleId="NormalTab">
    <w:name w:val="NormalTab"/>
    <w:basedOn w:val="Normal"/>
    <w:rsid w:val="006B7F7C"/>
    <w:pPr>
      <w:tabs>
        <w:tab w:val="center" w:pos="284"/>
        <w:tab w:val="left" w:pos="42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41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1321310</vt:lpwstr>
  </property>
  <property fmtid="{D5CDD505-2E9C-101B-9397-08002B2CF9AE}" pid="4" name="&lt;Model&gt;">
    <vt:lpwstr>PA_NonLeg</vt:lpwstr>
  </property>
  <property fmtid="{D5CDD505-2E9C-101B-9397-08002B2CF9AE}" pid="5" name="&lt;Type&gt;">
    <vt:lpwstr>AD</vt:lpwstr>
  </property>
  <property fmtid="{D5CDD505-2E9C-101B-9397-08002B2CF9AE}" pid="6" name="DMXMLUID">
    <vt:lpwstr>20250612-094810-001021-285938</vt:lpwstr>
  </property>
  <property fmtid="{D5CDD505-2E9C-101B-9397-08002B2CF9AE}" pid="7" name="FooterPath">
    <vt:lpwstr>AD\1321310LV.doc</vt:lpwstr>
  </property>
  <property fmtid="{D5CDD505-2E9C-101B-9397-08002B2CF9AE}" pid="8" name="PE Number">
    <vt:lpwstr>770.238</vt:lpwstr>
  </property>
  <property fmtid="{D5CDD505-2E9C-101B-9397-08002B2CF9AE}" pid="9" name="UID">
    <vt:lpwstr>eu.europa.europarl-DIN1-2025-0000107752_01.09-lv-01.00_text-xml</vt:lpwstr>
  </property>
</Properties>
</file>