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 Europejski</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Komisja Praw Kobiet i Równouprawnienia</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2025/2014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26/05/2025</w:t>
      </w:r>
      <w:r>
        <w:rPr>
          <w:rStyle w:val="HideTWBInt"/>
        </w:rPr>
        <w:t>}</w:t>
      </w:r>
      <w:r>
        <w:t>26.05.2025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OPINIA</w:t>
      </w:r>
      <w:r>
        <w:rPr>
          <w:rStyle w:val="HideTWBExt"/>
        </w:rPr>
        <w:t>&lt;/</w:t>
      </w:r>
      <w:r>
        <w:rPr>
          <w:rStyle w:val="HideTWBExt"/>
        </w:rPr>
        <w:t>TitreType</w:t>
      </w:r>
      <w:r>
        <w:rPr>
          <w:rStyle w:val="HideTWBExt"/>
        </w:rPr>
        <w:t>&gt;</w:t>
      </w:r>
    </w:p>
    <w:p>
      <w:pPr>
        <w:pStyle w:val="CoverNormal24a"/>
      </w:pPr>
      <w:r>
        <w:rPr>
          <w:rStyle w:val="HideTWBExt"/>
        </w:rPr>
        <w:t>&lt;</w:t>
      </w:r>
      <w:r>
        <w:rPr>
          <w:rStyle w:val="HideTWBExt"/>
        </w:rPr>
        <w:t>CommissionResp</w:t>
      </w:r>
      <w:r>
        <w:rPr>
          <w:rStyle w:val="HideTWBExt"/>
        </w:rPr>
        <w:t>&gt;</w:t>
      </w:r>
      <w:r>
        <w:t>Komisji Praw Kobiet i Równouprawnienia</w:t>
      </w:r>
      <w:r>
        <w:rPr>
          <w:rStyle w:val="HideTWBExt"/>
        </w:rPr>
        <w:t>&lt;/</w:t>
      </w:r>
      <w:r>
        <w:rPr>
          <w:rStyle w:val="HideTWBExt"/>
        </w:rPr>
        <w:t>CommissionResp</w:t>
      </w:r>
      <w:r>
        <w:rPr>
          <w:rStyle w:val="HideTWBExt"/>
        </w:rPr>
        <w:t>&gt;</w:t>
      </w:r>
    </w:p>
    <w:p>
      <w:pPr>
        <w:pStyle w:val="CoverNormal24a"/>
      </w:pPr>
      <w:r>
        <w:rPr>
          <w:rStyle w:val="HideTWBExt"/>
        </w:rPr>
        <w:t>&lt;</w:t>
      </w:r>
      <w:r>
        <w:rPr>
          <w:rStyle w:val="HideTWBExt"/>
        </w:rPr>
        <w:t>CommissionInt</w:t>
      </w:r>
      <w:r>
        <w:rPr>
          <w:rStyle w:val="HideTWBExt"/>
        </w:rPr>
        <w:t>&gt;</w:t>
      </w:r>
      <w:r>
        <w:t>dla Komisji Rozwoju oraz Komisji Ochrony Środowiska Naturalnego, Klimatu i Bezpieczeństwa Żywności</w:t>
      </w:r>
      <w:r>
        <w:rPr>
          <w:rStyle w:val="HideTWBExt"/>
        </w:rPr>
        <w:t>&lt;/</w:t>
      </w:r>
      <w:r>
        <w:rPr>
          <w:rStyle w:val="HideTWBExt"/>
        </w:rPr>
        <w:t>CommissionInt</w:t>
      </w:r>
      <w:r>
        <w:rPr>
          <w:rStyle w:val="HideTWBExt"/>
        </w:rPr>
        <w:t>&gt;</w:t>
      </w:r>
    </w:p>
    <w:p>
      <w:pPr>
        <w:pStyle w:val="CoverNormal"/>
      </w:pPr>
      <w:r>
        <w:rPr>
          <w:rStyle w:val="HideTWBExt"/>
        </w:rPr>
        <w:t>&lt;</w:t>
      </w:r>
      <w:r>
        <w:rPr>
          <w:rStyle w:val="HideTWBExt"/>
        </w:rPr>
        <w:t>Titre</w:t>
      </w:r>
      <w:r>
        <w:rPr>
          <w:rStyle w:val="HideTWBExt"/>
        </w:rPr>
        <w:t>&gt;</w:t>
      </w:r>
      <w:r>
        <w:t>w sprawie wdrażania i realizacji celów zrównoważonego rozwoju w perspektywie Forum Politycznego Wysokiego Szczebla w 2025 r.</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(2025/2014(INI))</w:t>
      </w:r>
      <w:r>
        <w:rPr>
          <w:rStyle w:val="HideTWBExt"/>
        </w:rPr>
        <w:t>&lt;/</w:t>
      </w:r>
      <w:r>
        <w:rPr>
          <w:rStyle w:val="HideTWBExt"/>
        </w:rPr>
        <w:t>DocRef</w:t>
      </w:r>
      <w:r>
        <w:rPr>
          <w:rStyle w:val="HideTWBExt"/>
        </w:rPr>
        <w:t>&gt;</w:t>
      </w:r>
    </w:p>
    <w:p>
      <w:pPr>
        <w:pStyle w:val="CoverNormal24a"/>
      </w:pPr>
      <w:r>
        <w:t>Sprawozdawczyni komisji opiniodawczej</w:t>
      </w:r>
      <w:r>
        <w:t xml:space="preserve">: </w:t>
      </w:r>
      <w:r>
        <w:rPr>
          <w:rStyle w:val="HideTWBExt"/>
        </w:rPr>
        <w:t>&lt;</w:t>
      </w:r>
      <w:r>
        <w:rPr>
          <w:rStyle w:val="HideTWBExt"/>
        </w:rPr>
        <w:t>Depute</w:t>
      </w:r>
      <w:r>
        <w:rPr>
          <w:rStyle w:val="HideTWBExt"/>
        </w:rPr>
        <w:t>&gt;</w:t>
      </w:r>
      <w:r>
        <w:t>Lina Gálvez</w:t>
      </w:r>
      <w:r>
        <w:rPr>
          <w:rStyle w:val="HideTWBExt"/>
        </w:rPr>
        <w:t>&lt;/</w:t>
      </w:r>
      <w:r>
        <w:rPr>
          <w:rStyle w:val="HideTWBExt"/>
        </w:rPr>
        <w:t>Depute</w:t>
      </w:r>
      <w:r>
        <w:rPr>
          <w:rStyle w:val="HideTWBExt"/>
        </w:rPr>
        <w:t>&gt;</w:t>
      </w:r>
    </w:p>
    <w:p>
      <w:r>
        <w:br w:type="page"/>
      </w:r>
      <w:r>
        <w:t>PA_NonLeg</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NotTOC"/>
      </w:pPr>
      <w:r>
        <w:t>POPRAWKI</w:t>
      </w:r>
    </w:p>
    <w:p>
      <w:pPr>
        <w:pStyle w:val="Normal12a"/>
      </w:pPr>
      <w:r>
        <w:t>Komisja Praw Kobiet i Równouprawnienia</w:t>
      </w:r>
      <w:r>
        <w:t xml:space="preserve"> </w:t>
      </w:r>
      <w:r>
        <w:t>przedstawia Komisji Rozwoju oraz Komisji Ochrony Środowiska Naturalnego, Klimatu i Bezpieczeństwa Żywności, jako komisjom przedmiotowo właściwym, co następuje</w:t>
      </w:r>
      <w:r>
        <w:t xml:space="preserve"> </w:t>
      </w:r>
      <w:r>
        <w:t>:</w:t>
      </w:r>
    </w:p>
    <w:p>
      <w:pPr>
        <w:pStyle w:val="AmNumberTabs"/>
      </w:pP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1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uwzględniając swoją rezolucję z dnia 24 czerwca 2021 r. w sprawie sytuacji w zakresie zdrowia seksualnego i reprodukcyjnego oraz praw w tej dziedzinie w UE w kontekście zdrowia kobiet</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Dz.U. C 81 z 18.2.2022, s. 43.</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2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uwzględniając swoją rezolucję z dnia 11 kwietnia 2024 r. w sprawie zapisania prawa do aborcji w Karcie praw podstawowych UE</w:t>
            </w:r>
            <w:r>
              <w:rPr>
                <w:rStyle w:val="Sup"/>
              </w:rPr>
              <w:t>1a</w:t>
            </w:r>
            <w:r>
              <w:t xml:space="preserve">, </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Dz.U. C, C/2025/1279, 13.3.2025, ELI: http://data.europa.eu/eli/C/2025/1279/oj.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3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 xml:space="preserve">uwzględniając plan działania Komisji Europejskiej na rzecz praw kobiet, </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4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Międzynarodową Konferencję na temat Ludności i Rozwoju, która odbyła się w Kairze w 1994 r., oraz jej program działania, a także wyniki powiązanych z nią konferencji przeglądowych,</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5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deklarację pekińską i pekińską platformę działania z 2015 r. oraz wyniki konferencji przeglądowych,</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6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sprawozdanie „Equal Measures 2030” pt. „Findings from the 2024 SDG Gender Index – A gender equal future in crisis?” [Wnioski dotyczące wskaźnika równouprawnienia płci za 2024 r. w ramach celów zrównoważonego rozwoju: przyszłość równości płci w kryzysie?],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7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wspólne sprawozdanie UN Women, Programu Narodów Zjednoczonych ds. Rozwoju, Funduszu Ludnościowego ONZ (UNFPA), UNICEF-u i Światowego Programu Żywnościowego z 2024 r. pt. „Are we getting there? A synthesis of the UN evaluations of SDG 5” [Czy osiągamy cele? Synteza ocen ONZ dotyczących celu zrównoważonego rozwoju nr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8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niewiążące wytyczne Organizacji Narodów Zjednoczonych ds. Wyżywienia i Rolnictwa z 2015 r. dotyczące ochrony zrównoważonego łodziowego rybołówstwa przybrzeżnego w kontekście bezpieczeństwa żywnościowego i eliminacji ubóstwa, w tym ich rozdział 8 dotyczący równouprawnienia płci i równości,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31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swoje zalecenie dla Rady z dnia 19 grudnia 2024 r. w sprawie priorytetów UE na 69. sesję Komisji ONZ ds. Statusu Kobiet</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Dz.U. C, C/2025/1971, z 11.4.2025, ELI: http://data.europa.eu/eli/C/2025/1971/oj.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55 a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sprawozdanie Komisji z marca 2024 r. pt. „9. sprawozdanie w sprawie spójności gospodarczej, społecznej i terytorialnej”,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Umocowanie 55 b (nowe)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uwzględniając sprawozdanie Europejskiego Instytutu ds. Równości Kobiet i Mężczyzn pt. „Sprawozdania na temat równouprawnienia 2023 – W kierunku zielonej transformacji w transporcie i energetyce”,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Motyw B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Ba.</w:t>
            </w:r>
            <w:r>
              <w:tab/>
            </w:r>
            <w:r>
              <w:rPr>
                <w:b/>
                <w:i/>
                <w:strike w:val="0"/>
                <w:color w:val="auto"/>
                <w:highlight w:val="none"/>
                <w:u w:val="none" w:color="auto"/>
                <w:vertAlign w:val="baseline"/>
              </w:rPr>
              <w:t>mając na uwadze, że według rankingu najbezpieczniejszych państw świata (Global Peace Index) z 2024 r. średni poziom pokoju na świecie spadł o 0,56 %, co oznacza, że sytuacja pogarsza się piąty rok z rzędu; mając na uwadze, że w świetle tej tendencji w tej szczegółowej ocenie sytuacji należy uwzględnić cel zrównoważonego rozwoju nr 16, aby sprostać rosnącym wyzwaniom dla pokoju i bezpieczeństwa na całym świecie;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Motyw B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Bb.</w:t>
            </w:r>
            <w:r>
              <w:tab/>
            </w:r>
            <w:r>
              <w:rPr>
                <w:b/>
                <w:i/>
                <w:strike w:val="0"/>
                <w:color w:val="auto"/>
                <w:highlight w:val="none"/>
                <w:u w:val="none" w:color="auto"/>
                <w:vertAlign w:val="baseline"/>
              </w:rPr>
              <w:t>mając na uwadze, że coraz powszechniejsze występowanie handlu ludźmi pozostaje krytycznym zagrożeniem dla pokoju i bezpieczeństwa na świecie; mając na uwadze, że wzmocnienie współpracy międzynarodowej i mechanizmów egzekwowania prawa w ramach celu zrównoważonego rozwoju nr 16 ma zasadnicze znaczenie dla zwalczania sieci handlu ludźmi, ochrony ofiar i przestrzegania praw człowieka;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Motyw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mając na uwadze, że luka w inwestycjach na cele zrównoważonego rozwoju wynosi obecnie 4 biliony USD rocznie; mając na uwadze, że wysoki poziom zadłużenia krajów o niskim i średnim dochodzie stanowi przeszkodę dla inwestycji niezbędnych do osiągnięcia celów zrównoważonego rozwoju;</w:t>
            </w:r>
          </w:p>
        </w:tc>
        <w:tc>
          <w:tcPr>
            <w:tcW w:w="4876" w:type="dxa"/>
            <w:vAlign w:val="top"/>
          </w:tcPr>
          <w:p>
            <w:pPr>
              <w:pStyle w:val="Normal6a"/>
            </w:pPr>
            <w:r>
              <w:t>C.</w:t>
            </w:r>
            <w:r>
              <w:tab/>
            </w:r>
            <w:r>
              <w:t>mając na uwadze, że luka w inwestycjach na cele zrównoważonego rozwoju wynosi obecnie 4 biliony USD rocznie; mając na uwadze, że wysoki poziom zadłużenia krajów o niskim i średnim dochodzie</w:t>
            </w:r>
            <w:r>
              <w:rPr>
                <w:b/>
                <w:i/>
                <w:strike w:val="0"/>
                <w:color w:val="auto"/>
                <w:highlight w:val="none"/>
                <w:u w:val="none" w:color="auto"/>
                <w:vertAlign w:val="baseline"/>
              </w:rPr>
              <w:t>, któremu sprzyjały programy niektórych instytucji finansowych,</w:t>
            </w:r>
            <w:r>
              <w:t xml:space="preserve"> stanowi przeszkodę dla inwestycji niezbędnych do osiągnięcia celów zrównoważonego rozwoju;</w:t>
            </w:r>
            <w:r>
              <w:rPr>
                <w:b/>
                <w:i/>
                <w:strike w:val="0"/>
                <w:color w:val="auto"/>
                <w:highlight w:val="none"/>
                <w:u w:val="none" w:color="auto"/>
                <w:vertAlign w:val="baseline"/>
              </w:rPr>
              <w:t xml:space="preserve"> mając na uwadze, że wiąże się to również ze wzrostem wskaźników ubóstwa; mając na uwadze, że kobiety i dziewczęta na całym świecie w niewspółmiernym stopniu doświadczają ubóstwa, kryzysów humanitarnych, zmiany klimatu, konfliktów, ekstremizmu, terroryzmu i wojen oraz niedoborów żywności; mając na uwadze, że w konsekwencji dzieci również znajdują się w trudniejszej sytuacji; mając na uwadze, że oczekuje się, iż do 2030 r. różnica w ubóstwie ze względu na płeć wzrośnie, ponieważ kobiety nadal będą stanowić większość ludzi dotkniętych skrajnym ubóstwem na świecie;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Motyw C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Ca.</w:t>
            </w:r>
            <w:r>
              <w:tab/>
            </w:r>
            <w:r>
              <w:rPr>
                <w:b/>
                <w:i/>
                <w:strike w:val="0"/>
                <w:color w:val="auto"/>
                <w:highlight w:val="none"/>
                <w:u w:val="none" w:color="auto"/>
                <w:vertAlign w:val="baseline"/>
              </w:rPr>
              <w:t>mając na uwadze, że brak finansowania na rzecz równości płci jest główną przeszkodą w osiągnięciu wyników w zakresie równouprawnienia płci; mając na uwadze, że równość płci ma fundamentalne znaczenie dla spełnienia obietnic w zakresie zrównoważonego rozwoju, dobrobytu, sprawiedliwości społecznej, pokoju i postępu społecznego; mając na uwadze, że znaczące i trwałe zobowiązania finansowe oraz wzmocnienie procesów tworzenia budżetów mają zasadnicze znaczenie dla wspierania wdrażania prawodawstwa, strategii politycznych i usług ukierunkowanych na aspekt płci, aby promować równość płci we wszystkich zadaniach związanych z celem zrównoważonego rozwoju nr 5</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pt. „Findings from the 2024 SDG Gender Index – A gender equal future in crisis?” [Wnioski dotyczące wskaźnika równouprawnienia płci za 2024 r. w ramach celów zrównoważonego rozwoju: przyszłość równości płci w kryzysie?],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Motyw C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Cb.</w:t>
            </w:r>
            <w:r>
              <w:tab/>
            </w:r>
            <w:r>
              <w:rPr>
                <w:b/>
                <w:i/>
                <w:strike w:val="0"/>
                <w:color w:val="auto"/>
                <w:highlight w:val="none"/>
                <w:u w:val="none" w:color="auto"/>
                <w:vertAlign w:val="baseline"/>
              </w:rPr>
              <w:t>mając na uwadze, że wszelkie formy przemocy wobec kobiet (fizyczna, seksualna, psychologiczna, gospodarcza lub w internecie) stanowią naruszenie praw człowieka, skrajną formę dyskryminacji kobiet i jedną z głównych przeszkód w osiągnięciu równości płci; mając na uwadze, że przemoc ze względu na płeć jest zakorzeniona w nierównym podziale władzy między kobietami i mężczyznami, strukturach patriarchalnych i stereotypach płci, które doprowadziły do dominacji mężczyzn nad kobietami i dyskryminacji kobiet przez mężczyzn, co nie zawsze wygląda taka samo i może przybierać różne stopnie i formy; mając na uwadze, że społeczeństwo wolne od przemocy uwarunkowanej płcią powinno zostać uznane za warunek wstępny równouprawnienia płci;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potwierdza swoje zdecydowane zaangażowanie na rzecz terminowej i pełnej realizacji wszystkich celów zrównoważonego rozwoju;</w:t>
            </w:r>
          </w:p>
        </w:tc>
        <w:tc>
          <w:tcPr>
            <w:tcW w:w="4876" w:type="dxa"/>
            <w:vAlign w:val="top"/>
          </w:tcPr>
          <w:p>
            <w:pPr>
              <w:pStyle w:val="Normal6a"/>
            </w:pPr>
            <w:r>
              <w:t>1.</w:t>
            </w:r>
            <w:r>
              <w:tab/>
            </w:r>
            <w:r>
              <w:t xml:space="preserve">potwierdza swoje zdecydowane zaangażowanie na rzecz terminowej i pełnej realizacji wszystkich celów zrównoważonego rozwoju </w:t>
            </w:r>
            <w:r>
              <w:rPr>
                <w:b/>
                <w:i/>
                <w:strike w:val="0"/>
                <w:color w:val="auto"/>
                <w:highlight w:val="none"/>
                <w:u w:val="none" w:color="auto"/>
                <w:vertAlign w:val="baseline"/>
              </w:rPr>
              <w:t>we wszystkich państwach członkowskich i na całym świecie poprzez działania zewnętrzne UE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 – litera a (nowa)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a)</w:t>
            </w:r>
            <w:r>
              <w:tab/>
            </w:r>
            <w:r>
              <w:rPr>
                <w:b/>
                <w:i/>
                <w:strike w:val="0"/>
                <w:color w:val="auto"/>
                <w:highlight w:val="none"/>
                <w:u w:val="none" w:color="auto"/>
                <w:vertAlign w:val="baseline"/>
              </w:rPr>
              <w:t>podkreśla, że UE poczyniła umiarkowane postępy w realizacji celu zrównoważonego rozwoju nr 1 i że kobiety nadal są bardziej narażone na ubóstwo lub wykluczenie społeczne;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 – litera b (nowa)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w:t>
            </w:r>
            <w:r>
              <w:tab/>
            </w:r>
            <w:r>
              <w:rPr>
                <w:b/>
                <w:i/>
                <w:strike w:val="0"/>
                <w:color w:val="auto"/>
                <w:highlight w:val="none"/>
                <w:u w:val="none" w:color="auto"/>
                <w:vertAlign w:val="baseline"/>
              </w:rPr>
              <w:t>wyraża zaniepokojenie w związku z celem zrównoważonego rozwoju nr 2 w UE, ponieważ rosnący wskaźnik otyłości wśród kobiet i dzieci jest oznaką niedożywienia;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 – litera c (nowa)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w:t>
            </w:r>
            <w:r>
              <w:tab/>
            </w:r>
            <w:r>
              <w:rPr>
                <w:b/>
                <w:i/>
                <w:strike w:val="0"/>
                <w:color w:val="auto"/>
                <w:highlight w:val="none"/>
                <w:u w:val="none" w:color="auto"/>
                <w:vertAlign w:val="baseline"/>
              </w:rPr>
              <w:t>jest bardzo zaniepokojony sytuacją kobiet w UE w odniesieniu do celu zrównoważonego rozwoju nr 7, ponieważ kobiety są bardziej narażone na ubóstwo energetyczne ze względu na niższe dochody; w 2022 r. 9,8 % kobiet w porównaniu z 8,7 % mężczyzn nie mogło odpowiednio ogrzać swoich domów, przy czym sytuacja ta pogorszyła się w wyniku kryzysu energetycznego; z zadowoleniem przyjmuje komunikat Komisji w sprawie przystępnej cenowo energii</w:t>
            </w:r>
            <w:r>
              <w:rPr>
                <w:rStyle w:val="Sup"/>
              </w:rPr>
              <w:t>1a</w:t>
            </w:r>
            <w:r>
              <w:rPr>
                <w:b/>
                <w:i/>
                <w:strike w:val="0"/>
                <w:color w:val="auto"/>
                <w:highlight w:val="none"/>
                <w:u w:val="none" w:color="auto"/>
                <w:vertAlign w:val="baseline"/>
              </w:rPr>
              <w:t>; zwraca się do Komisji i współprawodawców o przyspieszenie procesu w celu zapewnienia szybkiego dostępu do przystępnej cenowo energii;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Plan działania na rzecz przystępnej cenowo energii. Odblokowanie prawdziwego potencjału unii energetycznej w celu zapewnienia przystępnej cenowo, efektywnej i czystej energii dla wszystkich Europejczyków (COM(2025)0079).</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 – litera d (nowa)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w:t>
            </w:r>
            <w:r>
              <w:tab/>
            </w:r>
            <w:r>
              <w:rPr>
                <w:b/>
                <w:i/>
                <w:strike w:val="0"/>
                <w:color w:val="auto"/>
                <w:highlight w:val="none"/>
                <w:u w:val="none" w:color="auto"/>
                <w:vertAlign w:val="baseline"/>
              </w:rPr>
              <w:t>podkreśla, że cel zrównoważonego rozwoju nr 11 nadal nie został zrealizowany w UE, ponieważ kobiety z większym prawdopodobieństwem doświadczyć mogą deprywacji mieszkaniowej (4,6 % w porównaniu z 4,0 % w przypadku mężczyzn w 2022 r.) i w większym stopniu polegają na transporcie publicznym, który nadal stwarza obawy dotyczące bezpieczeństwa;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ubolewa, że społeczność światowa jest daleka od realizacji Agendy 2030 i celów zrównoważonego rozwoju;</w:t>
            </w:r>
          </w:p>
        </w:tc>
        <w:tc>
          <w:tcPr>
            <w:tcW w:w="4876" w:type="dxa"/>
            <w:vAlign w:val="top"/>
          </w:tcPr>
          <w:p>
            <w:pPr>
              <w:pStyle w:val="Normal6a"/>
            </w:pPr>
            <w:r>
              <w:t>2.</w:t>
            </w:r>
            <w:r>
              <w:tab/>
            </w:r>
            <w:r>
              <w:t xml:space="preserve">ubolewa, że społeczność światowa jest daleka od realizacji Agendy 2030 i celów zrównoważonego rozwoju </w:t>
            </w:r>
            <w:r>
              <w:rPr>
                <w:b/>
                <w:i/>
                <w:strike w:val="0"/>
                <w:color w:val="auto"/>
                <w:highlight w:val="none"/>
                <w:u w:val="none" w:color="auto"/>
                <w:vertAlign w:val="baseline"/>
              </w:rPr>
              <w:t>oraz że wystąpił regres w realizacji niektórych celów zrównoważonego rozwoju;</w:t>
            </w:r>
            <w:r>
              <w:rPr>
                <w:b/>
                <w:i/>
                <w:strike w:val="0"/>
                <w:color w:val="auto"/>
                <w:highlight w:val="none"/>
                <w:u w:val="none" w:color="auto"/>
                <w:vertAlign w:val="baseline"/>
              </w:rPr>
              <w:t xml:space="preserve"> podkreśla różnice między państwami i regionami oraz wewnątrz nich w rozmaitych kwestiach, takich jak nierówne traktowanie płci; </w:t>
            </w:r>
            <w:r>
              <w:rPr>
                <w:b/>
                <w:i/>
                <w:strike w:val="0"/>
                <w:color w:val="auto"/>
                <w:highlight w:val="none"/>
                <w:u w:val="none" w:color="auto"/>
                <w:vertAlign w:val="baseline"/>
              </w:rPr>
              <w:t>wyraża ubolewanie z powodu wycofania finansowania przez Agencję Stanów Zjednoczonych ds. Rozwoju Międzynarodowego (USAID) i zdaje sobie sprawę z niszczycielskiego wpływu takiej decyzji na dążenie społeczności globalnej do osiągnięcia celów zrównoważonego rozwoju, zwłaszcza celu nr 5</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2a.</w:t>
            </w:r>
            <w:r>
              <w:tab/>
            </w:r>
            <w:r>
              <w:rPr>
                <w:b/>
                <w:i/>
                <w:strike w:val="0"/>
                <w:color w:val="auto"/>
                <w:highlight w:val="none"/>
                <w:u w:val="none" w:color="auto"/>
                <w:vertAlign w:val="baseline"/>
              </w:rPr>
              <w:t>wzywa UE do wywiązania się ze zobowiązania do uwzględniania aspektu płci i perspektywy przekrojowej we wszystkich politykach i finansowaniu UE; wyraża ubolewanie, że państwom na całym świecie nadal brakuje 44 % danych potrzebnych do śledzenia realizacji celu zrównoważonego rozwoju nr 5, a ponad 80 % państw brakuje danych dotyczących co najmniej jednego założenia w celu zrównoważonego rozwoju nr 5</w:t>
            </w:r>
            <w:r>
              <w:rPr>
                <w:rStyle w:val="Sup"/>
              </w:rPr>
              <w:t>1a</w:t>
            </w:r>
            <w:r>
              <w:rPr>
                <w:b/>
                <w:i/>
                <w:strike w:val="0"/>
                <w:color w:val="auto"/>
                <w:highlight w:val="none"/>
                <w:u w:val="none" w:color="auto"/>
                <w:vertAlign w:val="baseline"/>
              </w:rPr>
              <w:t>; podkreśla w związku z tym potrzebę wzmocnienia krajowych urzędów statystycznych oraz poprawy ich globalnej koordynacji i współpracy, a także zapewnienia świadomego kształtowania polityki i zlikwidowania utrzymujących się luk w danych dotyczących płci;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pt. „Findings from the 2024 SDG Gender Index – A gender equal future in crisis?” [Wnioski dotyczące wskaźnika równouprawnienia płci za 2024 r. w ramach celów zrównoważonego rozwoju: przyszłość równości płci w kryzysie?],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2b.</w:t>
            </w:r>
            <w:r>
              <w:tab/>
            </w:r>
            <w:r>
              <w:rPr>
                <w:b/>
                <w:i/>
                <w:strike w:val="0"/>
                <w:color w:val="auto"/>
                <w:highlight w:val="none"/>
                <w:u w:val="none" w:color="auto"/>
                <w:vertAlign w:val="baseline"/>
              </w:rPr>
              <w:t>zwraca uwagę na znaczenie danych dla możliwości monitorowania celów zrównoważonego rozwoju, podkreślając, że pomimo godnego pochwały wzrostu ilości danych, a także ich otwartości, dostępności i skutecznego wykorzystania, nadal istnieją krytyczne luki; w związku z tym podkreśla znaczenie roli krajowych urzędów statystycznych i potrzebę wzmocnienia partnerstw jako klucza do osiągnięcia bardziej inkluzywnych danych, takich jak dane zdezagregowane według kryterium płci;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podkreśla, że pilnie potrzebne są współpraca międzynarodowa </w:t>
            </w:r>
            <w:r>
              <w:rPr>
                <w:b/>
                <w:i/>
                <w:strike w:val="0"/>
                <w:color w:val="auto"/>
                <w:highlight w:val="none"/>
                <w:u w:val="none" w:color="auto"/>
                <w:vertAlign w:val="baseline"/>
              </w:rPr>
              <w:t>i</w:t>
            </w:r>
            <w:r>
              <w:t xml:space="preserve"> zdecydowane działania transformacyjne, aby nasze społeczeństwa i gospodarki pewnie zmierzały do osiągnięcia celów zrównoważonego rozwoju i zaradzenia potrójnemu kryzysowi planetarnemu;</w:t>
            </w:r>
          </w:p>
        </w:tc>
        <w:tc>
          <w:tcPr>
            <w:tcW w:w="4876" w:type="dxa"/>
            <w:vAlign w:val="top"/>
          </w:tcPr>
          <w:p>
            <w:pPr>
              <w:pStyle w:val="Normal6a"/>
            </w:pPr>
            <w:r>
              <w:t>3.</w:t>
            </w:r>
            <w:r>
              <w:tab/>
            </w:r>
            <w:r>
              <w:t>podkreśla, że pilnie potrzebne są współpraca międzynarodowa</w:t>
            </w:r>
            <w:r>
              <w:rPr>
                <w:b/>
                <w:i/>
                <w:strike w:val="0"/>
                <w:color w:val="auto"/>
                <w:highlight w:val="none"/>
                <w:u w:val="none" w:color="auto"/>
                <w:vertAlign w:val="baseline"/>
              </w:rPr>
              <w:t>,</w:t>
            </w:r>
            <w:r>
              <w:t xml:space="preserve"> zdecydowane działania transformacyjne </w:t>
            </w:r>
            <w:r>
              <w:rPr>
                <w:b/>
                <w:i/>
                <w:strike w:val="0"/>
                <w:color w:val="auto"/>
                <w:highlight w:val="none"/>
                <w:u w:val="none" w:color="auto"/>
                <w:vertAlign w:val="baseline"/>
              </w:rPr>
              <w:t>i zwiększenie globalnych wydatków na pomoc rozwojową</w:t>
            </w:r>
            <w:r>
              <w:t>, aby nasze społeczeństwa i gospodarki pewnie zmierzały do osiągnięcia celów zrównoważonego rozwoju i zaradzenia potrójnemu kryzysowi planetarnemu</w:t>
            </w:r>
            <w:r>
              <w:rPr>
                <w:b/>
                <w:i/>
                <w:strike w:val="0"/>
                <w:color w:val="auto"/>
                <w:highlight w:val="none"/>
                <w:u w:val="none" w:color="auto"/>
                <w:vertAlign w:val="baseline"/>
              </w:rPr>
              <w:t>:</w:t>
            </w:r>
            <w:r>
              <w:rPr>
                <w:b/>
                <w:i/>
                <w:strike w:val="0"/>
                <w:color w:val="auto"/>
                <w:highlight w:val="none"/>
                <w:u w:val="none" w:color="auto"/>
                <w:vertAlign w:val="baseline"/>
              </w:rPr>
              <w:t xml:space="preserve"> </w:t>
            </w:r>
            <w:r>
              <w:rPr>
                <w:b/>
                <w:i/>
                <w:strike w:val="0"/>
                <w:color w:val="auto"/>
                <w:highlight w:val="none"/>
                <w:u w:val="none" w:color="auto"/>
                <w:vertAlign w:val="baseline"/>
              </w:rPr>
              <w:t>zmianie klimatu, zanieczyszczeniu i utracie różnorodności biologicznej</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zwraca uwagę, że kluczowe pozostaje przywództwo UE w globalnej realizacji celów zrównoważonego rozwoju, zwłaszcza w świetle wielu wyzwań geopolitycznych i trwających kryzysów;</w:t>
            </w:r>
          </w:p>
        </w:tc>
        <w:tc>
          <w:tcPr>
            <w:tcW w:w="4876" w:type="dxa"/>
            <w:vAlign w:val="top"/>
          </w:tcPr>
          <w:p>
            <w:pPr>
              <w:pStyle w:val="Normal6a"/>
            </w:pPr>
            <w:r>
              <w:t>4.</w:t>
            </w:r>
            <w:r>
              <w:tab/>
            </w:r>
            <w:r>
              <w:t>zwraca uwagę, że kluczowe pozostaje przywództwo UE w globalnej realizacji celów zrównoważonego rozwoju, zwłaszcza w świetle wielu wyzwań geopolitycznych i trwających kryzysów</w:t>
            </w:r>
            <w:r>
              <w:rPr>
                <w:b/>
                <w:i/>
                <w:strike w:val="0"/>
                <w:color w:val="auto"/>
                <w:highlight w:val="none"/>
                <w:u w:val="none" w:color="auto"/>
                <w:vertAlign w:val="baseline"/>
              </w:rPr>
              <w:t>, w tym rosnącego sprzeciwu wobec celów zrównoważonego rozwoju, wobec równości płci i międzynarodowych ram dotyczących praw człowieka, które mają na celu ochronę słabszych lub zmarginalizowanych grup na całym świecie, w tym kobiet, dziewcząt i osób LGBTIQ+</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4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4a.</w:t>
            </w:r>
            <w:r>
              <w:tab/>
            </w:r>
            <w:r>
              <w:rPr>
                <w:b/>
                <w:i/>
                <w:strike w:val="0"/>
                <w:color w:val="auto"/>
                <w:highlight w:val="none"/>
                <w:u w:val="none" w:color="auto"/>
                <w:vertAlign w:val="baseline"/>
              </w:rPr>
              <w:t>uznaje ciągłe wysiłki Unii Europejskiej i znaczące postępy, w szczególności w realizacji celu zrównoważonego rozwoju nr 8, dostrzegając jednocześnie potrzebę dalszych usprawnień w realizacji celu zrównoważonego rozwoju nr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4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4b.</w:t>
            </w:r>
            <w:r>
              <w:tab/>
            </w:r>
            <w:r>
              <w:rPr>
                <w:b/>
                <w:i/>
                <w:strike w:val="0"/>
                <w:color w:val="auto"/>
                <w:highlight w:val="none"/>
                <w:u w:val="none" w:color="auto"/>
                <w:vertAlign w:val="baseline"/>
              </w:rPr>
              <w:t>podkreśla, że UE powinna priorytetowo traktować polityki wspierające kobiety, dziewczęta i rodziny, zapewniając, że ich dobrobyt gospodarczy i społeczny będzie postrzegany jako klucz do osiągnięcia celów zrównoważonego rozwoju, takich jak ograniczenie ubóstwa, dobra jakość edukacji i równość płci;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29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ubolewa nad marginalnymi lub umiarkowanymi postępami w realizacji większości zadań w ramach celu zrównoważonego rozwoju nr 3 oraz nad spowolnieniem w wielu kluczowych obszarach od 2015 r.; zauważa z zaniepokojeniem, że jesteśmy na drodze do realizacji niecałych 10 % zadań w ramach celu zrównoważonego rozwoju nr 3, a do 2030 r. zrealizujemy prawdopodobnie mniej niż jedną trzecią;</w:t>
            </w:r>
          </w:p>
        </w:tc>
        <w:tc>
          <w:tcPr>
            <w:tcW w:w="4876" w:type="dxa"/>
            <w:vAlign w:val="top"/>
          </w:tcPr>
          <w:p>
            <w:pPr>
              <w:pStyle w:val="Normal6a"/>
            </w:pPr>
            <w:r>
              <w:t>5.</w:t>
            </w:r>
            <w:r>
              <w:tab/>
            </w:r>
            <w:r>
              <w:t>ubolewa nad marginalnymi lub umiarkowanymi postępami w realizacji większości zadań w ramach celu zrównoważonego rozwoju nr 3 oraz nad spowolnieniem w wielu kluczowych obszarach od 2015 r.; zauważa z zaniepokojeniem, że jesteśmy na drodze do realizacji niecałych 10 % zadań w ramach celu zrównoważonego rozwoju nr 3, a do 2030 r. zrealizujemy prawdopodobnie mniej niż jedną trzecią;</w:t>
            </w:r>
            <w:r>
              <w:rPr>
                <w:b/>
                <w:i/>
                <w:strike w:val="0"/>
                <w:color w:val="auto"/>
                <w:highlight w:val="none"/>
                <w:u w:val="none" w:color="auto"/>
                <w:vertAlign w:val="baseline"/>
              </w:rPr>
              <w:t xml:space="preserve"> przypomina, że w UE istnieją duże różnice w traktowaniu kobiet i mężczyzn i że od 2010 r. poczyniono bardzo ograniczone postępy w niwelowaniu tych nierówności;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5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5a.</w:t>
            </w:r>
            <w:r>
              <w:tab/>
            </w:r>
            <w:r>
              <w:rPr>
                <w:b/>
                <w:i/>
                <w:strike w:val="0"/>
                <w:color w:val="auto"/>
                <w:highlight w:val="none"/>
                <w:u w:val="none" w:color="auto"/>
                <w:vertAlign w:val="baseline"/>
              </w:rPr>
              <w:t>wyraża zaniepokojenie utrzymującą się praktyką okaleczania żeńskich narządów płciowych oraz wyraża współczucie dla jej ofiar; podkreśla, że w marcu 2024 r. UNICEF dokonał przeglądu danych odpowiadających liczbie ofiar do ponad 230 mln, co stanowi wzrost o 15 % (ok. 30 mln więcej) w porównaniu z 2016 r., pomimo spadku obserwowanego w niektórych krajach;</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5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5b.</w:t>
            </w:r>
            <w:r>
              <w:tab/>
            </w:r>
            <w:r>
              <w:rPr>
                <w:b/>
                <w:i/>
                <w:strike w:val="0"/>
                <w:color w:val="auto"/>
                <w:highlight w:val="none"/>
                <w:u w:val="none" w:color="auto"/>
                <w:vertAlign w:val="baseline"/>
              </w:rPr>
              <w:t>uznaje, że niedawne cięcia w finansowaniu przez USAID jeszcze bardziej utrudnią postęp w realizacji celu zrównoważonego rozwoju nr 3, w szczególności wpływając na dostęp kobiet i dziewcząt do usług opieki w zakresie zdrowia reprodukcyjnego oraz do usług opieki zdrowotnej nad matkami;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podkreśla, że dalszym postępom w realizacji zadań w ramach celu zrównoważonego rozwoju nr 3 zagrażają liczne </w:t>
            </w:r>
            <w:r>
              <w:rPr>
                <w:b/>
                <w:i/>
                <w:strike w:val="0"/>
                <w:color w:val="auto"/>
                <w:highlight w:val="none"/>
                <w:u w:val="none" w:color="auto"/>
                <w:vertAlign w:val="baseline"/>
              </w:rPr>
              <w:t>i</w:t>
            </w:r>
            <w:r>
              <w:t xml:space="preserve"> powiązane ze sobą kryzysy, słaba infrastruktura opieki zdrowotnej, niestabilność gospodarcza, </w:t>
            </w:r>
            <w:r>
              <w:rPr>
                <w:b/>
                <w:i/>
                <w:strike w:val="0"/>
                <w:color w:val="auto"/>
                <w:highlight w:val="none"/>
                <w:u w:val="none" w:color="auto"/>
                <w:vertAlign w:val="baseline"/>
              </w:rPr>
              <w:t>ubóstwo</w:t>
            </w:r>
            <w:r>
              <w:t xml:space="preserve">, utrzymujące się nierówności, zwłaszcza w grupach społecznych i regionach znajdujących się w trudnej sytuacji, </w:t>
            </w:r>
            <w:r>
              <w:rPr>
                <w:b/>
                <w:i/>
                <w:strike w:val="0"/>
                <w:color w:val="auto"/>
                <w:highlight w:val="none"/>
                <w:u w:val="none" w:color="auto"/>
                <w:vertAlign w:val="baseline"/>
              </w:rPr>
              <w:t>oraz</w:t>
            </w:r>
            <w:r>
              <w:t xml:space="preserve"> coraz bardziej ograniczone zasoby;</w:t>
            </w:r>
          </w:p>
        </w:tc>
        <w:tc>
          <w:tcPr>
            <w:tcW w:w="4876" w:type="dxa"/>
            <w:vAlign w:val="top"/>
          </w:tcPr>
          <w:p>
            <w:pPr>
              <w:pStyle w:val="Normal6a"/>
            </w:pPr>
            <w:r>
              <w:t>6.</w:t>
            </w:r>
            <w:r>
              <w:tab/>
            </w:r>
            <w:r>
              <w:t>podkreśla, że dalszym postępom w realizacji zadań w ramach celu zrównoważonego rozwoju nr 3 zagrażają liczne</w:t>
            </w:r>
            <w:r>
              <w:rPr>
                <w:b/>
                <w:i/>
                <w:strike w:val="0"/>
                <w:color w:val="auto"/>
                <w:highlight w:val="none"/>
                <w:u w:val="none" w:color="auto"/>
                <w:vertAlign w:val="baseline"/>
              </w:rPr>
              <w:t>,</w:t>
            </w:r>
            <w:r>
              <w:t xml:space="preserve"> powiązane ze sobą </w:t>
            </w:r>
            <w:r>
              <w:rPr>
                <w:b/>
                <w:i/>
                <w:strike w:val="0"/>
                <w:color w:val="auto"/>
                <w:highlight w:val="none"/>
                <w:u w:val="none" w:color="auto"/>
                <w:vertAlign w:val="baseline"/>
              </w:rPr>
              <w:t>i narastające</w:t>
            </w:r>
            <w:r>
              <w:t xml:space="preserve"> kryzysy, </w:t>
            </w:r>
            <w:r>
              <w:rPr>
                <w:b/>
                <w:i/>
                <w:strike w:val="0"/>
                <w:color w:val="auto"/>
                <w:highlight w:val="none"/>
                <w:u w:val="none" w:color="auto"/>
                <w:vertAlign w:val="baseline"/>
              </w:rPr>
              <w:t>takie jak</w:t>
            </w:r>
            <w:r>
              <w:t xml:space="preserve"> słaba infrastruktura opieki zdrowotnej, niestabilność gospodarcza, </w:t>
            </w:r>
            <w:r>
              <w:rPr>
                <w:b/>
                <w:i/>
                <w:strike w:val="0"/>
                <w:color w:val="auto"/>
                <w:highlight w:val="none"/>
                <w:u w:val="none" w:color="auto"/>
                <w:vertAlign w:val="baseline"/>
              </w:rPr>
              <w:t>rosnące napięcia geopolityczne</w:t>
            </w:r>
            <w:r>
              <w:t xml:space="preserve">, </w:t>
            </w:r>
            <w:r>
              <w:rPr>
                <w:b/>
                <w:i/>
                <w:strike w:val="0"/>
                <w:color w:val="auto"/>
                <w:highlight w:val="none"/>
                <w:u w:val="none" w:color="auto"/>
                <w:vertAlign w:val="baseline"/>
              </w:rPr>
              <w:t>ubóstwo i</w:t>
            </w:r>
            <w:r>
              <w:t xml:space="preserve"> utrzymujące się nierówności, </w:t>
            </w:r>
            <w:r>
              <w:rPr>
                <w:b/>
                <w:i/>
                <w:strike w:val="0"/>
                <w:color w:val="auto"/>
                <w:highlight w:val="none"/>
                <w:u w:val="none" w:color="auto"/>
                <w:vertAlign w:val="baseline"/>
              </w:rPr>
              <w:t>w tym nierówność płci,</w:t>
            </w:r>
            <w:r>
              <w:t xml:space="preserve"> zwłaszcza w grupach społecznych i regionach znajdujących się w trudnej sytuacji, </w:t>
            </w:r>
            <w:r>
              <w:rPr>
                <w:b/>
                <w:i/>
                <w:strike w:val="0"/>
                <w:color w:val="auto"/>
                <w:highlight w:val="none"/>
                <w:u w:val="none" w:color="auto"/>
                <w:vertAlign w:val="baseline"/>
              </w:rPr>
              <w:t>a także</w:t>
            </w:r>
            <w:r>
              <w:t xml:space="preserve"> coraz bardziej ograniczone zasoby </w:t>
            </w:r>
            <w:r>
              <w:rPr>
                <w:b/>
                <w:i/>
                <w:strike w:val="0"/>
                <w:color w:val="auto"/>
                <w:highlight w:val="none"/>
                <w:u w:val="none" w:color="auto"/>
                <w:vertAlign w:val="baseline"/>
              </w:rPr>
              <w:t>i brak badań medycznych uwzględniających aspekt płci</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6a.</w:t>
            </w:r>
            <w:r>
              <w:tab/>
            </w:r>
            <w:r>
              <w:rPr>
                <w:b/>
                <w:i/>
                <w:strike w:val="0"/>
                <w:color w:val="auto"/>
                <w:highlight w:val="none"/>
                <w:u w:val="none" w:color="auto"/>
                <w:vertAlign w:val="baseline"/>
              </w:rPr>
              <w:t>z zaniepokojeniem odnotowuje wycofanie się Stanów Zjednoczonych ze Światowej Organizacji Zdrowia (WHO) i całkowite zamrożenie ich oficjalnej pomocy rozwojowej (ODA); podkreśla, że biorąc pod uwagę rolę, jaką odgrywa USAID we wzmacnianiu globalnego zdrowia, będzie to miało ogromny wpływ na życie ludzi i dostęp do usług zdrowotnych na całym świecie, w tym dla milionów kobiet i dziewcząt; ponadto podkreśla, że przywrócenie zasady globalnego knebla ma szczególny wpływ na zdrowie i prawa seksualne i reprodukcyjne; wzywa Komisję i państwa członkowskie do wypełnienia luk pozostawionych przez Stany Zjednoczone, w tym poprzez zwiększenie wkładu UE w kluczowe inicjatywy na rzecz zdrowia i praw seksualnych i reprodukcyjnych, takie jak partnerstwo UNFPA na rzecz dostaw i inicjatywa Drużyny Europy na rzecz zdrowia i praw seksualnych i reprodukcyjnych w Afryce Subsaharyjskiej;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6b.</w:t>
            </w:r>
            <w:r>
              <w:tab/>
            </w:r>
            <w:r>
              <w:rPr>
                <w:b/>
                <w:i/>
                <w:strike w:val="0"/>
                <w:color w:val="auto"/>
                <w:highlight w:val="none"/>
                <w:u w:val="none" w:color="auto"/>
                <w:vertAlign w:val="baseline"/>
              </w:rPr>
              <w:t>wyraża ubolewanie z powodu globalnego ograniczenia pomocy rozwojowej, co wpływa głównie na dostępność opieki zdrowotnej w najbiedniejszych regionach i dla osób najbardziej zmarginalizowanych, takich jak kobiety i dziewczęta; uważa, że rozpad niestabilnych systemów opieki zdrowotnej stanowi potencjalne zagrożenie dla zdrowia ludności na całym świecie; wzywa do podjęcia zdecydowanych działań we wszystkich państwach członkowskich i w ramach polityki zewnętrznej UE, aby poczynić znaczne postępy w realizacji celu na 2030 r., jakim jest zmniejszenie umieralności matek, zapewnienie powszechnego dostępu do świadczeń zdrowotnych w zakresie zdrowia seksualnego i reprodukcyjnego – w tym do środków planowania rodziny, bezpiecznej i legalnej aborcji, usług opieki zdrowotnej nad matkami – oraz osiągnięcie powszechnego zabezpieczenia zdrowotnego obejmującego dostęp do bezpiecznych, skutecznych i przystępnych cenowo podstawowych leków wysokiej jakości dla wszystkich; wzywa UE do priorytetowego zapewnienia dostępu do bezpiecznej i skutecznej metody antykoncepcji według własnego wyboru oraz do bezpiecznych i legalnych usług aborcyjnych we wszystkich państwach członkowskich;</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d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6d.</w:t>
            </w:r>
            <w:r>
              <w:tab/>
            </w:r>
            <w:r>
              <w:rPr>
                <w:b/>
                <w:i/>
                <w:strike w:val="0"/>
                <w:color w:val="auto"/>
                <w:highlight w:val="none"/>
                <w:u w:val="none" w:color="auto"/>
                <w:vertAlign w:val="baseline"/>
              </w:rPr>
              <w:t>apeluje do UE i jej państw członkowskich, aby priorytetowo traktowały zapewnienie chłopcom i dziewczętom dostępu do obowiązkowej, opartej na dowodach, dostosowanej do wieku i kompleksowej edukacji na temat seksualności i związków, a także informacji na temat planowania rodziny, ponieważ uważa się, że 164 mln kobiet ma niezaspokojone potrzeby w tej dziedzinie</w:t>
            </w:r>
            <w:r>
              <w:rPr>
                <w:rStyle w:val="Sup"/>
              </w:rPr>
              <w:t>1a</w:t>
            </w:r>
            <w:r>
              <w:rPr>
                <w:b/>
                <w:i/>
                <w:strike w:val="0"/>
                <w:color w:val="auto"/>
                <w:highlight w:val="none"/>
                <w:u w:val="none" w:color="auto"/>
                <w:vertAlign w:val="baseline"/>
              </w:rPr>
              <w:t>, przy czym wysiłki te należy jednocześnie wspierać poprzez politykę zewnętrzną;</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Departament Spraw Gospodarczych i Społecznych ONZ, „World Family Planning 2022”, https://www.un.org/development/desa/pd/sites/www.un.org.development.desa.pd/files/files/documents/2023/Feb/undesa_pd_2022_world-family-planning.pdf.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e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6e.</w:t>
            </w:r>
            <w:r>
              <w:tab/>
            </w:r>
            <w:r>
              <w:rPr>
                <w:b/>
                <w:i/>
                <w:strike w:val="0"/>
                <w:color w:val="auto"/>
                <w:highlight w:val="none"/>
                <w:u w:val="none" w:color="auto"/>
                <w:vertAlign w:val="baseline"/>
              </w:rPr>
              <w:t>wzywa UE do realizacji planów zawartych w strategii na rzecz zdrowia psychicznego i wdrożenia bardziej zdecydowanych działań w celu zapewnienia wszystkim dobrego zdrowia psychicznego, zwłaszcza biorąc pod uwagę perspektywę płci oraz fakt, że kobiety i osoby LGBTIQ+ są bardziej narażone na zaburzenia psychiczne;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f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6f.</w:t>
            </w:r>
            <w:r>
              <w:tab/>
            </w:r>
            <w:r>
              <w:rPr>
                <w:b/>
                <w:i/>
                <w:strike w:val="0"/>
                <w:color w:val="auto"/>
                <w:highlight w:val="none"/>
                <w:u w:val="none" w:color="auto"/>
                <w:vertAlign w:val="baseline"/>
              </w:rPr>
              <w:t>przypomina, że pełne zagwarantowanie zdrowia seksualnego i reprodukcyjnego oraz praw w tym zakresie, jak również utrzymanie autonomii cielesnej kobiet i dziewcząt ma kluczowe znaczenie dla osiągnięcia równości płci; podkreśla, że zdrowie i prawa seksualne i reprodukcyjne są integralną częścią powszechnego zabezpieczenia zdrowotnego i mają kluczowe znaczenie dla osiągnięcia celu zrównoważonego rozwoju nr 3, w szczególności celu 3.7; wzywa Komisję, aby zapewniła uwzględnienie zdrowia i praw seksualnych i reprodukcyjnych w inicjatywach i programach UE dotyczących powszechnego zabezpieczenia zdrowotnego;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g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t>6g</w:t>
            </w:r>
            <w:r>
              <w:tab/>
            </w:r>
            <w:r>
              <w:rPr>
                <w:b/>
                <w:i/>
                <w:strike w:val="0"/>
                <w:color w:val="auto"/>
                <w:highlight w:val="none"/>
                <w:u w:val="none" w:color="auto"/>
                <w:vertAlign w:val="baseline"/>
              </w:rPr>
              <w:t>ostrzega, że założenia wyznaczone w celach zrównoważonego rozwoju nr 3 i 5 nie zostaną zrealizowane, jeśli w UE i na świecie nie zostanie zagwarantowany powszechny dostęp do zdrowia seksualnego i reprodukcyjnego oraz praw reprodukcyjnych; przypomina, że dostęp do podstawowych usług zdrowotnych, jak i do niezbędnych leków, bezpiecznej i skutecznej metody antykoncepcji według własnego wyboru oraz do legalnych usług aborcyjnych jest podstawowym aspektem opieki w zakresie zdrowia seksualnego i reprodukcyjnego;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39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h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6h.</w:t>
            </w:r>
            <w:r>
              <w:tab/>
            </w:r>
            <w:r>
              <w:rPr>
                <w:b/>
                <w:i/>
                <w:strike w:val="0"/>
                <w:color w:val="auto"/>
                <w:highlight w:val="none"/>
                <w:u w:val="none" w:color="auto"/>
                <w:vertAlign w:val="baseline"/>
              </w:rPr>
              <w:t>przypomina, że nieplanowane ciąże mogą mieć znaczące konsekwencje fizyczne, emocjonalne i finansowe dla poszczególnych osób i rodzin oraz powodować szczególnie poważne szkody dla nieletnich w przypadku ciąż u nastolatek; podkreśla, że legalna opieka aborcyjna jest opieką ratującą życie podczas poronień i innych zagrażających życiu nagłych wypadków położniczych oraz że legalny i skuteczny dostęp do bezpiecznej aborcji może pomóc w poradzeniu sobie z poważnymi powikłaniami i uniknięciu ciąż wysokiego ryzyka, które mogą prowadzić do śmiertelności matek i niemowląt;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i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6i.</w:t>
            </w:r>
            <w:r>
              <w:tab/>
            </w:r>
            <w:r>
              <w:rPr>
                <w:b/>
                <w:i/>
                <w:strike w:val="0"/>
                <w:color w:val="auto"/>
                <w:highlight w:val="none"/>
                <w:u w:val="none" w:color="auto"/>
                <w:vertAlign w:val="baseline"/>
              </w:rPr>
              <w:t>podkreśla ponadto, że aborcja medyczna stanowi bezpieczną i mniej inwazyjną alternatywę dla aborcji chirurgicznej i sprawia, że opieka w przypadku aborcji i poronień jest bardziej dostępna dla osób mieszkających na obszarach, na których opieka w przypadku aborcji chirurgicznej jest trudno dostępna z powodu barier geograficznych lub innych, oraz że szybki dostęp do bezpiecznej aborcji medycznej może również pozwolić pacjentkom na samodzielną opiekę w przypadku aborcji i poronień w całości lub w części, zapobiegając opóźnieniom w świadczeniu opieki, które mogą prowadzić do dodatkowych zagrożeń dla zdrowia;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6 j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6j.</w:t>
            </w:r>
            <w:r>
              <w:tab/>
            </w:r>
            <w:r>
              <w:rPr>
                <w:b/>
                <w:i/>
                <w:strike w:val="0"/>
                <w:color w:val="auto"/>
                <w:highlight w:val="none"/>
                <w:u w:val="none" w:color="auto"/>
                <w:vertAlign w:val="baseline"/>
              </w:rPr>
              <w:t>wzywa UE do szybkiego przyjęcia aktu dotyczącego leków o krytycznym znaczeniu</w:t>
            </w:r>
            <w:r>
              <w:rPr>
                <w:rStyle w:val="Sup"/>
              </w:rPr>
              <w:t>1a</w:t>
            </w:r>
            <w:r>
              <w:rPr>
                <w:b/>
                <w:i/>
                <w:strike w:val="0"/>
                <w:color w:val="auto"/>
                <w:highlight w:val="none"/>
                <w:u w:val="none" w:color="auto"/>
                <w:vertAlign w:val="baseline"/>
              </w:rPr>
              <w:t xml:space="preserve"> i dopilnowania, by gwarantował on dostępność podstawowych leków w zakresie zdrowia seksualnego i reprodukcyjnego znajdujących się w wykazie leków podstawowych WHO przez cały czas w całej UE; wzywa Europejską Agencję Leków do zaktualizowania unijnego wykazu produktów leczniczych o krytycznym znaczeniu w celu uwzględnienia pełnego wykazu podstawowych leków w dziedzinie zdrowia seksualnego i reprodukcyjnego zawartych w wykazie leków podstawowych WHO, takich jak środki antykoncepcyjne i aborcyjne; wzywa UE do zapewnienia systematycznego włączania podstawowych leków w zakresie zdrowia seksualnego i reprodukcyjnego do pomocy humanitarnej dla krajów spoza UE;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COM(2025)0102.</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wzywa do intensywniejszych skoordynowanych działań i znacznych inwestycji, aby osiągnąć powszechne zabezpieczenie zdrowotne, wzmocnić systemy opieki zdrowotnej, zapewnić równy dostęp do leków i szczepionek, promować profilaktykę i leczenie chorób, uporać się z nasilającymi się czynnikami środowiskowymi </w:t>
            </w:r>
            <w:r>
              <w:rPr>
                <w:b/>
                <w:i/>
                <w:strike w:val="0"/>
                <w:color w:val="auto"/>
                <w:highlight w:val="none"/>
                <w:u w:val="none" w:color="auto"/>
                <w:vertAlign w:val="baseline"/>
              </w:rPr>
              <w:t>oraz</w:t>
            </w:r>
            <w:r>
              <w:t xml:space="preserve"> zlikwidować różnice w dostępie do wysokiej jakości opieki i usług, zwłaszcza dla społeczności i regionów znajdujących się w trudnej sytuacji;</w:t>
            </w:r>
          </w:p>
        </w:tc>
        <w:tc>
          <w:tcPr>
            <w:tcW w:w="4876" w:type="dxa"/>
            <w:vAlign w:val="top"/>
          </w:tcPr>
          <w:p>
            <w:pPr>
              <w:pStyle w:val="Normal6a"/>
            </w:pPr>
            <w:r>
              <w:t>7.</w:t>
            </w:r>
            <w:r>
              <w:tab/>
            </w:r>
            <w:r>
              <w:t>wzywa do intensywniejszych skoordynowanych działań i znacznych inwestycji, aby osiągnąć powszechne zabezpieczenie zdrowotne, wzmocnić systemy opieki zdrowotnej, zapewnić równy dostęp do leków i szczepionek, promować profilaktykę i leczenie chorób, uporać się z nasilającymi się czynnikami środowiskowymi</w:t>
            </w:r>
            <w:r>
              <w:rPr>
                <w:b/>
                <w:i/>
                <w:strike w:val="0"/>
                <w:color w:val="auto"/>
                <w:highlight w:val="none"/>
                <w:u w:val="none" w:color="auto"/>
                <w:vertAlign w:val="baseline"/>
              </w:rPr>
              <w:t>,</w:t>
            </w:r>
            <w:r>
              <w:t xml:space="preserve"> zlikwidować różnice w dostępie do wysokiej jakości opieki i usług, zwłaszcza dla </w:t>
            </w:r>
            <w:r>
              <w:rPr>
                <w:b/>
                <w:i/>
                <w:strike w:val="0"/>
                <w:color w:val="auto"/>
                <w:highlight w:val="none"/>
                <w:u w:val="none" w:color="auto"/>
                <w:vertAlign w:val="baseline"/>
              </w:rPr>
              <w:t>osób znajdujących się w trudnej sytuacji, a także dla</w:t>
            </w:r>
            <w:r>
              <w:t xml:space="preserve"> społeczności i regionów znajdujących się w trudnej sytuacji</w:t>
            </w:r>
            <w:r>
              <w:rPr>
                <w:b/>
                <w:i/>
                <w:strike w:val="0"/>
                <w:color w:val="auto"/>
                <w:highlight w:val="none"/>
                <w:u w:val="none" w:color="auto"/>
                <w:vertAlign w:val="baseline"/>
              </w:rPr>
              <w:t>, w tym dla mniejszości, kobiet i dziewcząt, a także osób z niepełnosprawnościami;</w:t>
            </w:r>
            <w:r>
              <w:rPr>
                <w:b/>
                <w:i/>
                <w:strike w:val="0"/>
                <w:color w:val="auto"/>
                <w:highlight w:val="none"/>
                <w:u w:val="none" w:color="auto"/>
                <w:vertAlign w:val="baseline"/>
              </w:rPr>
              <w:t xml:space="preserve"> podkreśla znaczenie zagwarantowania wszystkim dostępu do opieki zdrowotnej jako prawa podstawowego; </w:t>
            </w:r>
            <w:r>
              <w:rPr>
                <w:b/>
                <w:i/>
                <w:strike w:val="0"/>
                <w:color w:val="auto"/>
                <w:highlight w:val="none"/>
                <w:u w:val="none" w:color="auto"/>
                <w:vertAlign w:val="baseline"/>
              </w:rPr>
              <w:t>podkreśla potrzebę wspierania dostępu do opieki zdrowotnej i edukacji dla dziewcząt w sytuacjach kryzysowych, migrantek, uchodźców wewnętrznych i dziewcząt uchodźców oraz dziewcząt w sytuacjach kryzysów humanitarnych i konfliktów</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7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7a.</w:t>
            </w:r>
            <w:r>
              <w:tab/>
            </w:r>
            <w:r>
              <w:rPr>
                <w:b/>
                <w:i/>
                <w:strike w:val="0"/>
                <w:color w:val="auto"/>
                <w:highlight w:val="none"/>
                <w:u w:val="none" w:color="auto"/>
                <w:vertAlign w:val="baseline"/>
              </w:rPr>
              <w:t>wzywa do intensywniejszych skoordynowanych działań i znacznych inwestycji, aby osiągnąć powszechne zabezpieczenie zdrowotne, wzmocnić systemy opieki zdrowotnej, zapewnić równy dostęp do leków i szczepionek, promować profilaktykę i leczenie chorób, uporać się z nasilającymi się czynnikami środowiskowymi, zająć się wyzwaniami związanymi ze zdrowiem psychicznym oraz zlikwidować różnice w dostępie do wysokiej jakości opieki i usług, zwłaszcza dla społeczności i regionów znajdujących się w trudnej sytuacji;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rPr>
                <w:b/>
                <w:i/>
                <w:strike w:val="0"/>
                <w:color w:val="auto"/>
                <w:highlight w:val="none"/>
                <w:u w:val="none" w:color="auto"/>
                <w:vertAlign w:val="baseline"/>
              </w:rPr>
              <w:t>apeluje</w:t>
            </w:r>
            <w:r>
              <w:t xml:space="preserve">, </w:t>
            </w:r>
            <w:r>
              <w:rPr>
                <w:b/>
                <w:i/>
                <w:strike w:val="0"/>
                <w:color w:val="auto"/>
                <w:highlight w:val="none"/>
                <w:u w:val="none" w:color="auto"/>
                <w:vertAlign w:val="baseline"/>
              </w:rPr>
              <w:t>aby do europejskiej konwencji praw człowieka i Karty praw podstawowych Unii Europejskiej dodać powszechne prawo do zdrowego środowiska i wprowadzić prawnie wiążące ramy</w:t>
            </w:r>
            <w:r>
              <w:t>;</w:t>
            </w:r>
          </w:p>
        </w:tc>
        <w:tc>
          <w:tcPr>
            <w:tcW w:w="4876" w:type="dxa"/>
            <w:vAlign w:val="top"/>
          </w:tcPr>
          <w:p>
            <w:pPr>
              <w:pStyle w:val="Normal6a"/>
            </w:pPr>
            <w:r>
              <w:t>8.</w:t>
            </w:r>
            <w:r>
              <w:tab/>
            </w:r>
            <w:r>
              <w:rPr>
                <w:b/>
                <w:i/>
                <w:strike w:val="0"/>
                <w:color w:val="auto"/>
                <w:highlight w:val="none"/>
                <w:u w:val="none" w:color="auto"/>
                <w:vertAlign w:val="baseline"/>
              </w:rPr>
              <w:t>uważa</w:t>
            </w:r>
            <w:r>
              <w:t xml:space="preserve">, </w:t>
            </w:r>
            <w:r>
              <w:rPr>
                <w:b/>
                <w:i/>
                <w:strike w:val="0"/>
                <w:color w:val="auto"/>
                <w:highlight w:val="none"/>
                <w:u w:val="none" w:color="auto"/>
                <w:vertAlign w:val="baseline"/>
              </w:rPr>
              <w:t>że zdrowe środowisko jest kluczowym czynnikiem poprawy zdrowia</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8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8a.</w:t>
            </w:r>
            <w:r>
              <w:tab/>
            </w:r>
            <w:r>
              <w:rPr>
                <w:b/>
                <w:i/>
                <w:strike w:val="0"/>
                <w:color w:val="auto"/>
                <w:highlight w:val="none"/>
                <w:u w:val="none" w:color="auto"/>
                <w:vertAlign w:val="baseline"/>
              </w:rPr>
              <w:t>ubolewa, że żaden kraj nie jest na dobrej drodze do osiągnięcia równości płci do 2030 r., a prawie 40 % krajów odnotowało stagnację lub nawet spadek w zakresie równości płci w latach 2019–2022; zauważa, że regres ten zbiega się w czasie ze wzrostem konserwatywnych, reakcjonistycznych i mizoginistycznych tendencji w kontekście praw kobiet na całym świecie; ostrzega, że jeśli obecne tendencje do regresu i stagnacji w zakresie równości płci nabiorą tempa, globalne nierówności płci mogą być znacznie większe w 2030 r. niż w momencie uzgodnienia celów zrównoważonego rozwoju w 2015 r.</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pt. „Findings from the 2024 SDG Gender Index – A gender equal future in crisis?” [Wnioski dotyczące wskaźnika równouprawnienia płci za 2024 r. w ramach celów zrównoważonego rozwoju: przyszłość równości płci w kryzysie?],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8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8b.</w:t>
            </w:r>
            <w:r>
              <w:tab/>
            </w:r>
            <w:r>
              <w:rPr>
                <w:b/>
                <w:i/>
                <w:strike w:val="0"/>
                <w:color w:val="auto"/>
                <w:highlight w:val="none"/>
                <w:u w:val="none" w:color="auto"/>
                <w:vertAlign w:val="baseline"/>
              </w:rPr>
              <w:t>podkreśla przekrojowy charakter celu zrównoważonego rozwoju nr 5 i jego znaczenie w realizacji Agendy 2030; podkreśla, że osiągnięcie równości płci bezpośrednio uzupełnia wszystkie inne SDG, przy czym celów tych nie można zrealizować bez propagowania praw kobiet i dziewcząt oraz zapewnienia równości płci;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wzywa do przyspieszonych i ukierunkowanych działań, które położą kres wszelkim formom przemocy wobec kobiet, dziewcząt i osób LGBTIQ+ oraz ich nękaniu, w tym przemocy seksualnej i przemocy ze względu na płeć, a także szkodliwym praktykom, takim jak małżeństwa dzieci i okaleczanie żeńskich narządów płciowych;</w:t>
            </w:r>
          </w:p>
        </w:tc>
        <w:tc>
          <w:tcPr>
            <w:tcW w:w="4876" w:type="dxa"/>
            <w:vAlign w:val="top"/>
          </w:tcPr>
          <w:p>
            <w:pPr>
              <w:pStyle w:val="Normal6a"/>
            </w:pPr>
            <w:r>
              <w:t>9.</w:t>
            </w:r>
            <w:r>
              <w:tab/>
            </w:r>
            <w:r>
              <w:rPr>
                <w:b/>
                <w:i/>
                <w:strike w:val="0"/>
                <w:color w:val="auto"/>
                <w:highlight w:val="none"/>
                <w:u w:val="none" w:color="auto"/>
                <w:vertAlign w:val="baseline"/>
              </w:rPr>
              <w:t xml:space="preserve">przypomina, że społeczeństwo wolne od przemocy ze względu na płeć jest niezbędnym warunkiem wstępnym osiągnięcia równości płci; </w:t>
            </w:r>
            <w:r>
              <w:t xml:space="preserve">wzywa do przyspieszonych i ukierunkowanych działań, które położą kres wszelkim formom przemocy wobec kobiet, dziewcząt i osób LGBTIQ+ oraz ich nękaniu, w tym przemocy seksualnej i przemocy ze względu na płeć, a także szkodliwym praktykom, takim jak  małżeństwa dzieci i </w:t>
            </w:r>
            <w:r>
              <w:rPr>
                <w:b/>
                <w:i/>
                <w:strike w:val="0"/>
                <w:color w:val="auto"/>
                <w:highlight w:val="none"/>
                <w:u w:val="none" w:color="auto"/>
                <w:vertAlign w:val="baseline"/>
              </w:rPr>
              <w:t>małżeństwa przymusowe, które dotyczą 12 mln dziewcząt rocznie,</w:t>
            </w:r>
            <w:r>
              <w:rPr>
                <w:rStyle w:val="SupBoldItalic"/>
              </w:rPr>
              <w:t>1a</w:t>
            </w:r>
            <w:r>
              <w:t xml:space="preserve"> okaleczanie żeńskich narządów płciowych</w:t>
            </w:r>
            <w:r>
              <w:rPr>
                <w:b/>
                <w:i/>
                <w:strike w:val="0"/>
                <w:color w:val="auto"/>
                <w:highlight w:val="none"/>
                <w:u w:val="none" w:color="auto"/>
                <w:vertAlign w:val="baseline"/>
              </w:rPr>
              <w:t>, aborcja ze względu na płeć, oraz wzywa do zwalczania wykorzystywania przemocy uwarunkowanej płcią jako narzędzia wojny;</w:t>
            </w:r>
            <w:r>
              <w:rPr>
                <w:b/>
                <w:i/>
                <w:strike w:val="0"/>
                <w:color w:val="auto"/>
                <w:highlight w:val="none"/>
                <w:u w:val="none" w:color="auto"/>
                <w:vertAlign w:val="baseline"/>
              </w:rPr>
              <w:t xml:space="preserve"> uważa, że zaangażowanie obywatelskie i lokalne oddolne organizacje kobiet mają zasadnicze znaczenie dla osiągnięcia tego celu; wyraża zaniepokojenie globalnym wzrostem przypadków prześladowania obrońców praw człowieka, zwłaszcza tych, którzy bronią praw kobiet i mniejszości; </w:t>
            </w:r>
            <w:r>
              <w:rPr>
                <w:b/>
                <w:i/>
                <w:strike w:val="0"/>
                <w:color w:val="auto"/>
                <w:highlight w:val="none"/>
                <w:u w:val="none" w:color="auto"/>
                <w:vertAlign w:val="baseline"/>
              </w:rPr>
              <w:t>wyraża zaniepokojenie wysokim wskaźnikiem umieralności matek w krajach o niskim i średnim dochodzie</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BoldItalic"/>
              </w:rPr>
              <w:t>1a</w:t>
            </w:r>
            <w:r>
              <w:t xml:space="preserve"> </w:t>
            </w:r>
            <w:r>
              <w:rPr>
                <w:b/>
                <w:i/>
                <w:strike w:val="0"/>
                <w:color w:val="auto"/>
                <w:highlight w:val="none"/>
                <w:u w:val="none" w:color="auto"/>
                <w:vertAlign w:val="baseline"/>
              </w:rPr>
              <w:t>UNICEF, „Fast Facts: 10 facts illustrating why we must #EndChildMarriage” [10 faktów ilustrujących, dlaczego musimy położyć kres małżeństwom dzieci], 10 lutego2019 r., https://www.unicef.org/press-releases/fast-facts-10-facts-illustrating-why-we-must-endchildmarriage.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9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9a.</w:t>
            </w:r>
            <w:r>
              <w:tab/>
            </w:r>
            <w:r>
              <w:rPr>
                <w:b/>
                <w:i/>
                <w:strike w:val="0"/>
                <w:color w:val="auto"/>
                <w:highlight w:val="none"/>
                <w:u w:val="none" w:color="auto"/>
                <w:vertAlign w:val="baseline"/>
              </w:rPr>
              <w:t>podkreśla, że gwałt pozostaje jednym z najbardziej rozpowszechnionych przypadków łamania praw człowieka i wzywa do ustanowienia wspólnej definicji gwałtu opierającej się na braku zgody ofiary;</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49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9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9b.</w:t>
            </w:r>
            <w:r>
              <w:tab/>
            </w:r>
            <w:r>
              <w:rPr>
                <w:b/>
                <w:i/>
                <w:strike w:val="0"/>
                <w:color w:val="auto"/>
                <w:highlight w:val="none"/>
                <w:u w:val="none" w:color="auto"/>
                <w:vertAlign w:val="baseline"/>
              </w:rPr>
              <w:t>wyraża ubolewanie z powodu globalnego sprzeciwu wobec praw kobiet i potępia wszelkie podmioty podejmujące działania mające na celu podważenie globalnych osiągnięć w zakresie równości płci; wzywa UE i jej państwa członkowskie do zintensyfikowania walki o równość płci zwłaszcza teraz, gdy Stany Zjednoczone ograniczają finansowanie organizacji działających na rzecz praw człowieka;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9 c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9c.</w:t>
            </w:r>
            <w:r>
              <w:tab/>
            </w:r>
            <w:r>
              <w:rPr>
                <w:b/>
                <w:i/>
                <w:strike w:val="0"/>
                <w:color w:val="auto"/>
                <w:highlight w:val="none"/>
                <w:u w:val="none" w:color="auto"/>
                <w:vertAlign w:val="baseline"/>
              </w:rPr>
              <w:t>wzywa do podjęcia bardziej zdecydowanych działań w celu zwalczania coraz powszechniejszego zjawiska mowy nienawiści skierowanej przeciwko płci w internecie i zwiększonej liczby zagrożeń, na jakie narażone są kobiety na stanowiskach politycznych, co skutkuje mniejszą liczbą kobiet obejmujących urzędy i częstszym zmuszaniem kobiet do ustąpienia ze stanowiska;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10.</w:t>
            </w:r>
            <w:r>
              <w:tab/>
            </w:r>
            <w:r>
              <w:t xml:space="preserve">apeluje o </w:t>
            </w:r>
            <w:r>
              <w:rPr>
                <w:b/>
                <w:i/>
                <w:strike w:val="0"/>
                <w:color w:val="auto"/>
                <w:highlight w:val="none"/>
                <w:u w:val="none" w:color="auto"/>
                <w:vertAlign w:val="baseline"/>
              </w:rPr>
              <w:t>dalsze</w:t>
            </w:r>
            <w:r>
              <w:t xml:space="preserve"> finansowanie programów koncentrujących się na </w:t>
            </w:r>
            <w:r>
              <w:rPr>
                <w:b/>
                <w:i/>
                <w:strike w:val="0"/>
                <w:color w:val="auto"/>
                <w:highlight w:val="none"/>
                <w:u w:val="none" w:color="auto"/>
                <w:vertAlign w:val="baseline"/>
              </w:rPr>
              <w:t>promowaniu upodmiotowienia kobiet</w:t>
            </w:r>
            <w:r>
              <w:t xml:space="preserve"> i zwalczaniu wszelkich form przemocy ze względu na płeć; wzywa Komisję do dopilnowania, </w:t>
            </w:r>
            <w:r>
              <w:rPr>
                <w:b/>
                <w:i/>
                <w:strike w:val="0"/>
                <w:color w:val="auto"/>
                <w:highlight w:val="none"/>
                <w:u w:val="none" w:color="auto"/>
                <w:vertAlign w:val="baseline"/>
              </w:rPr>
              <w:t>aby</w:t>
            </w:r>
            <w:r>
              <w:t xml:space="preserve"> w 85 % </w:t>
            </w:r>
            <w:r>
              <w:rPr>
                <w:b/>
                <w:i/>
                <w:strike w:val="0"/>
                <w:color w:val="auto"/>
                <w:highlight w:val="none"/>
                <w:u w:val="none" w:color="auto"/>
                <w:vertAlign w:val="baseline"/>
              </w:rPr>
              <w:t>wszystkich nowych działań zewnętrznych uwzględniać</w:t>
            </w:r>
            <w:r>
              <w:t xml:space="preserve"> aspekt płci jako istotny lub główny cel oraz aby 20 % oficjalnej pomocy rozwojowej w każdym kraju przeznaczać na programy, których jednym z głównych celów jest równość płci;</w:t>
            </w:r>
          </w:p>
        </w:tc>
        <w:tc>
          <w:tcPr>
            <w:tcW w:w="4876" w:type="dxa"/>
            <w:vAlign w:val="top"/>
          </w:tcPr>
          <w:p>
            <w:pPr>
              <w:pStyle w:val="Normal6a"/>
            </w:pPr>
            <w:r>
              <w:t>10.</w:t>
            </w:r>
            <w:r>
              <w:tab/>
            </w:r>
            <w:r>
              <w:t xml:space="preserve">apeluje o </w:t>
            </w:r>
            <w:r>
              <w:rPr>
                <w:b/>
                <w:i/>
                <w:strike w:val="0"/>
                <w:color w:val="auto"/>
                <w:highlight w:val="none"/>
                <w:u w:val="none" w:color="auto"/>
                <w:vertAlign w:val="baseline"/>
              </w:rPr>
              <w:t>zwiększone</w:t>
            </w:r>
            <w:r>
              <w:t xml:space="preserve"> finansowanie programów koncentrujących się na </w:t>
            </w:r>
            <w:r>
              <w:rPr>
                <w:b/>
                <w:i/>
                <w:strike w:val="0"/>
                <w:color w:val="auto"/>
                <w:highlight w:val="none"/>
                <w:u w:val="none" w:color="auto"/>
                <w:vertAlign w:val="baseline"/>
              </w:rPr>
              <w:t>równości płci</w:t>
            </w:r>
            <w:r>
              <w:t xml:space="preserve"> i zwalczaniu wszelkich form przemocy ze względu na płeć; wzywa Komisję do dopilnowania</w:t>
            </w:r>
            <w:r>
              <w:rPr>
                <w:b/>
                <w:i/>
                <w:strike w:val="0"/>
                <w:color w:val="auto"/>
                <w:highlight w:val="none"/>
                <w:u w:val="none" w:color="auto"/>
                <w:vertAlign w:val="baseline"/>
              </w:rPr>
              <w:t>: by wszystkie działania finansowane przez UE uwzględniały wymiar płci</w:t>
            </w:r>
            <w:r>
              <w:t xml:space="preserve">, </w:t>
            </w:r>
            <w:r>
              <w:rPr>
                <w:b/>
                <w:i/>
                <w:strike w:val="0"/>
                <w:color w:val="auto"/>
                <w:highlight w:val="none"/>
                <w:u w:val="none" w:color="auto"/>
                <w:vertAlign w:val="baseline"/>
              </w:rPr>
              <w:t>by</w:t>
            </w:r>
            <w:r>
              <w:t xml:space="preserve"> 85 % </w:t>
            </w:r>
            <w:r>
              <w:rPr>
                <w:b/>
                <w:i/>
                <w:strike w:val="0"/>
                <w:color w:val="auto"/>
                <w:highlight w:val="none"/>
                <w:u w:val="none" w:color="auto"/>
                <w:vertAlign w:val="baseline"/>
              </w:rPr>
              <w:t>oficjalnej pomocy rozwojowej przeznaczano na projekty, które uwzględniają</w:t>
            </w:r>
            <w:r>
              <w:t xml:space="preserve"> aspekt płci jako istotny lub główny cel oraz by 20 % oficjalnej pomocy rozwojowej w każdym kraju przeznaczać na programy, których jednym z głównych celów jest równość płci;</w:t>
            </w:r>
            <w:r>
              <w:rPr>
                <w:b/>
                <w:i/>
                <w:strike w:val="0"/>
                <w:color w:val="auto"/>
                <w:highlight w:val="none"/>
                <w:u w:val="none" w:color="auto"/>
                <w:vertAlign w:val="baseline"/>
              </w:rPr>
              <w:t xml:space="preserve"> wzywa Komisję do uwzględnienia tych dwóch celów w następnych WRF oraz do dopilnowania, by uwzględnianie aspektu płci i podejście do sporządzania budżetu z uwzględnieniem aspektu płci były uwzględniane we wszystkich strategiach politycznych, programach i budżetach UE;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10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10a.</w:t>
            </w:r>
            <w:r>
              <w:tab/>
            </w:r>
            <w:r>
              <w:rPr>
                <w:b/>
                <w:i/>
                <w:strike w:val="0"/>
                <w:color w:val="auto"/>
                <w:highlight w:val="none"/>
                <w:u w:val="none" w:color="auto"/>
                <w:vertAlign w:val="baseline"/>
              </w:rPr>
              <w:t>jest zaniepokojony faktem, że cel zrównoważonego rozwoju nr 5 jest jednym z najsłabiej finansowanych celów zrównoważonego rozwoju; potępia coraz powszechniejsze zmniejszanie wagi finansowania praw kobiet oraz fakt, że oddolne ruchy feministyczne i organizacje zajmujące się prawami kobiet są nadal systemowo niedofinansowane i otrzymują mniej niż 1 % globalnej oficjalnej pomocy rozwojowej</w:t>
            </w:r>
            <w:r>
              <w:rPr>
                <w:rStyle w:val="Sup"/>
              </w:rPr>
              <w:t>1a</w:t>
            </w:r>
            <w:r>
              <w:rPr>
                <w:b/>
                <w:i/>
                <w:strike w:val="0"/>
                <w:color w:val="auto"/>
                <w:highlight w:val="none"/>
                <w:u w:val="none" w:color="auto"/>
                <w:vertAlign w:val="baseline"/>
              </w:rPr>
              <w:t>; wzywa Komisję do zapewnienia regularnego, odpowiedniego i trwałego finansowania europejskich programów i organizacji działających na rzecz równości płci i praw kobiet;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ODI policy brief - Where next for feminist foreign policy on funding feminist movements? [Polityka oficjalnej pomocy rozwojowej: co dalej z feministyczną polityką zagraniczną w zakresie finansowania ruchów feministycznych?],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10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10b.</w:t>
            </w:r>
            <w:r>
              <w:tab/>
            </w:r>
            <w:r>
              <w:rPr>
                <w:b/>
                <w:i/>
                <w:strike w:val="0"/>
                <w:color w:val="auto"/>
                <w:highlight w:val="none"/>
                <w:u w:val="none" w:color="auto"/>
                <w:vertAlign w:val="baseline"/>
              </w:rPr>
              <w:t>wyraża głębokie zaniepokojenie z powodu apartheidu płciowego, który ma obecnie miejsce w Afganistanie; podkreśla, że w Afganistanie już 2,2 mln dziewcząt zostało pozbawionych dostępu do edukacji, przy czym oczekuje się, że liczba ta wzrośnie do 4 mln; wzywa społeczność światową do zdecydowanego potępienia apartheidu płciowego w Afganistanie i podjęcia wszelkich niezbędnych działań w celu położenia kresu apartheidowi płciowemu i pociągnięcia winnych do odpowiedzialności;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10 c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10c.</w:t>
            </w:r>
            <w:r>
              <w:tab/>
            </w:r>
            <w:r>
              <w:rPr>
                <w:b/>
                <w:i/>
                <w:strike w:val="0"/>
                <w:color w:val="auto"/>
                <w:highlight w:val="none"/>
                <w:u w:val="none" w:color="auto"/>
                <w:vertAlign w:val="baseline"/>
              </w:rPr>
              <w:t>ubolewa, że od czasu uruchomienia trzeciego unijnego planu działania w sprawie równości płci tylko 3,8 % wszystkich działań ukierunkowanych na równość płci ma za główny cel równouprawnienie płci, co jest poniżej celu 5 % określonego w rozporządzeniu ustanawiającym ISWMR</w:t>
            </w:r>
            <w:r>
              <w:rPr>
                <w:rStyle w:val="Sup"/>
              </w:rPr>
              <w:t>1a</w:t>
            </w:r>
            <w:r>
              <w:rPr>
                <w:b/>
                <w:i/>
                <w:strike w:val="0"/>
                <w:color w:val="auto"/>
                <w:highlight w:val="none"/>
                <w:u w:val="none" w:color="auto"/>
                <w:vertAlign w:val="baseline"/>
              </w:rPr>
              <w:t>: wzywa państwa członkowskie i Komisję do znacznego zwiększenia liczby działań UE, których głównym celem jest promowanie równości płci, oraz do osiągnięcia celu wynoszącego 5 %; wzywa UE do zwiększenia finansowania wielostronnych funduszy na rzecz równości płci, takich jak UNWomen, oraz zdrowia seksualnego i reprodukcyjnego, takich jak UNFPA i Globalny Fundusz na rzecz Walki z AIDS, Gruźlicą i Malarią;</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Rozporządzenie Parlamentu Europejskiego i Rady (UE) 2021/947 z dnia 9 czerwca 2021 r. ustanawiające Instrument Sąsiedztwa oraz Współpracy Międzynarodowej i Rozwojowej – Globalny Wymiar Europy, zmieniające i uchylające decyzję Parlamentu Europejskiego i Rady nr 466/2014/UE oraz uchylające rozporządzenie Parlamentu Europejskiego i Rady (UE) 2017/1601 i rozporządzenie Rady (WE, Euratom) nr 480/2009 (Dz.U. L 209 z 14.6.2021, s. 1, ELI: http://data.europa.eu/eli/reg/2021/947/oj).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wzywa do przyspieszenia wysiłków na rzecz zlikwidowania luki płacowej między kobietami a mężczyznami, </w:t>
            </w:r>
            <w:r>
              <w:rPr>
                <w:b/>
                <w:i/>
                <w:strike w:val="0"/>
                <w:color w:val="auto"/>
                <w:highlight w:val="none"/>
                <w:u w:val="none" w:color="auto"/>
                <w:vertAlign w:val="baseline"/>
              </w:rPr>
              <w:t>m.in.</w:t>
            </w:r>
            <w:r>
              <w:t xml:space="preserve"> w </w:t>
            </w:r>
            <w:r>
              <w:rPr>
                <w:b/>
                <w:i/>
                <w:strike w:val="0"/>
                <w:color w:val="auto"/>
                <w:highlight w:val="none"/>
                <w:u w:val="none" w:color="auto"/>
                <w:vertAlign w:val="baseline"/>
              </w:rPr>
              <w:t>sektorze usług</w:t>
            </w:r>
            <w:r>
              <w:t xml:space="preserve"> opiekuńczych, </w:t>
            </w:r>
            <w:r>
              <w:rPr>
                <w:b/>
                <w:i/>
                <w:strike w:val="0"/>
                <w:color w:val="auto"/>
                <w:highlight w:val="none"/>
                <w:u w:val="none" w:color="auto"/>
                <w:vertAlign w:val="baseline"/>
              </w:rPr>
              <w:t>oraz</w:t>
            </w:r>
            <w:r>
              <w:t xml:space="preserve"> do zapewnienia równych możliwości uczestnictwa i przywództwa w sektorze publicznym i prywatnym;</w:t>
            </w:r>
          </w:p>
        </w:tc>
        <w:tc>
          <w:tcPr>
            <w:tcW w:w="4876" w:type="dxa"/>
            <w:vAlign w:val="top"/>
          </w:tcPr>
          <w:p>
            <w:pPr>
              <w:pStyle w:val="Normal6a"/>
            </w:pPr>
            <w:r>
              <w:t>11.</w:t>
            </w:r>
            <w:r>
              <w:tab/>
            </w:r>
            <w:r>
              <w:t xml:space="preserve">wzywa do przyspieszenia wysiłków na rzecz zlikwidowania luki </w:t>
            </w:r>
            <w:r>
              <w:rPr>
                <w:b/>
                <w:i/>
                <w:strike w:val="0"/>
                <w:color w:val="auto"/>
                <w:highlight w:val="none"/>
                <w:u w:val="none" w:color="auto"/>
                <w:vertAlign w:val="baseline"/>
              </w:rPr>
              <w:t>w zatrudnieniu między kobietami a mężczyznami oraz luki</w:t>
            </w:r>
            <w:r>
              <w:t xml:space="preserve"> płacowej </w:t>
            </w:r>
            <w:r>
              <w:rPr>
                <w:b/>
                <w:i/>
                <w:strike w:val="0"/>
                <w:color w:val="auto"/>
                <w:highlight w:val="none"/>
                <w:u w:val="none" w:color="auto"/>
                <w:vertAlign w:val="baseline"/>
              </w:rPr>
              <w:t>i emerytalnej</w:t>
            </w:r>
            <w:r>
              <w:t xml:space="preserve"> między kobietami a mężczyznami, </w:t>
            </w:r>
            <w:r>
              <w:rPr>
                <w:b/>
                <w:i/>
                <w:strike w:val="0"/>
                <w:color w:val="auto"/>
                <w:highlight w:val="none"/>
                <w:u w:val="none" w:color="auto"/>
                <w:vertAlign w:val="baseline"/>
              </w:rPr>
              <w:t>a także do zwiększenia inwestycji w usługi publiczne i infrastrukturę społeczną oraz do zobowiązania się do postępu</w:t>
            </w:r>
            <w:r>
              <w:t xml:space="preserve"> w </w:t>
            </w:r>
            <w:r>
              <w:rPr>
                <w:b/>
                <w:i/>
                <w:strike w:val="0"/>
                <w:color w:val="auto"/>
                <w:highlight w:val="none"/>
                <w:u w:val="none" w:color="auto"/>
                <w:vertAlign w:val="baseline"/>
              </w:rPr>
              <w:t>kierunku społeczeństw</w:t>
            </w:r>
            <w:r>
              <w:t xml:space="preserve"> opiekuńczych</w:t>
            </w:r>
            <w:r>
              <w:rPr>
                <w:b/>
                <w:i/>
                <w:strike w:val="0"/>
                <w:color w:val="auto"/>
                <w:highlight w:val="none"/>
                <w:u w:val="none" w:color="auto"/>
                <w:vertAlign w:val="baseline"/>
              </w:rPr>
              <w:t>;</w:t>
            </w:r>
            <w:r>
              <w:rPr>
                <w:b/>
                <w:i/>
                <w:strike w:val="0"/>
                <w:color w:val="auto"/>
                <w:highlight w:val="none"/>
                <w:u w:val="none" w:color="auto"/>
                <w:vertAlign w:val="baseline"/>
              </w:rPr>
              <w:t xml:space="preserve"> </w:t>
            </w:r>
            <w:r>
              <w:rPr>
                <w:b/>
                <w:i/>
                <w:strike w:val="0"/>
                <w:color w:val="auto"/>
                <w:highlight w:val="none"/>
                <w:u w:val="none" w:color="auto"/>
                <w:vertAlign w:val="baseline"/>
              </w:rPr>
              <w:t>apeluje o bardziej sprawiedliwą wycenę i wynagradzanie pracy w sektorach zdominowanych przez kobiety oraz o przejrzystość wynagrodzeń</w:t>
            </w:r>
            <w:r>
              <w:t xml:space="preserve">, </w:t>
            </w:r>
            <w:r>
              <w:rPr>
                <w:b/>
                <w:i/>
                <w:strike w:val="0"/>
                <w:color w:val="auto"/>
                <w:highlight w:val="none"/>
                <w:u w:val="none" w:color="auto"/>
                <w:vertAlign w:val="baseline"/>
              </w:rPr>
              <w:t>wzywa do reform ochrony socjalnej i promowania wysokiej jakości miejsc pracy wolnych od molestowania seksualnego i przemocy ze względu na płeć;</w:t>
            </w:r>
            <w:r>
              <w:rPr>
                <w:b/>
                <w:i/>
                <w:strike w:val="0"/>
                <w:color w:val="auto"/>
                <w:highlight w:val="none"/>
                <w:u w:val="none" w:color="auto"/>
                <w:vertAlign w:val="baseline"/>
              </w:rPr>
              <w:t xml:space="preserve"> </w:t>
            </w:r>
            <w:r>
              <w:rPr>
                <w:b/>
                <w:i/>
                <w:strike w:val="0"/>
                <w:color w:val="auto"/>
                <w:highlight w:val="none"/>
                <w:u w:val="none" w:color="auto"/>
                <w:vertAlign w:val="baseline"/>
              </w:rPr>
              <w:t>wzywa</w:t>
            </w:r>
            <w:r>
              <w:t xml:space="preserve"> do </w:t>
            </w:r>
            <w:r>
              <w:rPr>
                <w:b/>
                <w:i/>
                <w:strike w:val="0"/>
                <w:color w:val="auto"/>
                <w:highlight w:val="none"/>
                <w:u w:val="none" w:color="auto"/>
                <w:vertAlign w:val="baseline"/>
              </w:rPr>
              <w:t>podjęcia działań w celu</w:t>
            </w:r>
            <w:r>
              <w:t xml:space="preserve"> zapewnienia równych możliwości uczestnictwa i przywództwa w sektorze publicznym i prywatnym </w:t>
            </w:r>
            <w:r>
              <w:rPr>
                <w:b/>
                <w:i/>
                <w:strike w:val="0"/>
                <w:color w:val="auto"/>
                <w:highlight w:val="none"/>
                <w:u w:val="none" w:color="auto"/>
                <w:vertAlign w:val="baseline"/>
              </w:rPr>
              <w:t>poprzez promowanie zrównoważonej pod względem płci reprezentacji na stanowiskach kierowniczych i decyzyjnych oraz zwalczanie seksizmu w sferze publicznej i prywatnej</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11a.</w:t>
            </w:r>
            <w:r>
              <w:tab/>
            </w:r>
            <w:r>
              <w:rPr>
                <w:b/>
                <w:i/>
                <w:strike w:val="0"/>
                <w:color w:val="auto"/>
                <w:highlight w:val="none"/>
                <w:u w:val="none" w:color="auto"/>
                <w:vertAlign w:val="baseline"/>
              </w:rPr>
              <w:t>podkreśla potrzebę promowania równego dostępu do edukacji i wiedzy finansowej dla kobiet i dziewcząt, w szczególności tych z grup zmarginalizowanych i dotkniętych dyskryminacją; podkreśla, że strategie te muszą mieć na celu wspieranie równych szans oraz zwiększanie szans kobiet i dziewcząt na uzyskanie stabilnego, dobrze płatnego i satysfakcjonującego zatrudnienia gwarantującego ich niezależność finansową; wzywa do zapewnienia kobietom i dziewczętom lepszego dostępu do narzędzi cyfrowych i szkoleń oraz apeluje o zachęcanie do wdrażania programów i finansowania studiów i działań w dziedzinie STEM (nauki przyrodnicze, technologia, inżynieria i matematyka) i przedsiębiorczości dla kobiet i dziewcząt;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11b.</w:t>
            </w:r>
            <w:r>
              <w:tab/>
            </w:r>
            <w:r>
              <w:rPr>
                <w:b/>
                <w:i/>
                <w:strike w:val="0"/>
                <w:color w:val="auto"/>
                <w:highlight w:val="none"/>
                <w:u w:val="none" w:color="auto"/>
                <w:vertAlign w:val="baseline"/>
              </w:rPr>
              <w:t>podkreśla znaczenie planu działania Komisji na rzecz praw kobiet dla potwierdzenia zaangażowania UE na rzecz równouprawnienia płci oraz dla kształtowania nowej strategii na rzecz równouprawnienia płci, która ma zostać opublikowana w 2026 r.; apeluje o większe zaangażowanie państw członkowskich i o kompleksowe podejście do usług z zakresu zdrowia seksualnego i reprodukcyjnego, do dyskryminacji krzyżowej i ochrony kobiet znajdujących się w trudnej sytuacji;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c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11c.</w:t>
            </w:r>
            <w:r>
              <w:tab/>
            </w:r>
            <w:r>
              <w:rPr>
                <w:b/>
                <w:i/>
                <w:strike w:val="0"/>
                <w:color w:val="auto"/>
                <w:highlight w:val="none"/>
                <w:u w:val="none" w:color="auto"/>
                <w:vertAlign w:val="baseline"/>
              </w:rPr>
              <w:t>wzywa do dodania powszechnego prawa dostępu do bezpiecznej i legalnej aborcji do Karty praw podstawowych UE oraz do ustanowienia prawnie wiążących ram;</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59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d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11d.</w:t>
            </w:r>
            <w:r>
              <w:tab/>
            </w:r>
            <w:r>
              <w:rPr>
                <w:b/>
                <w:i/>
                <w:strike w:val="0"/>
                <w:color w:val="auto"/>
                <w:highlight w:val="none"/>
                <w:u w:val="none" w:color="auto"/>
                <w:vertAlign w:val="baseline"/>
              </w:rPr>
              <w:t>przypomina, że prawa i zdrowie reprodukcyjne i seksualne są podstawowymi prawami człowieka, a ich realizacja jest podstawowym aspektem godności ludzkiej i warunkiem wstępnym osiągnięcia równości płci; przypomina o zobowiązaniu UE do propagowania, ochrony i realizacji prawa wszystkich osób do pełnej kontroli oraz swobodnego i odpowiedzialnego decydowania – w sposób wolny od dyskryminacji, przymusu i przemocy – w kwestiach dotyczących ich seksualności oraz zdrowia seksualnego i reprodukcyjnego.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e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11e.</w:t>
            </w:r>
            <w:r>
              <w:tab/>
            </w:r>
            <w:r>
              <w:rPr>
                <w:b/>
                <w:i/>
                <w:strike w:val="0"/>
                <w:color w:val="auto"/>
                <w:highlight w:val="none"/>
                <w:u w:val="none" w:color="auto"/>
                <w:vertAlign w:val="baseline"/>
              </w:rPr>
              <w:t>podkreśla znaczenia dostępu do wiarygodnych danych opartych na solidnych podstawach statystycznych i zaangażowania obywateli jako narzędzia, dzięki któremu można dopilnować, by nikt nie pozostał w tyle; uważa, że ma to kluczowe znaczenie dla identyfikacji różnic między krajami i regionami, tworzenia polityki i oceny postępów globalnych inicjatyw na rzecz równości płci;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f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11f.</w:t>
            </w:r>
            <w:r>
              <w:tab/>
            </w:r>
            <w:r>
              <w:rPr>
                <w:b/>
                <w:i/>
                <w:strike w:val="0"/>
                <w:color w:val="auto"/>
                <w:highlight w:val="none"/>
                <w:u w:val="none" w:color="auto"/>
                <w:vertAlign w:val="baseline"/>
              </w:rPr>
              <w:t>wzywa do bardziej zdecydowanego wspierania prawa każdej kobiety do równoważenia życia zawodowego i prywatnego poprzez promowanie wspólnej odpowiedzialności i warunków pracy ułatwiających godzenie życia prywatnego, rodzinnego i zawodowego;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g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 g.</w:t>
            </w:r>
            <w:r>
              <w:tab/>
            </w:r>
            <w:r>
              <w:rPr>
                <w:b/>
                <w:i/>
                <w:strike w:val="0"/>
                <w:color w:val="auto"/>
                <w:highlight w:val="none"/>
                <w:u w:val="none" w:color="auto"/>
                <w:vertAlign w:val="baseline"/>
              </w:rPr>
              <w:t>jest zaniepokojony ciągłym regresem zdrowia i praw seksualnych i reprodukcyjnych, atakami na zdrowie i prawa seksualne i reprodukcyjne oraz na obrońców zdrowia i praw seksualnych i reprodukcyjnych w Europie i na świecie; wzywa do zdecydowanych europejskich wysiłków na rzecz ochrony naszych podstawowych wartości, takich jak równe prawa do autonomii cielesnej, wzywa do wzmocnienia polityki gwarantującej wszystkim kobietom i dziewczętom powszechny dostęp do usług w zakresie zdrowia seksualnego i reprodukcyjnego, w tym informacji na temat planowania rodziny, przystępnej cenowo antykoncepcji, bezpłatnej, bezpiecznej i legalnej aborcji oraz opieki zdrowotnej dla matek;</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h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11h.</w:t>
            </w:r>
            <w:r>
              <w:tab/>
            </w:r>
            <w:r>
              <w:rPr>
                <w:b/>
                <w:i/>
                <w:strike w:val="0"/>
                <w:color w:val="auto"/>
                <w:highlight w:val="none"/>
                <w:u w:val="none" w:color="auto"/>
                <w:vertAlign w:val="baseline"/>
              </w:rPr>
              <w:t>wzywa do wzmocnienia polityki i działań promujących dostęp do ziemi, kredytów, przedsiębiorczości i edukacji, a także zatrudnienia i zdrowia, zwłaszcza kobiet i dziewcząt znajdujących się w trudnej sytuacji, kobiet z niepełnosprawnościami, kobiet w ciąży i kobiet na obszarach wiejskich i wyspiarskich oraz w regionach najbardziej oddalonych;</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i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11i.</w:t>
            </w:r>
            <w:r>
              <w:tab/>
            </w:r>
            <w:r>
              <w:rPr>
                <w:b/>
                <w:i/>
                <w:strike w:val="0"/>
                <w:color w:val="auto"/>
                <w:highlight w:val="none"/>
                <w:u w:val="none" w:color="auto"/>
                <w:vertAlign w:val="baseline"/>
              </w:rPr>
              <w:t>wzywa państwa członkowskie do zapewnienia obowiązkowej, opartej na dowodach kompleksowej edukacji seksualnej i edukacji o związkach w szkołach podstawowych i średnich w celu zwalczania przemocy ze względu na płeć i stereotypów płciowych; podkreśla, że inwestowanie w edukację dziewcząt przynosi ogromne zyski dla przyszłych pokoleń, bezpośrednio przyczyniając się do realizacji ich podstawowych praw i ochrony przed wszelkimi formami przemocy, ale także do poprawy dobrobytu całych społeczeństw; wzywa w związku z tym Komisję do przedstawienia wytycznych unijnych dotyczących kompleksowej i opartej na dowodach edukacji seksualnej, na podstawie norm WHO, oraz do promowania wymiany dobrych praktyk między państwami członkowskimi w tej dziedzinie;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j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11j.</w:t>
            </w:r>
            <w:r>
              <w:tab/>
            </w:r>
            <w:r>
              <w:rPr>
                <w:b/>
                <w:i/>
                <w:strike w:val="0"/>
                <w:color w:val="auto"/>
                <w:highlight w:val="none"/>
                <w:u w:val="none" w:color="auto"/>
                <w:vertAlign w:val="baseline"/>
              </w:rPr>
              <w:t>wzywa Komisję, aby zaprzestała finansowania działających w UE i poza nią ruchów, które przyczyniają się do jakiekolwiek formy ucisku kobiet, w tym kampanii przeciwko prawom podstawowym, a także prawom kobiet oraz zdrowiu i prawom seksualnym i reprodukcyjnym;</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k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11k.</w:t>
            </w:r>
            <w:r>
              <w:tab/>
            </w:r>
            <w:r>
              <w:rPr>
                <w:b/>
                <w:i/>
                <w:strike w:val="0"/>
                <w:color w:val="auto"/>
                <w:highlight w:val="none"/>
                <w:u w:val="none" w:color="auto"/>
                <w:vertAlign w:val="baseline"/>
              </w:rPr>
              <w:t>wyraża ubolewanie z powodu ograniczania praw osób LGBTIQ+ i transfobii zagrażającej równości płci; potępia fakt, że w latach 2021–2022 tylko trzy organizacje anty-LGBTIQ+ zgłosiły dochód sięgający 1 mld USD, podczas gdy 8 000 globalnych beneficjentów działających na rzecz praw osób LGBTIQ+ uzyskało kwotę 905 mln USD</w:t>
            </w:r>
            <w:r>
              <w:rPr>
                <w:rStyle w:val="Sup"/>
              </w:rPr>
              <w:t>1a</w:t>
            </w:r>
            <w:r>
              <w:rPr>
                <w:b/>
                <w:i/>
                <w:strike w:val="0"/>
                <w:color w:val="auto"/>
                <w:highlight w:val="none"/>
                <w:u w:val="none" w:color="auto"/>
                <w:vertAlign w:val="baseline"/>
              </w:rPr>
              <w:t>; ostrzega przed niepokojącym wzrostem finansowania ruchu antygenderowego, które służy przeciwdziałaniu postępowym osiągnięciom w zakresie praw kobiet i osób LGBTIQ+ w ostatnich dziesięcioleciach;</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ODI policy brief - Where next for feminist foreign policy on funding feminist movements? [Polityka oficjalnej pomocy rozwojowej: co dalej z feministyczną polityką zagraniczną w zakresie finansowania ruchów feministycznych?],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l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11l.</w:t>
            </w:r>
            <w:r>
              <w:tab/>
            </w:r>
            <w:r>
              <w:rPr>
                <w:b/>
                <w:i/>
                <w:strike w:val="0"/>
                <w:color w:val="auto"/>
                <w:highlight w:val="none"/>
                <w:u w:val="none" w:color="auto"/>
                <w:vertAlign w:val="baseline"/>
              </w:rPr>
              <w:t>wzywa UE do zakazania centrów konwersji w państwach członkowskich i podjęcia wszelkich możliwych działań, aby wszędzie zapobiegać tej praktyce;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11 m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11m.</w:t>
            </w:r>
            <w:r>
              <w:tab/>
            </w:r>
            <w:r>
              <w:rPr>
                <w:b/>
                <w:i/>
                <w:strike w:val="0"/>
                <w:color w:val="auto"/>
                <w:highlight w:val="none"/>
                <w:u w:val="none" w:color="auto"/>
                <w:vertAlign w:val="baseline"/>
              </w:rPr>
              <w:t>wzywa UE do ustanowienia konkretnego celu finansowania w celu wspierania organizacji zajmujących się prawami kobiet i osób LGBTIQ+, ruchów feministycznych i obrońców praw człowieka w Europie i na świecie; podkreśla potrzebę ustanowienia mechanizmu ochrony obrońców praw człowieka w UE, ze szczególnym uwzględnieniem kobiet, osób LGBTIQ+ i obrońców praw człowieka w zakresie zdrowia i praw seksualnych i reprodukcyjnych;</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69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12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12a.</w:t>
            </w:r>
            <w:r>
              <w:tab/>
            </w:r>
            <w:r>
              <w:rPr>
                <w:b/>
                <w:i/>
                <w:strike w:val="0"/>
                <w:color w:val="auto"/>
                <w:highlight w:val="none"/>
                <w:u w:val="none" w:color="auto"/>
                <w:vertAlign w:val="baseline"/>
              </w:rPr>
              <w:t>zauważa, że wysiłki na rzecz osiągnięcia celów zrównoważonego rozwoju powinny położyć akcent na politykę sprzyjającą innowacjom, przedsiębiorczości i tworzeniu zielonych miejsc pracy, co ostatecznie przyczyni się do szerszej realizacji celów zrównoważonego rozwoju i równości płci;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13.</w:t>
            </w:r>
            <w:r>
              <w:tab/>
            </w:r>
            <w:r>
              <w:t>apeluje o bardziej zdecydowane strategie polityczne i odważne działania na rzecz promowania inkluzywnego i zrównoważonego rozwoju gospodarczego; wzywa UE i partnerów na całym świecie do wykorzystania instrumentów takich jak strategia Global Gateway do tworzenia godnych miejsc pracy, które pozwolą zmniejszyć nierówności dochodowe i zapewnią, że nikt nie zostanie pozostawiony samemu sobie;</w:t>
            </w:r>
          </w:p>
        </w:tc>
        <w:tc>
          <w:tcPr>
            <w:tcW w:w="4876" w:type="dxa"/>
            <w:vAlign w:val="top"/>
          </w:tcPr>
          <w:p>
            <w:pPr>
              <w:pStyle w:val="Normal6a"/>
            </w:pPr>
            <w:r>
              <w:t>13.</w:t>
            </w:r>
            <w:r>
              <w:tab/>
            </w:r>
            <w:r>
              <w:t>apeluje o bardziej zdecydowane strategie polityczne i odważne działania na rzecz promowania inkluzywnego i zrównoważonego rozwoju gospodarczego; wzywa UE i partnerów na całym świecie do wykorzystania instrumentów takich jak strategia Global Gateway do tworzenia godnych miejsc pracy, które pozwolą zmniejszyć nierówności dochodowe i zapewnią, że nikt nie zostanie pozostawiony samemu sobie;</w:t>
            </w:r>
            <w:r>
              <w:rPr>
                <w:b/>
                <w:i/>
                <w:strike w:val="0"/>
                <w:color w:val="auto"/>
                <w:highlight w:val="none"/>
                <w:u w:val="none" w:color="auto"/>
                <w:vertAlign w:val="baseline"/>
              </w:rPr>
              <w:t xml:space="preserve"> wzywa do podjęcia działań w celu zapewnienia, że głosy osób, które są bardziej narażone na pozostanie w tyle, zostaną wysłuchane oraz do priorytetowego traktowania walki z ubóstwem i niepewnymi warunkami pracy, ze szczególnym uwzględnieniem kobiet doświadczających krzyżowych form dyskryminacji;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13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13a.</w:t>
            </w:r>
            <w:r>
              <w:tab/>
            </w:r>
            <w:r>
              <w:rPr>
                <w:b/>
                <w:i/>
                <w:strike w:val="0"/>
                <w:color w:val="auto"/>
                <w:highlight w:val="none"/>
                <w:u w:val="none" w:color="auto"/>
                <w:vertAlign w:val="baseline"/>
              </w:rPr>
              <w:t>podkreśla, że większość nieodpłatnych obowiązków opiekuńczych jest nadal obciążeniem wyłącznie dla kobiet, co ma negatywne konsekwencje w odniesieniu do nierówności płci na rynku pracy i niezależności ekonomicznej, a także dobrobytu społecznego; wzywa UE do opracowania konkretnych środków w celu uznania obowiązków opiekuńczych i zapewnienia odpowiednich publicznych usług opieki społecznej w celu ich wsparcia;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14.</w:t>
            </w:r>
            <w:r>
              <w:tab/>
            </w:r>
            <w:r>
              <w:t xml:space="preserve">jest zaniepokojony stale powolnym i nierównomiernym wzrostem gospodarczym w wielu krajach rozwijających, który często hamują słabości strukturalne, nierówności gospodarcze, niestabilność polityczna </w:t>
            </w:r>
            <w:r>
              <w:rPr>
                <w:b/>
                <w:i/>
                <w:strike w:val="0"/>
                <w:color w:val="auto"/>
                <w:highlight w:val="none"/>
                <w:u w:val="none" w:color="auto"/>
                <w:vertAlign w:val="baseline"/>
              </w:rPr>
              <w:t>i</w:t>
            </w:r>
            <w:r>
              <w:t xml:space="preserve"> wstrząsy zewnętrzne;</w:t>
            </w:r>
          </w:p>
        </w:tc>
        <w:tc>
          <w:tcPr>
            <w:tcW w:w="4876" w:type="dxa"/>
            <w:vAlign w:val="top"/>
          </w:tcPr>
          <w:p>
            <w:pPr>
              <w:pStyle w:val="Normal6a"/>
            </w:pPr>
            <w:r>
              <w:t>14.</w:t>
            </w:r>
            <w:r>
              <w:tab/>
            </w:r>
            <w:r>
              <w:t xml:space="preserve">jest zaniepokojony stale powolnym i nierównomiernym wzrostem gospodarczym w wielu krajach rozwijających, który często hamują słabości strukturalne, nierówności gospodarcze, </w:t>
            </w:r>
            <w:r>
              <w:rPr>
                <w:b/>
                <w:i/>
                <w:strike w:val="0"/>
                <w:color w:val="auto"/>
                <w:highlight w:val="none"/>
                <w:u w:val="none" w:color="auto"/>
                <w:vertAlign w:val="baseline"/>
              </w:rPr>
              <w:t>społeczne i nierówność płci,</w:t>
            </w:r>
            <w:r>
              <w:t xml:space="preserve"> niestabilność polityczna</w:t>
            </w:r>
            <w:r>
              <w:rPr>
                <w:b/>
                <w:i/>
                <w:strike w:val="0"/>
                <w:color w:val="auto"/>
                <w:highlight w:val="none"/>
                <w:u w:val="none" w:color="auto"/>
                <w:vertAlign w:val="baseline"/>
              </w:rPr>
              <w:t>,</w:t>
            </w:r>
            <w:r>
              <w:t xml:space="preserve"> wstrząsy zewnętrzne </w:t>
            </w:r>
            <w:r>
              <w:rPr>
                <w:b/>
                <w:i/>
                <w:strike w:val="0"/>
                <w:color w:val="auto"/>
                <w:highlight w:val="none"/>
                <w:u w:val="none" w:color="auto"/>
                <w:vertAlign w:val="baseline"/>
              </w:rPr>
              <w:t>oraz ingerencja zagraniczna</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14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14a.</w:t>
            </w:r>
            <w:r>
              <w:tab/>
            </w:r>
            <w:r>
              <w:rPr>
                <w:b/>
                <w:i/>
                <w:strike w:val="0"/>
                <w:color w:val="auto"/>
                <w:highlight w:val="none"/>
                <w:u w:val="none" w:color="auto"/>
                <w:vertAlign w:val="baseline"/>
              </w:rPr>
              <w:t>wyraża zaniepokojenie faktem, że w UE nierówność płci na rynku pracy nadal się pogłębia; przypomina o potrzebie utrzymania i wzmocnienia uwzględniania aspektu płci i budżetowania w polityce spójności UE w celu wyeliminowania luki w zatrudnieniu między kobietami a mężczyznami;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15.</w:t>
            </w:r>
            <w:r>
              <w:tab/>
            </w:r>
            <w:r>
              <w:t>zaleca zwiększenie inwestycji publicznych i prywatnych w badania naukowe, edukację i rozwój umiejętności;</w:t>
            </w:r>
          </w:p>
        </w:tc>
        <w:tc>
          <w:tcPr>
            <w:tcW w:w="4876" w:type="dxa"/>
            <w:vAlign w:val="top"/>
          </w:tcPr>
          <w:p>
            <w:pPr>
              <w:pStyle w:val="Normal6a"/>
            </w:pPr>
            <w:r>
              <w:t>15.</w:t>
            </w:r>
            <w:r>
              <w:tab/>
            </w:r>
            <w:r>
              <w:t>zaleca zwiększenie inwestycji publicznych i prywatnych w badania naukowe, edukację i rozwój umiejętności;</w:t>
            </w:r>
            <w:r>
              <w:rPr>
                <w:b/>
                <w:i/>
                <w:strike w:val="0"/>
                <w:color w:val="auto"/>
                <w:highlight w:val="none"/>
                <w:u w:val="none" w:color="auto"/>
                <w:vertAlign w:val="baseline"/>
              </w:rPr>
              <w:t xml:space="preserve"> wzywa UE do zwiększenia liczby szkoleń i wysokiej jakości zatrudnienia na rzecz sprawiedliwej transformacji, ze szczególnym uwzględnieniem grup systematycznie wykluczanych i znajdujących się w niekorzystnej sytuacji, w tym kobiet i społeczności LGBTIQ+;</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16.</w:t>
            </w:r>
            <w:r>
              <w:tab/>
            </w:r>
            <w:r>
              <w:t>podkreśla, że inicjatyw mających pobudzać wzrost gospodarczy nie można realizować kosztem sprawiedliwości społecznej, praw pracowniczych ani ochrony środowiska;</w:t>
            </w:r>
          </w:p>
        </w:tc>
        <w:tc>
          <w:tcPr>
            <w:tcW w:w="4876" w:type="dxa"/>
            <w:vAlign w:val="top"/>
          </w:tcPr>
          <w:p>
            <w:pPr>
              <w:pStyle w:val="Normal6a"/>
            </w:pPr>
            <w:r>
              <w:t>16.</w:t>
            </w:r>
            <w:r>
              <w:tab/>
            </w:r>
            <w:r>
              <w:t xml:space="preserve">podkreśla, że inicjatyw mających pobudzać wzrost gospodarczy nie można realizować kosztem sprawiedliwości społecznej, </w:t>
            </w:r>
            <w:r>
              <w:rPr>
                <w:b/>
                <w:i/>
                <w:strike w:val="0"/>
                <w:color w:val="auto"/>
                <w:highlight w:val="none"/>
                <w:u w:val="none" w:color="auto"/>
                <w:vertAlign w:val="baseline"/>
              </w:rPr>
              <w:t>równouprawnienia płci,</w:t>
            </w:r>
            <w:r>
              <w:t xml:space="preserve"> praw pracowniczych ani ochrony środowiska</w:t>
            </w:r>
            <w:r>
              <w:rPr>
                <w:b/>
                <w:i/>
                <w:strike w:val="0"/>
                <w:color w:val="auto"/>
                <w:highlight w:val="none"/>
                <w:u w:val="none" w:color="auto"/>
                <w:vertAlign w:val="baseline"/>
              </w:rPr>
              <w:t>, zwłaszcza że kobiety i osoby z mniejszości są najbardziej narażone na doświadczenie nierówności generowanych przez wzrost gospodarczy</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16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16a.</w:t>
            </w:r>
            <w:r>
              <w:tab/>
            </w:r>
            <w:r>
              <w:rPr>
                <w:b/>
                <w:i/>
                <w:strike w:val="0"/>
                <w:color w:val="auto"/>
                <w:highlight w:val="none"/>
                <w:u w:val="none" w:color="auto"/>
                <w:vertAlign w:val="baseline"/>
              </w:rPr>
              <w:t>podkreśla, że różnice w globalnym bezrobociu utrzymują się w przypadku kobiet i ludzi młodych oraz że na całym świecie młode kobiety są ponad dwukrotnie bardziej narażone na znalezienie się w grupie młodzieży NEET (młodzież niekształcąca się, niepracująca ani nieszkoląca się) niż młodzi mężczyźni; uznaje, że promowanie równości płci w edukacji, szkoleniach, na rynku pracy i w polityce dotyczącej równowagi między życiem zawodowym a prywatnym może zwiększyć dobrobyt i konkurencyjność gospodarczą, jednocześnie zapobiegając niedostatecznemu wykorzystaniu aktywów i talentów;</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16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16b.</w:t>
            </w:r>
            <w:r>
              <w:tab/>
            </w:r>
            <w:r>
              <w:rPr>
                <w:b/>
                <w:i/>
                <w:strike w:val="0"/>
                <w:color w:val="auto"/>
                <w:highlight w:val="none"/>
                <w:u w:val="none" w:color="auto"/>
                <w:vertAlign w:val="baseline"/>
              </w:rPr>
              <w:t>przypomina, że ważne jest stworzenie zachęt dla przedsiębiorstw do dostosowania ich działalności do celów zrównoważonego rozwoju, przy jednoczesnym zapewnieniu, że rynek pozostanie konkurencyjny i zdolny do napędzania innowacji w zakresie zrównoważonego rozwoju kobiet i dziewcząt;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17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17a.</w:t>
            </w:r>
            <w:r>
              <w:tab/>
            </w:r>
            <w:r>
              <w:rPr>
                <w:b/>
                <w:i/>
                <w:strike w:val="0"/>
                <w:color w:val="auto"/>
                <w:highlight w:val="none"/>
                <w:u w:val="none" w:color="auto"/>
                <w:vertAlign w:val="baseline"/>
              </w:rPr>
              <w:t>podkreśla nieproporcjonalny wpływ degradacji środowiska, w szczególności zanieczyszczenia plastikiem, na kobiety i dziewczęta; wzywa do zwiększenia środków na badania nad wpływem zanieczyszczenia (mikro)plastikiem na żeński układ hormonalny i potencjalny wpływ na płodność;</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79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19.</w:t>
            </w:r>
            <w:r>
              <w:tab/>
            </w:r>
            <w:r>
              <w:t>uważa, że pilnie potrzebne są wiążące środki globalne, aby zaradzić niedociągnięciom, przyspieszyć działania i zapewnić trwale zrównoważony charakter oceanów, np. przez zrównoważone praktyki połowowe, zwalczanie nielegalnych, nieraportowanych i nieuregulowanych połowów, zwiększenie wysiłków na rzecz ochrony mórz i przyjęcie globalnego traktatu w sprawie zanieczyszczenia tworzywami sztucznymi;</w:t>
            </w:r>
          </w:p>
        </w:tc>
        <w:tc>
          <w:tcPr>
            <w:tcW w:w="4876" w:type="dxa"/>
            <w:vAlign w:val="top"/>
          </w:tcPr>
          <w:p>
            <w:pPr>
              <w:pStyle w:val="Normal6a"/>
            </w:pPr>
            <w:r>
              <w:t>19.</w:t>
            </w:r>
            <w:r>
              <w:tab/>
            </w:r>
            <w:r>
              <w:t xml:space="preserve">uważa, że pilnie potrzebne są wiążące środki globalne, aby zaradzić niedociągnięciom, przyspieszyć działania i zapewnić trwale zrównoważony charakter oceanów, np. przez zrównoważone praktyki połowowe, zwalczanie nielegalnych, nieraportowanych i nieuregulowanych połowów, zwiększenie wysiłków na rzecz ochrony mórz </w:t>
            </w:r>
            <w:r>
              <w:rPr>
                <w:b/>
                <w:i/>
                <w:strike w:val="0"/>
                <w:color w:val="auto"/>
                <w:highlight w:val="none"/>
                <w:u w:val="none" w:color="auto"/>
                <w:vertAlign w:val="baseline"/>
              </w:rPr>
              <w:t>poprzez skuteczną ochronę morskich obszarów chronionych</w:t>
            </w:r>
            <w:r>
              <w:t xml:space="preserve"> i przyjęcie globalnego traktatu w sprawie zanieczyszczenia tworzywami sztucznymi</w:t>
            </w:r>
            <w:r>
              <w:rPr>
                <w:b/>
                <w:i/>
                <w:strike w:val="0"/>
                <w:color w:val="auto"/>
                <w:highlight w:val="none"/>
                <w:u w:val="none" w:color="auto"/>
                <w:vertAlign w:val="baseline"/>
              </w:rPr>
              <w:t>, a także poprzez ochronę praw rybaków zajmujących się łodziowym rybołówstwem przybrzeżnym oraz ochronę ich dostępu do zasobów i rynków rybnych, przy zapewnieniu równego i skutecznego udziału kobiet i mężczyzn w tradycyjnym łodziowym rybołówstwie przybrzeżnym w podejmowaniu decyzji, które ich dotyczą</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19 a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19a.</w:t>
            </w:r>
            <w:r>
              <w:tab/>
            </w:r>
            <w:r>
              <w:rPr>
                <w:b/>
                <w:i/>
                <w:strike w:val="0"/>
                <w:color w:val="auto"/>
                <w:highlight w:val="none"/>
                <w:u w:val="none" w:color="auto"/>
                <w:vertAlign w:val="baseline"/>
              </w:rPr>
              <w:t>podkreśla w szczególności potrzebę uznania pracy i wkładu kobiet w łańcuch wartości rybołówstwa łodziowego oraz poprawy ich warunków pracy;</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19 b (nowy)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19b.</w:t>
            </w:r>
            <w:r>
              <w:tab/>
            </w:r>
            <w:r>
              <w:rPr>
                <w:b/>
                <w:i/>
                <w:strike w:val="0"/>
                <w:color w:val="auto"/>
                <w:highlight w:val="none"/>
                <w:u w:val="none" w:color="auto"/>
                <w:vertAlign w:val="baseline"/>
              </w:rPr>
              <w:t>podkreśla potrzebę zwiększenia równości płci w zarządzaniu oceanami, w działalności gospodarczej (takiej jak turystyka, transport morski lub rybołówstwo) oraz w nauce o oceanach</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UNESCO, „Gender Equality for Ocean Sustainability” [Równość płci na rzecz zrównoważonego rozwoju oceanów], https://www.unesco.org/en/articles/gender-equality-ocean-sustainability.</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20.</w:t>
            </w:r>
            <w:r>
              <w:tab/>
            </w:r>
            <w:r>
              <w:t>wzywa UE, aby nadal opowiadała się za multilateralizmem i zapewniała globalne przywództwo w szybszym wdrażaniu celów zrównoważonego rozwoju i Agendy 2030; podkreśla, że zdecydowane ponowne zaangażowanie na rzecz celów zrównoważonego rozwoju będzie wyraźnym sygnałem dla partnerów na całym świecie i będzie sprzyjać globalnym działaniom UE;</w:t>
            </w:r>
          </w:p>
        </w:tc>
        <w:tc>
          <w:tcPr>
            <w:tcW w:w="4876" w:type="dxa"/>
            <w:vAlign w:val="top"/>
          </w:tcPr>
          <w:p>
            <w:pPr>
              <w:pStyle w:val="Normal6a"/>
            </w:pPr>
            <w:r>
              <w:t>20.</w:t>
            </w:r>
            <w:r>
              <w:tab/>
            </w:r>
            <w:r>
              <w:t>wzywa UE, aby nadal opowiadała się za multilateralizmem i zapewniała globalne przywództwo w szybszym wdrażaniu celów zrównoważonego rozwoju i Agendy 2030; podkreśla, że zdecydowane ponowne zaangażowanie na rzecz celów zrównoważonego rozwoju będzie wyraźnym sygnałem dla partnerów na całym świecie i będzie sprzyjać globalnym działaniom UE;</w:t>
            </w:r>
            <w:r>
              <w:rPr>
                <w:b/>
                <w:i/>
                <w:strike w:val="0"/>
                <w:color w:val="auto"/>
                <w:highlight w:val="none"/>
                <w:u w:val="none" w:color="auto"/>
                <w:vertAlign w:val="baseline"/>
              </w:rPr>
              <w:t xml:space="preserve"> podkreśla, że wyraźnemu ponownemu zobowiązaniu muszą towarzyszyć konkretne środki podejmowane przez UE, oraz że musi ono zapewnić, by równość płci stanowiła integralną część dialogu politycznego z krajami partnerskimi na szczeblu dwustronnym i wielostronnym;</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21.</w:t>
            </w:r>
            <w:r>
              <w:tab/>
            </w:r>
            <w:r>
              <w:t>potwierdza, że oficjalna pomoc rozwojowa (ODA) pozostaje jednym z kluczowych źródeł finansowania publicznego; w związku z tym wzywa wszystkie państwa członkowskie UE i partnerów na całym świecie do zadbania o to, by przeznaczać wystarczające środki finansowe na realizację zobowiązania do wydawania 0,7 % dochodu narodowego brutto na ODA;</w:t>
            </w:r>
          </w:p>
        </w:tc>
        <w:tc>
          <w:tcPr>
            <w:tcW w:w="4876" w:type="dxa"/>
            <w:vAlign w:val="top"/>
          </w:tcPr>
          <w:p>
            <w:pPr>
              <w:pStyle w:val="Normal6a"/>
            </w:pPr>
            <w:r>
              <w:t>21.</w:t>
            </w:r>
            <w:r>
              <w:tab/>
            </w:r>
            <w:r>
              <w:t xml:space="preserve">potwierdza, że </w:t>
            </w:r>
            <w:r>
              <w:rPr>
                <w:b/>
                <w:i/>
                <w:strike w:val="0"/>
                <w:color w:val="auto"/>
                <w:highlight w:val="none"/>
                <w:u w:val="none" w:color="auto"/>
                <w:vertAlign w:val="baseline"/>
              </w:rPr>
              <w:t>cele zrównoważonego rozwoju zostaną osiągnięte tylko wtedy, gdy będą finansowane w wystarczający i zrównoważony sposób oraz że</w:t>
            </w:r>
            <w:r>
              <w:t xml:space="preserve"> oficjalna pomoc rozwojowa (ODA) pozostaje jednym z kluczowych źródeł finansowania publicznego; w związku z tym wzywa wszystkie państwa członkowskie UE i partnerów na całym świecie do zadbania o to, by przeznaczać wystarczające środki finansowe na realizację zobowiązania do wydawania 0,7 % dochodu narodowego brutto na ODA</w:t>
            </w:r>
            <w:r>
              <w:rPr>
                <w:b/>
                <w:i/>
                <w:strike w:val="0"/>
                <w:color w:val="auto"/>
                <w:highlight w:val="none"/>
                <w:u w:val="none" w:color="auto"/>
                <w:vertAlign w:val="baseline"/>
              </w:rPr>
              <w:t>, ponieważ tymczasem tylko 4 z 21 państw członkowskich, które są członkami Komitetu Pomocy Rozwojowej, przestrzegają tego międzynarodowego zobowiązania</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22.</w:t>
            </w:r>
            <w:r>
              <w:tab/>
            </w:r>
            <w:r>
              <w:t>podkreśla kluczową rolę partnerstw z udziałem wielu zainteresowanych stron oraz zaangażowanie władz lokalnych, społeczeństwa obywatelskiego i przedstawicieli młodzieży;</w:t>
            </w:r>
          </w:p>
        </w:tc>
        <w:tc>
          <w:tcPr>
            <w:tcW w:w="4876" w:type="dxa"/>
            <w:vAlign w:val="top"/>
          </w:tcPr>
          <w:p>
            <w:pPr>
              <w:pStyle w:val="Normal6a"/>
            </w:pPr>
            <w:r>
              <w:t>22.</w:t>
            </w:r>
            <w:r>
              <w:tab/>
            </w:r>
            <w:r>
              <w:t>podkreśla kluczową rolę partnerstw z udziałem wielu zainteresowanych stron oraz zaangażowanie władz lokalnych, społeczeństwa obywatelskiego i przedstawicieli młodzieży;</w:t>
            </w:r>
            <w:r>
              <w:rPr>
                <w:b/>
                <w:i/>
                <w:strike w:val="0"/>
                <w:color w:val="auto"/>
                <w:highlight w:val="none"/>
                <w:u w:val="none" w:color="auto"/>
                <w:vertAlign w:val="baseline"/>
              </w:rPr>
              <w:t xml:space="preserve"> przypomina, że organizacje społeczeństwa obywatelskiego są kluczowymi podmiotami w żywotnych systemach demokratycznych i podkreśla, że celów zrównoważonego rozwoju, zwłaszcza celu nr 5, nie można osiągnąć bez partnerstwa organizacji społeczeństwa obywatelskiego, w tym oddolnych organizacji kobiet i osób LGBTIQ+; w związku z tym ubolewa nad coraz częstszymi nieuzasadnionymi atakami na organizacje społeczeństwa obywatelskiego i zamykaniem przestrzeni społeczeństwa obywatelskiego, zarówno w Europie, jak i na całym świecie; w związku z tym podkreśla potrzebę zapewnienia regularnego, odpowiedniego i trwałego finansowania organizacji społeczeństwa obywatelskiego oraz prowadzenia otwartego, przejrzystego i zorganizowanego dialogu z organizacjami społeczeństwa obywatelskiego;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wzywa do redukcji i restrukturyzacji zadłużenia krajów rozwijających się oraz do przeprowadzenia reform globalnych instytucji finansowych, w tym wielostronnych banków rozwoju, aby dostosować je do potrzeb realizacji celów zrównoważonego rozwoju;</w:t>
            </w:r>
          </w:p>
        </w:tc>
        <w:tc>
          <w:tcPr>
            <w:tcW w:w="4876" w:type="dxa"/>
            <w:vAlign w:val="top"/>
          </w:tcPr>
          <w:p>
            <w:pPr>
              <w:pStyle w:val="Normal6a"/>
            </w:pPr>
            <w:r>
              <w:t>23.</w:t>
            </w:r>
            <w:r>
              <w:tab/>
            </w:r>
            <w:r>
              <w:t>wzywa do redukcji i restrukturyzacji zadłużenia krajów rozwijających się oraz do przeprowadzenia reform globalnych instytucji finansowych, w tym wielostronnych banków rozwoju, aby dostosować je do potrzeb realizacji celów zrównoważonego rozwoju</w:t>
            </w:r>
            <w:r>
              <w:rPr>
                <w:b/>
                <w:i/>
                <w:strike w:val="0"/>
                <w:color w:val="auto"/>
                <w:highlight w:val="none"/>
                <w:u w:val="none" w:color="auto"/>
                <w:vertAlign w:val="baseline"/>
              </w:rPr>
              <w:t>, a także zmniejszyć nierówności gospodarcze i społeczne oraz nierówności płci;</w:t>
            </w:r>
            <w:r>
              <w:rPr>
                <w:b/>
                <w:i/>
                <w:strike w:val="0"/>
                <w:color w:val="auto"/>
                <w:highlight w:val="none"/>
                <w:u w:val="none" w:color="auto"/>
                <w:vertAlign w:val="baseline"/>
              </w:rPr>
              <w:t xml:space="preserve"> </w:t>
            </w:r>
            <w:r>
              <w:rPr>
                <w:b/>
                <w:i/>
                <w:strike w:val="0"/>
                <w:color w:val="auto"/>
                <w:highlight w:val="none"/>
                <w:u w:val="none" w:color="auto"/>
                <w:vertAlign w:val="baseline"/>
              </w:rPr>
              <w:t>wzywa do ujęcia bardziej zdecydowanej perspektywy płci w dokumencie końcowym Czwartej Międzynarodowej Konferencji w sprawie Finansowania Rozwoju</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Poprawka</w:t>
      </w:r>
      <w:r>
        <w:tab/>
      </w:r>
      <w:r>
        <w:tab/>
      </w:r>
      <w:r>
        <w:rPr>
          <w:rStyle w:val="HideTWBExt"/>
        </w:rPr>
        <w:t>&lt;</w:t>
      </w:r>
      <w:r>
        <w:rPr>
          <w:rStyle w:val="HideTWBExt"/>
        </w:rPr>
        <w:t>NumAm</w:t>
      </w:r>
      <w:r>
        <w:rPr>
          <w:rStyle w:val="HideTWBExt"/>
        </w:rPr>
        <w:t>&gt;</w:t>
      </w:r>
      <w:r>
        <w:t>86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Projekt rezolucji</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Ustęp 26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Projekt rezolucji</w:t>
            </w:r>
          </w:p>
        </w:tc>
        <w:tc>
          <w:tcPr>
            <w:tcW w:w="4876" w:type="dxa"/>
            <w:vAlign w:val="top"/>
          </w:tcPr>
          <w:p>
            <w:pPr>
              <w:pStyle w:val="AmColumnHeading"/>
            </w:pPr>
            <w:r>
              <w:t>Poprawka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26.</w:t>
            </w:r>
            <w:r>
              <w:tab/>
            </w:r>
            <w:r>
              <w:t>przypomina, że cele zrównoważonego rozwoju są jedynym kompleksowym i uzgodnionym na szczeblu globalnym zestawem celów dotyczących głównych wyzwań, przed którymi stoją kraje zarówno rozwinięte, jak i rozwijające się, oraz najlepszym narzędziem pozwalającym wyeliminować ich główne przyczyny;</w:t>
            </w:r>
          </w:p>
        </w:tc>
        <w:tc>
          <w:tcPr>
            <w:tcW w:w="4876" w:type="dxa"/>
            <w:vAlign w:val="top"/>
          </w:tcPr>
          <w:p>
            <w:pPr>
              <w:pStyle w:val="Normal6a"/>
            </w:pPr>
            <w:r>
              <w:t>26.</w:t>
            </w:r>
            <w:r>
              <w:tab/>
            </w:r>
            <w:r>
              <w:t>przypomina, że cele zrównoważonego rozwoju są jedynym kompleksowym i uzgodnionym na szczeblu globalnym zestawem celów dotyczących głównych wyzwań, przed którymi stoją kraje zarówno rozwinięte, jak i rozwijające się, oraz najlepszym narzędziem pozwalającym wyeliminować ich główne przyczyny;</w:t>
            </w:r>
            <w:r>
              <w:rPr>
                <w:b/>
                <w:i/>
                <w:strike w:val="0"/>
                <w:color w:val="auto"/>
                <w:highlight w:val="none"/>
                <w:u w:val="none" w:color="auto"/>
                <w:vertAlign w:val="baseline"/>
              </w:rPr>
              <w:t xml:space="preserve"> wzywa Komisję i państwa członkowskie do działania na rzecz pełnego wdrożenia celów zrównoważonego rozwoju zarówno w UE, jak i poza nią, jako uniwersalnych ram;</w:t>
            </w:r>
          </w:p>
        </w:tc>
      </w:tr>
    </w:tbl>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type w:val="nextPage"/>
          <w:pgSz w:w="11906" w:h="16838"/>
          <w:pgMar w:top="1134" w:right="1417" w:bottom="1417" w:left="1417" w:header="1134" w:footer="567" w:gutter="0"/>
          <w:cols w:num="1" w:space="708"/>
          <w:titlePg w:val="0"/>
          <w:docGrid w:linePitch="360"/>
        </w:sectPr>
      </w:pPr>
    </w:p>
    <w:p>
      <w:pPr>
        <w:pStyle w:val="PageHeadingNotTOC"/>
      </w:pPr>
      <w:r>
        <w:t>ZAŁĄCZNIK: PODMIOTY LUB OSOBY, OD KTÓRYCH SPRAWOZDAWCZYNI KOMISJI OPINIODAWCZEJ OTRZYMAŁA INFORMACJE</w:t>
      </w:r>
    </w:p>
    <w:p>
      <w:pPr>
        <w:pStyle w:val="Normal12a"/>
      </w:pPr>
    </w:p>
    <w:p>
      <w:pPr>
        <w:pStyle w:val="Normal12a"/>
      </w:pPr>
      <w:r>
        <w:t>Sprawozdawczyni oświadcza na swoją wyłączną odpowiedzialność, że nie otrzymała żadnych informacji od podmiotu ani osoby, które należałoby wskazać w tym załączniku zgodnie z art. 8 załącznika I do Regulaminu.</w:t>
      </w:r>
    </w:p>
    <w:p>
      <w:pPr>
        <w:pStyle w:val="Normal12a"/>
        <w:sectPr>
          <w:type w:val="nextPage"/>
          <w:pgSz w:w="11906" w:h="16838"/>
          <w:pgMar w:top="1134" w:right="1417" w:bottom="1417" w:left="1417" w:header="1134" w:footer="567" w:gutter="0"/>
          <w:cols w:num="1" w:space="708"/>
          <w:titlePg w:val="0"/>
          <w:docGrid w:linePitch="360"/>
        </w:sectPr>
      </w:pPr>
    </w:p>
    <w:p>
      <w:pPr>
        <w:pStyle w:val="PageHeading"/>
      </w:pPr>
      <w:r>
        <w:t>INFORMACJE O PRZYJĘCIU W KOMISJI OPINIODAWCZEJ</w:t>
      </w:r>
    </w:p>
    <w:tbl>
      <w:tblPr>
        <w:jc w:val="left"/>
        <w:tblLayout w:type="fixed"/>
        <w:tblCellMar>
          <w:top w:w="54" w:type="dxa"/>
          <w:left w:w="108" w:type="dxa"/>
          <w:bottom w:w="54" w:type="dxa"/>
          <w:right w:w="108" w:type="dxa"/>
        </w:tblCellMar>
      </w:tblPr>
      <w:tblGrid>
        <w:gridCol w:w="3600"/>
        <w:gridCol w:w="6400"/>
      </w:tblGrid>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Data przyjęcia</w:t>
            </w:r>
          </w:p>
        </w:tc>
        <w:tc>
          <w:tcPr>
            <w:tcW w:w="6400" w:type="dxa"/>
            <w:tcBorders>
              <w:top w:val="single" w:sz="8" w:space="0" w:color="000000"/>
              <w:bottom w:val="single" w:sz="8" w:space="0" w:color="000000"/>
              <w:right w:val="single" w:sz="8" w:space="0" w:color="000000"/>
            </w:tcBorders>
            <w:vAlign w:val="top"/>
          </w:tcPr>
          <w:p>
            <w:pPr>
              <w:pStyle w:val="ProcedureTable"/>
            </w:pPr>
            <w:r>
              <w:t>20.5.2025</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Wynik głosowania końcowego</w:t>
            </w:r>
          </w:p>
        </w:tc>
        <w:tc>
          <w:tcPr>
            <w:tcW w:w="6400" w:type="dxa"/>
            <w:tcBorders>
              <w:top w:val="single" w:sz="8" w:space="0" w:color="000000"/>
              <w:bottom w:val="single" w:sz="8" w:space="0" w:color="000000"/>
              <w:right w:val="single" w:sz="8" w:space="0" w:color="000000"/>
            </w:tcBorders>
            <w:vAlign w:val="top"/>
          </w:tcPr>
          <w:p>
            <w:pPr>
              <w:pStyle w:val="ProcedureTable"/>
            </w:pPr>
            <w:r>
              <w:t>+</w:t>
            </w:r>
            <w:r>
              <w:tab/>
            </w:r>
            <w:r>
              <w:t>:</w:t>
            </w:r>
            <w:r>
              <w:tab/>
            </w:r>
            <w:r>
              <w:t>17</w:t>
            </w:r>
          </w:p>
          <w:p>
            <w:pPr>
              <w:pStyle w:val="ProcedureTable"/>
            </w:pPr>
            <w:r>
              <w:t>-</w:t>
            </w:r>
            <w:r>
              <w:tab/>
            </w:r>
            <w:r>
              <w:t>:</w:t>
            </w:r>
            <w:r>
              <w:tab/>
            </w:r>
            <w:r>
              <w:t>11</w:t>
            </w:r>
          </w:p>
          <w:p>
            <w:pPr>
              <w:pStyle w:val="ProcedureTable"/>
            </w:pPr>
            <w:r>
              <w:t>0</w:t>
            </w:r>
            <w:r>
              <w:tab/>
            </w:r>
            <w:r>
              <w:t>:</w:t>
            </w:r>
            <w:r>
              <w:tab/>
            </w:r>
            <w:r>
              <w:t>8</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Posłowie obecni podczas głosowania końcowego</w:t>
            </w:r>
          </w:p>
        </w:tc>
        <w:tc>
          <w:tcPr>
            <w:tcW w:w="6400" w:type="dxa"/>
            <w:tcBorders>
              <w:top w:val="single" w:sz="8" w:space="0" w:color="000000"/>
              <w:bottom w:val="single" w:sz="8" w:space="0" w:color="000000"/>
              <w:right w:val="single" w:sz="8" w:space="0" w:color="000000"/>
            </w:tcBorders>
            <w:vAlign w:val="top"/>
          </w:tcPr>
          <w:p>
            <w:pPr>
              <w:pStyle w:val="ProcedureTable"/>
            </w:pPr>
            <w:r>
              <w:t>Mathilde Androuët, Mireia Borrás Pabón, Irmhild Boßdorf, Mélissa Camara, Margarita de la Pisa Carrión, Valérie Devaux, Elisabeth Dieringer, Rosa Estaràs Ferragut, Viktória Ferenc, Heléne Fritzon, Lina Gálvez, Chiara Gemma, Gabriella Gerzsenyi, Arba Kokalari, Sebastian Kruis, Judita Laššáková, Eleonora Meleti, Irene Montero, Maria Noichl, Sirpa Pietikäinen, Giusi Princi, Joanna Scheuring-Wielgus, Benedetta Scuderi, Laurence Trochu, Marko Vešligaj, Dainius Žalimas</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Zastępcy obecni podczas głosowania końcowego</w:t>
            </w:r>
          </w:p>
        </w:tc>
        <w:tc>
          <w:tcPr>
            <w:tcW w:w="6400" w:type="dxa"/>
            <w:tcBorders>
              <w:top w:val="single" w:sz="8" w:space="0" w:color="000000"/>
              <w:bottom w:val="single" w:sz="8" w:space="0" w:color="000000"/>
              <w:right w:val="single" w:sz="8" w:space="0" w:color="000000"/>
            </w:tcBorders>
            <w:vAlign w:val="top"/>
          </w:tcPr>
          <w:p>
            <w:pPr>
              <w:pStyle w:val="ProcedureTable"/>
            </w:pPr>
            <w:r>
              <w:t>Loucas Fourlas, Kathleen Funchion, Raquel García Hermida-Van Der Walle, Hanna Gedin, Katrin Langensiepen, Jagna Marczułajtis-Walczak, Beatrice Timgren, Jana Toom</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Posłowie, o których mowa w art. 216 ust. 7 Regulaminu, obecni podczas głosowania końcowego</w:t>
            </w:r>
          </w:p>
        </w:tc>
        <w:tc>
          <w:tcPr>
            <w:tcW w:w="6400" w:type="dxa"/>
            <w:tcBorders>
              <w:top w:val="single" w:sz="8" w:space="0" w:color="000000"/>
              <w:bottom w:val="single" w:sz="8" w:space="0" w:color="000000"/>
              <w:right w:val="single" w:sz="8" w:space="0" w:color="000000"/>
            </w:tcBorders>
            <w:vAlign w:val="top"/>
          </w:tcPr>
          <w:p>
            <w:pPr>
              <w:pStyle w:val="ProcedureTable"/>
            </w:pPr>
            <w:r>
              <w:t>Georgios Aftias, Niels Geuking</w:t>
            </w:r>
          </w:p>
        </w:tc>
      </w:tr>
    </w:tbl>
    <w:p>
      <w:pPr>
        <w:pStyle w:val="PageHeading"/>
        <w:sectPr>
          <w:type w:val="nextPage"/>
          <w:pgSz w:w="11906" w:h="16838"/>
          <w:pgMar w:top="1134" w:right="1417" w:bottom="1417" w:left="1417" w:header="1134" w:footer="567" w:gutter="0"/>
          <w:cols w:num="1" w:space="708"/>
          <w:titlePg w:val="0"/>
          <w:docGrid w:linePitch="360"/>
        </w:sectPr>
      </w:pPr>
    </w:p>
    <w:p>
      <w:pPr>
        <w:pStyle w:val="PageHeading"/>
      </w:pPr>
      <w:r>
        <w:t>GŁOSOWANIE KOŃCOWE</w:t>
        <w:br/>
        <w:t>W FORMIE GŁOSOWANIA IMIENNEGO W KOMISJI OPINIODAWCZEJ</w:t>
      </w:r>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17</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Kokalari Arba, Pietikäinen Sirpa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Renew</w:t>
            </w:r>
          </w:p>
        </w:tc>
        <w:tc>
          <w:tcPr>
            <w:tcW w:w="7600" w:type="dxa"/>
            <w:vAlign w:val="top"/>
          </w:tcPr>
          <w:p>
            <w:pPr>
              <w:pStyle w:val="ProcedureTable"/>
            </w:pPr>
            <w:r>
              <w:t>Devaux Valérie, García Hermida-Van Der Walle Raquel, Toom Jana, Zalimas Dainius</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S&amp;D</w:t>
            </w:r>
          </w:p>
        </w:tc>
        <w:tc>
          <w:tcPr>
            <w:tcW w:w="7600" w:type="dxa"/>
            <w:vAlign w:val="top"/>
          </w:tcPr>
          <w:p>
            <w:pPr>
              <w:pStyle w:val="ProcedureTable"/>
            </w:pPr>
            <w:r>
              <w:t>Fritzon Heléne, Gálvez Lina, Noichl Maria, Scheuring-Wielgus Joanna, Vesligaj Marko</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The Left</w:t>
            </w:r>
          </w:p>
        </w:tc>
        <w:tc>
          <w:tcPr>
            <w:tcW w:w="7600" w:type="dxa"/>
            <w:vAlign w:val="top"/>
          </w:tcPr>
          <w:p>
            <w:pPr>
              <w:pStyle w:val="ProcedureTable"/>
            </w:pPr>
            <w:r>
              <w:t>Funchion Kathleen, Gedin Hanna, Montero Irene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Verts/ALE</w:t>
            </w:r>
          </w:p>
        </w:tc>
        <w:tc>
          <w:tcPr>
            <w:tcW w:w="7600" w:type="dxa"/>
            <w:vAlign w:val="top"/>
          </w:tcPr>
          <w:p>
            <w:pPr>
              <w:pStyle w:val="ProcedureTable"/>
            </w:pPr>
            <w:r>
              <w:t>Camara Mélissa, Langensiepen Katrin, Scuderi Benedetta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11</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ECR</w:t>
            </w:r>
          </w:p>
        </w:tc>
        <w:tc>
          <w:tcPr>
            <w:tcW w:w="7600" w:type="dxa"/>
            <w:vAlign w:val="top"/>
          </w:tcPr>
          <w:p>
            <w:pPr>
              <w:pStyle w:val="ProcedureTable"/>
            </w:pPr>
            <w:r>
              <w:t>Gemma Chiara, Timgren Beatrice, Trochu Laurence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ESN</w:t>
            </w:r>
          </w:p>
        </w:tc>
        <w:tc>
          <w:tcPr>
            <w:tcW w:w="7600" w:type="dxa"/>
            <w:vAlign w:val="top"/>
          </w:tcPr>
          <w:p>
            <w:pPr>
              <w:pStyle w:val="ProcedureTable"/>
            </w:pPr>
            <w:r>
              <w:t>Boßdorf Irmhild</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NI</w:t>
            </w:r>
          </w:p>
        </w:tc>
        <w:tc>
          <w:tcPr>
            <w:tcW w:w="7600" w:type="dxa"/>
            <w:vAlign w:val="top"/>
          </w:tcPr>
          <w:p>
            <w:pPr>
              <w:pStyle w:val="ProcedureTable"/>
            </w:pPr>
            <w:r>
              <w:t>Lassáková Judita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PfE</w:t>
            </w:r>
          </w:p>
        </w:tc>
        <w:tc>
          <w:tcPr>
            <w:tcW w:w="7600" w:type="dxa"/>
            <w:vAlign w:val="top"/>
          </w:tcPr>
          <w:p>
            <w:pPr>
              <w:pStyle w:val="ProcedureTable"/>
            </w:pPr>
            <w:r>
              <w:t>Androuët Mathilde, Borrás Pabón Mireia, Dieringer Elisabeth, Ferenc Viktória, Kruis Sebastian, de la Pisa Carrión Margarita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8</w:t>
            </w:r>
          </w:p>
        </w:tc>
        <w:tc>
          <w:tcPr>
            <w:tcW w:w="7600" w:type="dxa"/>
            <w:shd w:val="clear" w:color="auto" w:fill="C0C0C0"/>
            <w:vAlign w:val="top"/>
          </w:tcPr>
          <w:p>
            <w:pPr>
              <w:pStyle w:val="Arial14CentreBold"/>
            </w:pPr>
            <w:r>
              <w:t>0</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Aftias Georgios, Estaràs Ferragut Rosa, Fourlas Loucas, Gerzsenyi Gabriella, Geuking Niels, Marczulajtis-Walczak Jagna, Meleti Eleonora, Princi Giusi</w:t>
            </w:r>
          </w:p>
        </w:tc>
      </w:tr>
    </w:tbl>
    <w:p/>
    <w:p>
      <w:r>
        <w:t>Objaśnienie używanych znaków:</w:t>
      </w:r>
    </w:p>
    <w:p>
      <w:pPr>
        <w:pStyle w:val="NormalTab"/>
      </w:pPr>
      <w:r>
        <w:t>+</w:t>
      </w:r>
      <w:r>
        <w:tab/>
        <w:t>:</w:t>
        <w:tab/>
      </w:r>
      <w:r>
        <w:t>za</w:t>
      </w:r>
    </w:p>
    <w:p>
      <w:pPr>
        <w:pStyle w:val="NormalTab"/>
      </w:pPr>
      <w:r>
        <w:t>-</w:t>
      </w:r>
      <w:r>
        <w:tab/>
        <w:t>:</w:t>
        <w:tab/>
      </w:r>
      <w:r>
        <w:t>przeciw</w:t>
      </w:r>
    </w:p>
    <w:p>
      <w:pPr>
        <w:pStyle w:val="NormalTab"/>
      </w:pPr>
      <w:r>
        <w:t>0</w:t>
      </w:r>
      <w:r>
        <w:tab/>
        <w:t>:</w:t>
        <w:tab/>
      </w:r>
      <w:r>
        <w:t>wstrzymało się</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r>
      <w:tab/>
    </w:r>
    <w:r>
      <w:fldChar w:fldCharType="begin"/>
    </w:r>
    <w:r>
      <w:instrText>PAGE</w:instrText>
    </w:r>
    <w:r>
      <w:fldChar w:fldCharType="separate"/>
    </w:r>
    <w:r>
      <w:t>46</w:t>
    </w:r>
    <w:r>
      <w:fldChar w:fldCharType="end"/>
    </w:r>
    <w:r>
      <w:t>/</w:t>
    </w:r>
    <w:r>
      <w:fldChar w:fldCharType="begin"/>
    </w:r>
    <w:r>
      <w:instrText>NUMPAGES</w:instrText>
    </w:r>
    <w:r>
      <w:fldChar w:fldCharType="separate"/>
    </w:r>
    <w:r>
      <w:t>46</w:t>
    </w:r>
    <w:r>
      <w:fldChar w:fldCharType="end"/>
    </w:r>
    <w:r>
      <w:tab/>
    </w:r>
    <w:r>
      <w:rPr>
        <w:rStyle w:val="HideTWBExt"/>
      </w:rPr>
      <w:t>&lt;</w:t>
    </w:r>
    <w:r>
      <w:rPr>
        <w:rStyle w:val="HideTWBExt"/>
      </w:rPr>
      <w:t>PathFdR</w:t>
    </w:r>
    <w:r>
      <w:rPr>
        <w:rStyle w:val="HideTWBExt"/>
      </w:rPr>
      <w:t>&gt;</w:t>
    </w:r>
    <w:r>
      <w:t>AD\1321310PL.docx</w:t>
    </w:r>
    <w:r>
      <w:rPr>
        <w:rStyle w:val="HideTWBExt"/>
      </w:rPr>
      <w:t>&lt;/</w:t>
    </w:r>
    <w:r>
      <w:rPr>
        <w:rStyle w:val="HideTWBExt"/>
      </w:rPr>
      <w:t>PathFdR</w:t>
    </w:r>
    <w:r>
      <w:rPr>
        <w:rStyle w:val="HideTWBExt"/>
      </w:rPr>
      <w:t>&gt;</w:t>
    </w:r>
  </w:p>
  <w:p>
    <w:pPr>
      <w:pStyle w:val="EPFooter2"/>
    </w:pPr>
    <w:r>
      <w:t>PL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AD\1321310PL.docx</w:t>
    </w:r>
    <w:r>
      <w:rPr>
        <w:rStyle w:val="HideTWBExt"/>
      </w:rPr>
      <w:t>&lt;/</w:t>
    </w:r>
    <w:r>
      <w:rPr>
        <w:rStyle w:val="HideTWBExt"/>
      </w:rPr>
      <w:t>PathFdR</w:t>
    </w:r>
    <w:r>
      <w:rPr>
        <w:rStyle w:val="HideTWBExt"/>
      </w:rPr>
      <w:t>&gt;</w:t>
    </w:r>
    <w:r>
      <w:tab/>
    </w:r>
    <w:r>
      <w:fldChar w:fldCharType="begin"/>
    </w:r>
    <w:r>
      <w:instrText>PAGE</w:instrText>
    </w:r>
    <w:r>
      <w:fldChar w:fldCharType="separate"/>
    </w:r>
    <w:r>
      <w:t>45</w:t>
    </w:r>
    <w:r>
      <w:fldChar w:fldCharType="end"/>
    </w:r>
    <w:r>
      <w:t>/</w:t>
    </w:r>
    <w:r>
      <w:fldChar w:fldCharType="begin"/>
    </w:r>
    <w:r>
      <w:instrText>NUMPAGES</w:instrText>
    </w:r>
    <w:r>
      <w:fldChar w:fldCharType="separate"/>
    </w:r>
    <w:r>
      <w:t>46</w:t>
    </w:r>
    <w:r>
      <w:fldChar w:fldCharType="end"/>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ab/>
    </w:r>
    <w:r>
      <w:tab/>
    </w:r>
    <w:r>
      <w:t>PL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AD\1321310PL.docx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PL</w:t>
    </w:r>
    <w:r>
      <w:tab/>
    </w:r>
    <w:r>
      <w:rPr>
        <w:rStyle w:val="EPFooter2Motto"/>
      </w:rPr>
      <w:t>Zjednoczona w różnorodności</w:t>
    </w:r>
    <w:r>
      <w:tab/>
    </w:r>
    <w:r>
      <w:t>PL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538D7"/>
    <w:multiLevelType w:val="hybridMultilevel"/>
    <w:tmpl w:val="B4A836B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COMKEY"/>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538135"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paragraph" w:customStyle="1" w:styleId="NormalTab">
    <w:name w:val="NormalTab"/>
    <w:basedOn w:val="Normal"/>
    <w:rsid w:val="006B7F7C"/>
    <w:pPr>
      <w:tabs>
        <w:tab w:val="center" w:pos="284"/>
        <w:tab w:val="left" w:pos="425"/>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1321310</vt:lpwstr>
  </property>
  <property fmtid="{D5CDD505-2E9C-101B-9397-08002B2CF9AE}" pid="4" name="&lt;Model&gt;">
    <vt:lpwstr>PA_NonLeg</vt:lpwstr>
  </property>
  <property fmtid="{D5CDD505-2E9C-101B-9397-08002B2CF9AE}" pid="5" name="&lt;Type&gt;">
    <vt:lpwstr>AD</vt:lpwstr>
  </property>
  <property fmtid="{D5CDD505-2E9C-101B-9397-08002B2CF9AE}" pid="6" name="DMXMLUID">
    <vt:lpwstr>20250612-111909-001049-463747</vt:lpwstr>
  </property>
  <property fmtid="{D5CDD505-2E9C-101B-9397-08002B2CF9AE}" pid="7" name="FooterPath">
    <vt:lpwstr>AD\1321310PL.doc</vt:lpwstr>
  </property>
  <property fmtid="{D5CDD505-2E9C-101B-9397-08002B2CF9AE}" pid="8" name="PE Number">
    <vt:lpwstr>770.238</vt:lpwstr>
  </property>
  <property fmtid="{D5CDD505-2E9C-101B-9397-08002B2CF9AE}" pid="9" name="UID">
    <vt:lpwstr>eu.europa.europarl-DIN1-2025-0000107752_01.09-pl-01.00_text-xml</vt:lpwstr>
  </property>
</Properties>
</file>