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Parlamentul European</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Comisia pentru drepturile femeilor și egalitatea de gen</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2025/2014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26/05/2025</w:t>
      </w:r>
      <w:r>
        <w:rPr>
          <w:rStyle w:val="HideTWBInt"/>
        </w:rPr>
        <w:t>}</w:t>
      </w:r>
      <w:r>
        <w:t>26.5.2025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AVIZ</w:t>
      </w:r>
      <w:r>
        <w:rPr>
          <w:rStyle w:val="HideTWBExt"/>
        </w:rPr>
        <w:t>&lt;/</w:t>
      </w:r>
      <w:r>
        <w:rPr>
          <w:rStyle w:val="HideTWBExt"/>
        </w:rPr>
        <w:t>TitreType</w:t>
      </w:r>
      <w:r>
        <w:rPr>
          <w:rStyle w:val="HideTWBExt"/>
        </w:rPr>
        <w:t>&gt;</w:t>
      </w:r>
    </w:p>
    <w:p>
      <w:pPr>
        <w:pStyle w:val="CoverNormal24a"/>
      </w:pPr>
      <w:r>
        <w:rPr>
          <w:rStyle w:val="HideTWBExt"/>
        </w:rPr>
        <w:t>&lt;</w:t>
      </w:r>
      <w:r>
        <w:rPr>
          <w:rStyle w:val="HideTWBExt"/>
        </w:rPr>
        <w:t>CommissionResp</w:t>
      </w:r>
      <w:r>
        <w:rPr>
          <w:rStyle w:val="HideTWBExt"/>
        </w:rPr>
        <w:t>&gt;</w:t>
      </w:r>
      <w:r>
        <w:t>al Comisiei pentru drepturile femeilor și egalitatea de gen</w:t>
      </w:r>
      <w:r>
        <w:rPr>
          <w:rStyle w:val="HideTWBExt"/>
        </w:rPr>
        <w:t>&lt;/</w:t>
      </w:r>
      <w:r>
        <w:rPr>
          <w:rStyle w:val="HideTWBExt"/>
        </w:rPr>
        <w:t>CommissionResp</w:t>
      </w:r>
      <w:r>
        <w:rPr>
          <w:rStyle w:val="HideTWBExt"/>
        </w:rPr>
        <w:t>&gt;</w:t>
      </w:r>
    </w:p>
    <w:p>
      <w:pPr>
        <w:pStyle w:val="CoverNormal24a"/>
      </w:pPr>
      <w:r>
        <w:rPr>
          <w:rStyle w:val="HideTWBExt"/>
        </w:rPr>
        <w:t>&lt;</w:t>
      </w:r>
      <w:r>
        <w:rPr>
          <w:rStyle w:val="HideTWBExt"/>
        </w:rPr>
        <w:t>CommissionInt</w:t>
      </w:r>
      <w:r>
        <w:rPr>
          <w:rStyle w:val="HideTWBExt"/>
        </w:rPr>
        <w:t>&gt;</w:t>
      </w:r>
      <w:r>
        <w:t>destinat Comisiei pentru dezvoltare și Comisiei pentru mediu, climă și siguranță alimentară</w:t>
      </w:r>
      <w:r>
        <w:rPr>
          <w:rStyle w:val="HideTWBExt"/>
        </w:rPr>
        <w:t>&lt;/</w:t>
      </w:r>
      <w:r>
        <w:rPr>
          <w:rStyle w:val="HideTWBExt"/>
        </w:rPr>
        <w:t>CommissionInt</w:t>
      </w:r>
      <w:r>
        <w:rPr>
          <w:rStyle w:val="HideTWBExt"/>
        </w:rPr>
        <w:t>&gt;</w:t>
      </w:r>
    </w:p>
    <w:p>
      <w:pPr>
        <w:pStyle w:val="CoverNormal"/>
      </w:pPr>
      <w:r>
        <w:rPr>
          <w:rStyle w:val="HideTWBExt"/>
        </w:rPr>
        <w:t>&lt;</w:t>
      </w:r>
      <w:r>
        <w:rPr>
          <w:rStyle w:val="HideTWBExt"/>
        </w:rPr>
        <w:t>Titre</w:t>
      </w:r>
      <w:r>
        <w:rPr>
          <w:rStyle w:val="HideTWBExt"/>
        </w:rPr>
        <w:t>&gt;</w:t>
      </w:r>
      <w:r>
        <w:t>referitor la punerea în aplicare și realizarea obiectivelor de dezvoltare durabilă în vederea Forumului politic la nivel înalt din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(2025/2014(INI))</w:t>
      </w:r>
      <w:r>
        <w:rPr>
          <w:rStyle w:val="HideTWBExt"/>
        </w:rPr>
        <w:t>&lt;/</w:t>
      </w:r>
      <w:r>
        <w:rPr>
          <w:rStyle w:val="HideTWBExt"/>
        </w:rPr>
        <w:t>DocRef</w:t>
      </w:r>
      <w:r>
        <w:rPr>
          <w:rStyle w:val="HideTWBExt"/>
        </w:rPr>
        <w:t>&gt;</w:t>
      </w:r>
    </w:p>
    <w:p>
      <w:pPr>
        <w:pStyle w:val="CoverNormal24a"/>
      </w:pPr>
      <w:r>
        <w:t>Raportoare pentru aviz</w:t>
      </w:r>
      <w:r>
        <w:t xml:space="preserve">: </w:t>
      </w:r>
      <w:r>
        <w:rPr>
          <w:rStyle w:val="HideTWBExt"/>
        </w:rPr>
        <w:t>&lt;</w:t>
      </w:r>
      <w:r>
        <w:rPr>
          <w:rStyle w:val="HideTWBExt"/>
        </w:rPr>
        <w:t>Depute</w:t>
      </w:r>
      <w:r>
        <w:rPr>
          <w:rStyle w:val="HideTWBExt"/>
        </w:rPr>
        <w:t>&gt;</w:t>
      </w:r>
      <w:r>
        <w:t>Lina Gálvez</w:t>
      </w:r>
      <w:r>
        <w:rPr>
          <w:rStyle w:val="HideTWBExt"/>
        </w:rPr>
        <w:t>&lt;/</w:t>
      </w:r>
      <w:r>
        <w:rPr>
          <w:rStyle w:val="HideTWBExt"/>
        </w:rPr>
        <w:t>Depute</w:t>
      </w:r>
      <w:r>
        <w:rPr>
          <w:rStyle w:val="HideTWBExt"/>
        </w:rPr>
        <w:t>&gt;</w:t>
      </w:r>
    </w:p>
    <w:p>
      <w:r>
        <w:br w:type="page"/>
      </w:r>
      <w:r>
        <w:t>PA_NonLeg</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NotTOC"/>
      </w:pPr>
      <w:r>
        <w:t>AMENDAMENTE</w:t>
      </w:r>
    </w:p>
    <w:p>
      <w:pPr>
        <w:pStyle w:val="Normal12a"/>
      </w:pPr>
      <w:r>
        <w:t>Comisia pentru drepturile femeii și egalitatea de gen</w:t>
      </w:r>
      <w:r>
        <w:t xml:space="preserve"> </w:t>
      </w:r>
      <w:r>
        <w:t xml:space="preserve">prezintă Comisiei pentru dezvoltare și Comisiei pentru mediu, climă și siguranță alimentară, care sunt comisii competente, următoarele </w:t>
      </w:r>
      <w:r>
        <w:t>:</w:t>
      </w:r>
    </w:p>
    <w:p>
      <w:pPr>
        <w:pStyle w:val="AmNumberTabs"/>
      </w:pP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1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având în vedere rezoluția sa din 24 iunie 2021 referitoare la situația sănătății sexuale și reproductive și a drepturilor aferente în UE, în contextul sănătății femeilor</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JO C 81, 18.2.2022, p. 43.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2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având în vedere rezoluția sa din 11 aprilie 2024 referitoare la includerea dreptului la avort în Carta drepturilor fundamentale a UE</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JO C, C/2025/1279, 13.3.2025, ELI: http://data.europa.eu/eli/C/2025/1279/oj.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3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Foaia de parcurs a UE privind drepturile femeilor, elaborată de Comisie,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4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Conferința Internațională pentru Populație și Dezvoltare (CIPD), care a avut loc la Cairo în 1994, programul său de acțiune și rezultatele conferințelor sale dedicate analizei rezultatelor,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5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Declarația de la Beijing din 2015 și Platforma pentru acțiune, precum și rezultatele conferințelor de revizuire a acesteia,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6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raportul organizației Equal Measures 2030 intitulat „Findings from the 2024 SDG Gender Index – A gender equal future in crisis?” („Constatările vizând indicele de gen al ODD din 2024: Viitorul egalității de gen în criză?”),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7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raportul comun din 2024 al ONU Femei, al Programului ONU pentru Dezvoltare, al Fondului ONU pentru Populație (UNFPA), al UNICEF și al Programului Alimentar Mondial intitulat „Are we getting there?   A synthesis of UN system evaluations of SDG 5”(„Facem progrese? O sinteză a sistemului ONU de evaluare a ODD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8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Orientările voluntare ale Organizației pentru Alimentație și Agricultură din 2015 privind asigurarea sustenabilității pescuitului la scară mică, în contextul securității alimentare și al eradicării sărăciei, inclusiv capitolul 8 al acestora privind egalitatea de gen și echitatea,</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31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t>având în vedere recomandarea sa din 19 decembrie 2024 adresată Consiliului privind prioritățile UE pentru cea de a 69-a sesiune a Comisiei ONU pentru statutul femeilor</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JO C, C/2025/1971, 11.4.2025, ELI: http://data.europa.eu/eli/C/2025/1971/oj.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55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raportul Comisiei din martie 2024 intitulat „Al nouălea raport privind coeziunea economică, socială și teritorială”,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Referirea 55 b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w:t>
            </w:r>
            <w:r>
              <w:tab/>
            </w:r>
            <w:r>
              <w:rPr>
                <w:b/>
                <w:i/>
                <w:strike w:val="0"/>
                <w:color w:val="auto"/>
                <w:highlight w:val="none"/>
                <w:u w:val="none" w:color="auto"/>
                <w:vertAlign w:val="baseline"/>
              </w:rPr>
              <w:t>având în vedere raportul Institutului European pentru Egalitatea de Șanse între Femei și Bărbați, intitulat „Rapoartele privind egalitatea de gen 2023 – Către o tranziție verde în transporturi și energie”,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Considerentul Ba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Ba.</w:t>
            </w:r>
            <w:r>
              <w:tab/>
            </w:r>
            <w:r>
              <w:rPr>
                <w:b/>
                <w:i/>
                <w:strike w:val="0"/>
                <w:color w:val="auto"/>
                <w:highlight w:val="none"/>
                <w:u w:val="none" w:color="auto"/>
                <w:vertAlign w:val="baseline"/>
              </w:rPr>
              <w:t>întrucât, potrivit indicelui global al păcii pentru 2024, nivelul mediu al păcii la nivel mondial a scăzut cu 0,56 %, marcând al cincilea an consecutiv de deteriorare; întrucât, având în vedere această tendință, ODD 16 ar trebui inclus într-un bilanț aprofundat pentru a aborda problemele tot mai mari legate de pace și securitate la nivel mondial;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Considerentul Bb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Bb.</w:t>
            </w:r>
            <w:r>
              <w:tab/>
            </w:r>
            <w:r>
              <w:rPr>
                <w:b/>
                <w:i/>
                <w:strike w:val="0"/>
                <w:color w:val="auto"/>
                <w:highlight w:val="none"/>
                <w:u w:val="none" w:color="auto"/>
                <w:vertAlign w:val="baseline"/>
              </w:rPr>
              <w:t>întrucât prevalența tot mai mare a traficului de persoane rămâne o amenințare critică la adresa păcii și securității mondiale; întrucât consolidarea cooperării internaționale și a mecanismelor de asigurare a respectării legii în cadrul ODD 16 este esențială pentru combaterea rețelelor de trafic, protejarea victimelor și apărarea drepturilor omului;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Considerentul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întrucât în prezent există un deficit anual de investiții în ODD de 4 mii de miliarde USD; întrucât nivelurile ridicate ale datoriei țărilor cu venituri mici și medii constituie un obstacol în calea investițiilor necesare pentru realizarea ODD-urilor,</w:t>
            </w:r>
          </w:p>
        </w:tc>
        <w:tc>
          <w:tcPr>
            <w:tcW w:w="4876" w:type="dxa"/>
            <w:vAlign w:val="top"/>
          </w:tcPr>
          <w:p>
            <w:pPr>
              <w:pStyle w:val="Normal6a"/>
            </w:pPr>
            <w:r>
              <w:t>C.</w:t>
            </w:r>
            <w:r>
              <w:tab/>
            </w:r>
            <w:r>
              <w:t>întrucât în prezent există un deficit anual de investiții în ODD de 4 mii de miliarde USD; întrucât nivelurile ridicate ale datoriei țărilor cu venituri mici și medii</w:t>
            </w:r>
            <w:r>
              <w:t>, facilitate de programele unor instituții financiare,</w:t>
            </w:r>
            <w:r>
              <w:t xml:space="preserve"> constituie un obstacol în calea investițiilor necesare pentru realizarea ODD-urilor,</w:t>
            </w:r>
            <w:r>
              <w:rPr>
                <w:b/>
                <w:i/>
                <w:strike w:val="0"/>
                <w:color w:val="auto"/>
                <w:highlight w:val="none"/>
                <w:u w:val="none" w:color="auto"/>
                <w:vertAlign w:val="baseline"/>
              </w:rPr>
              <w:t xml:space="preserve"> întrucât acest lucru este legat, de asemenea, de creșterea ratelor sărăciei; întrucât femeile și fetele din întreaga lume sunt afectate în mod disproporționat de sărăcie, crize umanitare, schimbări climatice, conflicte, extremism, terorism, războaie și penurii alimentare; întrucât, din cauza acestui fapt, și copiii sunt mai vulnerabili; întrucât se preconizează că disparitatea de gen în materie de sărăcie va crește până în 2030, deoarece femeile vor constitui în continuare majoritatea populației extrem de sărace din lume;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Considerentul Ca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Ca.</w:t>
            </w:r>
            <w:r>
              <w:tab/>
            </w:r>
            <w:r>
              <w:rPr>
                <w:b/>
                <w:i/>
                <w:strike w:val="0"/>
                <w:color w:val="auto"/>
                <w:highlight w:val="none"/>
                <w:u w:val="none" w:color="auto"/>
                <w:vertAlign w:val="baseline"/>
              </w:rPr>
              <w:t xml:space="preserve">întrucât lipsa finanțării pentru egalitatea de gen reprezintă un obstacol major în obținerea de rezultate în materie de egalitate de gen; întrucât egalitatea de gen este fundamentală pentru îndeplinirea promisiunilor de sustenabilitate, prosperitate, justiție socială, pace și progres uman; </w:t>
            </w:r>
            <w:r>
              <w:t>întrucât angajamentele financiare semnificative și susținute și procesele bugetare consolidate sunt fundamentale pentru a sprijini implementarea legislației, a politicilor și a serviciilor receptive la dimensiunea de gen, cu scopul de a promova egalitatea de gen în toate obiectivele ODD 5</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„Constatările vizând indicele de gen al ODD din 2024: Viitorul egalității de gen în criză?”,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Considerentul Cb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Cb.</w:t>
            </w:r>
            <w:r>
              <w:tab/>
            </w:r>
            <w:r>
              <w:rPr>
                <w:b/>
                <w:i/>
                <w:strike w:val="0"/>
                <w:color w:val="auto"/>
                <w:highlight w:val="none"/>
                <w:u w:val="none" w:color="auto"/>
                <w:vertAlign w:val="baseline"/>
              </w:rPr>
              <w:t>întrucât violența împotriva femeilor, sub toate formele ei (fizică, sexuală, psihologică, economică sau cibernetică), este o încălcare a drepturilor omului, o formă extremă de discriminare împotriva femeilor și unul dintre cele mai mari obstacole în calea realizării egalității de gen; întrucât violența de gen are la bază distribuția inegală a puterii între genuri, structurile patriarhale și stereotipurile de gen, care au făcut ca femeile să fie dominate și discriminate de bărbați, iar aspectul, intensitatea și forma acestora pot să difere; întrucât o societate lipsită de violență de gen trebuie să devină o condiție prealabilă absolută pentru egalitatea de gen;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își reafirmă angajamentul ferm față de realizarea la timp și pe deplin a tuturor ODD-urilor;</w:t>
            </w:r>
          </w:p>
        </w:tc>
        <w:tc>
          <w:tcPr>
            <w:tcW w:w="4876" w:type="dxa"/>
            <w:vAlign w:val="top"/>
          </w:tcPr>
          <w:p>
            <w:pPr>
              <w:pStyle w:val="Normal6a"/>
            </w:pPr>
            <w:r>
              <w:t>1.</w:t>
            </w:r>
            <w:r>
              <w:tab/>
            </w:r>
            <w:r>
              <w:t>își reafirmă angajamentul ferm față de realizarea la timp și pe deplin a tuturor ODD-urilor</w:t>
            </w:r>
            <w:r>
              <w:rPr>
                <w:b/>
                <w:i/>
                <w:strike w:val="0"/>
                <w:color w:val="auto"/>
                <w:highlight w:val="none"/>
                <w:u w:val="none" w:color="auto"/>
                <w:vertAlign w:val="baseline"/>
              </w:rPr>
              <w:t>, în toate statele membre și la nivel mondial, prin intermediul acțiunii externe a UE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 – litera a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(a)</w:t>
            </w:r>
            <w:r>
              <w:tab/>
            </w:r>
            <w:r>
              <w:rPr>
                <w:b/>
                <w:i/>
                <w:strike w:val="0"/>
                <w:color w:val="auto"/>
                <w:highlight w:val="none"/>
                <w:u w:val="none" w:color="auto"/>
                <w:vertAlign w:val="baseline"/>
              </w:rPr>
              <w:t>subliniază că UE a înregistrat progrese moderate în ceea ce privește ODD 1, dar că femeile sunt în continuare expuse unui risc mai ridicat de sărăcie și excluziune socială;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 – litera b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(b)</w:t>
            </w:r>
            <w:r>
              <w:tab/>
            </w:r>
            <w:r>
              <w:rPr>
                <w:b/>
                <w:i/>
                <w:strike w:val="0"/>
                <w:color w:val="auto"/>
                <w:highlight w:val="none"/>
                <w:u w:val="none" w:color="auto"/>
                <w:vertAlign w:val="baseline"/>
              </w:rPr>
              <w:t>își exprimă îngrijorarea cu privire la ODD 2 în UE, deoarece rata tot mai mare a obezității la femei și copii este un semn de malnutriție;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 – litera c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(c)</w:t>
            </w:r>
            <w:r>
              <w:tab/>
            </w:r>
            <w:r>
              <w:rPr>
                <w:b/>
                <w:i/>
                <w:strike w:val="0"/>
                <w:color w:val="auto"/>
                <w:highlight w:val="none"/>
                <w:u w:val="none" w:color="auto"/>
                <w:vertAlign w:val="baseline"/>
              </w:rPr>
              <w:t xml:space="preserve">este extrem de preocupat de situația femeilor din UE în ceea ce privește ODD 7, deoarece femeile sunt mai susceptibile să se confrunte cu sărăcia energetică din cauza veniturilor mai mici; 9,8 % dintre femei față de 8,7 % dintre bărbați nu și-au putut încălzi locuințele în mod adecvat în 2022, situație agravată de criza energetică; </w:t>
            </w:r>
            <w:r>
              <w:t>salută comunicarea Comisiei privind energia la prețuri accesibile</w:t>
            </w:r>
            <w:r>
              <w:rPr>
                <w:rStyle w:val="Sup"/>
              </w:rPr>
              <w:t>1a</w:t>
            </w:r>
            <w:r>
              <w:t>;</w:t>
            </w:r>
            <w:r>
              <w:rPr>
                <w:b/>
                <w:i/>
                <w:strike w:val="0"/>
                <w:color w:val="auto"/>
                <w:highlight w:val="none"/>
                <w:u w:val="none" w:color="auto"/>
                <w:vertAlign w:val="baseline"/>
              </w:rPr>
              <w:t xml:space="preserve"> invită Comisia și colegiuitorii să accelereze procesul pentru a asigura un acces rapid la energie la prețuri accesibile;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Plan de acțiune pentru energia la prețuri accesibile, Deblocarea adevăratei valori a uniunii noastre energetice pentru a asigura energie accesibilă, eficientă și curată pentru toți europenii (COM(2025)0079)</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 – litera d (nouă)</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(d)</w:t>
            </w:r>
            <w:r>
              <w:tab/>
            </w:r>
            <w:r>
              <w:rPr>
                <w:b/>
                <w:i/>
                <w:strike w:val="0"/>
                <w:color w:val="auto"/>
                <w:highlight w:val="none"/>
                <w:u w:val="none" w:color="auto"/>
                <w:vertAlign w:val="baseline"/>
              </w:rPr>
              <w:t>subliniază că ODD 11 rămâne nerealizat în UE, deoarece femeile sunt mai susceptibile să se confrunte cu lipsa unei locuințe (4,6 % față de 4,0 % pentru bărbați în 2022) și se bazează mai mult pe transportul public, unde persistă preocupări legate de siguranță;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regretă că comunitatea mondială s-a îndepărtat extrem de mult de realizarea Agendei 2030 și de îndeplinirea obiectivelor ODD;</w:t>
            </w:r>
          </w:p>
        </w:tc>
        <w:tc>
          <w:tcPr>
            <w:tcW w:w="4876" w:type="dxa"/>
            <w:vAlign w:val="top"/>
          </w:tcPr>
          <w:p>
            <w:pPr>
              <w:pStyle w:val="Normal6a"/>
            </w:pPr>
            <w:r>
              <w:t>2.</w:t>
            </w:r>
            <w:r>
              <w:tab/>
            </w:r>
            <w:r>
              <w:t>regretă că comunitatea mondială s-a îndepărtat extrem de mult de realizarea Agendei 2030 și de îndeplinirea obiectivelor ODD </w:t>
            </w:r>
            <w:r>
              <w:t>și că s-au înregistrat regrese în atingerea unor ODD-uri;</w:t>
            </w:r>
            <w:r>
              <w:rPr>
                <w:b/>
                <w:i/>
                <w:strike w:val="0"/>
                <w:color w:val="auto"/>
                <w:highlight w:val="none"/>
                <w:u w:val="none" w:color="auto"/>
                <w:vertAlign w:val="baseline"/>
              </w:rPr>
              <w:t xml:space="preserve"> evidențiază diferențele dintre țări și regiuni și din interiorul acestora în diferite aspecte, cum ar fi disparitățile de gen; </w:t>
            </w:r>
            <w:r>
              <w:t>regretă retragerea finanțării din partea Agenția Statelor Unite pentru Dezvoltare Internațională (USAID) și reafirmă impactul devastator asupra obiectivului comunității mondiale de a atinge obiectivele ODD, în special în ceea ce privește ODD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2a.</w:t>
            </w:r>
            <w:r>
              <w:tab/>
            </w:r>
            <w:r>
              <w:rPr>
                <w:b/>
                <w:i/>
                <w:strike w:val="0"/>
                <w:color w:val="auto"/>
                <w:highlight w:val="none"/>
                <w:u w:val="none" w:color="auto"/>
                <w:vertAlign w:val="baseline"/>
              </w:rPr>
              <w:t xml:space="preserve">invită UE să își respecte angajamentul de a aplica integrarea perspectivei de gen și o perspectivă intersecțională în toate politicile și finanțările UE; </w:t>
            </w:r>
            <w:r>
              <w:t>regretă că țările din lume încă nu dispun de 44 % din datele necesare pentru a urmări ODD 5 și că peste 80 % din țări nu dispun de date privind cel puțin o țintă din ODD 5</w:t>
            </w:r>
            <w:r>
              <w:rPr>
                <w:rStyle w:val="Sup"/>
              </w:rPr>
              <w:t>1a</w:t>
            </w:r>
            <w:r>
              <w:t>;</w:t>
            </w:r>
            <w:r>
              <w:rPr>
                <w:b/>
                <w:i/>
                <w:strike w:val="0"/>
                <w:color w:val="auto"/>
                <w:highlight w:val="none"/>
                <w:u w:val="none" w:color="auto"/>
                <w:vertAlign w:val="baseline"/>
              </w:rPr>
              <w:t xml:space="preserve"> subliniază, prin urmare, necesitatea de a consolida institutele naționale de statistică și de a îmbunătăți coordonarea și cooperarea lor la nivel mondial, precum și de a asigura elaborarea de politici în cunoștință de cauză și de a elimina lacunele rămase în materie de date de gen;</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„Constatările vizând indicele de gen al ODD din 2024: Viitorul egalității de gen în criză?”,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2b.</w:t>
            </w:r>
            <w:r>
              <w:tab/>
            </w:r>
            <w:r>
              <w:rPr>
                <w:b/>
                <w:i/>
                <w:strike w:val="0"/>
                <w:color w:val="auto"/>
                <w:highlight w:val="none"/>
                <w:u w:val="none" w:color="auto"/>
                <w:vertAlign w:val="baseline"/>
              </w:rPr>
              <w:t>accentuează importanța datelor pentru a permite monitorizarea ODD-urilor, subliniind că, în pofida creșterii lăudabile a datelor, precum și a deschiderii, accesibilității și utilizării eficiente a acestora, persistă lacune critice; subliniază, prin urmare, importanța rolului institutelor naționale de statistică și necesitatea de a consolida parteneriatele ca fiind esențiale pentru obținerea unor date mai incluzive, cum ar fi datele grupate pe gen;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subliniază că este necesar să se asigure de urgență cooperarea internațională </w:t>
            </w:r>
            <w:r>
              <w:rPr>
                <w:b/>
                <w:i/>
                <w:strike w:val="0"/>
                <w:color w:val="auto"/>
                <w:highlight w:val="none"/>
                <w:u w:val="none" w:color="auto"/>
                <w:vertAlign w:val="baseline"/>
              </w:rPr>
              <w:t>și</w:t>
            </w:r>
            <w:r>
              <w:t xml:space="preserve"> acțiuni transformatoare decisive cu scopul de a plasa societățile și economiile noastre pe calea cea bună pentru a realiza ODD-urile și a aborda tripla criză planetară;</w:t>
            </w:r>
          </w:p>
        </w:tc>
        <w:tc>
          <w:tcPr>
            <w:tcW w:w="4876" w:type="dxa"/>
            <w:vAlign w:val="top"/>
          </w:tcPr>
          <w:p>
            <w:pPr>
              <w:pStyle w:val="Normal6a"/>
            </w:pPr>
            <w:r>
              <w:t>3.</w:t>
            </w:r>
            <w:r>
              <w:tab/>
            </w:r>
            <w:r>
              <w:t>subliniază că este necesar să se asigure de urgență cooperarea internațională</w:t>
            </w:r>
            <w:r>
              <w:rPr>
                <w:b/>
                <w:i/>
                <w:strike w:val="0"/>
                <w:color w:val="auto"/>
                <w:highlight w:val="none"/>
                <w:u w:val="none" w:color="auto"/>
                <w:vertAlign w:val="baseline"/>
              </w:rPr>
              <w:t>,</w:t>
            </w:r>
            <w:r>
              <w:t xml:space="preserve"> acțiuni transformatoare decisive </w:t>
            </w:r>
            <w:r>
              <w:rPr>
                <w:b/>
                <w:i/>
                <w:strike w:val="0"/>
                <w:color w:val="auto"/>
                <w:highlight w:val="none"/>
                <w:u w:val="none" w:color="auto"/>
                <w:vertAlign w:val="baseline"/>
              </w:rPr>
              <w:t>și sume mai mari pentru dezvoltarea globală</w:t>
            </w:r>
            <w:r>
              <w:t xml:space="preserve"> cu scopul de a plasa societățile și economiile noastre pe calea cea bună pentru a realiza ODD-urile și a aborda tripla criză planetară</w:t>
            </w:r>
            <w:r>
              <w:rPr>
                <w:b/>
                <w:i/>
                <w:strike w:val="0"/>
                <w:color w:val="auto"/>
                <w:highlight w:val="none"/>
                <w:u w:val="none" w:color="auto"/>
                <w:vertAlign w:val="baseline"/>
              </w:rPr>
              <w:t>:</w:t>
            </w:r>
            <w:r>
              <w:rPr>
                <w:b/>
                <w:i/>
                <w:strike w:val="0"/>
                <w:color w:val="auto"/>
                <w:highlight w:val="none"/>
                <w:u w:val="none" w:color="auto"/>
                <w:vertAlign w:val="baseline"/>
              </w:rPr>
              <w:t xml:space="preserve"> </w:t>
            </w:r>
            <w:r>
              <w:rPr>
                <w:b/>
                <w:i/>
                <w:strike w:val="0"/>
                <w:color w:val="auto"/>
                <w:highlight w:val="none"/>
                <w:u w:val="none" w:color="auto"/>
                <w:vertAlign w:val="baseline"/>
              </w:rPr>
              <w:t>schimbările climatice, poluarea și pierderea biodiversității</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subliniază că rolul de lider al UE în punerea în aplicare la nivel mondial a ODD-urilor rămâne esențial, în special având în vedere multiplele provocări geopolitice și crizele actuale;</w:t>
            </w:r>
          </w:p>
        </w:tc>
        <w:tc>
          <w:tcPr>
            <w:tcW w:w="4876" w:type="dxa"/>
            <w:vAlign w:val="top"/>
          </w:tcPr>
          <w:p>
            <w:pPr>
              <w:pStyle w:val="Normal6a"/>
            </w:pPr>
            <w:r>
              <w:t>4.</w:t>
            </w:r>
            <w:r>
              <w:tab/>
            </w:r>
            <w:r>
              <w:t>subliniază că rolul de lider al UE în punerea în aplicare la nivel mondial a ODD-urilor rămâne esențial, în special având în vedere multiplele provocări geopolitice și crizele actuale</w:t>
            </w:r>
            <w:r>
              <w:t>, inclusiv opoziția în creștere față de ODD-uri și regresul egalității de gen și al cadrului internațional privind drepturile omului care își propune să protejeze grupurile vulnerabile sau marginalizate din întreaga lume, inclusiv femeile, fetele sau persoanele LGBTIQ+;</w:t>
              <w:br/>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4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4a.</w:t>
            </w:r>
            <w:r>
              <w:tab/>
            </w:r>
            <w:r>
              <w:rPr>
                <w:b/>
                <w:i/>
                <w:strike w:val="0"/>
                <w:color w:val="auto"/>
                <w:highlight w:val="none"/>
                <w:u w:val="none" w:color="auto"/>
                <w:vertAlign w:val="baseline"/>
              </w:rPr>
              <w:t>recunoaște eforturile curente ale Uniunii Europene și progresele semnificative, în special în promovarea ODD 8, recunoscând, în același timp, necesitatea unor îmbunătățiri suplimentare în realizarea ODD 5;</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4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4b.</w:t>
            </w:r>
            <w:r>
              <w:tab/>
            </w:r>
            <w:r>
              <w:rPr>
                <w:b/>
                <w:i/>
                <w:strike w:val="0"/>
                <w:color w:val="auto"/>
                <w:highlight w:val="none"/>
                <w:u w:val="none" w:color="auto"/>
                <w:vertAlign w:val="baseline"/>
              </w:rPr>
              <w:t>subliniază că UE ar trebui să acorde prioritate politicilor care sprijină femeile, fetele și familiile, asigurându-se că bunăstarea economică și socială a acestora este considerată esențială pentru realizarea ODD-urilor, cum ar fi reducerea sărăciei, educația de calitate și egalitatea de gen;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29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regretă progresele marginale sau moderate înregistrate în ceea ce privește majoritatea obiectivelor ODD 3 și încetinirea ritmului din 2015 în mai multe domenii-cheie; constată cu îngrijorare că mai puțin de 10 % din obiectivele ODD 3 sunt pe cale de a fi atinse și că, probabil, mai puțin de o treime vor fi atinse până în 2030;</w:t>
            </w:r>
          </w:p>
        </w:tc>
        <w:tc>
          <w:tcPr>
            <w:tcW w:w="4876" w:type="dxa"/>
            <w:vAlign w:val="top"/>
          </w:tcPr>
          <w:p>
            <w:pPr>
              <w:pStyle w:val="Normal6a"/>
            </w:pPr>
            <w:r>
              <w:t>5.</w:t>
            </w:r>
            <w:r>
              <w:tab/>
            </w:r>
            <w:r>
              <w:t>regretă progresele marginale sau moderate înregistrate în ceea ce privește majoritatea obiectivelor ODD 3 și încetinirea ritmului din 2015 în mai multe domenii-cheie; constată cu îngrijorare că mai puțin de 10 % din obiectivele ODD 3 sunt pe cale de a fi atinse și că, probabil, mai puțin de o treime vor fi atinse până în 2030;</w:t>
            </w:r>
            <w:r>
              <w:rPr>
                <w:b/>
                <w:i/>
                <w:strike w:val="0"/>
                <w:color w:val="auto"/>
                <w:highlight w:val="none"/>
                <w:u w:val="none" w:color="auto"/>
                <w:vertAlign w:val="baseline"/>
              </w:rPr>
              <w:t xml:space="preserve"> reamintește că în UE există inegalități de gen mari și că, din 2010, s-au înregistrat progrese foarte limitate în abordarea acestor inegalități;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5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5a.</w:t>
            </w:r>
            <w:r>
              <w:tab/>
            </w:r>
            <w:r>
              <w:rPr>
                <w:b/>
                <w:i/>
                <w:strike w:val="0"/>
                <w:color w:val="auto"/>
                <w:highlight w:val="none"/>
                <w:u w:val="none" w:color="auto"/>
                <w:vertAlign w:val="baseline"/>
              </w:rPr>
              <w:t>își exprimă îngrijorarea cu privire la persistența practicii mutilării genitale a femeilor și compasiunea sa față de victime; subliniază că, în martie 2024, UNICEF a revizuit numărul victimelor la peste 230 milioane, ceea ce reprezintă o creștere de 15 % (cu aproximativ 30 de milioane mai mult) față de 2016, în pofida scăderii observate în unele țări;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5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5b.</w:t>
            </w:r>
            <w:r>
              <w:tab/>
            </w:r>
            <w:r>
              <w:rPr>
                <w:b/>
                <w:i/>
                <w:strike w:val="0"/>
                <w:color w:val="auto"/>
                <w:highlight w:val="none"/>
                <w:u w:val="none" w:color="auto"/>
                <w:vertAlign w:val="baseline"/>
              </w:rPr>
              <w:t>recunoaște că recentele reduceri ale finanțării din partea USAID vor îngreuna și mai mult progresele legate de ODD 3, afectând în special accesul femeilor și fetelor la servicii de sănătate reproductivă și maternă;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subliniază că crizele multiple și corelate, infrastructura precară de sănătate, instabilitatea economică, sărăcia</w:t>
            </w:r>
            <w:r>
              <w:rPr>
                <w:b/>
                <w:i/>
                <w:strike w:val="0"/>
                <w:color w:val="auto"/>
                <w:highlight w:val="none"/>
                <w:u w:val="none" w:color="auto"/>
                <w:vertAlign w:val="baseline"/>
              </w:rPr>
              <w:t>,</w:t>
            </w:r>
            <w:r>
              <w:t xml:space="preserve"> inegalitățile persistente, în special în rândul populațiilor și regiunilor vulnerabile, precum și resursele din ce în ce mai limitate amenință să frâneze și mai mult progresele către îndeplinirea obiectivelor ODD 3;</w:t>
            </w:r>
          </w:p>
        </w:tc>
        <w:tc>
          <w:tcPr>
            <w:tcW w:w="4876" w:type="dxa"/>
            <w:vAlign w:val="top"/>
          </w:tcPr>
          <w:p>
            <w:pPr>
              <w:pStyle w:val="Normal6a"/>
            </w:pPr>
            <w:r>
              <w:t>6.</w:t>
            </w:r>
            <w:r>
              <w:tab/>
            </w:r>
            <w:r>
              <w:t>subliniază că crizele multiple</w:t>
            </w:r>
            <w:r>
              <w:rPr>
                <w:b/>
                <w:i/>
                <w:strike w:val="0"/>
                <w:color w:val="auto"/>
                <w:highlight w:val="none"/>
                <w:u w:val="none" w:color="auto"/>
                <w:vertAlign w:val="baseline"/>
              </w:rPr>
              <w:t xml:space="preserve">, </w:t>
            </w:r>
            <w:r>
              <w:t xml:space="preserve">corelate și </w:t>
            </w:r>
            <w:r>
              <w:rPr>
                <w:b/>
                <w:i/>
                <w:strike w:val="0"/>
                <w:color w:val="auto"/>
                <w:highlight w:val="none"/>
                <w:u w:val="none" w:color="auto"/>
                <w:vertAlign w:val="baseline"/>
              </w:rPr>
              <w:t>din ce în ce mai adânci</w:t>
            </w:r>
            <w:r>
              <w:t xml:space="preserve">, </w:t>
            </w:r>
            <w:r>
              <w:rPr>
                <w:b/>
                <w:i/>
                <w:strike w:val="0"/>
                <w:color w:val="auto"/>
                <w:highlight w:val="none"/>
                <w:u w:val="none" w:color="auto"/>
                <w:vertAlign w:val="baseline"/>
              </w:rPr>
              <w:t>cum ar fi</w:t>
            </w:r>
            <w:r>
              <w:t xml:space="preserve"> infrastructura precară de sănătate, instabilitatea economică, </w:t>
            </w:r>
            <w:r>
              <w:rPr>
                <w:b/>
                <w:i/>
                <w:strike w:val="0"/>
                <w:color w:val="auto"/>
                <w:highlight w:val="none"/>
                <w:u w:val="none" w:color="auto"/>
                <w:vertAlign w:val="baseline"/>
              </w:rPr>
              <w:t>creșterea tensiunilor geopolitice</w:t>
            </w:r>
            <w:r>
              <w:rPr>
                <w:b/>
                <w:i/>
                <w:strike w:val="0"/>
                <w:color w:val="auto"/>
                <w:highlight w:val="none"/>
                <w:u w:val="none" w:color="auto"/>
                <w:vertAlign w:val="baseline"/>
              </w:rPr>
              <w:t>,</w:t>
            </w:r>
            <w:r>
              <w:t xml:space="preserve"> sărăcia </w:t>
            </w:r>
            <w:r>
              <w:rPr>
                <w:b/>
                <w:i/>
                <w:strike w:val="0"/>
                <w:color w:val="auto"/>
                <w:highlight w:val="none"/>
                <w:u w:val="none" w:color="auto"/>
                <w:vertAlign w:val="baseline"/>
              </w:rPr>
              <w:t>și</w:t>
            </w:r>
            <w:r>
              <w:t xml:space="preserve"> inegalitățile persistente, </w:t>
            </w:r>
            <w:r>
              <w:rPr>
                <w:b/>
                <w:i/>
                <w:strike w:val="0"/>
                <w:color w:val="auto"/>
                <w:highlight w:val="none"/>
                <w:u w:val="none" w:color="auto"/>
                <w:vertAlign w:val="baseline"/>
              </w:rPr>
              <w:t>inclusiv inegalitățile de gen,</w:t>
            </w:r>
            <w:r>
              <w:t xml:space="preserve"> în special în rândul populațiilor și regiunilor vulnerabile, precum și resursele din ce în ce mai limitate </w:t>
            </w:r>
            <w:r>
              <w:rPr>
                <w:b/>
                <w:i/>
                <w:strike w:val="0"/>
                <w:color w:val="auto"/>
                <w:highlight w:val="none"/>
                <w:u w:val="none" w:color="auto"/>
                <w:vertAlign w:val="baseline"/>
              </w:rPr>
              <w:t>și lipsa cercetării medicale care ia în considerare dimensiunea de gen</w:t>
            </w:r>
            <w:r>
              <w:t xml:space="preserve"> amenință să frâneze și mai mult progresele către îndeplinirea obiectivelor ODD 3;</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6a.</w:t>
            </w:r>
            <w:r>
              <w:tab/>
            </w:r>
            <w:r>
              <w:rPr>
                <w:b/>
                <w:i/>
                <w:strike w:val="0"/>
                <w:color w:val="auto"/>
                <w:highlight w:val="none"/>
                <w:u w:val="none" w:color="auto"/>
                <w:vertAlign w:val="baseline"/>
              </w:rPr>
              <w:t>ia act cu îngrijorare de retragerea SUA din Organizația Mondială a Sănătății (OMS) și de înghețarea totală a Asistenței oficiale pentru dezvoltare (AOD); subliniază că, având în vedere rolul jucat de USAID în consolidarea sănătății la nivel mondial, acest lucru va avea un efect enorm asupra vieții oamenilor și a accesului la servicii de sănătate la nivel mondial, inclusiv pentru milioane de femei și fete; subliniază, de asemenea, că restabilirea regulii „călușului mondial” (Global Gag Rule) are un impact deosebit asupra sănătății sexuale și reproductive și a drepturilor aferente (SRHR); invită Comisia și statele membre să se ocupe de aceste goluri lăsate de retragerea finanțării SUA, inclusiv prin intensificarea contribuției UE la inițiativele esențiale pentru SRHR, cum ar fi Parteneriatul pentru aprovizionare al UNFPA și inițiativa Echipei Europa legată de SRHR în Africa Subsahariană;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6b.</w:t>
            </w:r>
            <w:r>
              <w:tab/>
            </w:r>
            <w:r>
              <w:rPr>
                <w:b/>
                <w:i/>
                <w:strike w:val="0"/>
                <w:color w:val="auto"/>
                <w:highlight w:val="none"/>
                <w:u w:val="none" w:color="auto"/>
                <w:vertAlign w:val="baseline"/>
              </w:rPr>
              <w:t>regretă retragerea ajutorului pentru dezvoltare la nivel mondial, care afectează în principal accesibilitatea asistenței medicale în regiunile cele mai sărace și pentru persoanele cele mai marginalizate, cum ar fi femeile și fetele; consideră că prăbușirea sistemelor de sănătate fragile reprezintă un potențial risc pentru sănătatea populației mondiale; cere acțiuni decisive în toate statele membre și ca parte a politicilor externe ale UE pentru a înregistra progrese substanțiale în direcția atingerii obiectivului pentru 2030 de reducere a mortalității materne și de asigurare a accesului universal la servicii de sănătate sexuală și reproductivă, inclusiv de planificare familială și de avorturi sigure și legale, asistență maternală și acoperire medicală universală, inclusiv accesul la medicamente esențiale sigure, eficiente, de calitate și la prețuri accesibile pentru toți; invită UE să asigure, în mod prioritar, accesul la o metodă contraceptivă sigură și eficientă, la alegere, și la servicii sigure și legale de avort în toate statele membre;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d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6d.</w:t>
            </w:r>
            <w:r>
              <w:tab/>
            </w:r>
            <w:r>
              <w:t>invită UE și statele sale membre să acorde prioritate asigurării accesului băieților și fetelor la o educație sexuală și relațională completă care să fie obligatorie, bazată pe dovezi și adecvată vârstei, precum și la informații despre planificarea familială, având în vedere că se consideră că 164 de milioane de femei au o nevoie neacoperită în acest domeniu</w:t>
            </w:r>
            <w:r>
              <w:rPr>
                <w:rStyle w:val="Sup"/>
              </w:rPr>
              <w:t>1a</w:t>
            </w:r>
            <w:r>
              <w:t>, contribuind totodată și prin politici externe la aceste eforturi;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Departamentul pentru afaceri economice și sociale al ONU, „World Family Planning 2022”, https://www.un.org/development/desa/pd/sites/www.un.org.development.desa.pd/files/files/documents/2023/Feb/undesa_pd_2022_world-family-planning.pdf.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e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6e.</w:t>
            </w:r>
            <w:r>
              <w:tab/>
            </w:r>
            <w:r>
              <w:rPr>
                <w:b/>
                <w:i/>
                <w:strike w:val="0"/>
                <w:color w:val="auto"/>
                <w:highlight w:val="none"/>
                <w:u w:val="none" w:color="auto"/>
                <w:vertAlign w:val="baseline"/>
              </w:rPr>
              <w:t>solicită UE să îndeplinească planurile incluse în strategia privind sănătatea mintală și să aplice acțiuni mai decisive pentru a asigura condiții bune de sănătate mintală pentru toți, ținând seama în special de perspectiva de gen și de modul în care femeile și persoanele LGBTIQ+ sunt afectate mai grav de problemele de sănătate mintală;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f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6f.</w:t>
            </w:r>
            <w:r>
              <w:tab/>
            </w:r>
            <w:r>
              <w:rPr>
                <w:b/>
                <w:i/>
                <w:strike w:val="0"/>
                <w:color w:val="auto"/>
                <w:highlight w:val="none"/>
                <w:u w:val="none" w:color="auto"/>
                <w:vertAlign w:val="baseline"/>
              </w:rPr>
              <w:t>reamintește că realizarea deplină a SRHR și respectarea autonomiei corporale a femeilor și fetelor sunt esențiale pentru asigurarea egalității de gen; subliniază că SRHR fac parte integrantă din acoperirea universală cu servicii de sănătate și sunt esențiale pentru realizarea ODD 3, în special a țintei 3.7; invită Comisia să se asigure că SRHR sunt incluse în inițiativele și programele UE de acoperire universală cu servicii de sănătate;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g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t>6g.</w:t>
            </w:r>
            <w:r>
              <w:tab/>
            </w:r>
            <w:r>
              <w:rPr>
                <w:b/>
                <w:i/>
                <w:strike w:val="0"/>
                <w:color w:val="auto"/>
                <w:highlight w:val="none"/>
                <w:u w:val="none" w:color="auto"/>
                <w:vertAlign w:val="baseline"/>
              </w:rPr>
              <w:t>avertizează că obiectivele stabilite de ODD 3 și 5 nu vor fi realizate dacă accesul universal la sănătatea sexuală și reproductivă și la drepturile reproductive nu va fi garantat în UE și la nivel mondial; reamintește că accesul la serviciile esențiale de sănătate și la medicamentele necesare, o metodă contraceptivă sigură și eficientă, la alegere, și la servicii legale de avort reprezintă un aspect fundamental al asistenței medicale sexuale și reproductive;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39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h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6h.</w:t>
            </w:r>
            <w:r>
              <w:tab/>
            </w:r>
            <w:r>
              <w:rPr>
                <w:b/>
                <w:i/>
                <w:strike w:val="0"/>
                <w:color w:val="auto"/>
                <w:highlight w:val="none"/>
                <w:u w:val="none" w:color="auto"/>
                <w:vertAlign w:val="baseline"/>
              </w:rPr>
              <w:t>reamintește că sarcinile neintenționate pot avea implicații fizice, emoționale și financiare semnificative pentru indivizi și familii și pot cauza prejudicii deosebit de importante minorilor în cazul sarcinilor din adolescență; subliniază că serviciile legale de avort salvează vieți în cazul avorturilor spontane și al altor urgențe obstetrice care pun viața în pericol și că accesul legal și efectiv la avort în condiții de siguranță poate contribui la rezolvarea complicațiilor majore și la evitarea sarcinilor cu risc ridicat ce pot duce la mortalitate maternă și infantilă;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i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6i.</w:t>
            </w:r>
            <w:r>
              <w:tab/>
            </w:r>
            <w:r>
              <w:rPr>
                <w:b/>
                <w:i/>
                <w:strike w:val="0"/>
                <w:color w:val="auto"/>
                <w:highlight w:val="none"/>
                <w:u w:val="none" w:color="auto"/>
                <w:vertAlign w:val="baseline"/>
              </w:rPr>
              <w:t>subliniază, de asemenea, că medicația pentru avort oferă o alternativă sigură și mai puțin invazivă la avorturile chirurgicale și face avortul mai accesibil persoanelor care locuiesc în zone în care accesul la serviciile chirurgicale de avort este dificil, din cauza barierelor geografice sau de altă natură, și că accesul în timp util la medicamente sigure pentru avort poate permite, de asemenea, pacienților să gestioneze singuri avortul și avortul spontan, integral sau parțial, prevenind întârzierile în îngrijire care pot genera riscuri suplimentare de sănătate;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6 j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6j.</w:t>
            </w:r>
            <w:r>
              <w:tab/>
            </w:r>
            <w:r>
              <w:t>invită UE să adopte rapid Legea privind medicamentele critice</w:t>
            </w:r>
            <w:r>
              <w:rPr>
                <w:rStyle w:val="Sup"/>
              </w:rPr>
              <w:t>1a</w:t>
            </w:r>
            <w:r>
              <w:t xml:space="preserve"> și să se asigure că aceasta garantează accesibilitatea și disponibilitatea medicamentelor esențiale pentru sănătatea sexuală și reproductivă aflate pe lista medicamentelor esențiale a Organizației Mondiale a Sănătății, în orice moment în întreaga UE;</w:t>
            </w:r>
            <w:r>
              <w:rPr>
                <w:b/>
                <w:i/>
                <w:strike w:val="0"/>
                <w:color w:val="auto"/>
                <w:highlight w:val="none"/>
                <w:u w:val="none" w:color="auto"/>
                <w:vertAlign w:val="baseline"/>
              </w:rPr>
              <w:t xml:space="preserve"> invită Agenția Europeană pentru Medicamente să actualizeze lista Uniunii cu medicamente esențiale pentru a include lista completă a medicamentelor esențiale pentru sănătatea sexuală și reproductivă incluse pe lista medicamentelor esențiale a OMS, cum ar fi contracepția și medicamentele pentru avort; solicită UE să se asigure că medicamentele esențiale pentru sănătatea sexuală și reproductivă sunt incluse sistematic în ajutorul umanitar acordat țărilor terțe;</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COM(2025) 0102.</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solicită acțiuni coordonate consolidate și investiții substanțiale pentru a realiza acoperirea universală cu servicii de sănătate, a consolida sistemele de sănătate, a asigura accesul echitabil la medicamente și vaccinuri, a promova prevenirea și tratarea bolilor, a combate factorii de mediu agravanți </w:t>
            </w:r>
            <w:r>
              <w:t>și</w:t>
            </w:r>
            <w:r>
              <w:t xml:space="preserve"> pentru a elimina disparitățile în ceea ce privește accesul la îngrijire și servicii de calitate, în special pentru populațiile și regiunile vulnerabile;</w:t>
            </w:r>
          </w:p>
        </w:tc>
        <w:tc>
          <w:tcPr>
            <w:tcW w:w="4876" w:type="dxa"/>
            <w:vAlign w:val="top"/>
          </w:tcPr>
          <w:p>
            <w:pPr>
              <w:pStyle w:val="Normal6a"/>
            </w:pPr>
            <w:r>
              <w:t>7.</w:t>
            </w:r>
            <w:r>
              <w:tab/>
            </w:r>
            <w:r>
              <w:t>solicită acțiuni coordonate consolidate și investiții substanțiale pentru a realiza acoperirea universală cu servicii de sănătate, a consolida sistemele de sănătate, a asigura accesul echitabil la medicamente și vaccinuri, a promova prevenirea și tratarea bolilor, a combate factorii de mediu agravanți</w:t>
            </w:r>
            <w:r>
              <w:t>,</w:t>
            </w:r>
            <w:r>
              <w:t xml:space="preserve"> pentru a elimina disparitățile în ceea ce privește accesul la îngrijire și servicii de calitate, în special pentru </w:t>
            </w:r>
            <w:r>
              <w:t>persoanele în situații vulnerabile</w:t>
            </w:r>
            <w:r>
              <w:t xml:space="preserve">, populațiile și regiunile vulnerabile, </w:t>
            </w:r>
            <w:r>
              <w:t>inclusiv minoritățile, femeile și fetele și persoanele cu dizabilități</w:t>
            </w:r>
            <w:r>
              <w:t>;</w:t>
            </w:r>
            <w:r>
              <w:rPr>
                <w:b/>
                <w:i/>
                <w:strike w:val="0"/>
                <w:color w:val="auto"/>
                <w:highlight w:val="none"/>
                <w:u w:val="none" w:color="auto"/>
                <w:vertAlign w:val="baseline"/>
              </w:rPr>
              <w:t xml:space="preserve"> subliniază importanța garantării accesului la sănătate pentru toți, ca drept fundamental; </w:t>
            </w:r>
            <w:r>
              <w:t>subliniază că trebuie susținut accesul la asistență medicală și educație pentru fetele aflate în situații de urgență, pentru fetele migrante, strămutate în interiorul țării și refugiate și pentru cele aflate în situații de criză umanitară și de conflict</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7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7a.</w:t>
            </w:r>
            <w:r>
              <w:tab/>
            </w:r>
            <w:r>
              <w:rPr>
                <w:b/>
                <w:i/>
                <w:strike w:val="0"/>
                <w:color w:val="auto"/>
                <w:highlight w:val="none"/>
                <w:u w:val="none" w:color="auto"/>
                <w:vertAlign w:val="baseline"/>
              </w:rPr>
              <w:t>solicită acțiuni coordonate consolidate și investiții substanțiale pentru a realiza acoperirea universală cu servicii de sănătate, a consolida sistemele de sănătate, a asigura accesul echitabil la medicamente și vaccinuri, a promova prevenirea și tratarea bolilor, a combate factorii de mediu agravanți, a aborda problemele legate de sănătatea mintală și a reduce disparitățile în accesul la îngrijire și servicii de calitate, în special pentru populațiile și regiunile vulnerabile;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rPr>
                <w:b/>
                <w:i/>
                <w:strike w:val="0"/>
                <w:color w:val="auto"/>
                <w:highlight w:val="none"/>
                <w:u w:val="none" w:color="auto"/>
                <w:vertAlign w:val="baseline"/>
              </w:rPr>
              <w:t>solicită ca dreptul universal la</w:t>
            </w:r>
            <w:r>
              <w:t xml:space="preserve"> un mediu sănătos </w:t>
            </w:r>
            <w:r>
              <w:rPr>
                <w:b/>
                <w:i/>
                <w:strike w:val="0"/>
                <w:color w:val="auto"/>
                <w:highlight w:val="none"/>
                <w:u w:val="none" w:color="auto"/>
                <w:vertAlign w:val="baseline"/>
              </w:rPr>
              <w:t>să fie adăugat la Convenția europeană a drepturilor omului și la Carta drepturilor fundamentale a UE și să se instituie</w:t>
            </w:r>
            <w:r>
              <w:t xml:space="preserve"> un </w:t>
            </w:r>
            <w:r>
              <w:rPr>
                <w:b/>
                <w:i/>
                <w:strike w:val="0"/>
                <w:color w:val="auto"/>
                <w:highlight w:val="none"/>
                <w:u w:val="none" w:color="auto"/>
                <w:vertAlign w:val="baseline"/>
              </w:rPr>
              <w:t>cadru obligatoriu din punct de vedere juridic</w:t>
            </w:r>
            <w:r>
              <w:t>;</w:t>
            </w:r>
          </w:p>
        </w:tc>
        <w:tc>
          <w:tcPr>
            <w:tcW w:w="4876" w:type="dxa"/>
            <w:vAlign w:val="top"/>
          </w:tcPr>
          <w:p>
            <w:pPr>
              <w:pStyle w:val="Normal6a"/>
            </w:pPr>
            <w:r>
              <w:t>8.</w:t>
            </w:r>
            <w:r>
              <w:tab/>
            </w:r>
            <w:r>
              <w:rPr>
                <w:b/>
                <w:i/>
                <w:strike w:val="0"/>
                <w:color w:val="auto"/>
                <w:highlight w:val="none"/>
                <w:u w:val="none" w:color="auto"/>
                <w:vertAlign w:val="baseline"/>
              </w:rPr>
              <w:t>consideră că</w:t>
            </w:r>
            <w:r>
              <w:t xml:space="preserve"> un mediu sănătos </w:t>
            </w:r>
            <w:r>
              <w:rPr>
                <w:b/>
                <w:i/>
                <w:strike w:val="0"/>
                <w:color w:val="auto"/>
                <w:highlight w:val="none"/>
                <w:u w:val="none" w:color="auto"/>
                <w:vertAlign w:val="baseline"/>
              </w:rPr>
              <w:t>reprezintă</w:t>
            </w:r>
            <w:r>
              <w:t xml:space="preserve"> un </w:t>
            </w:r>
            <w:r>
              <w:rPr>
                <w:b/>
                <w:i/>
                <w:strike w:val="0"/>
                <w:color w:val="auto"/>
                <w:highlight w:val="none"/>
                <w:u w:val="none" w:color="auto"/>
                <w:vertAlign w:val="baseline"/>
              </w:rPr>
              <w:t>factor esențial pentru îmbunătățirea sănătății</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8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8a.</w:t>
            </w:r>
            <w:r>
              <w:tab/>
            </w:r>
            <w:r>
              <w:rPr>
                <w:b/>
                <w:i/>
                <w:strike w:val="0"/>
                <w:color w:val="auto"/>
                <w:highlight w:val="none"/>
                <w:u w:val="none" w:color="auto"/>
                <w:vertAlign w:val="baseline"/>
              </w:rPr>
              <w:t xml:space="preserve">regretă că nicio țară nu este pe cale să realizeze egalitatea de gen până în 2030 și că aproape 40 % dintre țări au stagnat sau chiar au regresat în ceea ce privește egalitatea de gen între 2019 și 2022; observă că acest regres coincide cu ascensiunea tendințelor conservatoare, reacționare și misogine care atacă drepturile femeilor în întreaga lume; </w:t>
            </w:r>
            <w:r>
              <w:t>avertizează că, dacă se intensifică tendințele actuale de regres și stagnare în egalitatea de gen, inegalitățile de gen la nivel mondial ar putea fi mai grave în 2030 decât atunci când au fost convenite ODD-urile în 2015</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Equal Measures 2030 „Constatările vizând indicele de gen al ODD din 2024: Viitorul egalității de gen în criză?”, https://equalmeasures2030.org/wp-content/uploads/2024/09/EM2030_2024_SDG_Gender_Index_EN_digital.pdf.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8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8b.</w:t>
            </w:r>
            <w:r>
              <w:tab/>
            </w:r>
            <w:r>
              <w:rPr>
                <w:b/>
                <w:i/>
                <w:strike w:val="0"/>
                <w:color w:val="auto"/>
                <w:highlight w:val="none"/>
                <w:u w:val="none" w:color="auto"/>
                <w:vertAlign w:val="baseline"/>
              </w:rPr>
              <w:t>subliniază caracterul transversal al ODD 5 și importanța sa pentru realizarea Agendei 2030; subliniază că realizarea egalității de gen completează direct toate celelalte ODD-uri, iar îndeplinirea acestor obiective nu este posibilă fără promovarea drepturilor femeilor și fetelor și a egalității de gen;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solicită acțiuni accelerate și specifice pentru a pune capăt tuturor formelor de violență și hărțuire împotriva femeilor, fetelor și persoanelor LGBTIQ +, inclusiv a violenței sexuale și bazate pe gen, </w:t>
            </w:r>
            <w:r>
              <w:rPr>
                <w:b/>
                <w:i/>
                <w:strike w:val="0"/>
                <w:color w:val="auto"/>
                <w:highlight w:val="none"/>
                <w:u w:val="none" w:color="auto"/>
                <w:vertAlign w:val="baseline"/>
              </w:rPr>
              <w:t>și</w:t>
            </w:r>
            <w:r>
              <w:t xml:space="preserve"> pentru a pune capăt practicilor nocive, cum ar fi căsătoriile între copii </w:t>
            </w:r>
            <w:r>
              <w:rPr>
                <w:b/>
                <w:i/>
                <w:strike w:val="0"/>
                <w:color w:val="auto"/>
                <w:highlight w:val="none"/>
                <w:u w:val="none" w:color="auto"/>
                <w:vertAlign w:val="baseline"/>
              </w:rPr>
              <w:t>și</w:t>
            </w:r>
            <w:r>
              <w:t xml:space="preserve"> mutilarea genitală a femeilor;</w:t>
            </w:r>
          </w:p>
        </w:tc>
        <w:tc>
          <w:tcPr>
            <w:tcW w:w="4876" w:type="dxa"/>
            <w:vAlign w:val="top"/>
          </w:tcPr>
          <w:p>
            <w:pPr>
              <w:pStyle w:val="Normal6a"/>
            </w:pPr>
            <w:r>
              <w:t>9.</w:t>
            </w:r>
            <w:r>
              <w:tab/>
            </w:r>
            <w:r>
              <w:rPr>
                <w:b/>
                <w:i/>
                <w:strike w:val="0"/>
                <w:color w:val="auto"/>
                <w:highlight w:val="none"/>
                <w:u w:val="none" w:color="auto"/>
                <w:vertAlign w:val="baseline"/>
              </w:rPr>
              <w:t xml:space="preserve">reafirmă că o societate fără violență de gen reprezintă o condiție prealabilă indispensabilă pentru realizarea egalității de gen; </w:t>
            </w:r>
            <w:r>
              <w:t>solicită acțiuni accelerate și specifice pentru a pune capăt tuturor formelor de violență și hărțuire împotriva femeilor, fetelor și persoanelor LGBTIQ +, inclusiv a violenței sexuale și bazate pe gen, pentru a pune capăt practicilor nocive, cum ar fi căsătoriile între copii</w:t>
            </w:r>
            <w:r>
              <w:rPr>
                <w:b/>
                <w:i/>
                <w:strike w:val="0"/>
                <w:color w:val="auto"/>
                <w:highlight w:val="none"/>
                <w:u w:val="none" w:color="auto"/>
                <w:vertAlign w:val="baseline"/>
              </w:rPr>
              <w:t>, căsătoriile forțate, la care sunt supuse 12 milioane de fete în fiecare an</w:t>
            </w:r>
            <w:r>
              <w:rPr>
                <w:rStyle w:val="SupBoldItalic"/>
              </w:rPr>
              <w:t>1a</w:t>
            </w:r>
            <w:r>
              <w:rPr>
                <w:b/>
                <w:i/>
                <w:strike w:val="0"/>
                <w:color w:val="auto"/>
                <w:highlight w:val="none"/>
                <w:u w:val="none" w:color="auto"/>
                <w:vertAlign w:val="baseline"/>
              </w:rPr>
              <w:t>,</w:t>
            </w:r>
            <w:r>
              <w:t xml:space="preserve"> mutilarea genitală a femeilor</w:t>
            </w:r>
            <w:r>
              <w:rPr>
                <w:b/>
                <w:i/>
                <w:strike w:val="0"/>
                <w:color w:val="auto"/>
                <w:highlight w:val="none"/>
                <w:u w:val="none" w:color="auto"/>
                <w:vertAlign w:val="baseline"/>
              </w:rPr>
              <w:t>, avortul selectiv în funcție de sexul fătului și pentru a combate utilizarea violenței de gen ca armă de război;</w:t>
            </w:r>
            <w:r>
              <w:rPr>
                <w:b/>
                <w:i/>
                <w:strike w:val="0"/>
                <w:color w:val="auto"/>
                <w:highlight w:val="none"/>
                <w:u w:val="none" w:color="auto"/>
                <w:vertAlign w:val="baseline"/>
              </w:rPr>
              <w:t xml:space="preserve"> consideră că implicarea civică și organizațiile de femei de la nivel local sunt esențiale pentru atingerea acestui obiectiv; își exprimă îngrijorarea cu privire la intensificarea la nivel mondial a urmăririi penale a apărătorilor drepturilor omului, în special a celor care apără drepturile femeilor și ale minorităților; </w:t>
            </w:r>
            <w:r>
              <w:rPr>
                <w:b/>
                <w:i/>
                <w:strike w:val="0"/>
                <w:color w:val="auto"/>
                <w:highlight w:val="none"/>
                <w:u w:val="none" w:color="auto"/>
                <w:vertAlign w:val="baseline"/>
              </w:rPr>
              <w:t>își exprimă îngrijorarea cu privire la rata ridicată a mortalității materne în țările cu venituri mici și medii inferioare</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BoldItalic"/>
              </w:rPr>
              <w:t>1a</w:t>
            </w:r>
            <w:r>
              <w:t xml:space="preserve"> </w:t>
            </w:r>
            <w:r>
              <w:rPr>
                <w:b/>
                <w:i/>
                <w:strike w:val="0"/>
                <w:color w:val="auto"/>
                <w:highlight w:val="none"/>
                <w:u w:val="none" w:color="auto"/>
                <w:vertAlign w:val="baseline"/>
              </w:rPr>
              <w:t>UNICEF, „Fast Facts: 10 facts illustrating why we must #EndChildMarriage10 February 2019’, https://www.unicef.org/press-releases/fast-facts-10-facts-illustrating-why-we-must-endchildmarriage.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9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9a.</w:t>
            </w:r>
            <w:r>
              <w:tab/>
            </w:r>
            <w:r>
              <w:rPr>
                <w:b/>
                <w:i/>
                <w:strike w:val="0"/>
                <w:color w:val="auto"/>
                <w:highlight w:val="none"/>
                <w:u w:val="none" w:color="auto"/>
                <w:vertAlign w:val="baseline"/>
              </w:rPr>
              <w:t>subliniază că violul rămâne una dintre cele mai răspândite încălcări ale drepturilor omului și îndeamnă la stabilirea unei definiții comune a violului care se bazează pe lipsa consimțământului;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49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9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9b.</w:t>
            </w:r>
            <w:r>
              <w:tab/>
            </w:r>
            <w:r>
              <w:rPr>
                <w:b/>
                <w:i/>
                <w:strike w:val="0"/>
                <w:color w:val="auto"/>
                <w:highlight w:val="none"/>
                <w:u w:val="none" w:color="auto"/>
                <w:vertAlign w:val="baseline"/>
              </w:rPr>
              <w:t>regretă regresul la nivel mondial al drepturilor femeilor și condamnă orice actor care întreprinde acțiuni de subminare a realizărilor în materie de egalitate de gen la nivel mondial; invită UE și statele sale membre să intensifice lupta pentru egalitatea de gen, având în vedere că SUA nu mai finanțează în prezent organizațiile care militează pentru drepturile omului;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9 c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9c.</w:t>
            </w:r>
            <w:r>
              <w:tab/>
            </w:r>
            <w:r>
              <w:rPr>
                <w:b/>
                <w:i/>
                <w:strike w:val="0"/>
                <w:color w:val="auto"/>
                <w:highlight w:val="none"/>
                <w:u w:val="none" w:color="auto"/>
                <w:vertAlign w:val="baseline"/>
              </w:rPr>
              <w:t>cere să se ia măsuri mai decisive pentru a combate intensificarea discursurilor online instigatoare la ură anti-gen și amenințările tot mai mari cu care se confruntă femeile în poziții politice, ceea ce duce la un număr mai mic de femei care își asumă funcții și care sunt adesea obligate să plece;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10.</w:t>
            </w:r>
            <w:r>
              <w:tab/>
            </w:r>
            <w:r>
              <w:t xml:space="preserve">solicită </w:t>
            </w:r>
            <w:r>
              <w:rPr>
                <w:b/>
                <w:i/>
                <w:strike w:val="0"/>
                <w:color w:val="auto"/>
                <w:highlight w:val="none"/>
                <w:u w:val="none" w:color="auto"/>
                <w:vertAlign w:val="baseline"/>
              </w:rPr>
              <w:t>continuarea</w:t>
            </w:r>
            <w:r>
              <w:t xml:space="preserve"> finanțării programelor axate pe promovarea </w:t>
            </w:r>
            <w:r>
              <w:rPr>
                <w:b/>
                <w:i/>
                <w:strike w:val="0"/>
                <w:color w:val="auto"/>
                <w:highlight w:val="none"/>
                <w:u w:val="none" w:color="auto"/>
                <w:vertAlign w:val="baseline"/>
              </w:rPr>
              <w:t>emancipării femeilor</w:t>
            </w:r>
            <w:r>
              <w:t xml:space="preserve"> și combaterea tuturor formelor de violență de gen; invită Comisia să se asigure că 85 % din </w:t>
            </w:r>
            <w:r>
              <w:rPr>
                <w:b/>
                <w:i/>
                <w:strike w:val="0"/>
                <w:color w:val="auto"/>
                <w:highlight w:val="none"/>
                <w:u w:val="none" w:color="auto"/>
                <w:vertAlign w:val="baseline"/>
              </w:rPr>
              <w:t>toate acțiunile externe noi</w:t>
            </w:r>
            <w:r>
              <w:t xml:space="preserve"> includ egalitatea de gen ca obiectiv semnificativ sau principal și că 20 % din ajutorul oficial pentru dezvoltare din fiecare țară este alocat programelor </w:t>
            </w:r>
            <w:r>
              <w:rPr>
                <w:b/>
                <w:i/>
                <w:strike w:val="0"/>
                <w:color w:val="auto"/>
                <w:highlight w:val="none"/>
                <w:u w:val="none" w:color="auto"/>
                <w:vertAlign w:val="baseline"/>
              </w:rPr>
              <w:t>al căror obiectiv principal este egalitatea</w:t>
            </w:r>
            <w:r>
              <w:t xml:space="preserve"> de gen;</w:t>
            </w:r>
          </w:p>
        </w:tc>
        <w:tc>
          <w:tcPr>
            <w:tcW w:w="4876" w:type="dxa"/>
            <w:vAlign w:val="top"/>
          </w:tcPr>
          <w:p>
            <w:pPr>
              <w:pStyle w:val="Normal6a"/>
            </w:pPr>
            <w:r>
              <w:t>10.</w:t>
            </w:r>
            <w:r>
              <w:tab/>
            </w:r>
            <w:r>
              <w:t xml:space="preserve">solicită </w:t>
            </w:r>
            <w:r>
              <w:rPr>
                <w:b/>
                <w:i/>
                <w:strike w:val="0"/>
                <w:color w:val="auto"/>
                <w:highlight w:val="none"/>
                <w:u w:val="none" w:color="auto"/>
                <w:vertAlign w:val="baseline"/>
              </w:rPr>
              <w:t>creșterea</w:t>
            </w:r>
            <w:r>
              <w:t xml:space="preserve"> finanțării programelor axate pe promovarea </w:t>
            </w:r>
            <w:r>
              <w:rPr>
                <w:b/>
                <w:i/>
                <w:strike w:val="0"/>
                <w:color w:val="auto"/>
                <w:highlight w:val="none"/>
                <w:u w:val="none" w:color="auto"/>
                <w:vertAlign w:val="baseline"/>
              </w:rPr>
              <w:t>egalității de gen</w:t>
            </w:r>
            <w:r>
              <w:t xml:space="preserve"> și combaterea tuturor formelor de violență de gen; invită Comisia să se asigure că </w:t>
            </w:r>
            <w:r>
              <w:rPr>
                <w:b/>
                <w:i/>
                <w:strike w:val="0"/>
                <w:color w:val="auto"/>
                <w:highlight w:val="none"/>
                <w:u w:val="none" w:color="auto"/>
                <w:vertAlign w:val="baseline"/>
              </w:rPr>
              <w:t>toate acțiunile finanțate de UE integrează dimensiunea de gen și că</w:t>
            </w:r>
            <w:r>
              <w:t xml:space="preserve"> 85 % din</w:t>
            </w:r>
            <w:r>
              <w:rPr>
                <w:b/>
                <w:i/>
                <w:strike w:val="0"/>
                <w:color w:val="auto"/>
                <w:highlight w:val="none"/>
                <w:u w:val="none" w:color="auto"/>
                <w:vertAlign w:val="baseline"/>
              </w:rPr>
              <w:t xml:space="preserve"> asistența oficială pentru dezvoltare (AOD) este dirijată către proiecte care</w:t>
            </w:r>
            <w:r>
              <w:t xml:space="preserve"> includ egalitatea de gen ca obiectiv semnificativ sau principal și că 20 % din ajutorul oficial pentru dezvoltare din fiecare țară este alocat programelor </w:t>
            </w:r>
            <w:r>
              <w:rPr>
                <w:b/>
                <w:i/>
                <w:strike w:val="0"/>
                <w:color w:val="auto"/>
                <w:highlight w:val="none"/>
                <w:u w:val="none" w:color="auto"/>
                <w:vertAlign w:val="baseline"/>
              </w:rPr>
              <w:t>care au egalitatea de gen ca unul dintre obiectivele lor principale;</w:t>
            </w:r>
            <w:r>
              <w:rPr>
                <w:b/>
                <w:i/>
                <w:strike w:val="0"/>
                <w:color w:val="auto"/>
                <w:highlight w:val="none"/>
                <w:u w:val="none" w:color="auto"/>
                <w:vertAlign w:val="baseline"/>
              </w:rPr>
              <w:t xml:space="preserve"> invită Comisia să includă aceste două obiective în următorul CFM și să se asigure că integrarea perspectivei de gen și bugetarea de gen sunt incluse în toate politicile, programele și bugetele UE;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10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10a.</w:t>
            </w:r>
            <w:r>
              <w:tab/>
            </w:r>
            <w:r>
              <w:rPr>
                <w:b/>
                <w:i/>
                <w:strike w:val="0"/>
                <w:color w:val="auto"/>
                <w:highlight w:val="none"/>
                <w:u w:val="none" w:color="auto"/>
                <w:vertAlign w:val="baseline"/>
              </w:rPr>
              <w:t xml:space="preserve">este alarmat de faptul că ODD 5 este unul dintre ODD-urile cel mai puțin finanțate; </w:t>
            </w:r>
            <w:r>
              <w:t>condamnă scoaterea de pe lista priorităților a finanțării drepturilor femeilor și faptul că mișcările feministe de la nivel local și organizațiile pentru drepturile femeilor continuă să fie sistemic subfinanțate, primind mai puțin de 1 % din AOD la nivel mondial</w:t>
            </w:r>
            <w:r>
              <w:rPr>
                <w:rStyle w:val="Sup"/>
              </w:rPr>
              <w:t>1a</w:t>
            </w:r>
            <w:r>
              <w:t>;</w:t>
            </w:r>
            <w:r>
              <w:rPr>
                <w:b/>
                <w:i/>
                <w:strike w:val="0"/>
                <w:color w:val="auto"/>
                <w:highlight w:val="none"/>
                <w:u w:val="none" w:color="auto"/>
                <w:vertAlign w:val="baseline"/>
              </w:rPr>
              <w:t xml:space="preserve"> invită Comisia să asigure o finanțare regulată, adecvată și sustenabilă pentru programele și organizațiile europene care activează în domeniul egalității de gen și al drepturilor femeilor;</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ODI policy brief, ‘Where next for feminist foreign policy on funding feminist movements?’,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10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10b.</w:t>
            </w:r>
            <w:r>
              <w:tab/>
            </w:r>
            <w:r>
              <w:rPr>
                <w:b/>
                <w:i/>
                <w:strike w:val="0"/>
                <w:color w:val="auto"/>
                <w:highlight w:val="none"/>
                <w:u w:val="none" w:color="auto"/>
                <w:vertAlign w:val="baseline"/>
              </w:rPr>
              <w:t>își exprimă profunda îngrijorare cu privire la apartheidul de gen comis în prezent în Afganistan; subliniază că s-a refuzat accesul la educație al 2,2 milioane de fete în Afganistan, acest număr urmând să crească la 4 milioane; invită comunitatea mondială să condamne cu fermitate apartheidul de gen din Afganistan și să ia toate măsurile necesare pentru a pune capăt acestuia și pentru a-i aduce pe cei responsabili în fața justiției;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10 c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10c.</w:t>
            </w:r>
            <w:r>
              <w:tab/>
            </w:r>
            <w:r>
              <w:t>regretă că, de la lansarea planului de acțiune pentru egalitatea de gen (GAP III), doar 3,8 % din toate acțiunile care iau în considerare dimensiunea de gen/specifice au ca obiectiv principal egalitatea de gen, rămânând în urma obiectivului de 5 % prevăzut în Regulamentul privind IVCDCI</w:t>
            </w:r>
            <w:r>
              <w:rPr>
                <w:rStyle w:val="Sup"/>
              </w:rPr>
              <w:t>1a</w:t>
            </w:r>
            <w:r>
              <w:t>:</w:t>
            </w:r>
            <w:r>
              <w:rPr>
                <w:b/>
                <w:i/>
                <w:strike w:val="0"/>
                <w:color w:val="auto"/>
                <w:highlight w:val="none"/>
                <w:u w:val="none" w:color="auto"/>
                <w:vertAlign w:val="baseline"/>
              </w:rPr>
              <w:t xml:space="preserve"> invită statele membre și Comisia Europeană să crească substanțial numărul de acțiuni ale UE care au ca obiectiv principal promovarea egalității de gen și să atingă obiectivul de 5 %; invită UE să majoreze finanțarea fondurilor multilaterale pentru egalitatea de gen, cum ar fi UN Women, și pentru sănătatea sexuală și reproductivă, precum UNFPA și Fondul global de luptă împotriva HIV/SIDA, tuberculozei și malariei;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Regulamentul (UE) 2021/947 al Parlamentului European și al Consiliului din 9 iunie 2021 de instituire a Instrumentului de vecinătate, cooperare pentru dezvoltare și cooperare internațională – Europa globală, de modificare și abrogare a Deciziei nr. 466/2014/UE a Parlamentului European și a Consiliului și de abrogare a Regulamentului (UE) 2017/1601 al Parlamentului European și al Consiliului și a Regulamentului (CE, Euratom) nr. 480/2009 al Consiliului (JO L 209, 14.6.2021, p. 1, ELI: http://data.europa.eu/eli/reg/2021/947/oj).</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solicită să se intensifice eforturile de eliminare a </w:t>
            </w:r>
            <w:r>
              <w:rPr>
                <w:b/>
                <w:i/>
                <w:strike w:val="0"/>
                <w:color w:val="auto"/>
                <w:highlight w:val="none"/>
                <w:u w:val="none" w:color="auto"/>
                <w:vertAlign w:val="baseline"/>
              </w:rPr>
              <w:t>diferenței</w:t>
            </w:r>
            <w:r>
              <w:t xml:space="preserve"> de remunerare între femei și bărbați, </w:t>
            </w:r>
            <w:r>
              <w:rPr>
                <w:b/>
                <w:i/>
                <w:strike w:val="0"/>
                <w:color w:val="auto"/>
                <w:highlight w:val="none"/>
                <w:u w:val="none" w:color="auto"/>
                <w:vertAlign w:val="baseline"/>
              </w:rPr>
              <w:t>inclusiv</w:t>
            </w:r>
            <w:r>
              <w:t xml:space="preserve"> în </w:t>
            </w:r>
            <w:r>
              <w:rPr>
                <w:b/>
                <w:i/>
                <w:strike w:val="0"/>
                <w:color w:val="auto"/>
                <w:highlight w:val="none"/>
                <w:u w:val="none" w:color="auto"/>
                <w:vertAlign w:val="baseline"/>
              </w:rPr>
              <w:t>economia îngrijirii,</w:t>
            </w:r>
            <w:r>
              <w:t xml:space="preserve"> și </w:t>
            </w:r>
            <w:r>
              <w:rPr>
                <w:b/>
                <w:i/>
                <w:strike w:val="0"/>
                <w:color w:val="auto"/>
                <w:highlight w:val="none"/>
                <w:u w:val="none" w:color="auto"/>
                <w:vertAlign w:val="baseline"/>
              </w:rPr>
              <w:t>să se asigure oportunități egale</w:t>
            </w:r>
            <w:r>
              <w:t xml:space="preserve"> de a </w:t>
            </w:r>
            <w:r>
              <w:rPr>
                <w:b/>
                <w:i/>
                <w:strike w:val="0"/>
                <w:color w:val="auto"/>
                <w:highlight w:val="none"/>
                <w:u w:val="none" w:color="auto"/>
                <w:vertAlign w:val="baseline"/>
              </w:rPr>
              <w:t>participa</w:t>
            </w:r>
            <w:r>
              <w:t xml:space="preserve"> și de a </w:t>
            </w:r>
            <w:r>
              <w:rPr>
                <w:b/>
                <w:i/>
                <w:strike w:val="0"/>
                <w:color w:val="auto"/>
                <w:highlight w:val="none"/>
                <w:u w:val="none" w:color="auto"/>
                <w:vertAlign w:val="baseline"/>
              </w:rPr>
              <w:t>ocupa posturi</w:t>
            </w:r>
            <w:r>
              <w:t xml:space="preserve"> de conducere în sectorul public și în cel privat;</w:t>
            </w:r>
          </w:p>
        </w:tc>
        <w:tc>
          <w:tcPr>
            <w:tcW w:w="4876" w:type="dxa"/>
            <w:vAlign w:val="top"/>
          </w:tcPr>
          <w:p>
            <w:pPr>
              <w:pStyle w:val="Normal6a"/>
            </w:pPr>
            <w:r>
              <w:t>11.</w:t>
            </w:r>
            <w:r>
              <w:tab/>
            </w:r>
            <w:r>
              <w:t xml:space="preserve">solicită să se intensifice eforturile de eliminare a </w:t>
            </w:r>
            <w:r>
              <w:rPr>
                <w:b/>
                <w:i/>
                <w:strike w:val="0"/>
                <w:color w:val="auto"/>
                <w:highlight w:val="none"/>
                <w:u w:val="none" w:color="auto"/>
                <w:vertAlign w:val="baseline"/>
              </w:rPr>
              <w:t>disparității de gen în ceea ce privește ocuparea forței de muncă și a diferențelor</w:t>
            </w:r>
            <w:r>
              <w:t xml:space="preserve"> de remunerare </w:t>
            </w:r>
            <w:r>
              <w:rPr>
                <w:b/>
                <w:i/>
                <w:strike w:val="0"/>
                <w:color w:val="auto"/>
                <w:highlight w:val="none"/>
                <w:u w:val="none" w:color="auto"/>
                <w:vertAlign w:val="baseline"/>
              </w:rPr>
              <w:t>și de pensii</w:t>
            </w:r>
            <w:r>
              <w:t xml:space="preserve"> între femei și bărbați, </w:t>
            </w:r>
            <w:r>
              <w:rPr>
                <w:b/>
                <w:i/>
                <w:strike w:val="0"/>
                <w:color w:val="auto"/>
                <w:highlight w:val="none"/>
                <w:u w:val="none" w:color="auto"/>
                <w:vertAlign w:val="baseline"/>
              </w:rPr>
              <w:t>precum și creșterea investițiilor</w:t>
            </w:r>
            <w:r>
              <w:t xml:space="preserve"> în </w:t>
            </w:r>
            <w:r>
              <w:rPr>
                <w:b/>
                <w:i/>
                <w:strike w:val="0"/>
                <w:color w:val="auto"/>
                <w:highlight w:val="none"/>
                <w:u w:val="none" w:color="auto"/>
                <w:vertAlign w:val="baseline"/>
              </w:rPr>
              <w:t>serviciile publice</w:t>
            </w:r>
            <w:r>
              <w:t xml:space="preserve"> și </w:t>
            </w:r>
            <w:r>
              <w:rPr>
                <w:b/>
                <w:i/>
                <w:strike w:val="0"/>
                <w:color w:val="auto"/>
                <w:highlight w:val="none"/>
                <w:u w:val="none" w:color="auto"/>
                <w:vertAlign w:val="baseline"/>
              </w:rPr>
              <w:t>în infrastructura socială și solicită un angajament</w:t>
            </w:r>
            <w:r>
              <w:t xml:space="preserve"> de a </w:t>
            </w:r>
            <w:r>
              <w:rPr>
                <w:b/>
                <w:i/>
                <w:strike w:val="0"/>
                <w:color w:val="auto"/>
                <w:highlight w:val="none"/>
                <w:u w:val="none" w:color="auto"/>
                <w:vertAlign w:val="baseline"/>
              </w:rPr>
              <w:t>avansa către societățile de îngrijire;</w:t>
            </w:r>
            <w:r>
              <w:rPr>
                <w:b/>
                <w:i/>
                <w:strike w:val="0"/>
                <w:color w:val="auto"/>
                <w:highlight w:val="none"/>
                <w:u w:val="none" w:color="auto"/>
                <w:vertAlign w:val="baseline"/>
              </w:rPr>
              <w:t xml:space="preserve"> </w:t>
            </w:r>
            <w:r>
              <w:rPr>
                <w:b/>
                <w:i/>
                <w:strike w:val="0"/>
                <w:color w:val="auto"/>
                <w:highlight w:val="none"/>
                <w:u w:val="none" w:color="auto"/>
                <w:vertAlign w:val="baseline"/>
              </w:rPr>
              <w:t>solicită o evaluare</w:t>
            </w:r>
            <w:r>
              <w:t xml:space="preserve"> și </w:t>
            </w:r>
            <w:r>
              <w:rPr>
                <w:b/>
                <w:i/>
                <w:strike w:val="0"/>
                <w:color w:val="auto"/>
                <w:highlight w:val="none"/>
                <w:u w:val="none" w:color="auto"/>
                <w:vertAlign w:val="baseline"/>
              </w:rPr>
              <w:t>o remunerare mai echitabile a muncii în sectoarele dominate</w:t>
            </w:r>
            <w:r>
              <w:t xml:space="preserve"> de </w:t>
            </w:r>
            <w:r>
              <w:rPr>
                <w:b/>
                <w:i/>
                <w:strike w:val="0"/>
                <w:color w:val="auto"/>
                <w:highlight w:val="none"/>
                <w:u w:val="none" w:color="auto"/>
                <w:vertAlign w:val="baseline"/>
              </w:rPr>
              <w:t>femei, transparența salarială, reforme în materie de protecție socială și promovarea unor locuri de muncă de calitate, fără hărțuire sexuală și violență de gen;</w:t>
            </w:r>
            <w:r>
              <w:rPr>
                <w:b/>
                <w:i/>
                <w:strike w:val="0"/>
                <w:color w:val="auto"/>
                <w:highlight w:val="none"/>
                <w:u w:val="none" w:color="auto"/>
                <w:vertAlign w:val="baseline"/>
              </w:rPr>
              <w:t xml:space="preserve"> </w:t>
            </w:r>
            <w:r>
              <w:rPr>
                <w:b/>
                <w:i/>
                <w:strike w:val="0"/>
                <w:color w:val="auto"/>
                <w:highlight w:val="none"/>
                <w:u w:val="none" w:color="auto"/>
                <w:vertAlign w:val="baseline"/>
              </w:rPr>
              <w:t>solicită să se depună eforturi pentru</w:t>
            </w:r>
            <w:r>
              <w:t xml:space="preserve"> a </w:t>
            </w:r>
            <w:r>
              <w:rPr>
                <w:b/>
                <w:i/>
                <w:strike w:val="0"/>
                <w:color w:val="auto"/>
                <w:highlight w:val="none"/>
                <w:u w:val="none" w:color="auto"/>
                <w:vertAlign w:val="baseline"/>
              </w:rPr>
              <w:t>asigura oportunități egale de participare și</w:t>
            </w:r>
            <w:r>
              <w:t xml:space="preserve"> de conducere în sectorul public și în cel privat </w:t>
            </w:r>
            <w:r>
              <w:rPr>
                <w:b/>
                <w:i/>
                <w:strike w:val="0"/>
                <w:color w:val="auto"/>
                <w:highlight w:val="none"/>
                <w:u w:val="none" w:color="auto"/>
                <w:vertAlign w:val="baseline"/>
              </w:rPr>
              <w:t>prin promovarea unei reprezentări echilibrate din punctul de vedere al genului în pozițiile de responsabilitate și de luare a deciziilor și prin combaterea sexismului în sfera publică și privată</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11a.</w:t>
            </w:r>
            <w:r>
              <w:tab/>
            </w:r>
            <w:r>
              <w:rPr>
                <w:b/>
                <w:i/>
                <w:strike w:val="0"/>
                <w:color w:val="auto"/>
                <w:highlight w:val="none"/>
                <w:u w:val="none" w:color="auto"/>
                <w:vertAlign w:val="baseline"/>
              </w:rPr>
              <w:t>subliniază necesitatea de a promova accesul egal al femeilor și fetelor la educație și alfabetizare financiară, în special pentru cele din grupurile marginalizate și afectate de discriminare; subliniază că aceste politici trebuie să vizeze promovarea egalității de șanse și creșterea șanselor femeilor și fetelor de a obține locuri de muncă stabile, bine plătite și recompensate, care să le garanteze independența financiară; solicită ca femeilor și fetelor să li se asigure un acces mai bun la instrumente digitale și la formare și să se stimuleze programele și finanțarea pentru femei și fete în domeniul științei, tehnologiei, ingineriei și matematicii (STIM) și al studiilor și activităților antreprenoriale;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11b.</w:t>
            </w:r>
            <w:r>
              <w:tab/>
            </w:r>
            <w:r>
              <w:rPr>
                <w:b/>
                <w:i/>
                <w:strike w:val="0"/>
                <w:color w:val="auto"/>
                <w:highlight w:val="none"/>
                <w:u w:val="none" w:color="auto"/>
                <w:vertAlign w:val="baseline"/>
              </w:rPr>
              <w:t>subliniază importanța foii de parcurs a Comisiei privind drepturile femeilor în reafirmarea angajamentului UE față de egalitatea de gen și în elaborarea noii strategii privind egalitatea de gen care va fi publicată în 2026; cere o implicare mai puternică a statelor membre și îndeamnă la o abordare cuprinzătoare care să includă serviciile sexuale și reproductive, discriminarea intersecțională și protecția femeilor vulnerabile;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c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11c.</w:t>
            </w:r>
            <w:r>
              <w:tab/>
            </w:r>
            <w:r>
              <w:rPr>
                <w:b/>
                <w:i/>
                <w:strike w:val="0"/>
                <w:color w:val="auto"/>
                <w:highlight w:val="none"/>
                <w:u w:val="none" w:color="auto"/>
                <w:vertAlign w:val="baseline"/>
              </w:rPr>
              <w:t>solicită ca dreptul universal de acces la avort sigur și legal să fie adăugat în Carta drepturilor fundamentale a UE și să fie instituit un cadru obligatoriu din punct de vedere juridic;</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59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d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11d.</w:t>
            </w:r>
            <w:r>
              <w:tab/>
            </w:r>
            <w:r>
              <w:rPr>
                <w:b/>
                <w:i/>
                <w:strike w:val="0"/>
                <w:color w:val="auto"/>
                <w:highlight w:val="none"/>
                <w:u w:val="none" w:color="auto"/>
                <w:vertAlign w:val="baseline"/>
              </w:rPr>
              <w:t>reafirmă că SRHR reprezintă drepturi fundamentale ale omului, iar realizarea lor este un aspect fundamental al demnității umane și o condiție prealabilă pentru realizarea egalității de gen; reamintește angajamentul UE față de promovarea, apărarea și exercitarea dreptului fiecărei persoane de a avea control deplin asupra aspectelor legate de sexualitatea sa și de drepturile sexuale și reproductive și de a hotărî în mod liber și responsabil cu privire la aceste aspecte, fără discriminare, constrângere sau violență;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e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11e.</w:t>
            </w:r>
            <w:r>
              <w:tab/>
            </w:r>
            <w:r>
              <w:rPr>
                <w:b/>
                <w:i/>
                <w:strike w:val="0"/>
                <w:color w:val="auto"/>
                <w:highlight w:val="none"/>
                <w:u w:val="none" w:color="auto"/>
                <w:vertAlign w:val="baseline"/>
              </w:rPr>
              <w:t>atrage atenția asupra importanței accesului la date fiabile, bazate pe baze statistice solide, și a implicării cetățenilor, ca instrument care să asigure că nimeni nu va fi lăsat în urmă; consideră că acest lucru este esențial pentru identificarea disparităților dintre țări și regiuni, pentru crearea de politici și pentru evaluarea progreselor înregistrate de inițiativele mondiale privind egalitatea de gen;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f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11f.</w:t>
            </w:r>
            <w:r>
              <w:tab/>
            </w:r>
            <w:r>
              <w:rPr>
                <w:b/>
                <w:i/>
                <w:strike w:val="0"/>
                <w:color w:val="auto"/>
                <w:highlight w:val="none"/>
                <w:u w:val="none" w:color="auto"/>
                <w:vertAlign w:val="baseline"/>
              </w:rPr>
              <w:t>cere să se încurajeze mai mult dreptul fiecărei femei de a-și echilibra viața profesională și cea privată, prin promovarea responsabilității comune și a unor condiții de muncă care facilitează reconcilierea vieții private, familiale și profesionale;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g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11g.</w:t>
            </w:r>
            <w:r>
              <w:tab/>
            </w:r>
            <w:r>
              <w:rPr>
                <w:b/>
                <w:i/>
                <w:strike w:val="0"/>
                <w:color w:val="auto"/>
                <w:highlight w:val="none"/>
                <w:u w:val="none" w:color="auto"/>
                <w:vertAlign w:val="baseline"/>
              </w:rPr>
              <w:t>este alarmat de regresele continue ale SRHR și de atacurile împotriva apărătorilor SRHR în Europa și la nivel mondial; solicită un efort european puternic pentru a ne proteja valorile fundamentale, cum ar fi drepturile egale la autonomie corporală, și politici mai robuste pentru a garanta accesul universal al tuturor femeilor și fetelor la servicii de sănătate sexuală și reproductivă, inclusiv informații despre planificarea familială, contracepția la prețuri accesibile, avortul liber, sigur și legal și asistența medicală maternă;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h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11h.</w:t>
            </w:r>
            <w:r>
              <w:tab/>
            </w:r>
            <w:r>
              <w:rPr>
                <w:b/>
                <w:i/>
                <w:strike w:val="0"/>
                <w:color w:val="auto"/>
                <w:highlight w:val="none"/>
                <w:u w:val="none" w:color="auto"/>
                <w:vertAlign w:val="baseline"/>
              </w:rPr>
              <w:t>cere politici și acțiuni mai ferme care să promoveze accesul la terenuri, credite, antreprenoriat și educație, precum și la locuri de muncă și la sănătate, în special pentru femeile și fetele aflate în situații de vulnerabilitate, femeile cu dizabilități, femeile însărcinate și femeile din zonele rurale și insulare și din regiunile ultraperiferice;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i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11i.</w:t>
            </w:r>
            <w:r>
              <w:tab/>
            </w:r>
            <w:r>
              <w:rPr>
                <w:b/>
                <w:i/>
                <w:strike w:val="0"/>
                <w:color w:val="auto"/>
                <w:highlight w:val="none"/>
                <w:u w:val="none" w:color="auto"/>
                <w:vertAlign w:val="baseline"/>
              </w:rPr>
              <w:t>invită statele membre să asigure o educație sexuală și relațională cuprinzătoare obligatorie, bazată pe dovezi, în școlile primare și secundare, pentru a combate violența bazată pe gen și stereotipurile de gen; subliniază că investițiile în educația fetelor aduc beneficii considerabile generațiilor viitoare, contribuind direct la realizarea drepturilor lor fundamentale și la protecția împotriva tuturor formelor de violență, dar și la o bunăstare mai pronunțată a societăților în ansamblu; invită, în acest sens, Comisia să prezinte orientări ale UE privind educația sexuală cuprinzătoare și bazată pe dovezi, pe baza standardelor OMS, și să promoveze schimbul de bune practici între statele membre în acest domeniu;</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j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11j.</w:t>
            </w:r>
            <w:r>
              <w:tab/>
            </w:r>
            <w:r>
              <w:rPr>
                <w:b/>
                <w:i/>
                <w:strike w:val="0"/>
                <w:color w:val="auto"/>
                <w:highlight w:val="none"/>
                <w:u w:val="none" w:color="auto"/>
                <w:vertAlign w:val="baseline"/>
              </w:rPr>
              <w:t>îndeamnă Comisia să pună capăt finanțării mișcărilor din interiorul și din afara UE care contribuie la orice formă de oprimare a femeilor, inclusiv a celor care militează împotriva drepturilor fundamentale, cum ar fi, printre altele, drepturile femeilor și SRHR;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k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11k.</w:t>
            </w:r>
            <w:r>
              <w:tab/>
            </w:r>
            <w:r>
              <w:rPr>
                <w:b/>
                <w:i/>
                <w:strike w:val="0"/>
                <w:color w:val="auto"/>
                <w:highlight w:val="none"/>
                <w:u w:val="none" w:color="auto"/>
                <w:vertAlign w:val="baseline"/>
              </w:rPr>
              <w:t xml:space="preserve">regretă regresele drepturilor LGBTIQ + și transfobia care amenință egalitatea de gen; </w:t>
            </w:r>
            <w:r>
              <w:t>denunță faptul că, în perioada 2021-2022, doar trei organizații anti-LGBTIQ + au raportat venituri de 1 miliarde USD, în comparație cu 8 000 de beneficiari de granturi LGBTIQ + la nivel mondial care au primit împreună 905 milioane USD</w:t>
            </w:r>
            <w:r>
              <w:rPr>
                <w:rStyle w:val="Sup"/>
              </w:rPr>
              <w:t>1a</w:t>
            </w:r>
            <w:r>
              <w:t>;</w:t>
            </w:r>
            <w:r>
              <w:rPr>
                <w:b/>
                <w:i/>
                <w:strike w:val="0"/>
                <w:color w:val="auto"/>
                <w:highlight w:val="none"/>
                <w:u w:val="none" w:color="auto"/>
                <w:vertAlign w:val="baseline"/>
              </w:rPr>
              <w:t xml:space="preserve"> avertizează cu privire la creșterea îngrijorătoare a finanțării anti-gen, care urmărește să contracareze realizările progresiste ale drepturilor femeilor și ale persoanelor LGBTIQ + din ultimele decenii;</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ODI policy brief, ‘Where next for feminist foreign policy on funding feminist movements?’, https://media.odi.org/documents/ODI-ET-FundingMovements-PB-EN-May24-Final.pdf.</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l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11l.</w:t>
            </w:r>
            <w:r>
              <w:tab/>
            </w:r>
            <w:r>
              <w:rPr>
                <w:b/>
                <w:i/>
                <w:strike w:val="0"/>
                <w:color w:val="auto"/>
                <w:highlight w:val="none"/>
                <w:u w:val="none" w:color="auto"/>
                <w:vertAlign w:val="baseline"/>
              </w:rPr>
              <w:t>invită UE să interzică centrele de conversie în statele membre și să facă tot posibilul pentru a împiedica această practică pretutindeni;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11 m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11m.</w:t>
            </w:r>
            <w:r>
              <w:tab/>
            </w:r>
            <w:r>
              <w:rPr>
                <w:b/>
                <w:i/>
                <w:strike w:val="0"/>
                <w:color w:val="auto"/>
                <w:highlight w:val="none"/>
                <w:u w:val="none" w:color="auto"/>
                <w:vertAlign w:val="baseline"/>
              </w:rPr>
              <w:t>invită UE să stabilească un obiectiv specific de finanțare pentru a sprijini drepturile femeilor și organizațiile LGBTIQ+, mișcările feministe și apărătorii drepturilor omului din Europa și de la nivel mondial; subliniază că trebuie să se creeze un mecanism de protecție a apărătorilor drepturilor omului în UE, acordând o atenție deosebită femeilor, persoanelor LGBTIQ+ și apărătorilor drepturilor omului în domeniul SRHR;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12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12a.</w:t>
            </w:r>
            <w:r>
              <w:tab/>
            </w:r>
            <w:r>
              <w:rPr>
                <w:b/>
                <w:i/>
                <w:strike w:val="0"/>
                <w:color w:val="auto"/>
                <w:highlight w:val="none"/>
                <w:u w:val="none" w:color="auto"/>
                <w:vertAlign w:val="baseline"/>
              </w:rPr>
              <w:t>remarcă modul în care eforturile de realizare a ODD ar trebui să evidențieze politicile care promovează inovarea, antreprenoriatul și crearea de locuri de muncă ecologice, ceea ce va stimula, în cele din urmă, realizarea la scară mai largă a ODD-urilor și egalitatea de gen;</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13.</w:t>
            </w:r>
            <w:r>
              <w:tab/>
            </w:r>
            <w:r>
              <w:t>solicită politici mai puternice și acțiuni îndrăznețe pentru a promova dezvoltarea economică durabilă și favorabilă incluziunii; îndeamnă UE și partenerii mondiali să utilizeze instrumente precum Global Gateway pentru a crea locuri de muncă decente care să reducă inegalitatea veniturilor și să garanteze că nimeni nu este lăsat în urmă;</w:t>
            </w:r>
          </w:p>
        </w:tc>
        <w:tc>
          <w:tcPr>
            <w:tcW w:w="4876" w:type="dxa"/>
            <w:vAlign w:val="top"/>
          </w:tcPr>
          <w:p>
            <w:pPr>
              <w:pStyle w:val="Normal6a"/>
            </w:pPr>
            <w:r>
              <w:t>13.</w:t>
            </w:r>
            <w:r>
              <w:tab/>
            </w:r>
            <w:r>
              <w:t>solicită politici mai puternice și acțiuni îndrăznețe pentru a promova dezvoltarea economică durabilă și favorabilă incluziunii; îndeamnă UE și partenerii mondiali să utilizeze instrumente precum Global Gateway pentru a crea locuri de muncă decente care să reducă inegalitatea veniturilor și să garanteze că nimeni nu este lăsat în urmă;</w:t>
            </w:r>
            <w:r>
              <w:rPr>
                <w:b/>
                <w:i/>
                <w:strike w:val="0"/>
                <w:color w:val="auto"/>
                <w:highlight w:val="none"/>
                <w:u w:val="none" w:color="auto"/>
                <w:vertAlign w:val="baseline"/>
              </w:rPr>
              <w:t xml:space="preserve"> cere să se asigure că sunt ascultate vocile persoanelor cele mai susceptibile de a fi lăsate în urmă și să se acorde prioritate luptei împotriva sărăciei și a condițiilor precare de muncă, acordând o atenție deosebită femeilor care se confruntă cu forme intersecționale de discriminare;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13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13a.</w:t>
            </w:r>
            <w:r>
              <w:tab/>
            </w:r>
            <w:r>
              <w:rPr>
                <w:b/>
                <w:i/>
                <w:strike w:val="0"/>
                <w:color w:val="auto"/>
                <w:highlight w:val="none"/>
                <w:u w:val="none" w:color="auto"/>
                <w:vertAlign w:val="baseline"/>
              </w:rPr>
              <w:t>subliniază că majoritatea activităților de îngrijire neremunerate reprezintă în continuare o povară doar pentru femei, iar acest lucru are consecințe negative asupra disparității profesionale de gen, asupra independenței economice, precum și asupra bunăstării sociale; invită UE să elaboreze măsuri specifice pentru a recunoaște munca de îngrijire și a furniza servicii publice adecvate de asistență socială care să o sprijine;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14.</w:t>
            </w:r>
            <w:r>
              <w:tab/>
            </w:r>
            <w:r>
              <w:t xml:space="preserve">își exprimă îngrijorarea cu privire la faptul că creșterea economică în multe țări în curs de dezvoltare rămâne lentă și inegală, adesea împiedicată de deficiențe structurale, inegalități economice, instabilitate politică </w:t>
            </w:r>
            <w:r>
              <w:t>și</w:t>
            </w:r>
            <w:r>
              <w:t xml:space="preserve"> șocuri externe;</w:t>
            </w:r>
          </w:p>
        </w:tc>
        <w:tc>
          <w:tcPr>
            <w:tcW w:w="4876" w:type="dxa"/>
            <w:vAlign w:val="top"/>
          </w:tcPr>
          <w:p>
            <w:pPr>
              <w:pStyle w:val="Normal6a"/>
            </w:pPr>
            <w:r>
              <w:t>14.</w:t>
            </w:r>
            <w:r>
              <w:tab/>
            </w:r>
            <w:r>
              <w:t xml:space="preserve">își exprimă îngrijorarea cu privire la faptul că creșterea economică în multe țări în curs de dezvoltare rămâne lentă și inegală, adesea împiedicată de deficiențe structurale, inegalități economice, </w:t>
            </w:r>
            <w:r>
              <w:rPr>
                <w:b/>
                <w:i/>
                <w:strike w:val="0"/>
                <w:color w:val="auto"/>
                <w:highlight w:val="none"/>
                <w:u w:val="none" w:color="auto"/>
                <w:vertAlign w:val="baseline"/>
              </w:rPr>
              <w:t>sociale și de gen,</w:t>
            </w:r>
            <w:r>
              <w:t xml:space="preserve"> instabilitate politică</w:t>
            </w:r>
            <w:r>
              <w:t>,</w:t>
            </w:r>
            <w:r>
              <w:t xml:space="preserve"> șocuri externe</w:t>
            </w:r>
            <w:r>
              <w:rPr>
                <w:b/>
                <w:i/>
                <w:strike w:val="0"/>
                <w:color w:val="auto"/>
                <w:highlight w:val="none"/>
                <w:u w:val="none" w:color="auto"/>
                <w:vertAlign w:val="baseline"/>
              </w:rPr>
              <w:t>, precum și interferențele străine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14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14a.</w:t>
            </w:r>
            <w:r>
              <w:tab/>
            </w:r>
            <w:r>
              <w:rPr>
                <w:b/>
                <w:i/>
                <w:strike w:val="0"/>
                <w:color w:val="auto"/>
                <w:highlight w:val="none"/>
                <w:u w:val="none" w:color="auto"/>
                <w:vertAlign w:val="baseline"/>
              </w:rPr>
              <w:t>este îngrijorat că inegalitățile de gen continuă să crească în UE în ceea ce privește piața muncii; reamintește că trebuie susținută și consolidată integrarea perspectivei de gen și bugetarea de gen în politica de coeziune a UE pentru a aborda disparitatea de gen în ceea ce privește ocuparea forței de muncă;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15.</w:t>
            </w:r>
            <w:r>
              <w:tab/>
            </w:r>
            <w:r>
              <w:t>recomandă creșterea investițiilor publice și private în cercetare, educație și dezvoltarea competențelor;</w:t>
            </w:r>
          </w:p>
        </w:tc>
        <w:tc>
          <w:tcPr>
            <w:tcW w:w="4876" w:type="dxa"/>
            <w:vAlign w:val="top"/>
          </w:tcPr>
          <w:p>
            <w:pPr>
              <w:pStyle w:val="Normal6a"/>
            </w:pPr>
            <w:r>
              <w:t>15.</w:t>
            </w:r>
            <w:r>
              <w:tab/>
            </w:r>
            <w:r>
              <w:t>recomandă creșterea investițiilor publice și private în cercetare, educație și dezvoltarea competențelor;</w:t>
            </w:r>
            <w:r>
              <w:rPr>
                <w:b/>
                <w:i/>
                <w:strike w:val="0"/>
                <w:color w:val="auto"/>
                <w:highlight w:val="none"/>
                <w:u w:val="none" w:color="auto"/>
                <w:vertAlign w:val="baseline"/>
              </w:rPr>
              <w:t xml:space="preserve"> solicită UE să stimuleze formarea și locurile de muncă de calitate pentru o tranziție justă, în special pentru grupurile excluse și dezavantajate în mod sistematic, inclusiv femeile și comunitatea LGBTIQ+;</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16.</w:t>
            </w:r>
            <w:r>
              <w:tab/>
            </w:r>
            <w:r>
              <w:t>subliniază că inițiativele care vizează stimularea creșterii economice nu pot fi în detrimentul justiției sociale, al drepturilor lucrătorilor sau al protecției mediului;</w:t>
            </w:r>
          </w:p>
        </w:tc>
        <w:tc>
          <w:tcPr>
            <w:tcW w:w="4876" w:type="dxa"/>
            <w:vAlign w:val="top"/>
          </w:tcPr>
          <w:p>
            <w:pPr>
              <w:pStyle w:val="Normal6a"/>
            </w:pPr>
            <w:r>
              <w:t>16.</w:t>
            </w:r>
            <w:r>
              <w:tab/>
            </w:r>
            <w:r>
              <w:t xml:space="preserve">subliniază că inițiativele care vizează stimularea creșterii economice nu pot fi în detrimentul justiției sociale, al </w:t>
            </w:r>
            <w:r>
              <w:rPr>
                <w:b/>
                <w:i/>
                <w:strike w:val="0"/>
                <w:color w:val="auto"/>
                <w:highlight w:val="none"/>
                <w:u w:val="none" w:color="auto"/>
                <w:vertAlign w:val="baseline"/>
              </w:rPr>
              <w:t>egalității de gen, al</w:t>
            </w:r>
            <w:r>
              <w:t xml:space="preserve"> drepturilor lucrătorilor sau al protecției mediului</w:t>
            </w:r>
            <w:r>
              <w:rPr>
                <w:b/>
                <w:i/>
                <w:strike w:val="0"/>
                <w:color w:val="auto"/>
                <w:highlight w:val="none"/>
                <w:u w:val="none" w:color="auto"/>
                <w:vertAlign w:val="baseline"/>
              </w:rPr>
              <w:t>, cu atât mai mult cu cât femeile și persoanele din grupurile minoritare sunt cele mai susceptibile de a fi primele care suferă inegalități generate de creșterea economică</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16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16a.</w:t>
            </w:r>
            <w:r>
              <w:tab/>
            </w:r>
            <w:r>
              <w:rPr>
                <w:b/>
                <w:i/>
                <w:strike w:val="0"/>
                <w:color w:val="auto"/>
                <w:highlight w:val="none"/>
                <w:u w:val="none" w:color="auto"/>
                <w:vertAlign w:val="baseline"/>
              </w:rPr>
              <w:t>subliniază că persistă decalaje legate de șomajul la nivel mondial pentru femei și tineri și că, la acest nivel, probabilitatea ca femeile tinere să fie NEET (persoane care nu sunt încadrate profesional și nu urmează niciun program educațional sau de formare) este de peste două ori mai mare decât cea a bărbaților tineri; recunoaște că promovarea egalității de gen în educație, formare, piața muncii și politicile privind echilibrul dintre viața profesională și cea privată poate spori prosperitatea și crește competitivitatea economică, evitând totodată subutilizarea activelor și a talentelor;</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16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16b.</w:t>
            </w:r>
            <w:r>
              <w:tab/>
            </w:r>
            <w:r>
              <w:rPr>
                <w:b/>
                <w:i/>
                <w:strike w:val="0"/>
                <w:color w:val="auto"/>
                <w:highlight w:val="none"/>
                <w:u w:val="none" w:color="auto"/>
                <w:vertAlign w:val="baseline"/>
              </w:rPr>
              <w:t>reamintește că este esențial să se creeze stimulente pentru ca întreprinderile să își alinieze operațiunile la ODD, asigurându-se, în același timp, că piața rămâne competitivă și capabilă să stimuleze inovarea în domeniul dezvoltării durabile pentru femei și fete;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17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17a.</w:t>
            </w:r>
            <w:r>
              <w:tab/>
            </w:r>
            <w:r>
              <w:rPr>
                <w:b/>
                <w:i/>
                <w:strike w:val="0"/>
                <w:color w:val="auto"/>
                <w:highlight w:val="none"/>
                <w:u w:val="none" w:color="auto"/>
                <w:vertAlign w:val="baseline"/>
              </w:rPr>
              <w:t>subliniază impactul disproporționat al degradării mediului, în special al poluării cu materiale plastice, asupra femeilor și fetelor; solicită mai multe resurse pentru cercetarea legată de efectele poluării cu materiale (micro) plastice asupra sistemului hormonal feminin și impactul potențial asupra fertilității;</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19.</w:t>
            </w:r>
            <w:r>
              <w:tab/>
            </w:r>
            <w:r>
              <w:t xml:space="preserve">consideră că sunt necesare de urgență măsuri obligatorii la nivel mondial pentru a remedia deficiențele, a accelera acțiunile și a asigura sustenabilitatea pe termen lung a oceanelor, inclusiv prin practici de pescuit sustenabile, combaterea pescuitului ilegal, nedeclarat și nereglementat, intensificarea eforturilor de conservare a mediului marin </w:t>
            </w:r>
            <w:r>
              <w:rPr>
                <w:b/>
                <w:i/>
                <w:strike w:val="0"/>
                <w:color w:val="auto"/>
                <w:highlight w:val="none"/>
                <w:u w:val="none" w:color="auto"/>
                <w:vertAlign w:val="baseline"/>
              </w:rPr>
              <w:t>și</w:t>
            </w:r>
            <w:r>
              <w:t xml:space="preserve"> adoptarea unui tratat mondial privind poluarea cu materiale plastice;</w:t>
            </w:r>
          </w:p>
        </w:tc>
        <w:tc>
          <w:tcPr>
            <w:tcW w:w="4876" w:type="dxa"/>
            <w:vAlign w:val="top"/>
          </w:tcPr>
          <w:p>
            <w:pPr>
              <w:pStyle w:val="Normal6a"/>
            </w:pPr>
            <w:r>
              <w:t>19.</w:t>
            </w:r>
            <w:r>
              <w:tab/>
            </w:r>
            <w:r>
              <w:t xml:space="preserve">consideră că sunt necesare de urgență măsuri obligatorii la nivel mondial pentru a remedia deficiențele, a accelera acțiunile și a asigura sustenabilitatea pe termen lung a oceanelor, inclusiv prin practici de pescuit sustenabile, combaterea pescuitului ilegal, nedeclarat și nereglementat, intensificarea eforturilor de conservare a mediului marin </w:t>
            </w:r>
            <w:r>
              <w:rPr>
                <w:b/>
                <w:i/>
                <w:strike w:val="0"/>
                <w:color w:val="auto"/>
                <w:highlight w:val="none"/>
                <w:u w:val="none" w:color="auto"/>
                <w:vertAlign w:val="baseline"/>
              </w:rPr>
              <w:t>prin protecția eficientă a zonelor marine protejate,</w:t>
            </w:r>
            <w:r>
              <w:t xml:space="preserve"> adoptarea unui tratat mondial privind poluarea cu materiale plastice </w:t>
            </w:r>
            <w:r>
              <w:rPr>
                <w:b/>
                <w:i/>
                <w:strike w:val="0"/>
                <w:color w:val="auto"/>
                <w:highlight w:val="none"/>
                <w:u w:val="none" w:color="auto"/>
                <w:vertAlign w:val="baseline"/>
              </w:rPr>
              <w:t>și protejarea drepturilor pescarilor la scară mică și a accesului la resursele de pescuit și la piețe, asigurându-se că femeile și bărbații care practică pescuitul tradițional participă în mod egal și eficient la deciziile care îi afectează</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19 a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19a.</w:t>
            </w:r>
            <w:r>
              <w:tab/>
            </w:r>
            <w:r>
              <w:rPr>
                <w:b/>
                <w:i/>
                <w:strike w:val="0"/>
                <w:color w:val="auto"/>
                <w:highlight w:val="none"/>
                <w:u w:val="none" w:color="auto"/>
                <w:vertAlign w:val="baseline"/>
              </w:rPr>
              <w:t>subliniază că trebuie recunoscute specific munca și contribuția femeilor în lanțul valoric al pescuitului la scară mică și îmbunătățite condițiile lor de muncă;</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19 b (nou)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19b.</w:t>
            </w:r>
            <w:r>
              <w:tab/>
            </w:r>
            <w:r>
              <w:t>subliniază necesitatea de a consolida egalitatea de gen în guvernanța oceanelor, în activitățile economice (cum ar fi turismul, transportul maritim sau pescuitul) și în oceanologie</w:t>
            </w:r>
            <w:r>
              <w:rPr>
                <w:rStyle w:val="Sup"/>
              </w:rPr>
              <w:t>1a</w:t>
            </w:r>
            <w:r>
              <w: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rStyle w:val="Sup"/>
              </w:rPr>
              <w:t>1a</w:t>
            </w:r>
            <w:r>
              <w:t xml:space="preserve"> </w:t>
            </w:r>
            <w:r>
              <w:rPr>
                <w:b/>
                <w:i/>
                <w:strike w:val="0"/>
                <w:color w:val="auto"/>
                <w:highlight w:val="none"/>
                <w:u w:val="none" w:color="auto"/>
                <w:vertAlign w:val="baseline"/>
              </w:rPr>
              <w:t>UNESCO, „Gender Equality for Ocean Sustainability” (Egalitatea de gen pentru durabilitatea oceanelor), https://www.unesco.org/en/articles/gender-equality-ocean-sustainability.</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20</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20.</w:t>
            </w:r>
            <w:r>
              <w:tab/>
            </w:r>
            <w:r>
              <w:t>invită UE să continue să pledeze pentru multilateralism și să asigure poziția de lider mondial în ceea ce privește promovarea punerii în aplicare a ODD-urilor și a Agendei 2030; subliniază că un angajament înnoit ferm față de ODD va transmite un semnal clar partenerilor din întreaga lume și va sprijini acțiunea globală a UE;</w:t>
            </w:r>
          </w:p>
        </w:tc>
        <w:tc>
          <w:tcPr>
            <w:tcW w:w="4876" w:type="dxa"/>
            <w:vAlign w:val="top"/>
          </w:tcPr>
          <w:p>
            <w:pPr>
              <w:pStyle w:val="Normal6a"/>
            </w:pPr>
            <w:r>
              <w:t>20.</w:t>
            </w:r>
            <w:r>
              <w:tab/>
            </w:r>
            <w:r>
              <w:t>invită UE să continue să pledeze pentru multilateralism și să asigure poziția de lider mondial în ceea ce privește promovarea punerii în aplicare a ODD-urilor și a Agendei 2030; subliniază că un angajament înnoit ferm față de ODD va transmite un semnal clar partenerilor din întreaga lume și va sprijini acțiunea globală a UE;</w:t>
            </w:r>
            <w:r>
              <w:rPr>
                <w:b/>
                <w:i/>
                <w:strike w:val="0"/>
                <w:color w:val="auto"/>
                <w:highlight w:val="none"/>
                <w:u w:val="none" w:color="auto"/>
                <w:vertAlign w:val="baseline"/>
              </w:rPr>
              <w:t xml:space="preserve"> subliniază că un angajament ferm trebuie să fie însoțit de măsuri concrete din partea UE și că trebuie să se asigure că egalitatea de gen face parte integrantă din dialogurile politice cu țările partenere la nivel bilateral și multilateral;</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21.</w:t>
            </w:r>
            <w:r>
              <w:tab/>
            </w:r>
            <w:r>
              <w:t>reafirmă că asistența oficială pentru dezvoltare (AOD) rămâne o sursă esențială de finanțare publică; invită, prin urmare, toate statele membre ale UE și partenerii de la nivel mondial să se asigure că se dedică o finanțare suficientă îndeplinirii angajamentului de a cheltui 0,7 % din venitul național brut pentru AOD;</w:t>
            </w:r>
          </w:p>
        </w:tc>
        <w:tc>
          <w:tcPr>
            <w:tcW w:w="4876" w:type="dxa"/>
            <w:vAlign w:val="top"/>
          </w:tcPr>
          <w:p>
            <w:pPr>
              <w:pStyle w:val="Normal6a"/>
            </w:pPr>
            <w:r>
              <w:t>21.</w:t>
            </w:r>
            <w:r>
              <w:tab/>
            </w:r>
            <w:r>
              <w:t xml:space="preserve">reafirmă că </w:t>
            </w:r>
            <w:r>
              <w:rPr>
                <w:b/>
                <w:i/>
                <w:strike w:val="0"/>
                <w:color w:val="auto"/>
                <w:highlight w:val="none"/>
                <w:u w:val="none" w:color="auto"/>
                <w:vertAlign w:val="baseline"/>
              </w:rPr>
              <w:t>ODD vor fi îndeplinite numai dacă sunt finanțate în mod suficient și sustenabil și că</w:t>
            </w:r>
            <w:r>
              <w:t xml:space="preserve"> asistența oficială pentru dezvoltare (AOD) rămâne o sursă esențială de finanțare publică; invită, prin urmare, toate statele membre ale UE și partenerii de la nivel mondial să se asigure că se dedică o finanțare suficientă îndeplinirii angajamentului de a cheltui 0,7 % din venitul național brut pentru AOD</w:t>
            </w:r>
            <w:r>
              <w:rPr>
                <w:b/>
                <w:i/>
                <w:strike w:val="0"/>
                <w:color w:val="auto"/>
                <w:highlight w:val="none"/>
                <w:u w:val="none" w:color="auto"/>
                <w:vertAlign w:val="baseline"/>
              </w:rPr>
              <w:t>, în timp ce numai patru din cele 21 de state membre ale Comitetului de asistență pentru dezvoltare (CAD) respectă acest angajament internațional</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22.</w:t>
            </w:r>
            <w:r>
              <w:tab/>
            </w:r>
            <w:r>
              <w:t>subliniază rolul esențial al parteneriatelor multipartite și implicarea administrațiilor locale, a societății civile și a reprezentanților tinerilor;</w:t>
            </w:r>
          </w:p>
        </w:tc>
        <w:tc>
          <w:tcPr>
            <w:tcW w:w="4876" w:type="dxa"/>
            <w:vAlign w:val="top"/>
          </w:tcPr>
          <w:p>
            <w:pPr>
              <w:pStyle w:val="Normal6a"/>
            </w:pPr>
            <w:r>
              <w:t>22.</w:t>
            </w:r>
            <w:r>
              <w:tab/>
            </w:r>
            <w:r>
              <w:t>subliniază rolul esențial al parteneriatelor multipartite și implicarea administrațiilor locale, a societății civile și a reprezentanților tinerilor;</w:t>
            </w:r>
            <w:r>
              <w:rPr>
                <w:b/>
                <w:i/>
                <w:strike w:val="0"/>
                <w:color w:val="auto"/>
                <w:highlight w:val="none"/>
                <w:u w:val="none" w:color="auto"/>
                <w:vertAlign w:val="baseline"/>
              </w:rPr>
              <w:t xml:space="preserve"> reiterează că organizațiile societății civile (OSC) sunt actori esențiali în democrațiile dinamice și subliniază că ODD, în special ODD 5, nu pot fi realizate fără parteneriatul OSC, inclusiv al femeilor de la nivel local și al organizațiilor LGBTIQ + ; regretă, în acest sens, numărul tot mai mare de atacuri nejustificate împotriva organizațiilor societății civile și închiderea spațiilor civice, atât în Europa, cât și în întreaga lume; subliniază, în acest sens, că trebuie asigurată o finanțare regulată, adecvată și sustenabilă pentru organizațiile societății civile, și trebuie păstrat un dialog deschis, transparent și structurat cu organizațiile societății civile;</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solicită reducerea datoriilor și restructurarea datoriilor țărilor în curs de dezvoltare și reformarea instituțiilor financiare mondiale, inclusiv a băncilor multilaterale de dezvoltare, pentru a le adapta la punerea în aplicare a ODD-urilor;</w:t>
            </w:r>
          </w:p>
        </w:tc>
        <w:tc>
          <w:tcPr>
            <w:tcW w:w="4876" w:type="dxa"/>
            <w:vAlign w:val="top"/>
          </w:tcPr>
          <w:p>
            <w:pPr>
              <w:pStyle w:val="Normal6a"/>
            </w:pPr>
            <w:r>
              <w:t>23.</w:t>
            </w:r>
            <w:r>
              <w:tab/>
            </w:r>
            <w:r>
              <w:t xml:space="preserve">solicită reducerea datoriilor și restructurarea datoriilor țărilor în curs de dezvoltare și reformarea instituțiilor financiare mondiale, inclusiv a băncilor multilaterale de dezvoltare, pentru a le adapta la punerea în aplicare a ODD-urilor </w:t>
            </w:r>
            <w:r>
              <w:t>și pentru a reduce inegalitățile economice, sociale și de gen</w:t>
            </w:r>
            <w:r>
              <w:t>;</w:t>
            </w:r>
            <w:r>
              <w:rPr>
                <w:b/>
                <w:i/>
                <w:strike w:val="0"/>
                <w:color w:val="auto"/>
                <w:highlight w:val="none"/>
                <w:u w:val="none" w:color="auto"/>
                <w:vertAlign w:val="baseline"/>
              </w:rPr>
              <w:t xml:space="preserve"> </w:t>
            </w:r>
            <w:r>
              <w:t>cere să se introducă o perspectivă de gen mai puternică în documentul final al celei de a patra Conferințe internaționale privind finanțarea pentru dezvoltare</w:t>
            </w:r>
            <w:r>
              <w:t>;</w:t>
            </w:r>
          </w:p>
        </w:tc>
      </w:tr>
    </w:tbl>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Amendamentul</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Propunere de rezoluție</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Punctul 26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Propunerea de rezoluție</w:t>
            </w:r>
          </w:p>
        </w:tc>
        <w:tc>
          <w:tcPr>
            <w:tcW w:w="4876" w:type="dxa"/>
            <w:vAlign w:val="top"/>
          </w:tcPr>
          <w:p>
            <w:pPr>
              <w:pStyle w:val="AmColumnHeading"/>
            </w:pPr>
            <w:r>
              <w:t>Amendamentul</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26.</w:t>
            </w:r>
            <w:r>
              <w:tab/>
            </w:r>
            <w:r>
              <w:t>reiterează faptul că ODD sunt singurul set cuprinzător și convenit la nivel mondial de obiective privind provocările majore cu care se confruntă atât țările dezvoltate, cât și țările în curs de dezvoltare și reprezintă cel mai bun instrument pentru abordarea cauzelor profunde ale acestora;</w:t>
            </w:r>
          </w:p>
        </w:tc>
        <w:tc>
          <w:tcPr>
            <w:tcW w:w="4876" w:type="dxa"/>
            <w:vAlign w:val="top"/>
          </w:tcPr>
          <w:p>
            <w:pPr>
              <w:pStyle w:val="Normal6a"/>
            </w:pPr>
            <w:r>
              <w:t>26.</w:t>
            </w:r>
            <w:r>
              <w:tab/>
            </w:r>
            <w:r>
              <w:t>reiterează faptul că ODD sunt singurul set cuprinzător și convenit la nivel mondial de obiective privind provocările majore cu care se confruntă atât țările dezvoltate, cât și țările în curs de dezvoltare și reprezintă cel mai bun instrument pentru abordarea cauzelor profunde ale acestora;</w:t>
            </w:r>
            <w:r>
              <w:rPr>
                <w:b/>
                <w:i/>
                <w:strike w:val="0"/>
                <w:color w:val="auto"/>
                <w:highlight w:val="none"/>
                <w:u w:val="none" w:color="auto"/>
                <w:vertAlign w:val="baseline"/>
              </w:rPr>
              <w:t xml:space="preserve"> îndeamnă Comisia și statele membre să depună eforturi în vederea aplicării depline a ODD-urilor, atât în interiorul, cât și în afara UE, ca un cadru universal;</w:t>
            </w:r>
          </w:p>
        </w:tc>
      </w:tr>
    </w:tbl>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type w:val="nextPage"/>
          <w:pgSz w:w="11906" w:h="16838"/>
          <w:pgMar w:top="1134" w:right="1417" w:bottom="1417" w:left="1417" w:header="1134" w:footer="567" w:gutter="0"/>
          <w:cols w:num="1" w:space="708"/>
          <w:titlePg w:val="0"/>
          <w:docGrid w:linePitch="360"/>
        </w:sectPr>
      </w:pPr>
    </w:p>
    <w:p>
      <w:pPr>
        <w:pStyle w:val="PageHeadingNotTOC"/>
      </w:pPr>
      <w:r>
        <w:t xml:space="preserve">ANEXĂ: ENTITĂȚILE SAU PERSOANELE </w:t>
        <w:br/>
        <w:t>DE LA CARE RAPORTOAREA PENTRU AVIZ A PRIMIT CONTRIBUȚII</w:t>
      </w:r>
    </w:p>
    <w:p>
      <w:pPr>
        <w:pStyle w:val="Normal12a"/>
      </w:pPr>
    </w:p>
    <w:p>
      <w:pPr>
        <w:pStyle w:val="Normal12a"/>
      </w:pPr>
      <w:r>
        <w:t>Raportoarea declară sub responsabilitatea sa exclusivă că nu a primit nicio contribuție de la nicio entitate sau persoană care trebuie menționată în prezenta anexă în conformitate cu articolul 8 din anexa I la Regulamentul de procedură.</w:t>
      </w:r>
    </w:p>
    <w:p>
      <w:pPr>
        <w:pStyle w:val="Normal12a"/>
        <w:sectPr>
          <w:type w:val="nextPage"/>
          <w:pgSz w:w="11906" w:h="16838"/>
          <w:pgMar w:top="1134" w:right="1417" w:bottom="1417" w:left="1417" w:header="1134" w:footer="567" w:gutter="0"/>
          <w:cols w:num="1" w:space="708"/>
          <w:titlePg w:val="0"/>
          <w:docGrid w:linePitch="360"/>
        </w:sectPr>
      </w:pPr>
    </w:p>
    <w:p>
      <w:pPr>
        <w:pStyle w:val="PageHeading"/>
      </w:pPr>
      <w:r>
        <w:t>INFORMAȚII PRIVIND ADOPTAREA DE CĂTRE COMISIA SESIZATĂ PENTRU AVIZ</w:t>
      </w:r>
    </w:p>
    <w:tbl>
      <w:tblPr>
        <w:jc w:val="left"/>
        <w:tblLayout w:type="fixed"/>
        <w:tblCellMar>
          <w:top w:w="54" w:type="dxa"/>
          <w:left w:w="108" w:type="dxa"/>
          <w:bottom w:w="54" w:type="dxa"/>
          <w:right w:w="108" w:type="dxa"/>
        </w:tblCellMar>
      </w:tblPr>
      <w:tblGrid>
        <w:gridCol w:w="3600"/>
        <w:gridCol w:w="6400"/>
      </w:tblGrid>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Data adoptării</w:t>
            </w:r>
          </w:p>
        </w:tc>
        <w:tc>
          <w:tcPr>
            <w:tcW w:w="6400" w:type="dxa"/>
            <w:tcBorders>
              <w:top w:val="single" w:sz="8" w:space="0" w:color="000000"/>
              <w:bottom w:val="single" w:sz="8" w:space="0" w:color="000000"/>
              <w:right w:val="single" w:sz="8" w:space="0" w:color="000000"/>
            </w:tcBorders>
            <w:vAlign w:val="top"/>
          </w:tcPr>
          <w:p>
            <w:pPr>
              <w:pStyle w:val="ProcedureTable"/>
            </w:pPr>
            <w:r>
              <w:t>20.5.2025</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Rezultatul votului final</w:t>
            </w:r>
          </w:p>
        </w:tc>
        <w:tc>
          <w:tcPr>
            <w:tcW w:w="6400" w:type="dxa"/>
            <w:tcBorders>
              <w:top w:val="single" w:sz="8" w:space="0" w:color="000000"/>
              <w:bottom w:val="single" w:sz="8" w:space="0" w:color="000000"/>
              <w:right w:val="single" w:sz="8" w:space="0" w:color="000000"/>
            </w:tcBorders>
            <w:vAlign w:val="top"/>
          </w:tcPr>
          <w:p>
            <w:pPr>
              <w:pStyle w:val="ProcedureTable"/>
            </w:pPr>
            <w:r>
              <w:t>+</w:t>
            </w:r>
            <w:r>
              <w:tab/>
            </w:r>
            <w:r>
              <w:t>:</w:t>
            </w:r>
            <w:r>
              <w:tab/>
            </w:r>
            <w:r>
              <w:t>17</w:t>
            </w:r>
          </w:p>
          <w:p>
            <w:pPr>
              <w:pStyle w:val="ProcedureTable"/>
            </w:pPr>
            <w:r>
              <w:t>-</w:t>
            </w:r>
            <w:r>
              <w:tab/>
            </w:r>
            <w:r>
              <w:t>:</w:t>
            </w:r>
            <w:r>
              <w:tab/>
            </w:r>
            <w:r>
              <w:t>11</w:t>
            </w:r>
          </w:p>
          <w:p>
            <w:pPr>
              <w:pStyle w:val="ProcedureTable"/>
            </w:pPr>
            <w:r>
              <w:t>0</w:t>
            </w:r>
            <w:r>
              <w:tab/>
            </w:r>
            <w:r>
              <w:t>:</w:t>
            </w:r>
            <w:r>
              <w:tab/>
            </w:r>
            <w:r>
              <w:t>8</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Membri titulari prezenți la votul final</w:t>
            </w:r>
          </w:p>
        </w:tc>
        <w:tc>
          <w:tcPr>
            <w:tcW w:w="6400" w:type="dxa"/>
            <w:tcBorders>
              <w:top w:val="single" w:sz="8" w:space="0" w:color="000000"/>
              <w:bottom w:val="single" w:sz="8" w:space="0" w:color="000000"/>
              <w:right w:val="single" w:sz="8" w:space="0" w:color="000000"/>
            </w:tcBorders>
            <w:vAlign w:val="top"/>
          </w:tcPr>
          <w:p>
            <w:pPr>
              <w:pStyle w:val="ProcedureTable"/>
            </w:pPr>
            <w:r>
              <w:t>Mathilde Androuët, Mireia Borrás Pabón, Irmhild Boßdorf, Mélissa Camara, Margarita de la Pisa Carrión, Valérie Devaux, Elisabeth Dieringer, Rosa Estaràs Ferragut, Viktória Ferenc, Heléne Fritzon, Lina Gálvez, Chiara Gemma, Gabriella Gerzsenyi, Arba Kokalari, Sebastian Kruis, Judita Laššáková, Eleonora Meleti, Irene Montero, Maria Noichl, Sirpa Pietikäinen, Giusi Princi, Joanna Scheuring-Wielgus, Benedetta Scuderi, Laurence Trochu, Marko Vešligaj, Dainius Žalimas</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Membri supleanți prezenți la votul final</w:t>
            </w:r>
          </w:p>
        </w:tc>
        <w:tc>
          <w:tcPr>
            <w:tcW w:w="6400" w:type="dxa"/>
            <w:tcBorders>
              <w:top w:val="single" w:sz="8" w:space="0" w:color="000000"/>
              <w:bottom w:val="single" w:sz="8" w:space="0" w:color="000000"/>
              <w:right w:val="single" w:sz="8" w:space="0" w:color="000000"/>
            </w:tcBorders>
            <w:vAlign w:val="top"/>
          </w:tcPr>
          <w:p>
            <w:pPr>
              <w:pStyle w:val="ProcedureTable"/>
            </w:pPr>
            <w:r>
              <w:t>Loucas Fourlas, Kathleen Funchion, Raquel García Hermida-Van Der Walle, Hanna Gedin, Katrin Langensiepen, Jagna Marczułajtis-Walczak, Beatrice Timgren, Jana Toom</w:t>
            </w:r>
          </w:p>
        </w:tc>
      </w:tr>
      <w:tr>
        <w:tblPrEx>
          <w:jc w:val="left"/>
          <w:tblLayout w:type="fixed"/>
          <w:tblCellMar>
            <w:top w:w="54" w:type="dxa"/>
            <w:left w:w="108" w:type="dxa"/>
            <w:bottom w:w="54" w:type="dxa"/>
            <w:right w:w="108" w:type="dxa"/>
          </w:tblCellMar>
        </w:tblPrEx>
        <w:trPr>
          <w:cantSplit w:val="0"/>
          <w:trHeight w:hRule="auto" w:val="0"/>
          <w:jc w:val="left"/>
        </w:trPr>
        <w:tc>
          <w:tcPr>
            <w:tcW w:w="3600" w:type="dxa"/>
            <w:tcBorders>
              <w:top w:val="single" w:sz="8" w:space="0" w:color="000000"/>
              <w:left w:val="single" w:sz="8" w:space="0" w:color="000000"/>
              <w:bottom w:val="single" w:sz="8" w:space="0" w:color="000000"/>
              <w:right w:val="single" w:sz="8" w:space="0" w:color="000000"/>
            </w:tcBorders>
            <w:vAlign w:val="top"/>
          </w:tcPr>
          <w:p>
            <w:pPr>
              <w:pStyle w:val="ProcedureTableBold"/>
            </w:pPr>
            <w:r>
              <w:t>Deputații vizați de articolul 216 alineatul (7) din Regulamentul de procedură prezenți la votul final</w:t>
            </w:r>
          </w:p>
        </w:tc>
        <w:tc>
          <w:tcPr>
            <w:tcW w:w="6400" w:type="dxa"/>
            <w:tcBorders>
              <w:top w:val="single" w:sz="8" w:space="0" w:color="000000"/>
              <w:bottom w:val="single" w:sz="8" w:space="0" w:color="000000"/>
              <w:right w:val="single" w:sz="8" w:space="0" w:color="000000"/>
            </w:tcBorders>
            <w:vAlign w:val="top"/>
          </w:tcPr>
          <w:p>
            <w:pPr>
              <w:pStyle w:val="ProcedureTable"/>
            </w:pPr>
            <w:r>
              <w:t>Georgios Aftias, Niels Geuking</w:t>
            </w:r>
          </w:p>
        </w:tc>
      </w:tr>
    </w:tbl>
    <w:p>
      <w:pPr>
        <w:pStyle w:val="PageHeading"/>
        <w:sectPr>
          <w:type w:val="nextPage"/>
          <w:pgSz w:w="11906" w:h="16838"/>
          <w:pgMar w:top="1134" w:right="1417" w:bottom="1417" w:left="1417" w:header="1134" w:footer="567" w:gutter="0"/>
          <w:cols w:num="1" w:space="708"/>
          <w:titlePg w:val="0"/>
          <w:docGrid w:linePitch="360"/>
        </w:sectPr>
      </w:pPr>
    </w:p>
    <w:p>
      <w:pPr>
        <w:pStyle w:val="PageHeading"/>
      </w:pPr>
      <w:r>
        <w:t xml:space="preserve">VOT FINAL PRIN APEL NOMINAL </w:t>
        <w:br/>
        <w:t>DE CĂTRE COMISIA SESIZATĂ PENTRU AVIZ</w:t>
      </w:r>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17</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Kokalari Arba, Pietikäinen Sirpa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Renew</w:t>
            </w:r>
          </w:p>
        </w:tc>
        <w:tc>
          <w:tcPr>
            <w:tcW w:w="7600" w:type="dxa"/>
            <w:vAlign w:val="top"/>
          </w:tcPr>
          <w:p>
            <w:pPr>
              <w:pStyle w:val="ProcedureTable"/>
            </w:pPr>
            <w:r>
              <w:t>Devaux Valérie, García Hermida-Van Der Walle Raquel, Toom Jana, Zalimas Dainius</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S&amp;D</w:t>
            </w:r>
          </w:p>
        </w:tc>
        <w:tc>
          <w:tcPr>
            <w:tcW w:w="7600" w:type="dxa"/>
            <w:vAlign w:val="top"/>
          </w:tcPr>
          <w:p>
            <w:pPr>
              <w:pStyle w:val="ProcedureTable"/>
            </w:pPr>
            <w:r>
              <w:t>Fritzon Heléne, Gálvez Lina, Noichl Maria, Scheuring-Wielgus Joanna, Vesligaj Marko</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The Left</w:t>
            </w:r>
          </w:p>
        </w:tc>
        <w:tc>
          <w:tcPr>
            <w:tcW w:w="7600" w:type="dxa"/>
            <w:vAlign w:val="top"/>
          </w:tcPr>
          <w:p>
            <w:pPr>
              <w:pStyle w:val="ProcedureTable"/>
            </w:pPr>
            <w:r>
              <w:t>Funchion Kathleen, Gedin Hanna, Montero Irene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Verts/ALE</w:t>
            </w:r>
          </w:p>
        </w:tc>
        <w:tc>
          <w:tcPr>
            <w:tcW w:w="7600" w:type="dxa"/>
            <w:vAlign w:val="top"/>
          </w:tcPr>
          <w:p>
            <w:pPr>
              <w:pStyle w:val="ProcedureTable"/>
            </w:pPr>
            <w:r>
              <w:t>Camara Mélissa, Langensiepen Katrin, Scuderi Benedetta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11</w:t>
            </w:r>
          </w:p>
        </w:tc>
        <w:tc>
          <w:tcPr>
            <w:tcW w:w="7600" w:type="dxa"/>
            <w:shd w:val="clear" w:color="auto" w:fill="C0C0C0"/>
            <w:vAlign w:val="top"/>
          </w:tcPr>
          <w:p>
            <w:pPr>
              <w:pStyle w:val="Arial14CentreBold"/>
            </w:pPr>
            <w:r>
              <w:t>-</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ECR</w:t>
            </w:r>
          </w:p>
        </w:tc>
        <w:tc>
          <w:tcPr>
            <w:tcW w:w="7600" w:type="dxa"/>
            <w:vAlign w:val="top"/>
          </w:tcPr>
          <w:p>
            <w:pPr>
              <w:pStyle w:val="ProcedureTable"/>
            </w:pPr>
            <w:r>
              <w:t>Gemma Chiara, Timgren Beatrice, Trochu Laurence</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ESN</w:t>
            </w:r>
          </w:p>
        </w:tc>
        <w:tc>
          <w:tcPr>
            <w:tcW w:w="7600" w:type="dxa"/>
            <w:vAlign w:val="top"/>
          </w:tcPr>
          <w:p>
            <w:pPr>
              <w:pStyle w:val="ProcedureTable"/>
            </w:pPr>
            <w:r>
              <w:t>Boßdorf Irmhild</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NI</w:t>
            </w:r>
          </w:p>
        </w:tc>
        <w:tc>
          <w:tcPr>
            <w:tcW w:w="7600" w:type="dxa"/>
            <w:vAlign w:val="top"/>
          </w:tcPr>
          <w:p>
            <w:pPr>
              <w:pStyle w:val="ProcedureTable"/>
            </w:pPr>
            <w:r>
              <w:t>Lassáková Judita</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PfE</w:t>
            </w:r>
          </w:p>
        </w:tc>
        <w:tc>
          <w:tcPr>
            <w:tcW w:w="7600" w:type="dxa"/>
            <w:vAlign w:val="top"/>
          </w:tcPr>
          <w:p>
            <w:pPr>
              <w:pStyle w:val="ProcedureTable"/>
            </w:pPr>
            <w:r>
              <w:t>Androuët Mathilde, Borrás Pabón Mireia, Dieringer Elisabeth, Ferenc Viktória, Kruis Sebastian, de la Pisa Carrión Margarita</w:t>
            </w:r>
          </w:p>
        </w:tc>
      </w:tr>
    </w:tbl>
    <w:p/>
    <w:tbl>
      <w:tblPr>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
      <w:tblGrid>
        <w:gridCol w:w="1600"/>
        <w:gridCol w:w="7600"/>
      </w:tblGrid>
      <w:tr>
        <w:tblPrEx>
          <w:jc w:val="left"/>
          <w:tblBorders>
            <w:top w:val="double" w:sz="8" w:space="0" w:color="000000"/>
            <w:left w:val="double" w:sz="8" w:space="0" w:color="000000"/>
            <w:bottom w:val="double" w:sz="8" w:space="0" w:color="000000"/>
            <w:right w:val="double" w:sz="8" w:space="0" w:color="000000"/>
            <w:insideH w:val="single" w:sz="8" w:space="0" w:color="000000"/>
            <w:insideV w:val="single" w:sz="8" w:space="0" w:color="000000"/>
          </w:tblBorders>
          <w:tblLayout w:type="fixed"/>
          <w:tblCellMar>
            <w:top w:w="54" w:type="dxa"/>
            <w:left w:w="108" w:type="dxa"/>
            <w:bottom w:w="54" w:type="dxa"/>
            <w:right w:w="108" w:type="dxa"/>
          </w:tblCellMar>
        </w:tblPrEx>
        <w:trPr>
          <w:cantSplit w:val="0"/>
          <w:trHeight w:hRule="auto" w:val="0"/>
          <w:jc w:val="left"/>
        </w:trPr>
        <w:tc>
          <w:tcPr>
            <w:tcW w:w="1600" w:type="dxa"/>
            <w:shd w:val="clear" w:color="auto" w:fill="C0C0C0"/>
            <w:vAlign w:val="top"/>
          </w:tcPr>
          <w:p>
            <w:pPr>
              <w:pStyle w:val="NormalBold"/>
            </w:pPr>
            <w:r>
              <w:t>8</w:t>
            </w:r>
          </w:p>
        </w:tc>
        <w:tc>
          <w:tcPr>
            <w:tcW w:w="7600" w:type="dxa"/>
            <w:shd w:val="clear" w:color="auto" w:fill="C0C0C0"/>
            <w:vAlign w:val="top"/>
          </w:tcPr>
          <w:p>
            <w:pPr>
              <w:pStyle w:val="Arial14CentreBold"/>
            </w:pPr>
            <w:r>
              <w:t>0</w:t>
            </w:r>
          </w:p>
        </w:tc>
      </w:tr>
      <w:tr>
        <w:tblPrEx>
          <w:jc w:val="left"/>
          <w:tblLayout w:type="fixed"/>
          <w:tblCellMar>
            <w:top w:w="54" w:type="dxa"/>
            <w:left w:w="108" w:type="dxa"/>
            <w:bottom w:w="54" w:type="dxa"/>
            <w:right w:w="108" w:type="dxa"/>
          </w:tblCellMar>
        </w:tblPrEx>
        <w:trPr>
          <w:cantSplit w:val="0"/>
          <w:trHeight w:hRule="auto" w:val="0"/>
          <w:jc w:val="left"/>
        </w:trPr>
        <w:tc>
          <w:tcPr>
            <w:tcW w:w="1600" w:type="dxa"/>
            <w:vAlign w:val="top"/>
          </w:tcPr>
          <w:p>
            <w:pPr>
              <w:pStyle w:val="ProcedureTable"/>
            </w:pPr>
            <w:r>
              <w:t>PPE</w:t>
            </w:r>
          </w:p>
        </w:tc>
        <w:tc>
          <w:tcPr>
            <w:tcW w:w="7600" w:type="dxa"/>
            <w:vAlign w:val="top"/>
          </w:tcPr>
          <w:p>
            <w:pPr>
              <w:pStyle w:val="ProcedureTable"/>
            </w:pPr>
            <w:r>
              <w:t>Aftias Georgios, Estaràs Ferragut Rosa, Fourlas Loucas, Gerzsenyi Gabriella, Geuking Niels, Marczulajtis-Walczak Jagna, Meleti Eleonora, Princi Giusi</w:t>
            </w:r>
          </w:p>
        </w:tc>
      </w:tr>
    </w:tbl>
    <w:p/>
    <w:p>
      <w:r>
        <w:t>Legenda simbolurilor utilizate:</w:t>
      </w:r>
    </w:p>
    <w:p>
      <w:pPr>
        <w:pStyle w:val="NormalTab"/>
      </w:pPr>
      <w:r>
        <w:t>+</w:t>
      </w:r>
      <w:r>
        <w:tab/>
        <w:t>:</w:t>
        <w:tab/>
      </w:r>
      <w:r>
        <w:t>pentru</w:t>
      </w:r>
    </w:p>
    <w:p>
      <w:pPr>
        <w:pStyle w:val="NormalTab"/>
      </w:pPr>
      <w:r>
        <w:t>-</w:t>
      </w:r>
      <w:r>
        <w:tab/>
        <w:t>:</w:t>
        <w:tab/>
      </w:r>
      <w:r>
        <w:t>împotrivă</w:t>
      </w:r>
    </w:p>
    <w:p>
      <w:pPr>
        <w:pStyle w:val="NormalTab"/>
      </w:pPr>
      <w:r>
        <w:t>0</w:t>
      </w:r>
      <w:r>
        <w:tab/>
        <w:t>:</w:t>
        <w:tab/>
      </w:r>
      <w:r>
        <w:t>abțineri</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r>
      <w:tab/>
    </w:r>
    <w:r>
      <w:fldChar w:fldCharType="begin"/>
    </w:r>
    <w:r>
      <w:instrText>PAGE</w:instrText>
    </w:r>
    <w:r>
      <w:fldChar w:fldCharType="separate"/>
    </w:r>
    <w:r>
      <w:t>42</w:t>
    </w:r>
    <w:r>
      <w:fldChar w:fldCharType="end"/>
    </w:r>
    <w:r>
      <w:t>/</w:t>
    </w:r>
    <w:r>
      <w:fldChar w:fldCharType="begin"/>
    </w:r>
    <w:r>
      <w:instrText>NUMPAGES</w:instrText>
    </w:r>
    <w:r>
      <w:fldChar w:fldCharType="separate"/>
    </w:r>
    <w:r>
      <w:t>43</w:t>
    </w:r>
    <w:r>
      <w:fldChar w:fldCharType="end"/>
    </w:r>
    <w:r>
      <w:tab/>
    </w:r>
    <w:r>
      <w:rPr>
        <w:rStyle w:val="HideTWBExt"/>
      </w:rPr>
      <w:t>&lt;</w:t>
    </w:r>
    <w:r>
      <w:rPr>
        <w:rStyle w:val="HideTWBExt"/>
      </w:rPr>
      <w:t>PathFdR</w:t>
    </w:r>
    <w:r>
      <w:rPr>
        <w:rStyle w:val="HideTWBExt"/>
      </w:rPr>
      <w:t>&gt;</w:t>
    </w:r>
    <w:r>
      <w:t>AD\1321310RO.docx</w:t>
    </w:r>
    <w:r>
      <w:rPr>
        <w:rStyle w:val="HideTWBExt"/>
      </w:rPr>
      <w:t>&lt;/</w:t>
    </w:r>
    <w:r>
      <w:rPr>
        <w:rStyle w:val="HideTWBExt"/>
      </w:rPr>
      <w:t>PathFdR</w:t>
    </w:r>
    <w:r>
      <w:rPr>
        <w:rStyle w:val="HideTWBExt"/>
      </w:rPr>
      <w:t>&gt;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AD\1321310RO.docx</w:t>
    </w:r>
    <w:r>
      <w:rPr>
        <w:rStyle w:val="HideTWBExt"/>
      </w:rPr>
      <w:t>&lt;/</w:t>
    </w:r>
    <w:r>
      <w:rPr>
        <w:rStyle w:val="HideTWBExt"/>
      </w:rPr>
      <w:t>PathFdR</w:t>
    </w:r>
    <w:r>
      <w:rPr>
        <w:rStyle w:val="HideTWBExt"/>
      </w:rPr>
      <w:t>&gt;</w:t>
    </w:r>
    <w:r>
      <w:tab/>
    </w:r>
    <w:r>
      <w:fldChar w:fldCharType="begin"/>
    </w:r>
    <w:r>
      <w:instrText>PAGE</w:instrText>
    </w:r>
    <w:r>
      <w:fldChar w:fldCharType="separate"/>
    </w:r>
    <w:r>
      <w:t>43</w:t>
    </w:r>
    <w:r>
      <w:fldChar w:fldCharType="end"/>
    </w:r>
    <w:r>
      <w:t>/</w:t>
    </w:r>
    <w:r>
      <w:fldChar w:fldCharType="begin"/>
    </w:r>
    <w:r>
      <w:instrText>NUMPAGES</w:instrText>
    </w:r>
    <w:r>
      <w:fldChar w:fldCharType="separate"/>
    </w:r>
    <w:r>
      <w:t>43</w:t>
    </w:r>
    <w:r>
      <w:fldChar w:fldCharType="end"/>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AD\1321310RO.docx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770.238</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v02-00</w:t>
    </w:r>
    <w:r>
      <w:rPr>
        <w:rStyle w:val="HideTWBExt"/>
      </w:rPr>
      <w:t>&lt;/</w:t>
    </w:r>
    <w:r>
      <w:rPr>
        <w:rStyle w:val="HideTWBExt"/>
      </w:rPr>
      <w:t>Version</w:t>
    </w:r>
    <w:r>
      <w:rPr>
        <w:rStyle w:val="HideTWBExt"/>
      </w:rPr>
      <w:t>&gt;</w:t>
    </w:r>
  </w:p>
  <w:p>
    <w:pPr>
      <w:pStyle w:val="EPFooter2"/>
    </w:pPr>
    <w:r>
      <w:t>RO</w:t>
    </w:r>
    <w:r>
      <w:tab/>
    </w:r>
    <w:r>
      <w:rPr>
        <w:rStyle w:val="EPFooter2Motto"/>
      </w:rPr>
      <w:t>Unită în diversitate</w:t>
    </w:r>
    <w:r>
      <w:tab/>
    </w:r>
    <w:r>
      <w:t>RO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3538D7"/>
    <w:multiLevelType w:val="hybridMultilevel"/>
    <w:tmpl w:val="B4A836B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COMKEY"/>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538135"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1321310</vt:lpwstr>
  </property>
  <property fmtid="{D5CDD505-2E9C-101B-9397-08002B2CF9AE}" pid="4" name="&lt;Model&gt;">
    <vt:lpwstr>PA_NonLeg</vt:lpwstr>
  </property>
  <property fmtid="{D5CDD505-2E9C-101B-9397-08002B2CF9AE}" pid="5" name="&lt;Type&gt;">
    <vt:lpwstr>AD</vt:lpwstr>
  </property>
  <property fmtid="{D5CDD505-2E9C-101B-9397-08002B2CF9AE}" pid="6" name="DMXMLUID">
    <vt:lpwstr>20250612-113607-001062-180108</vt:lpwstr>
  </property>
  <property fmtid="{D5CDD505-2E9C-101B-9397-08002B2CF9AE}" pid="7" name="FooterPath">
    <vt:lpwstr>AD\1321310RO.doc</vt:lpwstr>
  </property>
  <property fmtid="{D5CDD505-2E9C-101B-9397-08002B2CF9AE}" pid="8" name="PE Number">
    <vt:lpwstr>770.238</vt:lpwstr>
  </property>
  <property fmtid="{D5CDD505-2E9C-101B-9397-08002B2CF9AE}" pid="9" name="UID">
    <vt:lpwstr>eu.europa.europarl-DIN1-2025-0000107752_01.09-ro-01.00_text-xml</vt:lpwstr>
  </property>
</Properties>
</file>