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Evropski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Odbor za pravice žensk in enakost spolov</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MNENJE</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Odbora za pravice žensk in enakost spolov</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za Odbor za razvoj in Odbor za okolje, podnebje in varnost hrane</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o izvajanju in uresničevanju ciljev trajnostnega razvoja pred političnim forumom na visoki ravni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Pripravljavka mnenja</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PREDLOGI SPREMEMB</w:t>
      </w:r>
    </w:p>
    <w:p>
      <w:pPr>
        <w:pStyle w:val="Normal12a"/>
      </w:pPr>
      <w:r>
        <w:t>Odbor za pravice žensk in enakost spolov</w:t>
      </w:r>
      <w:r>
        <w:t xml:space="preserve"> </w:t>
      </w:r>
      <w:r>
        <w:t>predlaga Odboru za razvoj in Odboru za okolje, podnebje in varnost hrane kot pristojnemu odboru naslednje</w:t>
      </w:r>
      <w:r>
        <w:t xml:space="preserve"> </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1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ob upoštevanju svoje resolucije z dne 24. junija 2021 o stanju spolnega in reproduktivnega zdravja in pravic v EU v povezavi z zdravjem žensk</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UL C 81, 18.2.2022, str.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2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ob upoštevanju svoje resolucije z dne 11. aprila 2024 o vključitvi pravice do splava v Listino EU o temeljnih pravicah</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UL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3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ob upoštevanju načrta EU za pravice žensk, ki ga je pripravila Komisija,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4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ob upoštevanju mednarodne konference o prebivalstvu in razvoju, ki je potekala leta 1994 v Kairu, njenega akcijskega programa in rezultatov poznejših konferenc o pregledu,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5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ob upoštevanju pekinške deklaracije iz leta 2015 in izhodišč za ukrepanje ter rezultatov poznejših konferenc o pregledu,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6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 xml:space="preserve">ob upoštevanju poročila pobude Enaki ukrepi do leta 2030 z naslovom Findings from the 2024 SDG Gender Index – A gender equal future in crisis? (Ugotovitve na podlagi indeksa spola glede cilja trajnostnega razvoja za leto 2024 – je ogrožena prihodnost enakosti spolov?) ,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7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 xml:space="preserve">ob upoštevanju skupnega poročila Agencije ZN za ženske, Programa Združenih narodov za razvoj, Sklada Združenih narodov za prebivalstvo (UNFPA), Unicefa in Svetovnega programa za hrano iz leta 2024 z naslovom Are we getting there? A summary of the UN evaluation of SDG 5“ (Ali dosegamo cilje? Zbirno poročilo OZN o ocenjevanju uresničevanja cilja trajnostnega razvoja št. 5),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8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ob upoštevanju prostovoljnih smernic Organizacije Združenih narodov za prehrano in kmetijstvo iz leta 2015 za zagotavljanje trajnostnega malega ribolova v okviru prehranske varnosti in izkoreninjenja revščine, vključno z 8. poglavjem teh smernic o enakosti spolov in pravičnosti,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31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ob upoštevanju Priporočila z dne 19. decembra 2024 Svetu o prednostnih nalogah EU za 69. zasedanje Komisije OZN za položaj žensk</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UL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55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ob upoštevanju poročila Komisije iz marca 2024 z naslovom Deveto poročilo o ekonomski, socialni in teritorialni koheziji,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Navedba sklicevanja 55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 xml:space="preserve">ob upoštevanju poročila Evropskega inštituta za enakost spolov z naslovom Gender Equality Reports 2023 – Towards a green transition in transport and energy (Poročilo o enakosti spolov za leto 2023 – na poti k zelenemu prehodu v prometu in energiji),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B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ker se je po indeksu svetovnega miru za leto 2024 povprečna raven svetovne miroljubnosti znižala za 0,56 %, kar pomeni, da ta raven upada že peto leto zapored; ker bi morali ob upoštevanju tega trenda cilj trajnostnega razvoja št. 16 vključiti v poglobljen pregled, da bi lahko začeli reševati vse večje izzive za mir in varnost po vsem svetu;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B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ker je vse bolj razširjena trgovina z ljudmi še vedno ena od ključnih groženj svetovnemu miru in varnosti; ker je krepitev mednarodnega sodelovanja in mehanizmov izvrševanja v okviru cilja trajnostnega razvoja št. 16 bistvena za boj proti mrežam trgovine z ljudmi, zaščito žrtev in spoštovanje človekovih pravic;</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ker trenutno obstaja letna vrzel v naložbah v cilje trajnostnega razvoja v višini 4 bilijonov USD; ker visoke ravni dolga držav z nizkimi in srednjimi dohodki ovirajo naložbe, ki so potrebne za doseganje ciljev trajnostnega razvoja;</w:t>
            </w:r>
          </w:p>
        </w:tc>
        <w:tc>
          <w:tcPr>
            <w:tcW w:w="4876" w:type="dxa"/>
            <w:vAlign w:val="top"/>
          </w:tcPr>
          <w:p>
            <w:pPr>
              <w:pStyle w:val="Normal6a"/>
            </w:pPr>
            <w:r>
              <w:t>C.</w:t>
            </w:r>
            <w:r>
              <w:tab/>
            </w:r>
            <w:r>
              <w:t>ker trenutno obstaja letna vrzel v naložbah v cilje trajnostnega razvoja v višini 4 bilijonov USD; ker visoke ravni dolga držav z nizkimi in srednjimi dohodki</w:t>
            </w:r>
            <w:r>
              <w:rPr>
                <w:b/>
                <w:i/>
                <w:strike w:val="0"/>
                <w:color w:val="auto"/>
                <w:highlight w:val="none"/>
                <w:u w:val="none" w:color="auto"/>
                <w:vertAlign w:val="baseline"/>
              </w:rPr>
              <w:t>,</w:t>
            </w:r>
            <w:r>
              <w:rPr>
                <w:b/>
                <w:i/>
                <w:strike w:val="0"/>
                <w:color w:val="auto"/>
                <w:highlight w:val="none"/>
                <w:u w:val="none" w:color="auto"/>
                <w:vertAlign w:val="baseline"/>
              </w:rPr>
              <w:t xml:space="preserve"> ki jih </w:t>
            </w:r>
            <w:r>
              <w:rPr>
                <w:b/>
                <w:i/>
                <w:strike w:val="0"/>
                <w:color w:val="auto"/>
                <w:highlight w:val="none"/>
                <w:u w:val="none" w:color="auto"/>
                <w:vertAlign w:val="baseline"/>
              </w:rPr>
              <w:t>omogočajo</w:t>
            </w:r>
            <w:r>
              <w:rPr>
                <w:b/>
                <w:i/>
                <w:strike w:val="0"/>
                <w:color w:val="auto"/>
                <w:highlight w:val="none"/>
                <w:u w:val="none" w:color="auto"/>
                <w:vertAlign w:val="baseline"/>
              </w:rPr>
              <w:t xml:space="preserve"> določeni programi finančnih inštitucij,</w:t>
            </w:r>
            <w:r>
              <w:rPr>
                <w:b/>
                <w:i/>
                <w:strike w:val="0"/>
                <w:color w:val="auto"/>
                <w:highlight w:val="none"/>
                <w:u w:val="none" w:color="auto"/>
                <w:vertAlign w:val="baseline"/>
              </w:rPr>
              <w:t xml:space="preserve"> ovirajo naložbe, ki so potrebne za</w:t>
            </w:r>
            <w:r>
              <w:t xml:space="preserve"> doseganje ciljev trajnostnega razvoja;</w:t>
            </w:r>
            <w:r>
              <w:rPr>
                <w:b/>
                <w:i/>
                <w:strike w:val="0"/>
                <w:color w:val="auto"/>
                <w:highlight w:val="none"/>
                <w:u w:val="none" w:color="auto"/>
                <w:vertAlign w:val="baseline"/>
              </w:rPr>
              <w:t xml:space="preserve"> ker je to povezano tudi z vse višjo stopnjo revščine; ker revščina, humanitarne krize, podnebne spremembe, konflikti, ekstremizem, terorizem, vojne in pomanjkanje hrane nesorazmerno prizadenejo ženske in dekleta po vsem svetu; ker so zaradi tega bolj ranljivi tudi otroci; ker naj bi se vrzel v revščini med spoloma do leta 2030 povečala, saj bodo ženske še vedno predstavljale večino skrajno revnih na svetu;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C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 xml:space="preserve">ker je pomanjkanje financiranja za enakost spolov ena od glavnih ovir za doseganje rezultatov na področju enakosti spolov; ker je enakost spolov bistvena za izpolnitev obljub o trajnostnosti, blaginji, socialni pravičnosti, miru in človekovem napredku; </w:t>
            </w:r>
            <w:r>
              <w:t>ker so smiselne</w:t>
            </w:r>
            <w:r>
              <w:t xml:space="preserve"> tehtne in trajne finančne zaveze ter izboljšani proračunski postopki bistveni za podporo izvajanju zakonodaje, politik in storitev, ki upoštevajo vidik spola, da bi spodbudili enakost spolov pri vseh podciljih v okviru cilja trajnostnega razvoja št. 5</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Pobuda Equal Measures do leta 2030 ‘Findings from the 2024 SDG Gender Index – A gender equal future in crisis?’, (Ugotovitve na podlagi indeksa spola glede cilja trajnostnega razvoja za leto 2024 – je ogrožena prihodnost enakosti spolov?),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Uvodna izjava C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ker je nasilje nad ženskami v vseh oblikah (fizično, spolno, psihološko, ekonomsko ali kibernetsko) kršitev človekovih pravic, skrajna oblika diskriminacije žensk in ena največjih ovir za doseganje enakosti spolov; ker nasilje na podlagi spola izhaja iz neenakomerne porazdelitve moči med spoloma, patriarhalnih struktur ter spolnih stereotipov, ki so pripeljali do nadvlade moških nad ženskami in diskriminacije žensk, ki jo izvajajo moški in je lahko različnih oblik, intenzivnosti in vrst; ker je treba družbo brez nasilja na podlagi spola priznati kot nujen pogoj za enakost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ponovno poudarja svojo trdno zavezanost pravočasnemu in popolnemu uresničevanju vseh ciljev trajnostnega razvoja;</w:t>
            </w:r>
          </w:p>
        </w:tc>
        <w:tc>
          <w:tcPr>
            <w:tcW w:w="4876" w:type="dxa"/>
            <w:vAlign w:val="top"/>
          </w:tcPr>
          <w:p>
            <w:pPr>
              <w:pStyle w:val="Normal6a"/>
            </w:pPr>
            <w:r>
              <w:t>1.</w:t>
            </w:r>
            <w:r>
              <w:tab/>
            </w:r>
            <w:r>
              <w:t>ponovno poudarja svojo trdno zavezanost pravočasnemu in popolnemu uresničevanju vseh ciljev trajnostnega razvoja</w:t>
            </w:r>
            <w:r>
              <w:t xml:space="preserve"> v vseh državah članicah in po svetu prek zunanjega delovanja EU</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 – točka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poudarja, da je EU dosegla zmeren napredek pri cilju trajnostnega razvoja št. 1, vendar so ženske še vedno izpostavljene večjemu tveganju revščine in socialne izključenosti;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 – točka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izraža zaskrbljenost glede cilja trajnostnega razvoja št. 2 v EU, saj je vse večja stopnja debelosti pri ženskah in otrocih znak slabe prehranjenosti;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 – točka c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 xml:space="preserve">je izredno zaskrbljen zaradi položaja žensk v EU v zvezi s ciljem trajnostnega razvoja št. 7, saj je večja verjetnost, da bo ženske zaradi nižjih dohodkov pestila energetska revščina; leta 2022 9,8 % žensk in 8,7 % moških ni moglo ustrezno ogrevati svojih domov, kar se je še poslabšalo zaradi energetske krize;  </w:t>
            </w:r>
            <w:r>
              <w:t>pozdravlja sporočilo Komisije o cenovno dostopni energiji</w:t>
            </w:r>
            <w:r>
              <w:rPr>
                <w:rStyle w:val="Sup"/>
              </w:rPr>
              <w:t>1a</w:t>
            </w:r>
            <w:r>
              <w:t>;</w:t>
            </w:r>
            <w:r>
              <w:rPr>
                <w:b/>
                <w:i/>
                <w:strike w:val="0"/>
                <w:color w:val="auto"/>
                <w:highlight w:val="none"/>
                <w:u w:val="none" w:color="auto"/>
                <w:vertAlign w:val="baseline"/>
              </w:rPr>
              <w:t xml:space="preserve"> poziva Komisijo in sozakonodajalca, naj pospešijo postopek in omogočijo hiter dostop do cenovno dostopne energije;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Akcijski načrt za cenovno dostopno energijo – Izkoriščanje dejanske vrednosti naše energetske unije za zagotovitev cenovno dostopne, učinkovite in čiste energije za vse Evropejce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 – točka d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poudarja, da cilj trajnostnega razvoja št. 11 v EU še vedno ni dosežen, saj je za ženske verjetneje, da se bodo spoprijemale s stanovanjsko prikrajšanostjo (4,6 % v primerjavi s 4,0 % moških v letu 2022) in se bolj zanašale na javni prevoz, pri katerem se še vedno pojavljajo vprašanja glede varnosti;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obžaluje, da globalna skupnost močno zaostaja za uresničevanjem Agende 2030 in doseganjem ciljev trajnostnega razvoja;</w:t>
            </w:r>
          </w:p>
        </w:tc>
        <w:tc>
          <w:tcPr>
            <w:tcW w:w="4876" w:type="dxa"/>
            <w:vAlign w:val="top"/>
          </w:tcPr>
          <w:p>
            <w:pPr>
              <w:pStyle w:val="Normal6a"/>
            </w:pPr>
            <w:r>
              <w:t>2.</w:t>
            </w:r>
            <w:r>
              <w:tab/>
            </w:r>
            <w:r>
              <w:t>obžaluje, da globalna skupnost močno zaostaja za uresničevanjem Agende 2030 in doseganjem ciljev trajnostnega razvoja</w:t>
            </w:r>
            <w:r>
              <w:t xml:space="preserve"> in da se je napredek pri doseganju določenih ciljev trajnostnega razvoja ustavil</w:t>
            </w:r>
            <w:r>
              <w:t>;</w:t>
            </w:r>
            <w:r>
              <w:rPr>
                <w:b/>
                <w:i/>
                <w:strike w:val="0"/>
                <w:color w:val="auto"/>
                <w:highlight w:val="none"/>
                <w:u w:val="none" w:color="auto"/>
                <w:vertAlign w:val="baseline"/>
              </w:rPr>
              <w:t xml:space="preserve"> poudarja razlike med državami in regijami ter znotraj njih glede različnih vprašanj, kot so razlike med spoloma; </w:t>
            </w:r>
            <w:r>
              <w:t>obžaluje umik sredstev Agencije Združenih držav za mednarodni razvoj (USAID) in priznava uničujoče posledice tega umika za prizadevanja svetovne skupnosti, da doseže cilje trajnostnega razvoja, zlasti cilj št.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 xml:space="preserve">poziva EU, naj izpolni svojo zavezo o vključevanju vidika spola in presečnega vidika v vse politike in financiranje EU; </w:t>
            </w:r>
            <w:r>
              <w:t>obžaluje, da države po svetu še vedno nimajo 44 % podatkov, potrebnih za sledenje cilju trajnostnega razvoja št. 5, več kot 80 % držav pa nima podatkov o vsaj enem podcilju trajnostnega razvoja št. 5</w:t>
            </w:r>
            <w:r>
              <w:rPr>
                <w:rStyle w:val="Sup"/>
              </w:rPr>
              <w:t>1a</w:t>
            </w:r>
            <w:r>
              <w:t>;</w:t>
            </w:r>
            <w:r>
              <w:rPr>
                <w:b/>
                <w:i/>
                <w:strike w:val="0"/>
                <w:color w:val="auto"/>
                <w:highlight w:val="none"/>
                <w:u w:val="none" w:color="auto"/>
                <w:vertAlign w:val="baseline"/>
              </w:rPr>
              <w:t xml:space="preserve"> zato poudarja, da je treba okrepiti nacionalne statistične urade in izboljšati njihovo globalno usklajevanje in sodelovanje ter poskrbeti za oblikovanje politik na podlagi informacij in odpraviti preostale vrzeli v podatkih med spoloma;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Pobuda Equal Measures do leta 2030 ‘Findings from the 2024 SDG Gender Index – A gender equal future in crisis?’, (Ugotovitve na podlagi indeksa spola glede cilja trajnostnega razvoja za leto 2024 – je ogrožena prihodnost enakosti spolov?),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poudarja, kako pomembni so podatki za spremljanje ciljev trajnostnega razvoja, pa tudi, da kljub hvalevrednemu povečanju podatkov ter njihovi odprtosti, dostopnosti in učinkoviti uporabi še vedno obstajajo kritične vrzeli; zato poudarja pomembno vlogo nacionalnih statističnih uradov in potrebo po krepitvi partnerstev, ki so ključna za pridobivanje bolj vključujočih podatkov, kot so podatki, ločeni po spolu;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poudarja, da so nujno potrebni mednarodno sodelovanje in odločni ukrepi za preobrazbo, da bi naše družbe in gospodarstva odločno usmerili v doseganje ciljev trajnostnega razvoja in reševanje trojne krize planeta;</w:t>
            </w:r>
          </w:p>
        </w:tc>
        <w:tc>
          <w:tcPr>
            <w:tcW w:w="4876" w:type="dxa"/>
            <w:vAlign w:val="top"/>
          </w:tcPr>
          <w:p>
            <w:pPr>
              <w:pStyle w:val="Normal6a"/>
            </w:pPr>
            <w:r>
              <w:t>3.</w:t>
            </w:r>
            <w:r>
              <w:tab/>
            </w:r>
            <w:r>
              <w:t>poudarja, da so nujno potrebni mednarodno sodelovanje</w:t>
            </w:r>
            <w:r>
              <w:t>,</w:t>
            </w:r>
            <w:r>
              <w:t xml:space="preserve"> odločni ukrepi za preobrazbo </w:t>
            </w:r>
            <w:r>
              <w:t>in povečanje izdatkov za globalno razvojno pomoč</w:t>
            </w:r>
            <w:r>
              <w:t>, da bi naše družbe in gospodarstva odločno usmerili v doseganje ciljev trajnostnega razvoja in reševanje trojne krize planeta:</w:t>
            </w:r>
            <w:r>
              <w:rPr>
                <w:b/>
                <w:i/>
                <w:strike w:val="0"/>
                <w:color w:val="auto"/>
                <w:highlight w:val="none"/>
                <w:u w:val="none" w:color="auto"/>
                <w:vertAlign w:val="baseline"/>
              </w:rPr>
              <w:t xml:space="preserve"> </w:t>
            </w:r>
            <w:r>
              <w:t>podnebnih sprememb, onesnaževanja in izgube biotske raznovrstnosti;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poudarja, da je vodilna vloga EU pri globalnem izvajanju ciljev trajnostnega razvoja še vedno ključnega pomena, zlasti glede na številne geopolitične izzive in sedanje krize;</w:t>
            </w:r>
          </w:p>
        </w:tc>
        <w:tc>
          <w:tcPr>
            <w:tcW w:w="4876" w:type="dxa"/>
            <w:vAlign w:val="top"/>
          </w:tcPr>
          <w:p>
            <w:pPr>
              <w:pStyle w:val="Normal6a"/>
            </w:pPr>
            <w:r>
              <w:t>4.</w:t>
            </w:r>
            <w:r>
              <w:tab/>
            </w:r>
            <w:r>
              <w:t>poudarja, da je vodilna vloga EU pri globalnem izvajanju ciljev trajnostnega razvoja še vedno ključnega pomena, zlasti glede na številne geopolitične izzive in sedanje krize</w:t>
            </w:r>
            <w:r>
              <w:t>, vključno z vse večjim nasprotovanjem ciljem trajnostnega razvoja ter nazadovanjem na področju enakosti spolov in mednarodnega okvira za človekove pravice, ki je namenjen zaščiti skupin v ranljivem ali marginaliziranem položaju po vsem svetu, vključno z ženskami, dekleti in osebami LGBTIQ+</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4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priznava stalna prizadevanja Evropske unije in precejšen napredek, dosežen zlasti pri doseganju cilja trajnostnega razvoja št. 8, hkrati pa priznava, da so potrebne nadaljnje izboljšave pri doseganju cilja trajnostnega razvoja št.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4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poudarja, da bi morala EU dati prednost politikam, ki podpirajo ženske, dekleta in družine, in poskrbeti, da se njihova ekonomska in socialna blaginja obravnava kot bistvena za doseganje ciljev trajnostnega razvoja, kot so zmanjšanje revščine, kakovostno izobraževanje in enakost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obžaluje slab ali zmeren napredek pri večini podciljev v okviru cilja trajnostnega razvoja 3 in upočasnitev od leta 2015 na več ključnih področjih; z zaskrbljenostjo ugotavlja, da je manj kot 10 % podciljev v okviru cilja trajnostnega razvoja 3 na dobri poti in da bo do leta 2030 verjetno dosežena manj kot tretjina podciljev;</w:t>
            </w:r>
          </w:p>
        </w:tc>
        <w:tc>
          <w:tcPr>
            <w:tcW w:w="4876" w:type="dxa"/>
            <w:vAlign w:val="top"/>
          </w:tcPr>
          <w:p>
            <w:pPr>
              <w:pStyle w:val="Normal6a"/>
            </w:pPr>
            <w:r>
              <w:t>5.</w:t>
            </w:r>
            <w:r>
              <w:tab/>
            </w:r>
            <w:r>
              <w:t>obžaluje slab ali zmeren napredek pri večini podciljev v okviru cilja trajnostnega razvoja 3 in upočasnitev od leta 2015 na več ključnih področjih; z zaskrbljenostjo ugotavlja, da je manj kot 10 % podciljev v okviru cilja trajnostnega razvoja 3 na dobri poti in da bo do leta 2030 verjetno dosežena manj kot tretjina podciljev;</w:t>
            </w:r>
            <w:r>
              <w:rPr>
                <w:b/>
                <w:i/>
                <w:strike w:val="0"/>
                <w:color w:val="auto"/>
                <w:highlight w:val="none"/>
                <w:u w:val="none" w:color="auto"/>
                <w:vertAlign w:val="baseline"/>
              </w:rPr>
              <w:t xml:space="preserve"> opozarja, da v EU obstajajo velike neenakosti med spoloma in da je bilo od leta 2010 zelo malo napredka pri njihovem odpravljanju;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5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izraža zaskrbljenost, ker se v praksi še vedno izvaja pohabljanje ženskih spolnih organov, in sočustvuje z žrtvami; poudarja, da je po posodobljenih podatkih Unicefa iz marca 2024 število žrtev naraslo na več kot 230 milijonov, kar predstavlja 15-odstotno povečanje ali približno 30 milijonov več kot leta 2016 kljub upadu števila primerov v nekaterih državah;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5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priznava, da bo nedavno zmanjšanje sredstev agencije USAID še upočasnilo napredek pri cilju trajnostnega razvoja št. 3, kar bo zlasti vplivalo na dostop žensk in deklet do storitev reproduktivnega zdravstvenega varstva in zdravstvenega varstva za matere;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poudarja, da številne </w:t>
            </w:r>
            <w:r>
              <w:rPr>
                <w:b/>
                <w:i/>
                <w:strike w:val="0"/>
                <w:color w:val="auto"/>
                <w:highlight w:val="none"/>
                <w:u w:val="none" w:color="auto"/>
                <w:vertAlign w:val="baseline"/>
              </w:rPr>
              <w:t>in</w:t>
            </w:r>
            <w:r>
              <w:t xml:space="preserve"> medsebojno povezane krize, šibka zdravstvena infrastruktura, gospodarska nestabilnost, revščina</w:t>
            </w:r>
            <w:r>
              <w:rPr>
                <w:b/>
                <w:i/>
                <w:strike w:val="0"/>
                <w:color w:val="auto"/>
                <w:highlight w:val="none"/>
                <w:u w:val="none" w:color="auto"/>
                <w:vertAlign w:val="baseline"/>
              </w:rPr>
              <w:t>,</w:t>
            </w:r>
            <w:r>
              <w:t xml:space="preserve"> vztrajne neenakosti, zlasti med ranljivimi prebivalci in regijami, ter vse bolj omejena sredstva ogrožajo napredek pri doseganju podciljev v okviru cilja trajnostnega razvoja 3;</w:t>
            </w:r>
          </w:p>
        </w:tc>
        <w:tc>
          <w:tcPr>
            <w:tcW w:w="4876" w:type="dxa"/>
            <w:vAlign w:val="top"/>
          </w:tcPr>
          <w:p>
            <w:pPr>
              <w:pStyle w:val="Normal6a"/>
            </w:pPr>
            <w:r>
              <w:t>6.</w:t>
            </w:r>
            <w:r>
              <w:tab/>
            </w:r>
            <w:r>
              <w:t>poudarja, da številne</w:t>
            </w:r>
            <w:r>
              <w:rPr>
                <w:b/>
                <w:i/>
                <w:strike w:val="0"/>
                <w:color w:val="auto"/>
                <w:highlight w:val="none"/>
                <w:u w:val="none" w:color="auto"/>
                <w:vertAlign w:val="baseline"/>
              </w:rPr>
              <w:t>,</w:t>
            </w:r>
            <w:r>
              <w:t xml:space="preserve"> medsebojno povezane </w:t>
            </w:r>
            <w:r>
              <w:rPr>
                <w:b/>
                <w:i/>
                <w:strike w:val="0"/>
                <w:color w:val="auto"/>
                <w:highlight w:val="none"/>
                <w:u w:val="none" w:color="auto"/>
                <w:vertAlign w:val="baseline"/>
              </w:rPr>
              <w:t>in naraščajoče</w:t>
            </w:r>
            <w:r>
              <w:t xml:space="preserve"> krize, </w:t>
            </w:r>
            <w:r>
              <w:rPr>
                <w:b/>
                <w:i/>
                <w:strike w:val="0"/>
                <w:color w:val="auto"/>
                <w:highlight w:val="none"/>
                <w:u w:val="none" w:color="auto"/>
                <w:vertAlign w:val="baseline"/>
              </w:rPr>
              <w:t>kot so</w:t>
            </w:r>
            <w:r>
              <w:t xml:space="preserve"> šibka zdravstvena infrastruktura, gospodarska nestabilnost, </w:t>
            </w:r>
            <w:r>
              <w:rPr>
                <w:b/>
                <w:i/>
                <w:strike w:val="0"/>
                <w:color w:val="auto"/>
                <w:highlight w:val="none"/>
                <w:u w:val="none" w:color="auto"/>
                <w:vertAlign w:val="baseline"/>
              </w:rPr>
              <w:t>stopnjujoče se geopolitične napetosti,</w:t>
            </w:r>
            <w:r>
              <w:t xml:space="preserve"> revščina </w:t>
            </w:r>
            <w:r>
              <w:rPr>
                <w:b/>
                <w:i/>
                <w:strike w:val="0"/>
                <w:color w:val="auto"/>
                <w:highlight w:val="none"/>
                <w:u w:val="none" w:color="auto"/>
                <w:vertAlign w:val="baseline"/>
              </w:rPr>
              <w:t>in</w:t>
            </w:r>
            <w:r>
              <w:t xml:space="preserve"> vztrajne neenakosti, </w:t>
            </w:r>
            <w:r>
              <w:rPr>
                <w:b/>
                <w:i/>
                <w:strike w:val="0"/>
                <w:color w:val="auto"/>
                <w:highlight w:val="none"/>
                <w:u w:val="none" w:color="auto"/>
                <w:vertAlign w:val="baseline"/>
              </w:rPr>
              <w:t>tudi neenakosti med spoloma,</w:t>
            </w:r>
            <w:r>
              <w:t xml:space="preserve"> zlasti med ranljivimi prebivalci in regijami, ter vse bolj omejena sredstva </w:t>
            </w:r>
            <w:r>
              <w:rPr>
                <w:b/>
                <w:i/>
                <w:strike w:val="0"/>
                <w:color w:val="auto"/>
                <w:highlight w:val="none"/>
                <w:u w:val="none" w:color="auto"/>
                <w:vertAlign w:val="baseline"/>
              </w:rPr>
              <w:t>in pomanjkanje spolno občutljivih medicinskih raziskav,</w:t>
            </w:r>
            <w:r>
              <w:t xml:space="preserve"> ogrožajo napredek pri doseganju podciljev v okviru cilja trajnostnega razvoja </w:t>
            </w:r>
            <w:r>
              <w:rPr>
                <w:b/>
                <w:i/>
                <w:strike w:val="0"/>
                <w:color w:val="auto"/>
                <w:highlight w:val="none"/>
                <w:u w:val="none" w:color="auto"/>
                <w:vertAlign w:val="baseline"/>
              </w:rPr>
              <w:t>št.</w:t>
            </w:r>
            <w:r>
              <w:t xml:space="preserve"> 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z zaskrbljenostjo ugotavlja, da so se ZDA umaknile iz Svetovne zdravstvene organizacije in v celoti zamrznile uradno razvojno pomoč; poudarja, da bo glede na vlogo, ki jo ima agencija USAID pri krepitvi svetovnega zdravja, to močno vplivalo na življenje ljudi in dostop do zdravstvenih storitev po vsem svetu, vključno z milijoni žensk in deklet; poudarja tudi, da ponovna vzpostavitev pravila svetovne prepovedi še posebej vpliva na spolno in reproduktivno zdravje in pravice; poziva Komisijo in države članice, naj odpravijo vrzeli, ki so nastale zaradi ZDA, tudi tako, da povečajo prispevek EU pri ključnih pobudah za spolno in reproduktivno zdravje in pravice, kot sta partnerstvo za dobavo Sklada Združenih narodov za prebivalstvo in pobuda Ekipe Evropa za spolno in reproduktivno zdravje in pravice v podsaharski Afriki;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obžaluje, da se je razvojna pomoč na svetovni ravni zmanjšala, kar vpliva predvsem na dostop do zdravstvenega varstva v najrevnejših regijah in za najbolj marginalizirane prebivalce, kot so ženske in dekleta; meni, da razpad šibkih zdravstvenih sistemov pomeni potencialno tveganje za zdravje svetovnega prebivalstva; poziva k odločnemu ukrepanju v vseh državah članicah in v okviru zunanjih politik EU, da bi bistveno napredovali pri doseganju cilja za leto 2030 glede zmanjšanja umrljivosti mater in splošnega dostopa do storitev spolnega in reproduktivnega zdravstvenega varstva, vključno z načrtovanjem družine ter varnim in zakonitim splavom, zdravstvenim varstvom mater in splošnim zdravstvenim varstvom, vključno z dostopom do varnih, učinkovitih, kakovostnih in cenovno ugodnih zdravil za vse; poziva EU, naj prednostno zagotovi dostop do varne in učinkovite kontracepcijske metode po lastni izbiri ter do storitev varnega in zakonitega splava v vseh državah članicah;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d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t>poziva EU in njene države članice, naj prednostno zagotovijo dostop do obvezne in na dokazih temelječe ter starosti primerne celovite spolne vzgoje in vzgoje o odnosih za fante in dekleta ter do informacij o načrtovanju družine glede na to, da na tem področju ta potreba ni izpolnjena za 164 milijonov žensk</w:t>
            </w:r>
            <w:r>
              <w:rPr>
                <w:rStyle w:val="Sup"/>
              </w:rPr>
              <w:t>1a</w:t>
            </w:r>
            <w:r>
              <w:t>, in se za to zavzemajo tudi prek zunanjih politik;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Oddelek ZN za ekonomske in socialne zadeve, „World Family Planning 2022“, (Načrtovanje družine po svetu v letu 2022)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e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poziva EU, naj izpolni načrte iz strategije za duševno zdravje in izvede odločnejše ukrepe za zagotavljanje pogojev za splošno dobro duševno zdravje, zlasti ob upoštevanju vidika spola ter tega, da duševno zdravje močneje vpliva na ženske in osebe LGBTIQ+;</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f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opozarja, da je popolno uresničevanje spolnega in reproduktivnega zdravja in pravic ter spoštovanje telesne avtonomije žensk in deklet ključnega pomena za doseganje enakosti spolov; poudarja, da so spolno in reproduktivno zdravje in pravice sestavni del splošnega zdravstvenega varstva in da so bistvenega pomena za doseganje cilja trajnostnega razvoja št. 3, zlasti podcilja 3.7; poziva Komisijo, naj spolno in reproduktivno zdravje in pravice vključi v pobude in programe EU o splošnem zdravstvenem varstvu;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g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opozarja, da podcilji trajnostnega razvoja št. 3 in št. 5 ne bodo doseženi, če v EU in po svetu ne bo zagotovljen splošen dostop do spolnega in reproduktivnega zdravja ter reproduktivnih pravic; opozarja, da so dostop do osnovnih zdravstvenih storitev in potrebnih zdravil, do varne in učinkovite kontracepcijske metode po lastni izbiri ter zakonite storitve splava temeljni vidik spolnega in reproduktivnega zdravstvenega varstva;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h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opozarja, da ima lahko nenačrtovana nosečnost velike fizične, čustvene in finančne posledice za posameznike in družine in da še posebej močno prizadene mladoletnike v primeru najstniške nosečnosti; poudarja, da je oskrba ob zakonitem splavu življenjskega pomena v primeru spontanega splava in drugih smrtno nevarnih nujnih urgentnih stanj med porodom ter da lahko zakonit in učinkovit dostop do varnega splava zmanjša resne zaplete in prepreči visoko rizične nosečnosti, ki lahko povzročijo smrt mater in dojenčkov;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i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poudarja tudi, da je splav z zdravili varna in manj invazivna alternativa kirurškim splavom in da izboljšuje dostop do oskrbe ob umetni prekinitvi nosečnosti in spontanem splavu posameznicam na območjih, kjer je oskrba ob kirurškem splavu težko dostopna zaradi geografskih ali drugih ovir, ter da lahko pravočasen dostop do varnih zdravil za splav pacientkam omogoči tudi, da si v celoti ali deloma same pomagajo ob umetni prekinitvi nosečnosti ali spontanem splavu, s čimer se preprečijo zamude pri oskrbi, kar lahko privede do dodatnih zdravstvenih tveganj;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6 j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t>poziva EU, naj hitro sprejme akt o kritičnih zdravilih</w:t>
            </w:r>
            <w:r>
              <w:rPr>
                <w:rStyle w:val="Sup"/>
              </w:rPr>
              <w:t>1a</w:t>
            </w:r>
            <w:r>
              <w:t xml:space="preserve"> in poskrbi, da bo po vsej EU zagotavljal stalno dostopnost in razpoložljivost osnovnih zdravil za spolno in reproduktivno zdravje na seznamu esencialnih zdravil Svetovne zdravstvene organizacije;</w:t>
            </w:r>
            <w:r>
              <w:rPr>
                <w:b/>
                <w:i/>
                <w:strike w:val="0"/>
                <w:color w:val="auto"/>
                <w:highlight w:val="none"/>
                <w:u w:val="none" w:color="auto"/>
                <w:vertAlign w:val="baseline"/>
              </w:rPr>
              <w:t xml:space="preserve"> poziva Evropsko agencijo za zdravila, naj posodobi seznam kritičnih zdravil EU in vanj vključi celoten seznam osnovnih zdravil za spolno in reproduktivno zdravje, ki so na seznamu esencialnih zdravil Svetovne zdravstvene organizacije, kot sta kontracepcija in zdravila za splav; poziva EU, naj poskrbi, da bodo osnovna zdravila za spolno in reproduktivno zdravje sistematično vključena v humanitarno pomoč državam, ki niso članice EU;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poziva k okrepljenemu usklajenemu ukrepanju in obsežnim naložbam, da bi dosegli splošno zdravstveno varstvo, okrepili zdravstvene sisteme, zagotovili pravičen dostop do zdravil in cepiv, spodbujali preprečevanje in zdravljenje bolezni, odpravili vse hujše okoljske dejavnike </w:t>
            </w:r>
            <w:r>
              <w:rPr>
                <w:b/>
                <w:i/>
                <w:strike w:val="0"/>
                <w:color w:val="auto"/>
                <w:highlight w:val="none"/>
                <w:u w:val="none" w:color="auto"/>
                <w:vertAlign w:val="baseline"/>
              </w:rPr>
              <w:t>in</w:t>
            </w:r>
            <w:r>
              <w:t xml:space="preserve"> razlike pri dostopu do kakovostne oskrbe in storitev, zlasti za ranljive skupine prebivalstva in regije;</w:t>
            </w:r>
          </w:p>
        </w:tc>
        <w:tc>
          <w:tcPr>
            <w:tcW w:w="4876" w:type="dxa"/>
            <w:vAlign w:val="top"/>
          </w:tcPr>
          <w:p>
            <w:pPr>
              <w:pStyle w:val="Normal6a"/>
            </w:pPr>
            <w:r>
              <w:t>7.</w:t>
            </w:r>
            <w:r>
              <w:tab/>
            </w:r>
            <w:r>
              <w:t>poziva k okrepljenemu usklajenemu ukrepanju in obsežnim naložbam, da bi dosegli splošno zdravstveno varstvo, okrepili zdravstvene sisteme, zagotovili pravičen dostop do zdravil in cepiv, spodbujali preprečevanje in zdravljenje bolezni, odpravili vse hujše okoljske dejavnike</w:t>
            </w:r>
            <w:r>
              <w:rPr>
                <w:b/>
                <w:i/>
                <w:strike w:val="0"/>
                <w:color w:val="auto"/>
                <w:highlight w:val="none"/>
                <w:u w:val="none" w:color="auto"/>
                <w:vertAlign w:val="baseline"/>
              </w:rPr>
              <w:t>,</w:t>
            </w:r>
            <w:r>
              <w:t xml:space="preserve"> razlike pri dostopu do kakovostne oskrbe in storitev, zlasti za </w:t>
            </w:r>
            <w:r>
              <w:rPr>
                <w:b/>
                <w:i/>
                <w:strike w:val="0"/>
                <w:color w:val="auto"/>
                <w:highlight w:val="none"/>
                <w:u w:val="none" w:color="auto"/>
                <w:vertAlign w:val="baseline"/>
              </w:rPr>
              <w:t>ljudi v ranljivem položaju,</w:t>
            </w:r>
            <w:r>
              <w:t xml:space="preserve"> ranljive skupine prebivalstva in regije</w:t>
            </w:r>
            <w:r>
              <w:rPr>
                <w:b/>
                <w:i/>
                <w:strike w:val="0"/>
                <w:color w:val="auto"/>
                <w:highlight w:val="none"/>
                <w:u w:val="none" w:color="auto"/>
                <w:vertAlign w:val="baseline"/>
              </w:rPr>
              <w:t>, vključno z manjšinami, ženskami in dekleti ter invalidi;</w:t>
            </w:r>
            <w:r>
              <w:rPr>
                <w:b/>
                <w:i/>
                <w:strike w:val="0"/>
                <w:color w:val="auto"/>
                <w:highlight w:val="none"/>
                <w:u w:val="none" w:color="auto"/>
                <w:vertAlign w:val="baseline"/>
              </w:rPr>
              <w:t xml:space="preserve"> poudarja, da je pomembno zagotoviti dostop do zdravja za vse kot temeljno pravico; </w:t>
            </w:r>
            <w:r>
              <w:rPr>
                <w:b/>
                <w:i/>
                <w:strike w:val="0"/>
                <w:color w:val="auto"/>
                <w:highlight w:val="none"/>
                <w:u w:val="none" w:color="auto"/>
                <w:vertAlign w:val="baseline"/>
              </w:rPr>
              <w:t>opozarja, da je treba podpirati dostop do zdravstvenega varstva in izobraževanja za dekleta v izrednih razmerah, migrantska, notranje razseljena in begunska dekleta ter dekleta v humanitarnih krizah in konfliktnih razmerah</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7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poziva k večjemu in usklajenemu ukrepanju in obsežnim naložbam, da bi vzpostavili splošno zdravstveno varstvo, okrepili zdravstvene sisteme, zagotovili pravičen dostop do zdravil in cepiv, spodbujali preprečevanje in zdravljenje bolezni, odpravili vse hujše okoljske dejavnike, reševali težave z duševnim zdravjem in zmanjšali razlike pri dostopu do kakovostne oskrbe in storitev, zlasti za ranljive skupine prebivalstva in regije;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poziva</w:t>
            </w:r>
            <w:r>
              <w:t xml:space="preserve">, </w:t>
            </w:r>
            <w:r>
              <w:rPr>
                <w:b/>
                <w:i/>
                <w:strike w:val="0"/>
                <w:color w:val="auto"/>
                <w:highlight w:val="none"/>
                <w:u w:val="none" w:color="auto"/>
                <w:vertAlign w:val="baseline"/>
              </w:rPr>
              <w:t>naj se Evropski konvenciji o človekovih pravicah in Listini EU o temeljnih pravicah doda splošna pravica do zdravega okolja ter naj se vzpostavi pravno zavezujoč okvir</w:t>
            </w:r>
            <w:r>
              <w:t>;</w:t>
            </w:r>
          </w:p>
        </w:tc>
        <w:tc>
          <w:tcPr>
            <w:tcW w:w="4876" w:type="dxa"/>
            <w:vAlign w:val="top"/>
          </w:tcPr>
          <w:p>
            <w:pPr>
              <w:pStyle w:val="Normal6a"/>
            </w:pPr>
            <w:r>
              <w:t>8.</w:t>
            </w:r>
            <w:r>
              <w:tab/>
            </w:r>
            <w:r>
              <w:rPr>
                <w:b/>
                <w:i/>
                <w:strike w:val="0"/>
                <w:color w:val="auto"/>
                <w:highlight w:val="none"/>
                <w:u w:val="none" w:color="auto"/>
                <w:vertAlign w:val="baseline"/>
              </w:rPr>
              <w:t>meni</w:t>
            </w:r>
            <w:r>
              <w:t xml:space="preserve">, </w:t>
            </w:r>
            <w:r>
              <w:rPr>
                <w:b/>
                <w:i/>
                <w:strike w:val="0"/>
                <w:color w:val="auto"/>
                <w:highlight w:val="none"/>
                <w:u w:val="none" w:color="auto"/>
                <w:vertAlign w:val="baseline"/>
              </w:rPr>
              <w:t>da je zdravo okolje ključni dejavnik za izboljšanje zdravja</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8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 xml:space="preserve">obžaluje, da nobeni državine bo uspelo, da bi do leta 2030 dosegla enakost spolov, in da je skoraj 40 % držav na tem področju med letoma 2019 in 2022 stagniralo ali celo nazadovalo; ugotavlja, da to nazadovanje sovpada s porastom konservativnih, nazadnjaških in mizoginih trendov, uperjenih proti pravicam žensk po vsem svetu; </w:t>
            </w:r>
            <w:r>
              <w:t>opozarja, da bi bil lahko položaj glede neenakosti med spoloma na svetovni ravni leta 2030 še slabši kot leta 2015, ko s</w:t>
            </w:r>
            <w:r>
              <w:t>o</w:t>
            </w:r>
            <w:r>
              <w:t xml:space="preserve"> bili sprejeti cilji trajnostnega razvoja</w:t>
            </w:r>
            <w:r>
              <w:rPr>
                <w:rStyle w:val="Sup"/>
              </w:rPr>
              <w:t>1a</w:t>
            </w:r>
            <w:r>
              <w:t xml:space="preserve">, </w:t>
            </w:r>
            <w:r>
              <w:t>če bi se še okrepili sedanji trendi nazadovanja in stagnacije na področju enakosti spolov</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Pobuda Equal Measures do leta 2030 ‘Findings from the 2024 SDG Gender Index – A gender equal future in crisis?’, (Ugotovitve na podlagi indeksa spola glede cilja trajnostnega razvoja za leto 2024 – je ogrožena prihodnost enakosti spolov?),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8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poudarja medsektorsko naravo cilja trajnostnega razvoja št. 5 ter njegov pomen pri uresničevanju Agende 2030; opozarja, da doseganje enakosti spolov neposredno dopolnjuje vse druge cilje trajnostnega razvoja, ki jih ni mogoče uresničiti brez spodbujanja pravic žensk in deklet ter enakosti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poziva k pospešenemu in ciljno usmerjenemu ukrepanju za odpravo vseh oblik nadlegovanja žensk, deklet in oseb LGBTIQ+ ter nasilja nad njimi, vključno s spolnim nasiljem in nasiljem na podlagi spola, ter za odpravo škodljivih praks, kot so poroke otrok in pohabljanje ženskih spolnih organov;</w:t>
            </w:r>
          </w:p>
        </w:tc>
        <w:tc>
          <w:tcPr>
            <w:tcW w:w="4876" w:type="dxa"/>
            <w:vAlign w:val="top"/>
          </w:tcPr>
          <w:p>
            <w:pPr>
              <w:pStyle w:val="Normal6a"/>
            </w:pPr>
            <w:r>
              <w:t>9.</w:t>
            </w:r>
            <w:r>
              <w:tab/>
            </w:r>
            <w:r>
              <w:rPr>
                <w:b/>
                <w:i/>
                <w:strike w:val="0"/>
                <w:color w:val="auto"/>
                <w:highlight w:val="none"/>
                <w:u w:val="none" w:color="auto"/>
                <w:vertAlign w:val="baseline"/>
              </w:rPr>
              <w:t xml:space="preserve">ponavlja, da je družba brez nasilja na podlagi spola nujen pogoj za doseganje enakosti spolov; </w:t>
            </w:r>
            <w:r>
              <w:t xml:space="preserve">poziva k pospešenemu in ciljno usmerjenemu ukrepanju za odpravo vseh oblik nadlegovanja žensk, deklet in oseb LGBTIQ+ ter nasilja nad njimi, vključno s spolnim nasiljem in nasiljem na podlagi spola, ter za odpravo škodljivih praks, kot so poroke otrok in </w:t>
            </w:r>
            <w:r>
              <w:rPr>
                <w:b/>
                <w:i/>
                <w:strike w:val="0"/>
                <w:color w:val="auto"/>
                <w:highlight w:val="none"/>
                <w:u w:val="none" w:color="auto"/>
                <w:vertAlign w:val="baseline"/>
              </w:rPr>
              <w:t>prisilne poroke, v kar je vsako leto prisiljenih 12 milijonov deklet,</w:t>
            </w:r>
            <w:r>
              <w:rPr>
                <w:rStyle w:val="SupBoldItalic"/>
              </w:rPr>
              <w:t>1a</w:t>
            </w:r>
            <w:r>
              <w:t xml:space="preserve"> pohabljanje ženskih spolnih organov</w:t>
            </w:r>
            <w:r>
              <w:rPr>
                <w:b/>
                <w:i/>
                <w:strike w:val="0"/>
                <w:color w:val="auto"/>
                <w:highlight w:val="none"/>
                <w:u w:val="none" w:color="auto"/>
                <w:vertAlign w:val="baseline"/>
              </w:rPr>
              <w:t>, spolno selektiven splav ter boj proti uporabi nasilja na podlagi spola kot vojaškega orožja;</w:t>
            </w:r>
            <w:r>
              <w:rPr>
                <w:b/>
                <w:i/>
                <w:strike w:val="0"/>
                <w:color w:val="auto"/>
                <w:highlight w:val="none"/>
                <w:u w:val="none" w:color="auto"/>
                <w:vertAlign w:val="baseline"/>
              </w:rPr>
              <w:t xml:space="preserve"> meni, da so državljanska udeležba ter lokalne ženske organizacije bistvenega pomena pri doseganju tega cilja; je zaskrbljen zaradi vse večjega pregona zagovornikov človekovih pravic po svetu, zlasti tistih, ki branijo pravice žensk in manjšin; </w:t>
            </w:r>
            <w:r>
              <w:rPr>
                <w:b/>
                <w:i/>
                <w:strike w:val="0"/>
                <w:color w:val="auto"/>
                <w:highlight w:val="none"/>
                <w:u w:val="none" w:color="auto"/>
                <w:vertAlign w:val="baseline"/>
              </w:rPr>
              <w:t>je zaskrbljen zaradi visoke stopnje umrljivosti mater v državah z nizkimi in nižjimi srednjimi dohodki</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UNICEF, ‘Fast Facts: 10 facts illustrating why we must #EndChildMarriage 10. februar 2019’, (UNICEF, Dejstva na hitro: 10 dejstev, zakaj je treba #odpraviti otroške poroke)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9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poudarja, da je posilstvo še vedno med najbolj razširjenimi kršitvami človekovih pravic, ter poziva k oblikovanju enotne opredelitve posilstva, ki bo temeljila na odsotnosti privolitve;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9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obžaluje nazadovanje pravic žensk na svetovni ravni ter obsoja vse akterje, ki s svojim ravnanjem spodkopavajo svetovne dosežke na področju enakosti spolov; poziva EU in države članice, naj sedaj, ko so ZDA prenehale financirati organizacije, ki zagovarjajo človekove pravice, storijo več v boju za enakost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9 c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poziva k odločnejšim ukrepom v boju proti porastu spletnega sovražnega govora proti enakosti spolov ter vse pogostejšim grožnjam, s katerimi se soočajo ženske na političnih položajih, zaradi česar položaje prevzema vse manj žensk, hkrati pa so pogosto prisiljene odstopiti;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poziva k </w:t>
            </w:r>
            <w:r>
              <w:rPr>
                <w:b/>
                <w:i/>
                <w:strike w:val="0"/>
                <w:color w:val="auto"/>
                <w:highlight w:val="none"/>
                <w:u w:val="none" w:color="auto"/>
                <w:vertAlign w:val="baseline"/>
              </w:rPr>
              <w:t>nadaljnjemu</w:t>
            </w:r>
            <w:r>
              <w:t xml:space="preserve"> financiranju programov, ki se osredotočajo na spodbujanje </w:t>
            </w:r>
            <w:r>
              <w:rPr>
                <w:b/>
                <w:i/>
                <w:strike w:val="0"/>
                <w:color w:val="auto"/>
                <w:highlight w:val="none"/>
                <w:u w:val="none" w:color="auto"/>
                <w:vertAlign w:val="baseline"/>
              </w:rPr>
              <w:t>krepitve vloge žensk</w:t>
            </w:r>
            <w:r>
              <w:t xml:space="preserve"> in boj proti vsem oblikam nasilja na podlagi spola; poziva Komisijo, naj zagotovi, da bo 85 % </w:t>
            </w:r>
            <w:r>
              <w:rPr>
                <w:b/>
                <w:i/>
                <w:strike w:val="0"/>
                <w:color w:val="auto"/>
                <w:highlight w:val="none"/>
                <w:u w:val="none" w:color="auto"/>
                <w:vertAlign w:val="baseline"/>
              </w:rPr>
              <w:t>vseh novih zunanjih ukrepov vključevalo</w:t>
            </w:r>
            <w:r>
              <w:t xml:space="preserve"> enakost spolov kot pomemben ali glavni cilj in da bo 20 % uradne razvojne pomoči v vsaki državi dodeljenih programom, katerih eden glavnih ciljev je enakost spolov;</w:t>
            </w:r>
          </w:p>
        </w:tc>
        <w:tc>
          <w:tcPr>
            <w:tcW w:w="4876" w:type="dxa"/>
            <w:vAlign w:val="top"/>
          </w:tcPr>
          <w:p>
            <w:pPr>
              <w:pStyle w:val="Normal6a"/>
            </w:pPr>
            <w:r>
              <w:t>10.</w:t>
            </w:r>
            <w:r>
              <w:tab/>
            </w:r>
            <w:r>
              <w:t xml:space="preserve">poziva k </w:t>
            </w:r>
            <w:r>
              <w:rPr>
                <w:b/>
                <w:i/>
                <w:strike w:val="0"/>
                <w:color w:val="auto"/>
                <w:highlight w:val="none"/>
                <w:u w:val="none" w:color="auto"/>
                <w:vertAlign w:val="baseline"/>
              </w:rPr>
              <w:t>večjemu</w:t>
            </w:r>
            <w:r>
              <w:t xml:space="preserve"> financiranju programov, ki se osredotočajo na spodbujanje </w:t>
            </w:r>
            <w:r>
              <w:rPr>
                <w:b/>
                <w:i/>
                <w:strike w:val="0"/>
                <w:color w:val="auto"/>
                <w:highlight w:val="none"/>
                <w:u w:val="none" w:color="auto"/>
                <w:vertAlign w:val="baseline"/>
              </w:rPr>
              <w:t>enakosti spolov</w:t>
            </w:r>
            <w:r>
              <w:t xml:space="preserve"> in boj proti vsem oblikam nasilja na podlagi spola; poziva Komisijo, naj zagotovi, da </w:t>
            </w:r>
            <w:r>
              <w:rPr>
                <w:b/>
                <w:i/>
                <w:strike w:val="0"/>
                <w:color w:val="auto"/>
                <w:highlight w:val="none"/>
                <w:u w:val="none" w:color="auto"/>
                <w:vertAlign w:val="baseline"/>
              </w:rPr>
              <w:t>bodo vsi ukrepi, ki jih financira EU, vključevali razsežnost spola ter da</w:t>
            </w:r>
            <w:r>
              <w:t xml:space="preserve"> bo 85 % </w:t>
            </w:r>
            <w:r>
              <w:rPr>
                <w:b/>
                <w:i/>
                <w:strike w:val="0"/>
                <w:color w:val="auto"/>
                <w:highlight w:val="none"/>
                <w:u w:val="none" w:color="auto"/>
                <w:vertAlign w:val="baseline"/>
              </w:rPr>
              <w:t>uradne razvojne pomoči namenjene projektom, ki vključujejo</w:t>
            </w:r>
            <w:r>
              <w:t xml:space="preserve"> enakost spolov kot pomemben ali glavni cilj in da bo 20 % uradne razvojne pomoči v vsaki državi dodeljenih programom, katerih eden glavnih ciljev je enakost spolov;</w:t>
            </w:r>
            <w:r>
              <w:rPr>
                <w:b/>
                <w:i/>
                <w:strike w:val="0"/>
                <w:color w:val="auto"/>
                <w:highlight w:val="none"/>
                <w:u w:val="none" w:color="auto"/>
                <w:vertAlign w:val="baseline"/>
              </w:rPr>
              <w:t xml:space="preserve"> poziva Komisijo, naj ta cilja vključi v naslednji večletni finančni okvir ter poskrbi, da bosta vključevanje vidika spola ter pristop k pripravi proračuna, ki upošteva vidik spola, vključena v vse politike, programe in proračune EU;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10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je zaskrbljen, ker je cilj trajnostnega razvoja št. 5 med najmanj financiranimi cilji trajnostnega razvoja; obsoja, da je vse manj sredstev prednostno namenjenih pravicam žensk ter da so feministična lokalna gibanja ter organizacije za pravice žensk še vedno sistematično premalo financirani, saj prejmejo manj kot odstotek svetovne uradne razvojne pomoči</w:t>
            </w:r>
            <w:r>
              <w:rPr>
                <w:rStyle w:val="Sup"/>
              </w:rPr>
              <w:t>1a</w:t>
            </w:r>
            <w:r>
              <w:rPr>
                <w:b/>
                <w:i/>
                <w:strike w:val="0"/>
                <w:color w:val="auto"/>
                <w:highlight w:val="none"/>
                <w:u w:val="none" w:color="auto"/>
                <w:vertAlign w:val="baseline"/>
              </w:rPr>
              <w:t>; poziva Komisijo, naj poskrbi za redno, zadostno in vzdržno financiranje za evropske programe in organizacije, ki si prizadevajo za enakost spolov in pravice žensk;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policy brief, ‘Where next for feminist foreign policy on funding feminist movements?’, (poročilo inštituta ODI o politiki, Kako naprej v feministični zunanji politiki pri financiranju feminističnih gibanj?)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10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je močno zaskrbljen zaradi spolnega apartheida, ki se trenutno izvaja v Afganistanu; poudarja, da je v Afganistanu 2,2 milijona deklicam že onemogočen dostop do šolanja, ta številka pa naj bi se povečala na štiri milijone; svetovno skupnost poziva, naj odločno obsodi spolni apartheid v Afganistanu ter stori vse potrebno za njegovo odpravo ter privedbo odgovornih pred sodišča;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10 c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rPr>
                <w:b/>
                <w:i/>
                <w:strike w:val="0"/>
                <w:color w:val="auto"/>
                <w:highlight w:val="none"/>
                <w:u w:val="none" w:color="auto"/>
                <w:vertAlign w:val="baseline"/>
              </w:rPr>
              <w:t>obžaluje, da ima od uvedbe akcijskega načrta EU za enakost spolov III le 3,8 % vseh ukrepov, ki upoštevajo vidik spola oziroma so temu namenjeni, kot glavni cilj enakost spolov, kar ne dosega 5-odstotnega cilja, navedenega v uredbi o Instrumentu za sosedstvo ter razvojno in mednarodno sodelovanje</w:t>
            </w:r>
            <w:r>
              <w:rPr>
                <w:rStyle w:val="Sup"/>
              </w:rPr>
              <w:t>1a</w:t>
            </w:r>
            <w:r>
              <w:rPr>
                <w:b/>
                <w:i/>
                <w:strike w:val="0"/>
                <w:color w:val="auto"/>
                <w:highlight w:val="none"/>
                <w:u w:val="none" w:color="auto"/>
                <w:vertAlign w:val="baseline"/>
              </w:rPr>
              <w:t>; poziva države članice in Komisijo, naj občutno povečajo število ukrepov EU, katerih glavni cilj je spodbujanje enakosti spolov, da se doseže cilj 5 %; poziva EU, naj poveča financiranje večstranskih skladov za enakost spolov, npr. Agencija ZN za ženske, ter spolno in reproduktivno zdravje, kot sta Sklad Združenih narodov za prebivalstvo (UNFPA) ter Globalni sklad za boj proti aidsu, tuberkulozi in malariji;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Uredba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 (UL L 209, 14.6.2021, str. 1,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poziva k pospešenim prizadevanjem za odpravo plačne vrzeli med spoloma, </w:t>
            </w:r>
            <w:r>
              <w:rPr>
                <w:b/>
                <w:i/>
                <w:strike w:val="0"/>
                <w:color w:val="auto"/>
                <w:highlight w:val="none"/>
                <w:u w:val="none" w:color="auto"/>
                <w:vertAlign w:val="baseline"/>
              </w:rPr>
              <w:t>tudi v skrbstveni ekonomiji</w:t>
            </w:r>
            <w:r>
              <w:t xml:space="preserve">, </w:t>
            </w:r>
            <w:r>
              <w:rPr>
                <w:b/>
                <w:i/>
                <w:strike w:val="0"/>
                <w:color w:val="auto"/>
                <w:highlight w:val="none"/>
                <w:u w:val="none" w:color="auto"/>
                <w:vertAlign w:val="baseline"/>
              </w:rPr>
              <w:t>ter</w:t>
            </w:r>
            <w:r>
              <w:t xml:space="preserve"> za zagotovitev enake udeležbe in možnosti vodenja v javnem in zasebnem sektorju;</w:t>
            </w:r>
          </w:p>
        </w:tc>
        <w:tc>
          <w:tcPr>
            <w:tcW w:w="4876" w:type="dxa"/>
            <w:vAlign w:val="top"/>
          </w:tcPr>
          <w:p>
            <w:pPr>
              <w:pStyle w:val="Normal6a"/>
            </w:pPr>
            <w:r>
              <w:t>11.</w:t>
            </w:r>
            <w:r>
              <w:tab/>
            </w:r>
            <w:r>
              <w:t xml:space="preserve">poziva k pospešenim prizadevanjem za odpravo </w:t>
            </w:r>
            <w:r>
              <w:rPr>
                <w:b/>
                <w:i/>
                <w:strike w:val="0"/>
                <w:color w:val="auto"/>
                <w:highlight w:val="none"/>
                <w:u w:val="none" w:color="auto"/>
                <w:vertAlign w:val="baseline"/>
              </w:rPr>
              <w:t>vrzeli stopnje delovne aktivnosti med spoloma,</w:t>
            </w:r>
            <w:r>
              <w:t xml:space="preserve"> plačne vrzeli med spoloma </w:t>
            </w:r>
            <w:r>
              <w:rPr>
                <w:b/>
                <w:i/>
                <w:strike w:val="0"/>
                <w:color w:val="auto"/>
                <w:highlight w:val="none"/>
                <w:u w:val="none" w:color="auto"/>
                <w:vertAlign w:val="baseline"/>
              </w:rPr>
              <w:t>in pokojninske vrzeli ter za povečanje naložb v javne storitve in socialno infrastrukturo, ravno tako pa poziva k zavezam za prehod v skrbstveno družbo;</w:t>
            </w:r>
            <w:r>
              <w:rPr>
                <w:b/>
                <w:i/>
                <w:strike w:val="0"/>
                <w:color w:val="auto"/>
                <w:highlight w:val="none"/>
                <w:u w:val="none" w:color="auto"/>
                <w:vertAlign w:val="baseline"/>
              </w:rPr>
              <w:t xml:space="preserve"> </w:t>
            </w:r>
            <w:r>
              <w:rPr>
                <w:b/>
                <w:i/>
                <w:strike w:val="0"/>
                <w:color w:val="auto"/>
                <w:highlight w:val="none"/>
                <w:u w:val="none" w:color="auto"/>
                <w:vertAlign w:val="baseline"/>
              </w:rPr>
              <w:t>poziva k pravičnejšemu vrednotenju in plačilu dela v sektorjih</w:t>
            </w:r>
            <w:r>
              <w:t xml:space="preserve">, </w:t>
            </w:r>
            <w:r>
              <w:rPr>
                <w:b/>
                <w:i/>
                <w:strike w:val="0"/>
                <w:color w:val="auto"/>
                <w:highlight w:val="none"/>
                <w:u w:val="none" w:color="auto"/>
                <w:vertAlign w:val="baseline"/>
              </w:rPr>
              <w:t>kjer prevladujejo ženske, preglednosti plačil</w:t>
            </w:r>
            <w:r>
              <w:t xml:space="preserve">, </w:t>
            </w:r>
            <w:r>
              <w:rPr>
                <w:b/>
                <w:i/>
                <w:strike w:val="0"/>
                <w:color w:val="auto"/>
                <w:highlight w:val="none"/>
                <w:u w:val="none" w:color="auto"/>
                <w:vertAlign w:val="baseline"/>
              </w:rPr>
              <w:t>reformam socialne zaščite in spodbujanju kakovostnih delovnih mest brez spolnega nadlegovanja in nasilja na podlagi spola;</w:t>
            </w:r>
            <w:r>
              <w:rPr>
                <w:b/>
                <w:i/>
                <w:strike w:val="0"/>
                <w:color w:val="auto"/>
                <w:highlight w:val="none"/>
                <w:u w:val="none" w:color="auto"/>
                <w:vertAlign w:val="baseline"/>
              </w:rPr>
              <w:t xml:space="preserve"> </w:t>
            </w:r>
            <w:r>
              <w:rPr>
                <w:b/>
                <w:i/>
                <w:strike w:val="0"/>
                <w:color w:val="auto"/>
                <w:highlight w:val="none"/>
                <w:u w:val="none" w:color="auto"/>
                <w:vertAlign w:val="baseline"/>
              </w:rPr>
              <w:t>poziva k prizadevanjem</w:t>
            </w:r>
            <w:r>
              <w:t xml:space="preserve"> za zagotovitev enake udeležbe in možnosti vodenja v javnem in zasebnem sektorju </w:t>
            </w:r>
            <w:r>
              <w:rPr>
                <w:b/>
                <w:i/>
                <w:strike w:val="0"/>
                <w:color w:val="auto"/>
                <w:highlight w:val="none"/>
                <w:u w:val="none" w:color="auto"/>
                <w:vertAlign w:val="baseline"/>
              </w:rPr>
              <w:t>tako, da se spodbuja uravnotežena zastopanost spolov na vodilnih položajih in položajih odločanja ter da se bori proti seksizmu v javnem in zasebnem življenju</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poudarja, da je treba spodbujati enak dostop do izobraževanja in finančne pismenosti za ženske in dekleta, zlasti iz marginaliziranih skupin in žrtev diskriminacije; opozarja, da mora biti cilj politik spodbujanje enakih možnosti ter povečanje možnosti žensk in deklet za pridobitev zanesljive, dobro plačane in izpolnjujoče zaposlitve, ki jim zagotavlja finančno neodvisnost; poziva, naj se ženskam in dekletom omogoči boljši dostop do digitalnih orodij in usposabljanja ter naj se spodbujajo programi in financiranje za ženske in dekleta v znanosti, tehnologiji, inženirstvu in matematiki ter poslovnih študijah in dejavnostih;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poudarja pomen časovnega načrta Komisije za pravice žensk pri ponovni potrditvi zavezanosti EU enakosti spolov in oblikovanju nove strategije za enakost spolov, ki bo objavljena leta 2026; poziva k večji vključenosti držav članic in k celovitemu pristopu za obravnavo spolnih in reproduktivnih storitev, presečne diskriminacije in zaščite ranljivih žensk;</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c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poziva, naj se v Listino EU o temeljnih pravicah doda splošna pravica dostopnosti do varnega in zakonitega splava ter naj se vzpostavi pravno zavezujoč okvir;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d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ponovno poudarja, da so spolno in reproduktivno zdravje in pravice temeljne človekove pravice, njihovo uresničevanje pa je temeljni vidik človekovega dostojanstva in osnovni pogoj za doseganje enakosti spolov; opozarja na zavezanost EU promociji, varstvu in uveljavljanju pravice vsakega posameznika, da ima popoln nadzor nad vsem, kar je povezano z njegovo spolnostjo ter spolnimi in reproduktivnimi pravicami, ter da o tem odloča svobodno in odgovorno, brez diskriminacije, prisile in nasilja;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e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poudarja, kako pomembna sta dostop do zanesljivih podatkov, ki temeljijo na trdni statistični podlagi, ter sodelovanje državljanov kot orodji, da nihče ne bo zapostavljen; meni, da je to bistvenega pomena pri opredeljevanju razlik med državami in regijami, pripravi politik in ocenjevanju napredka pri svetovnih pobudah za enakost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f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poziva, naj se bolj podpira pravica vsake ženske do ravnovesja med poklicnim in zasebnim življenjem tako, da se spodbujata skupna odgovornost in delovni pogoji, ki omogočajo usklajevanje zasebnega, družinskega in poklicnega življenja;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g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je zaskrbljen zaradi stalnega zmanjševanja spolnega in reproduktivnega zdravja in pravic ter napadov na njihove zagovornike v Evropi in po svetu; poziva k večjim evropskim prizadevanjem za zaščito naših temeljnih vrednot, kot so enake pravice do telesne avtonomije, ter k odločnejšim politikam za zagotavljanje splošnega dostopa do storitev na področju spolnega in reproduktivnega zdravja za vse ženske in dekleta, vključno z informacijami o načrtovanju družine, cenovno dostopni kontracepciji, brezplačnem, varnem in zakonitem splavu ter zdravstvenem varstvu mater;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h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poziva k odločnejšim politikam in ukrepom, ki spodbujajo dostop do zemljišč, posojil, podjetništva in izobraževanja, pa tudi zaposlovanja in zdravja, zlasti za ženske in dekleta v ranljivem položaju, invalidke, nosečnice in ženske na podeželju in otokih ter v najbolj oddaljenih regijah;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i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poziva države članice, naj poskrbijo za obvezno in celovito, z dokazi podprto izobraževanje o spolnosti in odnosih v osnovnih in srednjih šolah, da bi odpravili nasilje na podlagi spola ter spolno stereotipiziranje; poudarja, da naložbe v izobraževanje deklet prinašajo velike koristi za naslednje generacije, neposredno podpirajo uresničevanje njihovih temeljnih pravic ter zaščito pred vsemi oblikami nasilja, hkrati pa prispevajo k blaginji celotne družbe; pri tem poziva Komisijo, naj predloži smernice EU za celovito in z dokazi podprto spolno vzgojo na podlagi standardov WHO ter naj spodbuja izmenjavo dobre prakse med državami članicami na tem področju;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j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poziva Komisijo, naj preneha financirati gibanja v EU in zunaj nje, ki podpirajo kakršnokoli obliko zatiranja žensk, tudi kampanje proti temeljnim pravicam, vključno s pravicami žensk ter spolnim in reproduktivnim zdravjem in pravicami;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k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obžaluje nazadovanje pravic oseb LGBTIQ+ in transfobijo, ki ogroža enakost spolov; obsoja dejstvo, da so med letoma 2021 in 2022 le tri organizacije, usmerjene proti osebam LGBTIQ+, prijavile milijardo ameriških dolarjev prihodka v primerjavi z 8000 prejemniki subvencij, ki podpirajo osebe LGBTIQ+, po svetu, ki so skupaj prejeli 905 milijonov ameriških dolarjev</w:t>
            </w:r>
            <w:r>
              <w:rPr>
                <w:rStyle w:val="Sup"/>
              </w:rPr>
              <w:t>1a</w:t>
            </w:r>
            <w:r>
              <w:rPr>
                <w:b/>
                <w:i/>
                <w:strike w:val="0"/>
                <w:color w:val="auto"/>
                <w:highlight w:val="none"/>
                <w:u w:val="none" w:color="auto"/>
                <w:vertAlign w:val="baseline"/>
              </w:rPr>
              <w:t>; svari pred zaskrbljujočim povečanjem sredstev proti enakosti spolov, katerih cilj je izničiti postopno napredovanje na področju pravic žensk in oseb LGBTIQ+ v zadnjih desetletjih;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policy brief, ‘Where next for feminist foreign policy on funding feminist movements?’, (poročilo inštituta ODI o politiki, Kako naprej v feministični zunanji politiki pri financiranju feminističnih gibanj?)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l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11l.</w:t>
            </w:r>
            <w:r>
              <w:tab/>
            </w:r>
            <w:r>
              <w:rPr>
                <w:b/>
                <w:i/>
                <w:strike w:val="0"/>
                <w:color w:val="auto"/>
                <w:highlight w:val="none"/>
                <w:u w:val="none" w:color="auto"/>
                <w:vertAlign w:val="baseline"/>
              </w:rPr>
              <w:t>poziva EU, naj prepove centre za konverzijo v državah članicah ter naredi vse v svoji moči, da bi se ta praksa povsod preprečila;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11 m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poziva EU, naj določi poseben finančni cilj za podporo pravicam žensk in organizacijam LGBTIQ+, feminističnim gibanjem in zagovornikom človekovih pravic v Evropi in po svetu; poudarja, da je treba vzpostaviti zaščitni mehanizem za zagovornike človekovih pravic v EU ter se pri tem zlasti osredotočiti na zagovornike žensk, oseb LGBTIQ+ ter spolnega in reproduktivnega zdravja in pravic kot človekovih pravic;</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12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je seznanjen, da bi bilo treba pri prizadevanjih za uresničitev ciljev trajnostnega razvoja opozoriti na politike, ki spodbujajo inovacije, podjetništvo in ustvarjanje zelenih delovnih mest, kar bo navsezadnje spodbudilo splošno uresničevanje ciljev trajnostnega razvoja in enakost spolov;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poziva k oblikovanju močnejših politik in drznih ukrepov za spodbujanje vključujočega in trajnostnega gospodarskega razvoja; poziva EU in svetovne partnerje, naj uporabijo instrumente, kot je strategija Global Gateway, za ustvarjanje dostojnih delovnih mest, ki bodo zmanjšala dohodkovno neenakost in zagotovila, da nihče ne bo zapostavljen;</w:t>
            </w:r>
          </w:p>
        </w:tc>
        <w:tc>
          <w:tcPr>
            <w:tcW w:w="4876" w:type="dxa"/>
            <w:vAlign w:val="top"/>
          </w:tcPr>
          <w:p>
            <w:pPr>
              <w:pStyle w:val="Normal6a"/>
            </w:pPr>
            <w:r>
              <w:t>13.</w:t>
            </w:r>
            <w:r>
              <w:tab/>
            </w:r>
            <w:r>
              <w:t>poziva k oblikovanju močnejših politik in drznih ukrepov za spodbujanje vključujočega in trajnostnega gospodarskega razvoja; poziva EU in svetovne partnerje, naj uporabijo instrumente, kot je strategija Global Gateway, za ustvarjanje dostojnih delovnih mest, ki bodo zmanjšala dohodkovno neenakost in zagotovila, da nihče ne bo zapostavljen;</w:t>
            </w:r>
            <w:r>
              <w:rPr>
                <w:b/>
                <w:i/>
                <w:strike w:val="0"/>
                <w:color w:val="auto"/>
                <w:highlight w:val="none"/>
                <w:u w:val="none" w:color="auto"/>
                <w:vertAlign w:val="baseline"/>
              </w:rPr>
              <w:t xml:space="preserve"> poziva, da je treba storiti več, da bi se slišali glasovi tistih, ki bodo najverjetneje zapostavljeni, ter dati prednost boju proti revščini in negotovim delovnim pogojem, pri čemer se je treba posebej osredotočiti na ženske, ki se soočajo s presečnimi oblikami diskriminacije;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13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poudarja, da je večina neplačanega skrbstvenega dela še vedno breme zgolj žensk, kar negativno vpliva na poklicno vrzel med spoloma, ekonomsko neodvisnost in družbeno blaginjo; poziva EU, naj pripravi posebne ukrepe za priznanje skrbstvenega dela ter zagotovi ustrezne javne socialne storitve v njegovo podporo;</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izraža zaskrbljenost, ker je gospodarska rast v številnih državah v razvoju še vedno počasna in neenakomerna, pogosto pa jo ovirajo strukturne pomanjkljivosti, gospodarske neenakosti, politična nestabilnost </w:t>
            </w:r>
            <w:r>
              <w:rPr>
                <w:b/>
                <w:i/>
                <w:strike w:val="0"/>
                <w:color w:val="auto"/>
                <w:highlight w:val="none"/>
                <w:u w:val="none" w:color="auto"/>
                <w:vertAlign w:val="baseline"/>
              </w:rPr>
              <w:t>in</w:t>
            </w:r>
            <w:r>
              <w:t xml:space="preserve"> zunanji pretresi;</w:t>
            </w:r>
          </w:p>
        </w:tc>
        <w:tc>
          <w:tcPr>
            <w:tcW w:w="4876" w:type="dxa"/>
            <w:vAlign w:val="top"/>
          </w:tcPr>
          <w:p>
            <w:pPr>
              <w:pStyle w:val="Normal6a"/>
            </w:pPr>
            <w:r>
              <w:t>14.</w:t>
            </w:r>
            <w:r>
              <w:tab/>
            </w:r>
            <w:r>
              <w:t xml:space="preserve">izraža zaskrbljenost, ker je gospodarska rast v številnih državah v razvoju še vedno počasna in neenakomerna, pogosto pa jo ovirajo strukturne pomanjkljivosti, gospodarske </w:t>
            </w:r>
            <w:r>
              <w:rPr>
                <w:b/>
                <w:i/>
                <w:strike w:val="0"/>
                <w:color w:val="auto"/>
                <w:highlight w:val="none"/>
                <w:u w:val="none" w:color="auto"/>
                <w:vertAlign w:val="baseline"/>
              </w:rPr>
              <w:t>in socialne</w:t>
            </w:r>
            <w:r>
              <w:t xml:space="preserve"> neenakosti </w:t>
            </w:r>
            <w:r>
              <w:rPr>
                <w:b/>
                <w:i/>
                <w:strike w:val="0"/>
                <w:color w:val="auto"/>
                <w:highlight w:val="none"/>
                <w:u w:val="none" w:color="auto"/>
                <w:vertAlign w:val="baseline"/>
              </w:rPr>
              <w:t>ter neenakosti med spoloma</w:t>
            </w:r>
            <w:r>
              <w:t>, politična nestabilnost</w:t>
            </w:r>
            <w:r>
              <w:rPr>
                <w:b/>
                <w:i/>
                <w:strike w:val="0"/>
                <w:color w:val="auto"/>
                <w:highlight w:val="none"/>
                <w:u w:val="none" w:color="auto"/>
                <w:vertAlign w:val="baseline"/>
              </w:rPr>
              <w:t>,</w:t>
            </w:r>
            <w:r>
              <w:t xml:space="preserve"> zunanji pretresi </w:t>
            </w:r>
            <w:r>
              <w:rPr>
                <w:b/>
                <w:i/>
                <w:strike w:val="0"/>
                <w:color w:val="auto"/>
                <w:highlight w:val="none"/>
                <w:u w:val="none" w:color="auto"/>
                <w:vertAlign w:val="baseline"/>
              </w:rPr>
              <w:t>in zunanje vmešavanje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14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izraža zaskrbljenost, da se neenakosti med spoloma na trgu dela v EU še povečujejo; opozarja, da je treba v kohezijski politiki EU spoštovati in izboljšati vključevanje vidika spola in pripravo proračuna, ki upošteva vidik spola, da bi odpravili vrzel v stopnji delovne aktivnosti med spoloma;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priporoča povečanje javnih in zasebnih naložb v raziskave, izobraževanje ter razvoj znanj in spretnosti;</w:t>
            </w:r>
          </w:p>
        </w:tc>
        <w:tc>
          <w:tcPr>
            <w:tcW w:w="4876" w:type="dxa"/>
            <w:vAlign w:val="top"/>
          </w:tcPr>
          <w:p>
            <w:pPr>
              <w:pStyle w:val="Normal6a"/>
            </w:pPr>
            <w:r>
              <w:t>15.</w:t>
            </w:r>
            <w:r>
              <w:tab/>
            </w:r>
            <w:r>
              <w:t>priporoča povečanje javnih in zasebnih naložb v raziskave, izobraževanje ter razvoj znanj in spretnosti;</w:t>
            </w:r>
            <w:r>
              <w:rPr>
                <w:b/>
                <w:i/>
                <w:strike w:val="0"/>
                <w:color w:val="auto"/>
                <w:highlight w:val="none"/>
                <w:u w:val="none" w:color="auto"/>
                <w:vertAlign w:val="baseline"/>
              </w:rPr>
              <w:t xml:space="preserve"> poziva EU, naj spodbudi usposabljanje in kakovostno zaposlovanje za pravični prehod, pri čemer naj še posebej upošteva sistematično izključene in prikrajšane skupine, tudi ženske in skupnost LGBTIQ+;</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poudarja, da pobude za spodbujanje gospodarske rasti ne smejo škodovati socialni pravičnosti, pravicam delavcev ali varstvu okolja;</w:t>
            </w:r>
          </w:p>
        </w:tc>
        <w:tc>
          <w:tcPr>
            <w:tcW w:w="4876" w:type="dxa"/>
            <w:vAlign w:val="top"/>
          </w:tcPr>
          <w:p>
            <w:pPr>
              <w:pStyle w:val="Normal6a"/>
            </w:pPr>
            <w:r>
              <w:t>16.</w:t>
            </w:r>
            <w:r>
              <w:tab/>
            </w:r>
            <w:r>
              <w:t xml:space="preserve">poudarja, da pobude za spodbujanje gospodarske rasti ne smejo škodovati socialni pravičnosti, </w:t>
            </w:r>
            <w:r>
              <w:rPr>
                <w:b/>
                <w:i/>
                <w:strike w:val="0"/>
                <w:color w:val="auto"/>
                <w:highlight w:val="none"/>
                <w:u w:val="none" w:color="auto"/>
                <w:vertAlign w:val="baseline"/>
              </w:rPr>
              <w:t>enakosti spolov,</w:t>
            </w:r>
            <w:r>
              <w:t xml:space="preserve"> pravicam delavcev ali varstvu okolja</w:t>
            </w:r>
            <w:r>
              <w:rPr>
                <w:b/>
                <w:i/>
                <w:strike w:val="0"/>
                <w:color w:val="auto"/>
                <w:highlight w:val="none"/>
                <w:u w:val="none" w:color="auto"/>
                <w:vertAlign w:val="baseline"/>
              </w:rPr>
              <w:t>, še posebej, ker bodo ženske in pripadniki manjšin najverjetneje prvi, ki jih bodo prizadele neenakosti, nastale zaradi gospodarske rasti</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16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poudarja, da so razlike v svetovni brezposelnosti še vedno prisotne med ženskami in mladimi, na svetovni ravni pa mlade ženske več kot dvakrat verjetneje kot mladi moški niso zaposlene, se ne izobražujejo ali usposabljajo; priznava, da lahko spodbujanje enakosti spolov v politikah izobraževanja, usposabljanja, trga dela ter usklajevanja poklicnega in zasebnega življenja poveča blaginjo in gospodarsko konkurenčnost, hkrati pa prepreči preslabo izkoriščanje sredstev in talentov;</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16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opozarja, da je nujno pripraviti spodbude za podjetja, da bi svoje dejavnosti uskladila s cilji trajnostnega razvoja, hkrati pa poskrbeti, da trgi ostanejo konkurenčni in zmožni spodbujati inovacije na področju trajnostnega razvoja za ženske in dekleta;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17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opozarja na nesorazmeren vpliv, ki ga ima degradacija okolja, zlasti onesnaževanje s plastiko, na ženske in dekleta; poziva, naj se povečajo sredstva za raziskave o učinkih onesnaženja z (mikro)plastiko na ženski hormonski sistem ter morebitne učinke na plodnost;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meni, da so nujno potrebni zavezujoči globalni ukrepi, da bi odpravili pomanjkljivosti, pospešili ukrepanje in zagotovili dolgoročno trajnost oceanov, tudi s trajnostnimi ribolovnimi praksami, bojem proti nezakonitemu, neprijavljenemu in nereguliranemu ribolovu, krepitvijo prizadevanj za ohranjanje morja in sprejetjem svetovne pogodbe o onesnaževanju s plastiko;</w:t>
            </w:r>
          </w:p>
        </w:tc>
        <w:tc>
          <w:tcPr>
            <w:tcW w:w="4876" w:type="dxa"/>
            <w:vAlign w:val="top"/>
          </w:tcPr>
          <w:p>
            <w:pPr>
              <w:pStyle w:val="Normal6a"/>
            </w:pPr>
            <w:r>
              <w:t>19.</w:t>
            </w:r>
            <w:r>
              <w:tab/>
            </w:r>
            <w:r>
              <w:t xml:space="preserve">meni, da so nujno potrebni zavezujoči globalni ukrepi, da bi odpravili pomanjkljivosti, pospešili ukrepanje in zagotovili dolgoročno trajnost oceanov, tudi s trajnostnimi ribolovnimi praksami, bojem proti nezakonitemu, neprijavljenemu in nereguliranemu ribolovu, krepitvijo prizadevanj za ohranjanje morja </w:t>
            </w:r>
            <w:r>
              <w:rPr>
                <w:b/>
                <w:i/>
                <w:strike w:val="0"/>
                <w:color w:val="auto"/>
                <w:highlight w:val="none"/>
                <w:u w:val="none" w:color="auto"/>
                <w:vertAlign w:val="baseline"/>
              </w:rPr>
              <w:t>s pomočjo učinkovite zaščite morskih zavarovanih območij</w:t>
            </w:r>
            <w:r>
              <w:t xml:space="preserve"> in sprejetjem svetovne pogodbe o onesnaževanju s plastiko </w:t>
            </w:r>
            <w:r>
              <w:rPr>
                <w:b/>
                <w:i/>
                <w:strike w:val="0"/>
                <w:color w:val="auto"/>
                <w:highlight w:val="none"/>
                <w:u w:val="none" w:color="auto"/>
                <w:vertAlign w:val="baseline"/>
              </w:rPr>
              <w:t>ter varstvom pravic malih ribičev in dostopa do ribolovnih virov in trgov, pri čemer je treba poskrbeti, da so ženske in moški v obrtnem ribolovu enakopravno in učinkovito vključeni v odločitve, ki se nanašajo nanje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19 a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poudarja, da je treba še posebej priznati delo in prispevek žensk v vrednostni verigi malega ribolova ter izboljšati njihove delovne razmere;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19 b (novo)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rPr>
                <w:b/>
                <w:i/>
                <w:strike w:val="0"/>
                <w:color w:val="auto"/>
                <w:highlight w:val="none"/>
                <w:u w:val="none" w:color="auto"/>
                <w:vertAlign w:val="baseline"/>
              </w:rPr>
              <w:t>poudarja, da je treba povečati enakost spolov pri upravljanju oceanov, ekonomskih dejavnostih (kot so turizem, pomorski prevoz ali ribištvo) ter oceanografiji</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UNESCO, ‘Gender Equality for Ocean Sustainability’ (Enakost spolov za trajnostnost oceanov),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poziva EU, naj se še naprej zavzema za večstransko sodelovanje in naj prevzame vodilno vlogo v svetu pri spodbujanju izvajanja ciljev trajnostnega razvoja in Agende 2030; poudarja, da bo ponoven izraz zavezanosti ciljem trajnostnega razvoja poslal jasno sporočilo partnerjem po vsem svetu in podprl delovanje EU na svetovni ravni;</w:t>
            </w:r>
          </w:p>
        </w:tc>
        <w:tc>
          <w:tcPr>
            <w:tcW w:w="4876" w:type="dxa"/>
            <w:vAlign w:val="top"/>
          </w:tcPr>
          <w:p>
            <w:pPr>
              <w:pStyle w:val="Normal6a"/>
            </w:pPr>
            <w:r>
              <w:t>20.</w:t>
            </w:r>
            <w:r>
              <w:tab/>
            </w:r>
            <w:r>
              <w:t>poziva EU, naj se še naprej zavzema za večstransko sodelovanje in naj prevzame vodilno vlogo v svetu pri spodbujanju izvajanja ciljev trajnostnega razvoja in Agende 2030; poudarja, da bo ponoven izraz zavezanosti ciljem trajnostnega razvoja poslal jasno sporočilo partnerjem po vsem svetu in podprl delovanje EU na svetovni ravni;</w:t>
            </w:r>
            <w:r>
              <w:rPr>
                <w:b/>
                <w:i/>
                <w:strike w:val="0"/>
                <w:color w:val="auto"/>
                <w:highlight w:val="none"/>
                <w:u w:val="none" w:color="auto"/>
                <w:vertAlign w:val="baseline"/>
              </w:rPr>
              <w:t xml:space="preserve"> poudarja, da je treba ponovno izraženi zavezanosti dodati tudi konkretne ukrepe EU, ki mora poskrbeti, da je enakost spolov sestavni del političnega dialoga s partnerskimi državami na dvo- in večstranski ravni;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ponovno poudarja, da uradna razvojna pomoč ostaja ključni vir javnega financiranja; zato poziva vse države članice EU in svetovne partnerje, naj poskrbijo, da bo dovolj sredstev namenjenih izpolnjevanju zaveze, da je treba 0,7 % bruto nacionalnega dohodka porabiti za uradno razvojno pomoč;</w:t>
            </w:r>
          </w:p>
        </w:tc>
        <w:tc>
          <w:tcPr>
            <w:tcW w:w="4876" w:type="dxa"/>
            <w:vAlign w:val="top"/>
          </w:tcPr>
          <w:p>
            <w:pPr>
              <w:pStyle w:val="Normal6a"/>
            </w:pPr>
            <w:r>
              <w:t>21.</w:t>
            </w:r>
            <w:r>
              <w:tab/>
            </w:r>
            <w:r>
              <w:t xml:space="preserve">ponovno poudarja, da </w:t>
            </w:r>
            <w:r>
              <w:rPr>
                <w:b/>
                <w:i/>
                <w:strike w:val="0"/>
                <w:color w:val="auto"/>
                <w:highlight w:val="none"/>
                <w:u w:val="none" w:color="auto"/>
                <w:vertAlign w:val="baseline"/>
              </w:rPr>
              <w:t>je mogoče cilje trajnostnega razvoja doseči samo z zadostnim in vzdržnim financiranjem ter da</w:t>
            </w:r>
            <w:r>
              <w:t xml:space="preserve"> uradna razvojna pomoč ostaja ključni vir javnega financiranja; zato poziva vse države članice EU in svetovne partnerje, naj poskrbijo, da bo dovolj sredstev namenjenih izpolnjevanju zaveze, da je treba 0,7 % bruto nacionalnega dohodka porabiti za uradno razvojno pomoč</w:t>
            </w:r>
            <w:r>
              <w:rPr>
                <w:b/>
                <w:i/>
                <w:strike w:val="0"/>
                <w:color w:val="auto"/>
                <w:highlight w:val="none"/>
                <w:u w:val="none" w:color="auto"/>
                <w:vertAlign w:val="baseline"/>
              </w:rPr>
              <w:t>, pri čemer le štiri od 21 držav članic, ki so članice Odbora za razvojno pomoč, izpolnjujejo to mednarodno zavezo</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poudarja ključno vlogo partnerstev z več deležniki ter vključevanje lokalnih oblasti, civilne družbe in predstavnikov mladih;</w:t>
            </w:r>
          </w:p>
        </w:tc>
        <w:tc>
          <w:tcPr>
            <w:tcW w:w="4876" w:type="dxa"/>
            <w:vAlign w:val="top"/>
          </w:tcPr>
          <w:p>
            <w:pPr>
              <w:pStyle w:val="Normal6a"/>
            </w:pPr>
            <w:r>
              <w:t>22.</w:t>
            </w:r>
            <w:r>
              <w:tab/>
            </w:r>
            <w:r>
              <w:t>poudarja ključno vlogo partnerstev z več deležniki ter vključevanje lokalnih oblasti, civilne družbe in predstavnikov mladih;</w:t>
            </w:r>
            <w:r>
              <w:rPr>
                <w:b/>
                <w:i/>
                <w:strike w:val="0"/>
                <w:color w:val="auto"/>
                <w:highlight w:val="none"/>
                <w:u w:val="none" w:color="auto"/>
                <w:vertAlign w:val="baseline"/>
              </w:rPr>
              <w:t xml:space="preserve"> ponavlja, da so organizacije civilne družbe glavni akterji v dinamičnih demokracijah, ter opozarja, da ciljev trajnostnega razvoja, zlasti cilja št. 5 ni mogoče doseči brez partnerstva s temi organizacijami, tudi lokalnimi organizacijami za ženske in osebe LGBTIQ+; pri tem obžaluje vse pogostejše neupravičene napade na organizacije civilne družbe ter krčenje državljanskega prostora v Evropi in po svetu; tako poudarja, da je treba poskrbeti za redno, zadostno in vzdržno financiranje organizacij civilne družbe ter ohranjanje odprtega, preglednega in strukturiranega dialoga z njimi;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poziva k odpisu dolga in prestrukturiranju dolga za države v razvoju ter k reformam svetovnih finančnih institucij, vključno z multilateralnimi razvojnimi bankami, da bi bile primerne za izvajanje ciljev trajnostnega razvoja;</w:t>
            </w:r>
          </w:p>
        </w:tc>
        <w:tc>
          <w:tcPr>
            <w:tcW w:w="4876" w:type="dxa"/>
            <w:vAlign w:val="top"/>
          </w:tcPr>
          <w:p>
            <w:pPr>
              <w:pStyle w:val="Normal6a"/>
            </w:pPr>
            <w:r>
              <w:t>23.</w:t>
            </w:r>
            <w:r>
              <w:tab/>
            </w:r>
            <w:r>
              <w:t>poziva k odpisu dolga in prestrukturiranju dolga za države v razvoju ter k reformam svetovnih finančnih institucij, vključno z multilateralnimi razvojnimi bankami, da bi bile primerne za izvajanje ciljev trajnostnega razvoja</w:t>
            </w:r>
            <w:r>
              <w:rPr>
                <w:b/>
                <w:i/>
                <w:strike w:val="0"/>
                <w:color w:val="auto"/>
                <w:highlight w:val="none"/>
                <w:u w:val="none" w:color="auto"/>
                <w:vertAlign w:val="baseline"/>
              </w:rPr>
              <w:t>, ter k zmanjšanju ekonomskih in socialnih neenakosti ter neenakosti med spoloma;</w:t>
            </w:r>
            <w:r>
              <w:rPr>
                <w:b/>
                <w:i/>
                <w:strike w:val="0"/>
                <w:color w:val="auto"/>
                <w:highlight w:val="none"/>
                <w:u w:val="none" w:color="auto"/>
                <w:vertAlign w:val="baseline"/>
              </w:rPr>
              <w:t xml:space="preserve"> </w:t>
            </w:r>
            <w:r>
              <w:rPr>
                <w:b/>
                <w:i/>
                <w:strike w:val="0"/>
                <w:color w:val="auto"/>
                <w:highlight w:val="none"/>
                <w:u w:val="none" w:color="auto"/>
                <w:vertAlign w:val="baseline"/>
              </w:rPr>
              <w:t>poziva, naj se v sklepni dokument četrte mednarodne konference o financiranju razvoja vključi izrazitejši vidik spola</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Predlog spremembe</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Predlog resolucije</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Odstavek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Predlog resolucije</w:t>
            </w:r>
          </w:p>
        </w:tc>
        <w:tc>
          <w:tcPr>
            <w:tcW w:w="4876" w:type="dxa"/>
            <w:vAlign w:val="top"/>
          </w:tcPr>
          <w:p>
            <w:pPr>
              <w:pStyle w:val="AmColumnHeading"/>
            </w:pPr>
            <w:r>
              <w:t>Predlog spremembe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poudarja, da so cilji trajnostnega razvoja edini globalno dogovorjen in celovit sklop ciljev v zvezi z glavnimi izzivi, s katerimi se soočajo razvite države in države v razvoju, in so najboljše orodje za odpravo njihovih temeljnih vzrokov;</w:t>
            </w:r>
          </w:p>
        </w:tc>
        <w:tc>
          <w:tcPr>
            <w:tcW w:w="4876" w:type="dxa"/>
            <w:vAlign w:val="top"/>
          </w:tcPr>
          <w:p>
            <w:pPr>
              <w:pStyle w:val="Normal6a"/>
            </w:pPr>
            <w:r>
              <w:t>26.</w:t>
            </w:r>
            <w:r>
              <w:tab/>
            </w:r>
            <w:r>
              <w:t>poudarja, da so cilji trajnostnega razvoja edini globalno dogovorjen in celovit sklop ciljev v zvezi z glavnimi izzivi, s katerimi se soočajo razvite države in države v razvoju, in so najboljše orodje za odpravo njihovih temeljnih vzrokov;</w:t>
            </w:r>
            <w:r>
              <w:rPr>
                <w:b/>
                <w:i/>
                <w:strike w:val="0"/>
                <w:color w:val="auto"/>
                <w:highlight w:val="none"/>
                <w:u w:val="none" w:color="auto"/>
                <w:vertAlign w:val="baseline"/>
              </w:rPr>
              <w:t xml:space="preserve"> poziva Komisijo in države članice, naj si v splošnem okviru prizadevajo za popolno uresničitev ciljev trajnostnega razvoja v EU in zunaj nje;</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PRILOGA: SUBJEKTI ALI OSEBE, OD KATERIH JE PRIPRAVLJAVEC MNENJA PREJEL PRISPEVKE</w:t>
      </w:r>
    </w:p>
    <w:p>
      <w:pPr>
        <w:pStyle w:val="Normal12a"/>
      </w:pPr>
    </w:p>
    <w:p>
      <w:pPr>
        <w:pStyle w:val="Normal12a"/>
      </w:pPr>
      <w:r>
        <w:t>Poročevalka kot izključno pristojna izjavlja, da ni prejela nobenih prispevkov od subjektov ali oseb, ki bi jih bilo treba navesti v tej prilogi na podlagi člena 8 Priloge I Poslovnika.</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INFORMACIJE O SPREJETJU V ODBORU, ZAPROŠENEM ZA MNENJE</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Datum sprejetja</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Izid končnega glasovanja</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Poslanci, navzoči pri končnem glasovanju</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Namestniki, navzoči pri končnem glasovanju</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Poslanci iz člena 216(7) Poslovnika, navzoči pri končnem glasovanju</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POIMENSKO GLASOVANJE PRI KONČNEM GLASOVANJU V ODBORU, ZAPROŠENEM ZA MNENJE</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Uporabljeni znaki:</w:t>
      </w:r>
    </w:p>
    <w:p>
      <w:pPr>
        <w:pStyle w:val="NormalTab"/>
      </w:pPr>
      <w:r>
        <w:t>+</w:t>
      </w:r>
      <w:r>
        <w:tab/>
        <w:t>:</w:t>
        <w:tab/>
      </w:r>
      <w:r>
        <w:t>za</w:t>
      </w:r>
    </w:p>
    <w:p>
      <w:pPr>
        <w:pStyle w:val="NormalTab"/>
      </w:pPr>
      <w:r>
        <w:t>-</w:t>
      </w:r>
      <w:r>
        <w:tab/>
        <w:t>:</w:t>
        <w:tab/>
      </w:r>
      <w:r>
        <w:t>proti</w:t>
      </w:r>
    </w:p>
    <w:p>
      <w:pPr>
        <w:pStyle w:val="NormalTab"/>
      </w:pPr>
      <w:r>
        <w:t>0</w:t>
      </w:r>
      <w:r>
        <w:tab/>
        <w:t>:</w:t>
        <w:tab/>
      </w:r>
      <w:r>
        <w:t>vzdržani</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42</w:t>
    </w:r>
    <w:r>
      <w:fldChar w:fldCharType="end"/>
    </w:r>
    <w:r>
      <w:t>/</w:t>
    </w:r>
    <w:r>
      <w:fldChar w:fldCharType="begin"/>
    </w:r>
    <w:r>
      <w:instrText>NUMPAGES</w:instrText>
    </w:r>
    <w:r>
      <w:fldChar w:fldCharType="separate"/>
    </w:r>
    <w:r>
      <w:t>42</w:t>
    </w:r>
    <w:r>
      <w:fldChar w:fldCharType="end"/>
    </w:r>
    <w:r>
      <w:tab/>
    </w:r>
    <w:r>
      <w:rPr>
        <w:rStyle w:val="HideTWBExt"/>
      </w:rPr>
      <w:t>&lt;</w:t>
    </w:r>
    <w:r>
      <w:rPr>
        <w:rStyle w:val="HideTWBExt"/>
      </w:rPr>
      <w:t>PathFdR</w:t>
    </w:r>
    <w:r>
      <w:rPr>
        <w:rStyle w:val="HideTWBExt"/>
      </w:rPr>
      <w:t>&gt;</w:t>
    </w:r>
    <w:r>
      <w:t>AD\1321310SL.docx</w:t>
    </w:r>
    <w:r>
      <w:rPr>
        <w:rStyle w:val="HideTWBExt"/>
      </w:rPr>
      <w:t>&lt;/</w:t>
    </w:r>
    <w:r>
      <w:rPr>
        <w:rStyle w:val="HideTWBExt"/>
      </w:rPr>
      <w:t>PathFdR</w:t>
    </w:r>
    <w:r>
      <w:rPr>
        <w:rStyle w:val="HideTWBExt"/>
      </w:rPr>
      <w:t>&gt;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AD\1321310SL.docx</w:t>
    </w:r>
    <w:r>
      <w:rPr>
        <w:rStyle w:val="HideTWBExt"/>
      </w:rPr>
      <w:t>&lt;/</w:t>
    </w:r>
    <w:r>
      <w:rPr>
        <w:rStyle w:val="HideTWBExt"/>
      </w:rPr>
      <w:t>PathFdR</w:t>
    </w:r>
    <w:r>
      <w:rPr>
        <w:rStyle w:val="HideTWBExt"/>
      </w:rPr>
      <w:t>&gt;</w:t>
    </w:r>
    <w:r>
      <w:tab/>
    </w:r>
    <w:r>
      <w:fldChar w:fldCharType="begin"/>
    </w:r>
    <w:r>
      <w:instrText>PAGE</w:instrText>
    </w:r>
    <w:r>
      <w:fldChar w:fldCharType="separate"/>
    </w:r>
    <w:r>
      <w:t>41</w:t>
    </w:r>
    <w:r>
      <w:fldChar w:fldCharType="end"/>
    </w:r>
    <w:r>
      <w:t>/</w:t>
    </w:r>
    <w:r>
      <w:fldChar w:fldCharType="begin"/>
    </w:r>
    <w:r>
      <w:instrText>NUMPAGES</w:instrText>
    </w:r>
    <w:r>
      <w:fldChar w:fldCharType="separate"/>
    </w:r>
    <w:r>
      <w:t>42</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AD\1321310SL.docx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SL</w:t>
    </w:r>
    <w:r>
      <w:tab/>
    </w:r>
    <w:r>
      <w:rPr>
        <w:rStyle w:val="EPFooter2Motto"/>
      </w:rPr>
      <w:t>Združena v raznolikosti</w:t>
    </w:r>
    <w:r>
      <w:tab/>
    </w:r>
    <w:r>
      <w:t>SL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20250612-093409-001018-842390</vt:lpwstr>
  </property>
  <property fmtid="{D5CDD505-2E9C-101B-9397-08002B2CF9AE}" pid="7" name="FooterPath">
    <vt:lpwstr>AD\1321310SL.doc</vt:lpwstr>
  </property>
  <property fmtid="{D5CDD505-2E9C-101B-9397-08002B2CF9AE}" pid="8" name="PE Number">
    <vt:lpwstr>770.238</vt:lpwstr>
  </property>
  <property fmtid="{D5CDD505-2E9C-101B-9397-08002B2CF9AE}" pid="9" name="UID">
    <vt:lpwstr>eu.europa.europarl-DIN1-2025-0000107752_01.09-sl-01.00_text-xml</vt:lpwstr>
  </property>
</Properties>
</file>