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Evropský parlament</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1.46pt">
                  <v:imagedata r:id="rId5" o:title=""/>
                </v:shape>
              </w:pict>
            </w:r>
          </w:p>
        </w:tc>
      </w:tr>
    </w:tbl>
    <w:p>
      <w:pPr>
        <w:pStyle w:val="LineTop"/>
      </w:pPr>
      <w:r>
        <w:t xml:space="preserve"> </w:t>
      </w:r>
    </w:p>
    <w:p>
      <w:pPr>
        <w:pStyle w:val="EPBody"/>
      </w:pPr>
      <w:r>
        <w:rPr>
          <w:rStyle w:val="HideTWBExt"/>
        </w:rPr>
        <w:t>&lt;Commission&gt;</w:t>
      </w:r>
      <w:r>
        <w:rPr>
          <w:rStyle w:val="HideTWBInt"/>
        </w:rPr>
        <w:t>{FEMM}</w:t>
      </w:r>
      <w:r>
        <w:t>Výbor pro práva žen a rovnost pohlaví</w:t>
      </w:r>
      <w:r>
        <w:rPr>
          <w:rStyle w:val="HideTWBExt"/>
        </w:rPr>
        <w:t>&lt;/Commission&gt;</w:t>
      </w:r>
    </w:p>
    <w:p>
      <w:pPr>
        <w:pStyle w:val="LineBottom"/>
      </w:pPr>
      <w:r>
        <w:t xml:space="preserve"> </w:t>
      </w:r>
    </w:p>
    <w:p>
      <w:pPr>
        <w:pStyle w:val="CoverReference"/>
      </w:pPr>
      <w:r>
        <w:rPr>
          <w:rStyle w:val="HideTWBExt"/>
        </w:rPr>
        <w:t>&lt;RefProc&gt;</w:t>
      </w:r>
      <w:r>
        <w:t>2025/2095</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{17/10/2025}</w:t>
      </w:r>
      <w:r>
        <w:t>17.10.2025</w:t>
      </w:r>
      <w:r>
        <w:rPr>
          <w:rStyle w:val="HideTWBExt"/>
        </w:rPr>
        <w:t>&lt;/Date&gt;</w:t>
      </w:r>
    </w:p>
    <w:p>
      <w:pPr>
        <w:pStyle w:val="CoverDocType24a"/>
      </w:pPr>
      <w:r>
        <w:rPr>
          <w:rStyle w:val="HideTWBExt"/>
        </w:rPr>
        <w:t>&lt;TitreType&gt;</w:t>
      </w:r>
      <w:r>
        <w:t>STANOVISKO</w:t>
      </w:r>
      <w:r>
        <w:rPr>
          <w:rStyle w:val="HideTWBExt"/>
        </w:rPr>
        <w:t>&lt;/TitreType&gt;</w:t>
      </w:r>
    </w:p>
    <w:p>
      <w:pPr>
        <w:pStyle w:val="CoverNormal24a"/>
      </w:pPr>
      <w:r>
        <w:rPr>
          <w:rStyle w:val="HideTWBExt"/>
        </w:rPr>
        <w:t>&lt;CommissionResp&gt;</w:t>
      </w:r>
      <w:r>
        <w:t>Výboru pro práva žen a rovnost pohlaví</w:t>
      </w:r>
      <w:r>
        <w:rPr>
          <w:rStyle w:val="HideTWBExt"/>
        </w:rPr>
        <w:t>&lt;/CommissionResp&gt;</w:t>
      </w:r>
    </w:p>
    <w:p>
      <w:pPr>
        <w:pStyle w:val="CoverNormal24a"/>
      </w:pPr>
      <w:r>
        <w:rPr>
          <w:rStyle w:val="HideTWBExt"/>
        </w:rPr>
        <w:t>&lt;CommissionInt&gt;</w:t>
      </w:r>
      <w:r>
        <w:t>pro Výbor pro zaměstnanost a sociální věci</w:t>
      </w:r>
      <w:r>
        <w:rPr>
          <w:rStyle w:val="HideTWBExt"/>
        </w:rPr>
        <w:t>&lt;/CommissionInt&gt;</w:t>
      </w:r>
    </w:p>
    <w:p>
      <w:pPr>
        <w:pStyle w:val="CoverNormal"/>
      </w:pPr>
      <w:r>
        <w:rPr>
          <w:rStyle w:val="HideTWBExt"/>
        </w:rPr>
        <w:t>&lt;Titre&gt;</w:t>
      </w:r>
      <w:r>
        <w:t>k vypracování nové strategie EU pro boj proti chudobě</w:t>
      </w:r>
      <w:r>
        <w:rPr>
          <w:rStyle w:val="HideTWBExt"/>
        </w:rPr>
        <w:t>&lt;/Titre&gt;</w:t>
      </w:r>
    </w:p>
    <w:p>
      <w:pPr>
        <w:pStyle w:val="CoverNormal24a"/>
      </w:pPr>
      <w:r>
        <w:rPr>
          <w:rStyle w:val="HideTWBExt"/>
        </w:rPr>
        <w:t>&lt;DocRef&gt;</w:t>
      </w:r>
      <w:r>
        <w:t>(2025/2095(INI))</w:t>
      </w:r>
      <w:r>
        <w:rPr>
          <w:rStyle w:val="HideTWBExt"/>
        </w:rPr>
        <w:t>&lt;/DocRef&gt;</w:t>
      </w:r>
    </w:p>
    <w:p>
      <w:pPr>
        <w:pStyle w:val="CoverNormal24a"/>
      </w:pPr>
      <w:r>
        <w:t>Zpravodajka</w:t>
      </w:r>
      <w:r>
        <w:t xml:space="preserve">: </w:t>
      </w:r>
      <w:r>
        <w:rPr>
          <w:rStyle w:val="HideTWBExt"/>
        </w:rPr>
        <w:t>&lt;Depute&gt;</w:t>
      </w:r>
      <w:r>
        <w:t>Lina Gálvez</w:t>
      </w:r>
      <w:r>
        <w:rPr>
          <w:rStyle w:val="HideTWBExt"/>
        </w:rPr>
        <w:t>&lt;/Depute&gt;</w:t>
      </w:r>
    </w:p>
    <w:p>
      <w:r>
        <w:br w:type="page"/>
      </w:r>
      <w:r>
        <w:t>PA_NonLeg</w:t>
      </w:r>
    </w:p>
    <w:p>
      <w:pPr>
        <w:sectPr>
          <w:footerReference w:type="even" r:id="rId6"/>
          <w:footerReference w:type="default" r:id="rId7"/>
          <w:footerReference w:type="first" r:id="rId8"/>
          <w:footnotePr>
            <w:numRestart w:val="eachSect"/>
          </w:footnotePr>
          <w:pgSz w:w="11909" w:h="16834"/>
          <w:pgMar w:top="1134" w:right="1417" w:bottom="1417" w:left="1417" w:header="1134" w:footer="567"/>
          <w:cols w:space="720"/>
          <w:titlePg/>
        </w:sectPr>
      </w:pPr>
    </w:p>
    <w:p>
      <w:pPr>
        <w:pStyle w:val="PageHeadingNotTOC"/>
      </w:pPr>
      <w:r>
        <w:t>POZMĚŇOVACÍ NÁVRHY</w:t>
      </w:r>
    </w:p>
    <w:p>
      <w:pPr>
        <w:pStyle w:val="Normal12a"/>
      </w:pPr>
      <w:r>
        <w:t>Výbor pro práva žen a rovnost pohlaví</w:t>
      </w:r>
      <w:r>
        <w:t xml:space="preserve"> </w:t>
      </w:r>
      <w:r>
        <w:t xml:space="preserve"> předkládá Výboru pro zaměstnanost a sociální věci jako příslušnému výboru</w:t>
      </w:r>
      <w:r>
        <w:t xml:space="preserve"> </w:t>
      </w:r>
      <w:r>
        <w:t>:</w:t>
      </w:r>
    </w:p>
    <w:p>
      <w:pPr>
        <w:pStyle w:val="AmNumberTabs"/>
      </w:pPr>
      <w:r>
        <w:rPr>
          <w:rStyle w:val="HideTWBExt"/>
        </w:rPr>
        <w:t>&lt;RepeatBlock-Amend&gt;</w:t>
      </w:r>
      <w:r>
        <w:rPr>
          <w:rStyle w:val="HideTWBExt"/>
        </w:rPr>
        <w:t>&lt;Amend&gt;</w:t>
      </w:r>
      <w:r>
        <w:t>Pozměňovací návrh</w:t>
      </w:r>
      <w:r>
        <w:tab/>
      </w:r>
      <w:r>
        <w:tab/>
      </w:r>
      <w:r>
        <w:rPr>
          <w:rStyle w:val="HideTWBExt"/>
        </w:rPr>
        <w:t>&lt;NumAm&gt;</w:t>
      </w:r>
      <w:r>
        <w:t>1</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Právní východisko -1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článek 2 a čl. 3 odst. 3 Smlouvy o Evropské unii,</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2</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Právní východisko -1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články 8, 9, 151, 153 a 157 Smlouvy o fungování Evropské unie,</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3</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Právní východisko 4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Úmluvu OSN o odstranění všech forem diskriminace žen, přijatou v roce 1979,</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4</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Právní východisko 9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Úmluvu Rady Evropy o prevenci a potírání násilí na ženách a domácího násilí („Istanbulská úmluva“), přijatou v roce 2011,</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5</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Právní východisko 10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t>s ohledem na směrnici Rady 2000/43/ES ze dne 29. června 2000, kterou se zavádí zásada rovného zacházení s osobami bez ohledu na jejich rasu nebo etnický původ</w:t>
            </w:r>
            <w:r>
              <w:rPr>
                <w:vertAlign w:val="superscript"/>
              </w:rPr>
              <w:t>1a</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 xml:space="preserve">Úř. věst. L 180, 19.7.2000, s. 22, ELI: </w:t>
            </w:r>
            <w:r>
              <w:rPr>
                <w:b/>
                <w:i/>
              </w:rPr>
              <w:t>http://data.europa.eu/eli/dir/2000/43/oj</w:t>
            </w:r>
            <w:r>
              <w:rPr>
                <w:b/>
                <w:i/>
              </w:rPr>
              <w:t>.</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6</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Právní východisko 10 b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t>s ohledem na směrnici Evropského parlamentu a Rady 2006/54/ES ze dne 5. července 2006 o zavedení zásady rovných příležitostí a rovného zacházení pro muže a ženy v oblasti zaměstnání a povolání</w:t>
            </w:r>
            <w:r>
              <w:rPr>
                <w:vertAlign w:val="superscript"/>
              </w:rPr>
              <w:t>1a</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 xml:space="preserve">Úř. věst. L 204, 26.7.2006, s. 23, ELI: </w:t>
            </w:r>
            <w:r>
              <w:rPr>
                <w:b/>
                <w:i/>
              </w:rPr>
              <w:t>http://data.europa.eu/eli/dir/2006/54/oj</w:t>
            </w:r>
            <w:r>
              <w:rPr>
                <w:b/>
                <w:i/>
              </w:rPr>
              <w:t>.</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7</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Právní východisko 10 c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t>s ohledem na směrnici Evropského parlamentu a Rady (EU) 2023/970 ze dne 10. května 2023, kterou se posiluje uplatňování zásady stejné odměny mužů a žen za stejnou práci nebo práci stejné hodnoty prostřednictvím transparentnosti odměňování a mechanismů prosazování</w:t>
            </w:r>
            <w:r>
              <w:rPr>
                <w:vertAlign w:val="superscript"/>
              </w:rPr>
              <w:t>1a</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 xml:space="preserve">Úř. věst. L 132, 17.5.2023, s. 21, ELI: </w:t>
            </w:r>
            <w:r>
              <w:rPr>
                <w:b/>
                <w:i/>
              </w:rPr>
              <w:t>http://data.europa.eu/eli/dir/2023/970/oj</w:t>
            </w:r>
            <w:r>
              <w:rPr>
                <w:b/>
                <w:i/>
              </w:rPr>
              <w:t>.</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8</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Právní východisko 10 d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t>s ohledem na směrnici Evropského parlamentu a Rady (EU) 2024/1385 ze dne 14. května 2024 o potírání násilí na ženách a domácího násilí</w:t>
            </w:r>
            <w:r>
              <w:rPr>
                <w:vertAlign w:val="superscript"/>
              </w:rPr>
              <w:t>1a</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 xml:space="preserve">Úř. věst. L, 2024/1385, 24.5.2024, ELI: </w:t>
            </w:r>
            <w:r>
              <w:rPr>
                <w:b/>
                <w:i/>
              </w:rPr>
              <w:t>http://data.europa.eu/eli/dir/2024/1385/oj</w:t>
            </w:r>
            <w:r>
              <w:rPr>
                <w:b/>
                <w:i/>
              </w:rPr>
              <w:t>.</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9</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Právní východisko 11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t>s ohledem na doporučení Komise (EU) 2024/1238 ze dne 23. dubna 2024 týkající se rozvoje a posílení integrovaných systémů ochrany dětí v nejlepším zájmu dítěte</w:t>
            </w:r>
            <w:r>
              <w:rPr>
                <w:vertAlign w:val="superscript"/>
              </w:rPr>
              <w:t>1a</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 xml:space="preserve">Úř. věst. L, 2024/1238, 14.5.2024, ELI: </w:t>
            </w:r>
            <w:r>
              <w:rPr>
                <w:b/>
                <w:i/>
              </w:rPr>
              <w:t>http://data.europa.eu/eli/reco/2024/1238/oj</w:t>
            </w:r>
            <w:r>
              <w:rPr>
                <w:b/>
                <w:i/>
              </w:rPr>
              <w:t>.</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10</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Právní východisko 12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sdělení Komise ze dne 18. září 2020 nazvané „Unie rovnosti: Akční plán EU proti rasismu na období 2020–2025“ (COM(2020)0565),</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11</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Právní východisko 12 b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 xml:space="preserve">s ohledem na sdělení Komise ze dne 12. listopadu 2020 nazvané „Unie rovnosti: </w:t>
            </w:r>
            <w:r>
              <w:t>Strategie pro rovnost LGBTIQ osob na období 2020–2025“ (</w:t>
            </w:r>
            <w:r>
              <w:rPr>
                <w:b/>
                <w:i/>
              </w:rPr>
              <w:t>COM(2020)0698</w:t>
            </w:r>
            <w:r>
              <w:t>),</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12</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Právní východisko 12 c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t>s ohledem na své usnesení ze dne 30. ledna 2020 o rozdílech v odměňování žen a mužů</w:t>
            </w:r>
            <w:r>
              <w:rPr>
                <w:vertAlign w:val="superscript"/>
              </w:rPr>
              <w:t>1a</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Úř. věst. C 331, 17.8.2021, s. 5.</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13</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Právní východisko 15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t>s ohledem na své usnesení ze dne 5. července 2022 o chudobě žen v Evropě</w:t>
            </w:r>
            <w:r>
              <w:rPr>
                <w:vertAlign w:val="superscript"/>
              </w:rPr>
              <w:t>1a</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Úř. věst. C 47, 7.2.2023, s. 2.</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14</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Právní východisko 20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sdělení Komise ze dne 7. března 2025 nazvané „Plán pro práva žen“ (COM(2025)0097),</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15</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Právní východisko 28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zprávu sdružení Make Mothers Matter nazvanou „Mothers’ Poverty in the EU“ (Chudoba matek v EU), která má být zveřejněna v září 2025,</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16</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odůvodnění A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 xml:space="preserve">vzhledem k tomu, že ženy jsou v důsledku strukturálních nerovností mezi ženami a muži i nadále neúměrně více než muži postiženy absolutní i relativní chudobou a rizikem sociálního vyloučení; vzhledem k tomu, že chudobu žen v celé její rozmanitosti je třeba chápat jako komplexní a vícerozměrný jev, který zahrnuje nejen sociální, politické a kulturní aspekty, ale také příjmy, bydlení, zdravotní péči a přístup ke vzdělávání a sociálním službám, a nemůže být vymýcen pouze zaměstnáním, nýbrž vyžaduje komplexní a inkluzivní přístup založený na prevenci i na zmírňování chudoby; </w:t>
            </w:r>
            <w:r>
              <w:t>vzhledem k tomu, že v roce 2024 byla ve všech zemích EU kromě dvou míra závažné materiální a sociální deprivace vyšší u žen (6,6 %) než u mužů (6,2 %)</w:t>
            </w:r>
            <w:r>
              <w:rPr>
                <w:vertAlign w:val="superscript"/>
              </w:rPr>
              <w:t>1a</w:t>
            </w:r>
            <w:r>
              <w:t xml:space="preserve"> a míra ohrožení chudobou nebo sociálním vyloučením byla vyšší u žen (21,9 %) než u mužů (20 %) ve všech zemích EU</w:t>
            </w:r>
            <w:r>
              <w:rPr>
                <w:vertAlign w:val="superscript"/>
              </w:rPr>
              <w:t>1b</w:t>
            </w:r>
            <w:r>
              <w:t>;</w:t>
            </w:r>
            <w:r>
              <w:rPr>
                <w:b/>
                <w:i/>
              </w:rPr>
              <w:t xml:space="preserve"> </w:t>
            </w:r>
            <w:r>
              <w:t>vzhledem k tomu, že ve stejném roce se 23,7 % žen a 22,7 % mužů v EU považovalo za chudé</w:t>
            </w:r>
            <w:r>
              <w:rPr>
                <w:vertAlign w:val="superscript"/>
              </w:rPr>
              <w:t>1c</w:t>
            </w:r>
            <w:r>
              <w:t>; vzhledem k tomu, že 21,6 % žen ve věku 65 let a více bylo ohroženo chudobou ve srovnání s přibližně 16,5 % mužů ve stejné věkové skupině</w:t>
            </w:r>
            <w:r>
              <w:rPr>
                <w:vertAlign w:val="superscript"/>
              </w:rPr>
              <w:t>1d</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Eurostat, Data Browser, „Severe material and social deprivation rate by age and sex“, https://ec.europa.eu/eurostat/databrowser/view/ilc_mdsd11__custom_17284202/bookmark/table?lang=en&amp;&amp;bookmarkId=a0f88fa5-9110-4302-a67d-d58f889214d0&amp;&amp;page=time:2024.</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1b</w:t>
            </w:r>
            <w:r>
              <w:t xml:space="preserve"> </w:t>
            </w:r>
            <w:r>
              <w:rPr>
                <w:b/>
                <w:i/>
              </w:rPr>
              <w:t>Eurostat, Data Browser, „Persons at risk of poverty or social exclusion by age and sex“, https://ec.europa.eu/eurostat/databrowser/view/ilc_peps01n__custom_17280682/bookmark/table?lang=en&amp;&amp;bookmarkId=1136c1ef-3d9f-4fda-82fb-cf7423eac65e&amp;&amp;page=time:2024.</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1c</w:t>
            </w:r>
            <w:r>
              <w:t xml:space="preserve"> </w:t>
            </w:r>
            <w:r>
              <w:rPr>
                <w:b/>
                <w:i/>
              </w:rPr>
              <w:t>Eurostat, Data Browser, „Subjective poverty by age and sex“, https://ec.europa.eu/eurostat/databrowser/view/ilc_sbjp01__custom_17284289/bookmark/table?lang=en&amp;&amp;bookmarkId=7d0decb7-866a-4494-b901-58a61bebd575&amp;&amp;page=time:2024.</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1d</w:t>
            </w:r>
            <w:r>
              <w:t xml:space="preserve"> </w:t>
            </w:r>
            <w:r>
              <w:rPr>
                <w:b/>
                <w:i/>
              </w:rPr>
              <w:t>Eurostat, Data Browser, „Persons at risk of poverty or social exclusion by age and sex“, https://ec.europa.eu/eurostat/databrowser/view/ilc_peps01n__custom_17280682/bookmark/table?lang=en&amp;&amp;bookmarkId=1136c1ef-3d9f-4fda-82fb-cf7423eac65e&amp;&amp;page=time:2024.</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17</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odůvodnění A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Ab.</w:t>
            </w:r>
            <w:r>
              <w:tab/>
            </w:r>
            <w:r>
              <w:rPr>
                <w:b/>
                <w:i/>
              </w:rPr>
              <w:t xml:space="preserve">vzhledem k tomu, že chudoba žen je příčinou i důsledkem diskriminace žen z důvodu příslušnosti ke dvěma či více skupinám, zejména žen, které čelí specifickým formám marginalizace a strukturální diskriminace na základě pohlaví, rasy, etnického původu, zdravotního postižení, věku, migračního statusu, sexuální orientace, genderové identity, náboženského vyznání nebo přesvědčení, a dále žen ze znevýhodněného socioekonomického prostředí, zejména transsexuálních a intersexuálních žen; vzhledem k tomu, že specifickým problémům a zvýšenému riziku chudoby čelí matky samoživitelky a ženy žijící v odlehlých, ostrovních a nejvzdálenějších regionech EU; vzhledem k tomu, že nedostatečné právní uznání vztahů osob stejného pohlaví a genderové identity v členských státech přispívá k vyloučení osob LGBTIQ+ ze základních sociálních služeb a dávek souvisejících s rodinou, čímž se posilují cykly chudoby a marginalizace; vzhledem k tomu, že zvláštní diskriminaci, pokud jde o vzdělávání a důstojnou práci, čelí romské ženy; </w:t>
            </w:r>
            <w:r>
              <w:t>vzhledem k tomu, že v roce 2022 bylo zaměstnáno pouze 28 % romských žen ve věku 20–64 let ve srovnání s 58 % romských mužů ve stejné věkové kategorii</w:t>
            </w:r>
            <w:r>
              <w:rPr>
                <w:vertAlign w:val="superscript"/>
              </w:rPr>
              <w:t>1a</w:t>
            </w:r>
            <w:r>
              <w:t>;</w:t>
            </w:r>
            <w:r>
              <w:rPr>
                <w:b/>
                <w:i/>
              </w:rPr>
              <w:t xml:space="preserve"> </w:t>
            </w:r>
            <w:r>
              <w:t xml:space="preserve">vzhledem k tomu, že ženy, které viditelně nosí náboženský oděv, často čelí diskriminaci v zaměstnání, včetně, podle poslední zprávy agentury FRA, 45 % muslimských </w:t>
            </w:r>
            <w:r>
              <w:rPr>
                <w:b/>
                <w:i/>
              </w:rPr>
              <w:t>žen</w:t>
            </w:r>
            <w:r>
              <w:rPr>
                <w:vertAlign w:val="superscript"/>
              </w:rPr>
              <w:t>1b</w:t>
            </w:r>
            <w:r>
              <w:t>;</w:t>
            </w:r>
            <w:r>
              <w:rPr>
                <w:b/>
                <w:i/>
              </w:rPr>
              <w:t xml:space="preserve"> vzhledem k tomu, že s mnoha formami diskriminace se při zajišťování formálního zaměstnání a bydlení potýkají migrantky, mimo jiné uprchlice a žadatelky o azyl; </w:t>
            </w:r>
            <w:r>
              <w:t>vzhledem k tomu, že migrantky trpí</w:t>
            </w:r>
            <w:r>
              <w:t xml:space="preserve"> kvůli překážkám v přístupu k zaměstnání, uznávání kvalifikací a péči o </w:t>
            </w:r>
            <w:r>
              <w:rPr>
                <w:b/>
                <w:i/>
              </w:rPr>
              <w:t>děti</w:t>
            </w:r>
            <w:r>
              <w:t xml:space="preserve"> vyšší mírou chudoby a vyloučení</w:t>
            </w:r>
            <w:r>
              <w:rPr>
                <w:vertAlign w:val="superscript"/>
              </w:rPr>
              <w:t>1c</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Agentura pro základní práva, „Roma in 10 European countries“, Úřad pro publikace Evropské unie, 2022, https://fra.europa.eu/sites/default/files/fra_uploads/fra-2022-roma-survey-2021-main-results2_en.pdf.</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1b</w:t>
            </w:r>
            <w:r>
              <w:t xml:space="preserve"> </w:t>
            </w:r>
            <w:r>
              <w:rPr>
                <w:b/>
                <w:i/>
              </w:rPr>
              <w:t>Agentura pro základní práva, „Being Muslim in the EU“, Úřad pro publikace Evropské unie, 2024, https://fra.europa.eu/sites/default/files/fra_uploads/fra-2024-being-muslim-in-the-eu_en.pdf.</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1c</w:t>
            </w:r>
            <w:r>
              <w:t xml:space="preserve"> </w:t>
            </w:r>
            <w:r>
              <w:rPr>
                <w:b/>
                <w:i/>
              </w:rPr>
              <w:t>Eurostat, Statistics Explained, „Migrant integration statistics – at risk of poverty and social exclusion“, údaje získané dne 26. září 2024, https://ec.europa.eu/eurostat/statistics-explained/index.php?title=Migrant_integration_statistics_-_at_risk_of_poverty_and_social_exclusion.</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18</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odůvodnění A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Ac.</w:t>
            </w:r>
            <w:r>
              <w:tab/>
            </w:r>
            <w:r>
              <w:rPr>
                <w:b/>
                <w:i/>
              </w:rPr>
              <w:t xml:space="preserve">vzhledem k tomu, že existuje výrazná souvislost mezi chudobou žen a dětskou chudobou; </w:t>
            </w:r>
            <w:r>
              <w:t>vzhledem k tomu, že v roce 2024 byla v celé EU míra ohrožení chudobou nebo sociálním vyloučením (24,2 % u osob mladších 18 let)</w:t>
            </w:r>
            <w:r>
              <w:rPr>
                <w:vertAlign w:val="superscript"/>
              </w:rPr>
              <w:t>1a</w:t>
            </w:r>
            <w:r>
              <w:t xml:space="preserve"> a míra závažné materiální a sociální deprivace (7,9 % u osob mladších 18 let)</w:t>
            </w:r>
            <w:r>
              <w:rPr>
                <w:vertAlign w:val="superscript"/>
              </w:rPr>
              <w:t>1b</w:t>
            </w:r>
            <w:r>
              <w:t xml:space="preserve"> nejvyšší mezi dětmi;</w:t>
            </w:r>
            <w:r>
              <w:rPr>
                <w:b/>
                <w:i/>
              </w:rPr>
              <w:t xml:space="preserve"> </w:t>
            </w:r>
            <w:r>
              <w:t>vzhledem k tomu, že v roce 2024 se 26,1 % osob v EU mladších 18 let považovalo za chudé</w:t>
            </w:r>
            <w:r>
              <w:rPr>
                <w:vertAlign w:val="superscript"/>
              </w:rPr>
              <w:t>1c</w:t>
            </w:r>
            <w:r>
              <w:t>;</w:t>
            </w:r>
            <w:r>
              <w:rPr>
                <w:b/>
                <w:i/>
              </w:rPr>
              <w:t xml:space="preserve"> </w:t>
            </w:r>
            <w:r>
              <w:t>vzhledem k tomu, že</w:t>
            </w:r>
            <w:r>
              <w:t xml:space="preserve"> v EU je chudobou nebo sociálním vyloučením ohroženo téměř každé čtvrté </w:t>
            </w:r>
            <w:r>
              <w:rPr>
                <w:b/>
                <w:i/>
              </w:rPr>
              <w:t>dítě</w:t>
            </w:r>
            <w:r>
              <w:rPr>
                <w:vertAlign w:val="superscript"/>
              </w:rPr>
              <w:t>1d</w:t>
            </w:r>
            <w:r>
              <w:t>;</w:t>
            </w:r>
            <w:r>
              <w:rPr>
                <w:b/>
                <w:i/>
              </w:rPr>
              <w:t xml:space="preserve"> </w:t>
            </w:r>
            <w:r>
              <w:t>vzhledem k tomu, že v roce 2024 žilo v EU 8 % dětí mladších 17 let v domácnostech bez zaměstnané osoby</w:t>
            </w:r>
            <w:r>
              <w:rPr>
                <w:vertAlign w:val="superscript"/>
              </w:rPr>
              <w:t>1e</w:t>
            </w:r>
            <w:r>
              <w:t>;</w:t>
            </w:r>
            <w:r>
              <w:rPr>
                <w:b/>
                <w:i/>
              </w:rPr>
              <w:t xml:space="preserve"> </w:t>
            </w:r>
            <w:r>
              <w:rPr>
                <w:b/>
                <w:i/>
              </w:rPr>
              <w:t xml:space="preserve">vzhledem k tomu, že </w:t>
            </w:r>
            <w:r>
              <w:rPr>
                <w:b/>
                <w:i/>
              </w:rPr>
              <w:t>ekonomické posílení matek má přímý a trvalý pozitivní vliv na blaho dětí a je zásadní pro prolomení mezigeneračních cyklů chudoby a zajištění rovných příležitostí pro děti;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Eurostat, Data Browser, „Persons at risk of poverty or social exclusion by age and sex“, https://ec.europa.eu/eurostat/databrowser/bookmark/1136c1ef-3d9f-4fda-82fb-cf7423eac65e?lang=en&amp;&amp;page=time:2024.</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1b</w:t>
            </w:r>
            <w:r>
              <w:t xml:space="preserve"> </w:t>
            </w:r>
            <w:r>
              <w:rPr>
                <w:b/>
                <w:i/>
              </w:rPr>
              <w:t>Eurostat, Data Browser, „Severe material and social deprivation rate by age and sex“, https://ec.europa.eu/eurostat/databrowser/view/ilc_mdsd11__custom_17284216/bookmark/table?lang=en&amp;&amp;bookmarkId=a3bbdd78-6da8-43f5-8b3b-b2eb4a3ddadc&amp;&amp;page=time:2024.</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1c</w:t>
            </w:r>
            <w:r>
              <w:t xml:space="preserve"> </w:t>
            </w:r>
            <w:r>
              <w:rPr>
                <w:b/>
                <w:i/>
              </w:rPr>
              <w:t>Eurostat, Data Browser, „Subjective poverty by age and sex“, https://ec.europa.eu/eurostat/databrowser/view/ilc_sbjp01__custom_17284300/bookmark/table?lang=en&amp;&amp;bookmarkId=a2e1c6ea-e1ca-43ca-a78c-5bb0645fdd77&amp;&amp;page=time:2024.</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1d</w:t>
            </w:r>
            <w:r>
              <w:t xml:space="preserve"> </w:t>
            </w:r>
            <w:r>
              <w:rPr>
                <w:b/>
                <w:i/>
              </w:rPr>
              <w:t>Eurostat, Data Browser, „Persons at risk of poverty or social exclusion by age and sex“, https://ec.europa.eu/eurostat/databrowser/view/ilc_peps01n__custom_17501965/.</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1e</w:t>
            </w:r>
            <w:r>
              <w:t xml:space="preserve"> </w:t>
            </w:r>
            <w:r>
              <w:rPr>
                <w:b/>
                <w:i/>
              </w:rPr>
              <w:t>Eurostat, Statistics Explained, „Household composition statistics“, https://ec.europa.eu/eurostat/statistics-explained/index.php?title=Household_composition_statistics#Data_sources.</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19</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odůvodnění A d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Ad.</w:t>
            </w:r>
            <w:r>
              <w:tab/>
            </w:r>
            <w:r>
              <w:rPr>
                <w:b/>
                <w:i/>
              </w:rPr>
              <w:t xml:space="preserve">vzhledem k tomu, že rodiny s jedním rodičem jsou více ohroženy chudobou a sociálním vyloučením a existuje u nich větší pravděpodobnost, že chudoba bude přetrvávat po několik generací; </w:t>
            </w:r>
            <w:r>
              <w:t xml:space="preserve">vzhledem k tomu, že přibližně každé šesté dítě v EU (17 </w:t>
            </w:r>
            <w:r>
              <w:rPr>
                <w:b/>
                <w:i/>
              </w:rPr>
              <w:t>%</w:t>
            </w:r>
            <w:r>
              <w:t>)</w:t>
            </w:r>
            <w:r>
              <w:rPr>
                <w:vertAlign w:val="superscript"/>
              </w:rPr>
              <w:t>1a</w:t>
            </w:r>
            <w:r>
              <w:t xml:space="preserve"> vyrůstá v domácnosti s jedním rodičem;</w:t>
            </w:r>
            <w:r>
              <w:rPr>
                <w:b/>
                <w:i/>
              </w:rPr>
              <w:t xml:space="preserve"> </w:t>
            </w:r>
            <w:r>
              <w:t xml:space="preserve">vzhledem k tomu, že v čele většiny domácností s jedním rodičem stojí </w:t>
            </w:r>
            <w:r>
              <w:rPr>
                <w:b/>
                <w:i/>
              </w:rPr>
              <w:t>ženy</w:t>
            </w:r>
            <w:r>
              <w:rPr>
                <w:vertAlign w:val="superscript"/>
              </w:rPr>
              <w:t>1b</w:t>
            </w:r>
            <w:r>
              <w:t>;</w:t>
            </w:r>
            <w:r>
              <w:rPr>
                <w:b/>
                <w:i/>
              </w:rPr>
              <w:t xml:space="preserve"> </w:t>
            </w:r>
            <w:r>
              <w:t>vzhledem k tomu, že domácnosti s jedním rodičem, zejména ty, v jejichž čele stojí ženy (více než 32 %) jsou vystaveny neúměrně vysokému riziku chudoby, zatímco u rodin se dvěma rodiči je to jen 11,2 %</w:t>
            </w:r>
            <w:r>
              <w:rPr>
                <w:vertAlign w:val="superscript"/>
              </w:rPr>
              <w:t>1c</w:t>
            </w:r>
            <w:r>
              <w:t>;</w:t>
            </w:r>
            <w:r>
              <w:rPr>
                <w:b/>
                <w:i/>
              </w:rPr>
              <w:t xml:space="preserve"> vzhledem k tomu, že chudoba zůstává jedním z faktorů, které přispívají k rozdělení rodin v EU; </w:t>
            </w:r>
            <w:r>
              <w:t>vzhledem k tomu, že chudobou a sociálním vyloučením je v EU ohroženo bezmála 20 milionů dětí, tedy každé čtvrté dítě</w:t>
            </w:r>
            <w:r>
              <w:rPr>
                <w:vertAlign w:val="superscript"/>
              </w:rPr>
              <w:t>1d</w:t>
            </w:r>
            <w:r>
              <w:t>, a vzhledem k tomu, že současný trend nesplní cíl snížit do roku 2030 počet dětí žijících v chudobě nejméně o 5 milionů</w:t>
            </w:r>
            <w:r>
              <w:rPr>
                <w:vertAlign w:val="superscript"/>
              </w:rPr>
              <w:t>1e</w:t>
            </w:r>
            <w:r>
              <w:t>;</w:t>
            </w:r>
            <w:r>
              <w:rPr>
                <w:b/>
                <w:i/>
              </w:rPr>
              <w:t xml:space="preserve"> vzhledem k tomu, že dětská chudoba je jednou z forem chudoby, kterou je třeba vymýtit nejnaléhavěji a jejíž vymýcení je nejobtížnější, a přitom má dlouhodobé důsledky pro rozvoj a životní šance dětí a budoucnost naší společnosti; </w:t>
            </w:r>
            <w:r>
              <w:t>vzhledem k tomu, že jsou pozorovány značné rozdíly, pokud jde o děti z etnického nebo přistěhovaleckého prostředí a děti se zdravotním postižením</w:t>
            </w:r>
            <w:r>
              <w:rPr>
                <w:vertAlign w:val="superscript"/>
              </w:rPr>
              <w:t>1f</w:t>
            </w:r>
            <w:r>
              <w:t>;</w:t>
            </w:r>
            <w:r>
              <w:rPr>
                <w:b/>
                <w:i/>
              </w:rPr>
              <w:t xml:space="preserve"> </w:t>
            </w:r>
            <w:r>
              <w:t>vzhledem k tomu, že skutečnost, že mají děti, dále zvyšuje riziko chudoby u rodičů samoživitelů, což je riziko, jež se neúměrně dotýká žen, které jsou za péči o děti nejčastěji zodpovědné a u nichž je téměř dvakrát vyšší pravděpodobnost, že nebudou pracovat, než u otců samoživitelů, a že více než třetina pracujících matek samoživitelek je zaměstnána pouze na částečný úvazek</w:t>
            </w:r>
            <w:r>
              <w:rPr>
                <w:vertAlign w:val="superscript"/>
              </w:rPr>
              <w:t>1g</w:t>
            </w:r>
            <w:r>
              <w:t>;</w:t>
            </w:r>
            <w:r>
              <w:t xml:space="preserve"> </w:t>
            </w:r>
            <w:r>
              <w:t>vzhledem k tomu, že umožní-li se matkám více vydělávat a dosáhnout finanční stability, bude to působit jako silná a účinná páka pro snížení chudoby dětí;</w:t>
            </w:r>
            <w:r>
              <w:rPr>
                <w:b/>
                <w:i/>
              </w:rPr>
              <w:t xml:space="preserve"> vzhledem k tomu, že některé obce v členských státech uznaly zvláštní výzvy, jimž matky samoživitelky čelí, a zavedly cílené politiky a podpůrná opatření;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Eurostat, „Young people – family and society“, https://ec.europa.eu/eurostat/statistics-explained/index.php?title=Young_people_-_family_and_society.</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1b</w:t>
            </w:r>
            <w:r>
              <w:t xml:space="preserve"> </w:t>
            </w:r>
            <w:r>
              <w:rPr>
                <w:b/>
                <w:i/>
              </w:rPr>
              <w:t>Eurostat, Statistics Explained, „Household composition statistics“, ze dne 23. června 2025, https://ec.europa.eu/eurostat/statistics-explained/index.php?title=Household_composition_statistics#Data_sources.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1c</w:t>
            </w:r>
            <w:r>
              <w:t xml:space="preserve"> </w:t>
            </w:r>
            <w:r>
              <w:rPr>
                <w:b/>
                <w:i/>
              </w:rPr>
              <w:t>Eurostat, „At-risk-of-poverty rate by poverty threshold and household type“, https://ec.europa.eu/eurostat/databrowser/view/ilc_li03/default/table?lang=en.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1d</w:t>
            </w:r>
            <w:r>
              <w:t xml:space="preserve"> </w:t>
            </w:r>
            <w:r>
              <w:rPr>
                <w:b/>
                <w:i/>
              </w:rPr>
              <w:t>Eurostat, Statistics Explained, „Children at risk of poverty or social exclusion“, https://ec.europa.eu/eurostat/statistics-explained/index.php?title=Children_at_risk_of_poverty_or_social_exclusion.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1e</w:t>
            </w:r>
            <w:r>
              <w:t xml:space="preserve"> </w:t>
            </w:r>
            <w:r>
              <w:rPr>
                <w:b/>
                <w:i/>
              </w:rPr>
              <w:t>Sdělení Komise ze dne 4. března 2021 nazvané „Akční plán pro evropský pilíř sociálních práv“ (COM(2021)0102).</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1f</w:t>
            </w:r>
            <w:r>
              <w:t xml:space="preserve"> </w:t>
            </w:r>
            <w:r>
              <w:rPr>
                <w:b/>
                <w:i/>
              </w:rPr>
              <w:t>UNICEF, „The Child Poverty Policy Brief“, 2024, https://www.unicef.org/eu/documents/policy-brief-child-poverty.</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1g</w:t>
            </w:r>
            <w:r>
              <w:t xml:space="preserve"> </w:t>
            </w:r>
            <w:r>
              <w:rPr>
                <w:b/>
                <w:i/>
              </w:rPr>
              <w:t>Evropský institut pro rovnost žen a mužů (EIGE), „Beijing + 25</w:t>
            </w:r>
            <w:r>
              <w:rPr>
                <w:b/>
                <w:i/>
              </w:rPr>
              <w:t xml:space="preserve">: </w:t>
            </w:r>
            <w:r>
              <w:rPr>
                <w:b/>
                <w:i/>
              </w:rPr>
              <w:t>the fifth review of the implementation of the Beijing Platform for Action in the EU Member States“, https://eige.europa.eu/sites/default/files/documents/20190441_mh0119039enn_pdf.pdf.</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20</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odůvodnění A e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Ae.</w:t>
            </w:r>
            <w:r>
              <w:tab/>
            </w:r>
            <w:r>
              <w:rPr>
                <w:b/>
                <w:i/>
              </w:rPr>
              <w:t xml:space="preserve">vzhledem k tomu, že existuje silná souvislost mezi chudobou a genderově podmíněným násilím a že chudoba zhoršuje dopad genderově podmíněného násilí, zejména na ženy v marginalizovaných situacích, jako jsou osoby LGBTIQ+; </w:t>
            </w:r>
            <w:r>
              <w:t>vzhledem k tomu, že ženy žijící v chudobě čelí vyššímu riziku násilí, včetně násilí mezi partnery a domácího násilí, a to kvůli faktorům, jako je finanční závislost, nejistota bydlení a omezený přístup k podpůrným službám</w:t>
            </w:r>
            <w:r>
              <w:rPr>
                <w:vertAlign w:val="superscript"/>
              </w:rPr>
              <w:t>1a</w:t>
            </w:r>
            <w:r>
              <w:t>;</w:t>
            </w:r>
            <w:r>
              <w:rPr>
                <w:b/>
                <w:i/>
              </w:rPr>
              <w:t xml:space="preserve"> </w:t>
            </w:r>
            <w:r>
              <w:t>vzhledem k tomu, že v EU-27 zažilo během svého života fyzické násilí či vyhrožování nebo sexuální násilí ze strany jakéhokoli pachatele 30,7 % žen</w:t>
            </w:r>
            <w:r>
              <w:rPr>
                <w:vertAlign w:val="superscript"/>
              </w:rPr>
              <w:t>1b</w:t>
            </w:r>
            <w:r>
              <w:t>;</w:t>
            </w:r>
            <w:r>
              <w:rPr>
                <w:b/>
                <w:i/>
              </w:rPr>
              <w:t xml:space="preserve"> vzhledem k tomu, že chudoba vystavuje ženy většímu riziku obchodování s lidmi a sexuálního vykořisťování;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Evropský institut pro rovnost žen a mužů (EIGE), https://eige.europa.eu/sites/default/files/documents/financial-independence-and-gender-equality.pdf.</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1b</w:t>
            </w:r>
            <w:r>
              <w:t xml:space="preserve"> </w:t>
            </w:r>
            <w:r>
              <w:rPr>
                <w:b/>
                <w:i/>
              </w:rPr>
              <w:t>Evropský institut pro rovnost žen a mužů (EIGE), „EU gender-based violence survey“, https://eige.europa.eu/newsroom/eu-gender-based-violence-survey.</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21</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odůvodnění A f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Af.</w:t>
            </w:r>
            <w:r>
              <w:tab/>
            </w:r>
            <w:r>
              <w:rPr>
                <w:b/>
                <w:i/>
              </w:rPr>
              <w:t>vzhledem k tomu, že ženy, které zakoušejí bezdomovectví, jsou často neviditelné ve statistikách a čelí genderově podmíněným cestám k bezdomovectví; vzhledem k tomu, že normativní definice bezdomovectví často nezachycují realitu žen, která se liší od situace mužů, neboť u žen je menší pravděpodobnost, že zůstanou spát na ulici, a větší pravděpodobnost, že se spolehnou na neformální nebo dočasné ubytování, což představuje riziko genderově podmíněného násilí a ztráty práva na péči o své děti; vzhledem k tomu, že osoby LGBTIQ+, zejména transgenderové osoby a osoby bez domova, čelí zvýšenému riziku chudoby a sociálního vyloučení v důsledku strukturální diskriminace v oblasti zaměstnání, bydlení, zdravotní péče a přístupu k systémům sociální ochrany;</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22</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odůvodnění A g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Ag.</w:t>
            </w:r>
            <w:r>
              <w:tab/>
            </w:r>
            <w:r>
              <w:rPr>
                <w:b/>
                <w:i/>
              </w:rPr>
              <w:t xml:space="preserve">vzhledem k tomu, že hlavní příčinou nerovností mezi muži a ženami v příjmech, kariérním postupu a důchodech zůstává neplacená a nedostatečně placená pečovatelská práce, kterou neúměrně vykonávají ženy, což vede k nižším celoživotním příjmům a výrazným rozdílům v důchodech mezi muži a ženami; </w:t>
            </w:r>
            <w:r>
              <w:t>vzhledem k tomu, že ženy obvykle žijí déle a je pravděpodobnější, že budou ve stáří potřebovat dlouhodobou péči</w:t>
            </w:r>
            <w:r>
              <w:rPr>
                <w:vertAlign w:val="superscript"/>
              </w:rPr>
              <w:t>1a</w:t>
            </w:r>
            <w:r>
              <w:t>;</w:t>
            </w:r>
            <w:r>
              <w:rPr>
                <w:b/>
                <w:i/>
              </w:rPr>
              <w:t xml:space="preserve"> </w:t>
            </w:r>
            <w:r>
              <w:t>vzhledem k tomu, že většina pracovníků dlouhodobé péče jsou rovněž ženy, z nichž mnohé jsou migrantky</w:t>
            </w:r>
            <w:r>
              <w:rPr>
                <w:vertAlign w:val="superscript"/>
              </w:rPr>
              <w:t>1b</w:t>
            </w:r>
            <w:r>
              <w:t>;</w:t>
            </w:r>
            <w:r>
              <w:rPr>
                <w:b/>
                <w:i/>
              </w:rPr>
              <w:t xml:space="preserve"> </w:t>
            </w:r>
            <w:r>
              <w:t>vzhledem k tomu, že v roce 2021 byly mzdy v odvětví dlouhodobé péče a dalších sociálních služeb o 21 % nižší než průměrná mzda</w:t>
            </w:r>
            <w:r>
              <w:rPr>
                <w:vertAlign w:val="superscript"/>
              </w:rPr>
              <w:t>1c</w:t>
            </w:r>
            <w:r>
              <w:t>;</w:t>
            </w:r>
            <w:r>
              <w:rPr>
                <w:b/>
                <w:i/>
              </w:rPr>
              <w:t xml:space="preserve"> vzhledem k tomu, že genderově podmíněná horizontální segregace na trhu práce přispívá k přetrvávajícím nerovnostem v odměňování;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Odbor OSN pro ekonomické a sociální otázky (UNDESA), „The growing need for long-term care“, https://www.un.org/esa/socdev/ageing/documents/un-ageing_briefing-paper_Long-term-care.pdf.</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1b</w:t>
            </w:r>
            <w:r>
              <w:t xml:space="preserve"> </w:t>
            </w:r>
            <w:r>
              <w:rPr>
                <w:b/>
                <w:i/>
              </w:rPr>
              <w:t>Evropský institut pro rovnost žen a mužů (EIGE), „Gender inequalities in care and consequences for the labour market“, Úřad pro publikace Evropské unie, 2021, https://eige.europa.eu/sites/default/files/documents/20204948_mh0220888enn_pdf.pdf.</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1c</w:t>
            </w:r>
            <w:r>
              <w:t xml:space="preserve"> </w:t>
            </w:r>
            <w:r>
              <w:rPr>
                <w:b/>
                <w:i/>
              </w:rPr>
              <w:t>Eurofound, „Wages in long-term care and other social services 21 % under average“, 2021, https://www.eurofound.europa.eu/en/resources/article/2021/wages-long-term-care-and-other-social-services-21-below-average.</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23</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odůvodnění A h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Ah.</w:t>
            </w:r>
            <w:r>
              <w:tab/>
            </w:r>
            <w:r>
              <w:rPr>
                <w:b/>
                <w:i/>
              </w:rPr>
              <w:t xml:space="preserve">vzhledem k tomu, že ekonomická nečinnost a nezaměstnanost podstatně zvyšují riziko chudoby a sociálního vyloučení žen i mužů; </w:t>
            </w:r>
            <w:r>
              <w:t>vzhledem k tomu, že v roce 2024 činil rozdíl v zaměstnanosti žen a mužů v EU 10,0 procentního bodu, což znamená, že podíl zaměstnaných mužů v produktivním věku byl o 10,0 procentního bodu vyšší než podíl žen</w:t>
            </w:r>
            <w:r>
              <w:rPr>
                <w:vertAlign w:val="superscript"/>
              </w:rPr>
              <w:t>1a</w:t>
            </w:r>
            <w:r>
              <w:t>;</w:t>
            </w:r>
            <w:r>
              <w:rPr>
                <w:b/>
                <w:i/>
              </w:rPr>
              <w:t xml:space="preserve"> </w:t>
            </w:r>
            <w:r>
              <w:t>vzhledem k tomu, že u romských žen je míra zaměstnanosti ještě nižší, konkrétně o 28 %</w:t>
            </w:r>
            <w:r>
              <w:rPr>
                <w:vertAlign w:val="superscript"/>
              </w:rPr>
              <w:t>1b</w:t>
            </w:r>
            <w:r>
              <w:t>;</w:t>
            </w:r>
            <w:r>
              <w:rPr>
                <w:b/>
                <w:i/>
              </w:rPr>
              <w:t xml:space="preserve"> </w:t>
            </w:r>
            <w:r>
              <w:t>vzhledem k tomu, že v roce 2023 činil rozdíl v odměňování žen a mužů v EU 12 %</w:t>
            </w:r>
            <w:r>
              <w:rPr>
                <w:b/>
                <w:i/>
                <w:vertAlign w:val="superscript"/>
              </w:rPr>
              <w:t>1c</w:t>
            </w:r>
            <w:r>
              <w:rPr>
                <w:b/>
                <w:i/>
              </w:rPr>
              <w:t xml:space="preserve">; vzhledem k tomu, že </w:t>
            </w:r>
            <w:r>
              <w:t>ženy jsou neúměrně vysoce zastoupeny v málo placených, nejistých pracovních odvětvích a v pružných formách práce s atypickými a flexibilními smlouvami (práce na částečný úvazek, dočasná práce atd.);</w:t>
            </w:r>
            <w:r>
              <w:rPr>
                <w:b/>
                <w:i/>
              </w:rPr>
              <w:t xml:space="preserve"> vzhledem k tomu, že ačkoli je práce v sektorech, jimž do velké míry dominují ženy, nezbytná a má velkou socioekonomickou hodnotu, je tato práce často podhodnocená a hůře placená než práce v sektorech, kterým dominují muži; vzhledem k tomu, že v sektorech, jimž dominují ženy, je naléhavě nutné přehodnotit přiměřenost mezd ve vztahu k jejich společensko-ekonomické hodnotě a dosáhnout pokroku v unijní regulaci minimálních mezd, minimálního příjmu a transparentnosti platů; vzhledem k tomu, že ženy se potýkají s diskriminací v těhotenství a mateřství a v důsledku pečovatelských povinností i s předčasným odchodem z trhu práce do důchodu a že na jejich zdravotní či sociální situaci mají vliv menopauzální potíže; </w:t>
            </w:r>
            <w:r>
              <w:t xml:space="preserve">vzhledem k tomu, že pouze 20,7 % žen se zdravotním postižením je zaměstnáno na plný </w:t>
            </w:r>
            <w:r>
              <w:rPr>
                <w:b/>
                <w:i/>
              </w:rPr>
              <w:t>úvazek</w:t>
            </w:r>
            <w:r>
              <w:rPr>
                <w:vertAlign w:val="superscript"/>
              </w:rPr>
              <w:t>1d</w:t>
            </w:r>
            <w:r>
              <w:t>;</w:t>
            </w:r>
            <w:r>
              <w:rPr>
                <w:b/>
                <w:i/>
              </w:rPr>
              <w:t xml:space="preserve"> </w:t>
            </w:r>
            <w:r>
              <w:t>vzhledem k tomu, že u transsexuálních žen je pravděpodobnost nezaměstnanosti třikrát vyšší než u běžné populace</w:t>
            </w:r>
            <w:r>
              <w:rPr>
                <w:vertAlign w:val="superscript"/>
              </w:rPr>
              <w:t>1e</w:t>
            </w:r>
            <w:r>
              <w:t>;</w:t>
            </w:r>
            <w:r>
              <w:rPr>
                <w:b/>
                <w:i/>
              </w:rPr>
              <w:t xml:space="preserve"> vzhledem k tomu, že migrantky, včetně uprchlic, se potýkají s vícenásobnými formami diskriminace, pokud jde o zaměstnání a bydlení; vzhledem k tomu, že přetrvávání rozdílů v odměňování žen a mužů přispívá k celoživotní hospodářské nerovnosti, mimo jiné k rozdílům ve výši důchodů a zvýšenému riziku chudoby starších žen, což zhoršuje konkurenceschopnost v EU; vzhledem k tomu, že tento rozdíl v odměňování je způsoben faktory, k nimž patří profesní segregace, rozdílná pracovní doba a nerovné zastoupení ve vedoucích funkcích a které společně brání ekonomické nezávislosti a sociálnímu zabezpečení žen; vzhledem k tomu, že řešení rozdílů v odměňování žen a mužů je zásadně důležité pro dosažení spravedlivých trhů práce a snížení genderově podmíněné chudoby ve všech věkových skupinách; </w:t>
            </w:r>
            <w:r>
              <w:t>vzhledem k tomu, že v roce 2024 pobíraly ženy v EU v průměru o 26,1 % nižší důchod než muži a 5,3 % žen nepobíralo důchod vůbec</w:t>
            </w:r>
            <w:r>
              <w:rPr>
                <w:vertAlign w:val="superscript"/>
              </w:rPr>
              <w:t>1f</w:t>
            </w:r>
            <w:r>
              <w:t>;</w:t>
            </w:r>
            <w:r>
              <w:rPr>
                <w:b/>
                <w:i/>
              </w:rPr>
              <w:t xml:space="preserve"> vzhledem k tomu, že tento stav je důsledkem nerovnováhy způsobené nerovnostmi, jež přetrvávají celý život; vzhledem k tomu, že rozdíl ve výši důchodů způsobuje, že u žen roste s věkem pravděpodobnost, že klesnou pod hranici chudoby, přičemž je třeba si uvědomit, že u žen je délka dožití vyšší než u mužů, což prohlubuje důsledky chudoby a sociálního vyloučení; vzhledem k tomu, že příjmová nerovnost zůstává v celé EU velkým problémem; vzhledem k tomu, že navzdory celkovému hospodářskému růstu vzrostly příjmy neúměrně lidem s nejvyššími příjmy, zatímco domácnosti s nízkými a středními příjmy zaznamenaly pouze marginální zlepšení; </w:t>
            </w:r>
            <w:r>
              <w:t>vzhledem k tomu, že v roce 2023 činil Giniho koeficient pro ekvivalizovaný disponibilní příjem v EU 29,6 %, což poukazuje na přetrvávající rozdíly v rozdělování příjmů</w:t>
            </w:r>
            <w:r>
              <w:rPr>
                <w:vertAlign w:val="superscript"/>
              </w:rPr>
              <w:t>1g</w:t>
            </w:r>
            <w:r>
              <w:t>;</w:t>
            </w:r>
            <w:r>
              <w:rPr>
                <w:b/>
                <w:i/>
              </w:rPr>
              <w:t xml:space="preserve"> vzhledem k tomu, že se očekává, že rozdíly v chudobě žen a mužů se do roku 2030 prohloubí, neboť ženy budou ve světě i nadále tvořit většinu extrémně chudých osob, a tento rozdíl se s ohledem na genderové rozdíly ve vzdělávání v přírodních vědách, technologiích, inženýrství a matematice (STEM) a s ohledem na rozdíly v některých odvětvích zaměstnanosti, jako je obrana a letectví, informační a komunikační technologie (IKT) a energetika, může s digitalizací našich trhů práce dále prohlubovat;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Eurostat, Statistics Explained, „Gender statistics“, ze dne 23. června 2025, https://ec.europa.eu/eurostat/statistics-explained/index.php?title=Gender_statistics.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1b</w:t>
            </w:r>
            <w:r>
              <w:t xml:space="preserve"> </w:t>
            </w:r>
            <w:r>
              <w:rPr>
                <w:b/>
                <w:i/>
              </w:rPr>
              <w:t>Agentura pro základní práva, „Roma in 10 European countries“, 2022, https://fra.europa.eu/sites/default/files/fra_uploads/fra-2022-roma-survey-2021-main-results2_en.pdf.</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1c</w:t>
            </w:r>
            <w:r>
              <w:t xml:space="preserve"> </w:t>
            </w:r>
            <w:r>
              <w:rPr>
                <w:b/>
                <w:i/>
              </w:rPr>
              <w:t>Eurostat, Statistics Explained, „Gender pay gap statistics“, údaje získané v březnu 2025, https://ec.europa.eu/eurostat/statistics-explained/index.php?title=Gender_pay_gap_statistics.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1d</w:t>
            </w:r>
            <w:r>
              <w:t xml:space="preserve"> </w:t>
            </w:r>
            <w:r>
              <w:rPr>
                <w:b/>
                <w:i/>
              </w:rPr>
              <w:t>Evropské fórum zdravotně postižených, „2023 EU Gender Equality Index: Women with disabilities still left behind“, 2023, https://www.edf-feph.org/2023-eu-gender-equality-index-women-with-disabilities-still-left-behind/#:~:text=22%25%20of%20women%20with%20disabilities,15%25%20of%20men%20without%20disabilities.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1e</w:t>
            </w:r>
            <w:r>
              <w:t xml:space="preserve"> </w:t>
            </w:r>
            <w:r>
              <w:rPr>
                <w:b/>
                <w:i/>
              </w:rPr>
              <w:t>Evropská komise, Ředitelství pro spravedlnost a spotřebitele, „Legal gender recognition in the EU“ („Právní uznávání genderu v EU“), Úřad pro publikace Evropské unie, 2020, https://commission.europa.eu/system/files/2020-09/legal_gender_recognition_in_the_eu_the_journeys_of_trans_people_towards_full_equality_sept_en.pdf.</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1f</w:t>
            </w:r>
            <w:r>
              <w:t xml:space="preserve"> </w:t>
            </w:r>
            <w:r>
              <w:rPr>
                <w:b/>
                <w:i/>
              </w:rPr>
              <w:t>Evropská komise, Generální ředitelství pro zaměstnanost, sociální věci a sociální začleňování a Výbor pro sociální ochranu, „The 2024 pension adequacy report“ („Zpráva o přiměřenosti důchodů 2024“), Úřad pro publikace Evropské unie, 2024, https://employment-social-affairs.ec.europa.eu/pension-adequacy-report-current-and-future-income-adequacy-old-age-eu_en.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1g</w:t>
            </w:r>
            <w:r>
              <w:t xml:space="preserve"> </w:t>
            </w:r>
            <w:r>
              <w:rPr>
                <w:b/>
                <w:i/>
              </w:rPr>
              <w:t>Eurostat, Data Browser, „Living conditions in Europe – income distribution and income inequality“, https://ec.europa.eu/eurostat/statistics-explained/index.php?title=Living_conditions_in_Europe_-_income_distribution_and_income_inequality.</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24</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odůvodnění A i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Ai.</w:t>
            </w:r>
            <w:r>
              <w:tab/>
            </w:r>
            <w:r>
              <w:t>vzhledem k tomu, že v roce 2024 pobíraly ženy v EU v průměru o 26,1 % nižší důchod než muži a 5,3 % žen nepobíralo důchod vůbec</w:t>
            </w:r>
            <w:r>
              <w:rPr>
                <w:vertAlign w:val="superscript"/>
              </w:rPr>
              <w:t>1a</w:t>
            </w:r>
            <w:r>
              <w:t>;</w:t>
            </w:r>
            <w:r>
              <w:rPr>
                <w:b/>
                <w:i/>
              </w:rPr>
              <w:t xml:space="preserve"> vzhledem k tomu, že tento stav je důsledkem nerovnováhy způsobené nerovnostmi, jež přetrvávají celý život; vzhledem k tomu, že rozdíl ve výši důchodů způsobuje, že u žen roste s věkem pravděpodobnost, že klesnou pod hranici chudoby, přičemž je třeba si uvědomit, že u žen je délka dožití vyšší než u mužů, což prohlubuje důsledky chudoby a sociálního vyloučení; vzhledem k tomu, že k odstranění rozdílů ve výši důchodů mezi ženami a muži přispěje větší začlenění do pracovního procesu během celého života;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Evropská komise, Generální ředitelství pro zaměstnanost, sociální věci a sociální začleňování a Výbor pro sociální ochranu, „The 2024 pension adequacy report“ („Zpráva o přiměřenosti důchodů 2024“), Úřad pro publikace Evropské unie, 2024.</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25</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odůvodnění A j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Aj.</w:t>
            </w:r>
            <w:r>
              <w:tab/>
            </w:r>
            <w:r>
              <w:rPr>
                <w:b/>
                <w:i/>
              </w:rPr>
              <w:t>vzhledem k tomu, že „časovou chudobou“ se rozumí absence času, který zůstává k dispozici po odečtení doby potřebné pro placené zaměstnání a pro neplacenou práci (včetně pečovatelství), studium nebo jiné základní životní potřeby, jako je duševní a fyzická péče o sebe sama; vzhledem k tomu, že časová chudoba připravuje ženy o čas nebo nezávislost, jež jsou nezbytné pro to, aby měly zajištěny důstojné pracovní podmínky, finanční nezávislost, odbornou přípravu, přístup k základním zdrojům nebo k minimálním službám, jež zaručují zdravý život a umožňují plné zapojení do místní komunity nebo společnosti; vzhledem k tomu, že časová chudoba omezuje možnosti žen zapojit se do dlouhodobého zaměstnání na plný úvazek, omezuje jejich výdělečný potenciál a zvyšuje jejich závislost na práci za nízkou mzdu nebo na částečný úvazek, snižuje jejich příspěvky na důchod a zvyšuje jejich finanční závislost ve stáří; vzhledem k tomu, že tato překrývající se znevýhodnění zdůrazňují naléhavou potřebu propojit rovnost žen a mužů se zajištěním příjmů a komplexními reformami politiky péče; vzhledem k tomu, že řešení časové chudoby vyžaduje zásadní přehodnocení způsobu organizace, oceňování a přerozdělování péče a práce v domácnosti ve společenském měřítku; vzhledem k tomu, že je naléhavě nutné propojit spravedlnost v oblasti péče s ekonomickou spravedlností a zpochybnit systémy, které komodifikují práci a zároveň získávají hodnotu z neplacené a neviditelné práce, kterou vykonávají převážně ženy;</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26</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odůvodnění A k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k.</w:t>
            </w:r>
            <w:r>
              <w:tab/>
            </w:r>
            <w:r>
              <w:rPr>
                <w:b/>
                <w:i/>
              </w:rPr>
              <w:t>vzhledem k tomu, že ženy jsou nadměrně zastoupeny mezi osobami, které se potýkají s energetickou chudobou, jsou více závislé na přírodních zdrojích a mají méně majetku nebo zdrojů, aby se mohly přizpůsobit dopadům změny klimatu; vzhledem k tomu, že energetická krize a rostoucí životní náklady, zejména v souvislosti s bydlením, snižují finanční schopnost žen vybudovat si autonomní existenci, což ženám bez příjmu nebo s nízkými příjmy ztěžuje možnost vymanit se z domácího násilí;</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27</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odůvodnění A l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Al.</w:t>
            </w:r>
            <w:r>
              <w:tab/>
            </w:r>
            <w:r>
              <w:rPr>
                <w:b/>
                <w:i/>
              </w:rPr>
              <w:t>vzhledem k tomu, že menstruační chudoba, což znamená nedostatečný přístup k menstruačním hygienickým potřebám a zařízením, postihuje podle odhadů 10 % menstruující populace v Unii a neúměrně postihuje marginalizované a zranitelné skupiny, což omezuje jejich účast na společenském, vzdělávacím a profesním životě; zdůrazňuje, že chudoba spojená s menstruací zůstává v EU trvalou překážkou rovnosti žen a mužů, neboť ženy a dívky s nízkými příjmy jsou často nuceny volit mezi menstruačními hygienickými potřebami a dalšími základními potřebami;</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28</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odůvodnění A m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Am.</w:t>
            </w:r>
            <w:r>
              <w:tab/>
            </w:r>
            <w:r>
              <w:rPr>
                <w:b/>
                <w:i/>
              </w:rPr>
              <w:t xml:space="preserve">vzhledem k tomu, že lidé afrického původu jsou více ohroženi chudobou, sociálním vyloučením a energetickou chudobou než ostatní obyvatelé EU; vzhledem k tomu, že 33 % osob afrického původu má problémy vyjít s penězi; vzhledem k tomu, že každé čtvrté osobě afrického původu byl odmítnut nájem na základě jejího rasového nebo etnického původu; </w:t>
            </w:r>
            <w:r>
              <w:t>vzhledem k tomu, že 45 % osob afrického původu žije v přelidněných bytech</w:t>
            </w:r>
            <w:r>
              <w:rPr>
                <w:vertAlign w:val="superscript"/>
              </w:rPr>
              <w:t>1a</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Agentura EU pro základní práva, „Being Black in the EU“, Úřad pro publikace Evropské unie, 2024, https://fra.europa.eu/sites/default/files/fra_uploads/fra-2023-being-black_in_the_eu_en.pdf.</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29</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odůvodnění A n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An.</w:t>
            </w:r>
            <w:r>
              <w:tab/>
            </w:r>
            <w:r>
              <w:t>vzhledem k tomu, že v EU existuje 24% rozdíl v zaměstnanosti mezi osobami se zdravotním postižením a bez něj, přičemž u žen a mladých lidí se zdravotním postižením je tento rozdíl ještě větší</w:t>
            </w:r>
            <w:r>
              <w:rPr>
                <w:vertAlign w:val="superscript"/>
              </w:rPr>
              <w:t>1a</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Evropské fórum zdravotně postižených, „Sedmá zpráva ERF o lidských právech. Právo na práci: The employment situation of persons with disabilities in Europe“ (Zaměstnanost osob se zdravotním postižením v Evropě), 2023, https://www.edf-feph.org/publications/human-rights-report-2023-the-right-to-work/.</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30</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1 – písm.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komplexní a integrovaný přístup k politikám a opatřením zaměřeným na boj proti chudobě a cíl vymýtit chudobu jakožto průřezové kritérium v odvětvových politikách;</w:t>
            </w:r>
          </w:p>
        </w:tc>
        <w:tc>
          <w:tcPr>
            <w:tcW w:w="4876" w:type="dxa"/>
            <w:tcBorders>
              <w:top w:val="nil"/>
              <w:left w:val="nil"/>
              <w:bottom w:val="nil"/>
              <w:right w:val="nil"/>
            </w:tcBorders>
          </w:tcPr>
          <w:p>
            <w:pPr>
              <w:pStyle w:val="Normal6a"/>
            </w:pPr>
            <w:r>
              <w:t>d)</w:t>
            </w:r>
            <w:r>
              <w:tab/>
            </w:r>
            <w:r>
              <w:t>komplexní a integrovaný přístup k politikám a opatřením zaměřeným na boj proti chudobě a cíl vymýtit chudobu jakožto průřezové kritérium v odvětvových politikách, zejména s ohledem na oblasti rovnosti, začleňování a sociální politiky EU;</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31</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Vyzývá Komisi, aby vypracovala strategii zohledňující rovnost žen a mužů, která by uchopila genderový rozměr chudoby a kladla silný důraz na strukturální chudobu, která postihuje zejména ženy a dívky, a aby uplatňovala meziodvětvový přístup s cílem řešit zejména rodiny s jedním rodičem, které představují většinou ženy, matky s nízkými příjmy, ženy se zdravotním postižením, ženy z marginalizovaných rasových, etnických a sociálně-ekonomických skupin, včetně romských žen, migrantek a starších žen, obětí genderově podmíněného násilí a LGBTIQ+ jednotlivců;</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32</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1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zdůrazňuje, že nejudržitelnější politika snižování chudoby je taková, která v první řadě zabraňuje jejímu vzniku; zdůrazňuje, že strategie boje proti chudobě se musí zabývat základními příčinami chudoby žen a přinášet strukturální změny pro ženy a nejvíce ohrožené osoby, přičemž se musí zaměřit na sociální investice do dostupné a vysoce kvalitní zdravotní péče, péče o děti, inkluzivního vzdělávání, důstojného a cenově dostupného bydlení, přiměřených systémů sociální ochrany a cílených opatření k řešení případů nevyužívání dávek; naléhavě žádá Komisi, aby řešila genderově podmíněná a vzájemně se prolínající rizika chudoby, včetně chudoby pracujících a důchodců, a to prostřednictvím přiměřených minimálních mezd a minimálního příjmu, sociální ochrany a kolektivního vyjednávání; vyzývá členské státy a Komisi, aby dále zkoumaly potenciál systémů základního příjmu v rámci širších strategií boje proti chudobě, které zohledňují specifickou socioekonomickou zranitelnost žen, a aby zajistily, aby rámce a nástroje EU pro shromažďování údajů (např. Eurostat, vnitrostátní statistické úřady) lépe zachycovaly genderové aspekty chudoby a její základní příčiny;</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33</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1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1c.</w:t>
            </w:r>
            <w:r>
              <w:tab/>
            </w:r>
            <w:r>
              <w:rPr>
                <w:b/>
                <w:i/>
              </w:rPr>
              <w:t>vyzývá Komisi, aby uznala strukturální propojení mezi chudobou a genderově podmíněným násilím a toto násilí řešila jako klíčovou strategii pro vymýcení chudoby, především chudoby žen a dětí, neboť je třeba uznat, že odstranění všech druhů násilí je zásadní pro možnost žen plně se zapojit do svých komunit a ekonomiky a získat přístup ke vzdělání, zaměstnání a sociálním službám, a tím dosáhnout finanční nezávislosti; naléhavě vyzývá Komisi a členské státy, aby zvýšily veřejné investice do politik, které se zabývají genderově podmíněným násilím; vítá, že EU ratifikovala Istanbulskou úmluvu, a naléhavě vyzývá Bulharsko, Českou republiku, Maďarsko, Litvu a Slovensko, aby své ratifikační procesy neprodleně dokončily; vyzývá Komisi, aby zajistila účinné provádění směrnice o boji proti násilí na ženách a domácímu násilí a zaručila, aby ženy zažívající chudobu i jiné druhy násilí měly přiměřený a bezpodmínečný přístup k přístřeší, službám na podporu obětí, právní pomoci a sociálnímu zabezpečení bez ohledu na jejich bydliště nebo migrační status;</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34</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vyzývá Komisi a členské státy, aby podporovaly politiky na ochranu a prosazování pracovních práv a zlepšování kvality zaměstnání, včetně stálých pracovních poměrů, spravedlivých mezd, důstojných a bezpečných pracovních podmínek a přístupu k sociální ochraně;</w:t>
            </w:r>
          </w:p>
        </w:tc>
        <w:tc>
          <w:tcPr>
            <w:tcW w:w="4876" w:type="dxa"/>
            <w:tcBorders>
              <w:top w:val="nil"/>
              <w:left w:val="nil"/>
              <w:bottom w:val="nil"/>
              <w:right w:val="nil"/>
            </w:tcBorders>
          </w:tcPr>
          <w:p>
            <w:pPr>
              <w:pStyle w:val="Normal6a"/>
            </w:pPr>
            <w:r>
              <w:t>3.</w:t>
            </w:r>
            <w:r>
              <w:tab/>
            </w:r>
            <w:r>
              <w:t>vyzývá Komisi a členské státy, aby podporovaly politiky na ochranu a prosazování pracovních práv a zlepšování kvality zaměstnání, se zvláštním zaměřením na ženy na pracovním trhu, včetně stálých pracovních poměrů, spravedlivých a transparentních mezd ve všech odvětvích, včetně odvětví, v nichž převládají ženy, jako je sociální péče, zdravotnictví a školství, a aby zajistily stejnou odměnu za práci stejné hodnoty, důstojné a bezpečné pracovní podmínky a přístup k sociální ochraně;</w:t>
            </w:r>
            <w:r>
              <w:rPr>
                <w:b/>
                <w:i/>
              </w:rPr>
              <w:t xml:space="preserve"> vyzývá Komisi a členské státy, aby se zaměřily zejména na snižování rozdílů v zaměstnanosti žen a mužů, rozdílů v odměňování a důchodech a chudoby pracujících žen tím, že jim poskytnou flexibilní pracovní podmínky a dostupné a cenově přístupné pečovatelské služby s cílem usnadnit ženám přístup ke kvalitním pracovním místům; naléhavě žádá Komisi, aby zmocňovala k zavedení politik na pracovišti, které podporují menstruační zdraví, včetně možnosti menstruačního volna a úprav pro pracovnice, které čelí výzvám specifickým pro ženy, jako je menopauza, migréna či endometrióza, a placeného volna na pravidelné kontroly prsou, s cílem podpořit zdraví a pohodu žen ve všech fázích života;</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35</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připomíná, že chudoba se stále měří na základě kumulovaného příjmu domácnosti, i když ne všichni členové domácnosti vydělávají stejně nebo rozdělují zdroje rovnoměrně; požaduje individualizovaná práva a výpočty založené na individuálním příjmu s cílem bojovat proti skutečnému rozsahu chudoby žen a zahrnutí časové chudoby jako měřítka;</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36</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3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3b.</w:t>
            </w:r>
            <w:r>
              <w:tab/>
            </w:r>
            <w:r>
              <w:rPr>
                <w:b/>
                <w:i/>
              </w:rPr>
              <w:t>zdůrazňuje význam podpory podnikání žen a příležitostí k samostatné výdělečné činnosti, zejména ve venkovských, ostrovních a jiných geograficky odlehlých oblastech, jako prostředku k dosažení lepšího hospodářského začlenění a rovnosti mužů a žen, boje proti chudobě, vytváření zaměstnanosti na místní úrovni a podpory hospodářského rozvoje podporujícího začlenění; vyzývá Komisi a členské státy, aby zajistily cílenou podporu podnikatelkám prostřednictvím lepšího přístupu k financování, podnikatelskému vzdělávání, digitálním nástrojům a trhům; vyzývá Komisi, aby vypracovala politiky, které ženám usnadní přístup ke kvalitním pracovním místům a podnikatelským cestám, a to prostřednictvím pobídek pro podniky, aby zaměstnávaly a podporovaly ženy, zejména matky samoživitelky, a aby poskytovaly pružné uspořádání pracovní doby;</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37</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3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3c.</w:t>
            </w:r>
            <w:r>
              <w:tab/>
            </w:r>
            <w:r>
              <w:rPr>
                <w:b/>
                <w:i/>
              </w:rPr>
              <w:t>vyzývá Komisi, aby do strategie pro boj proti chudobě začlenila vzdělávání, odbornou přípravu a celoživotní učení se zaměřením na inkluzivní vzdělávání a opětovné začlenění osob, které předčasně ukončily školní docházku; doporučuje rozšířit programy digitální a mediální gramotnosti a investovat do vzdělávání druhé šance; zdůrazňuje, že je třeba propojit strategii boje proti chudobě s inkluzivním vzděláváním, programy zvyšování kvalifikace a rekvalifikace, jakož i s občanskou angažovaností, konkrétně se zaměřením na zranitelné skupiny, ženy a dívky, dlouhodobě nezaměstnané, rodiče samoživitele a osoby, které předčasně ukončily školní docházku; vyzývá Komisi a členské státy, aby překonaly digitální propast mezi chudými ženami a dívkami tím, že zajistí cenově dostupný přístup k internetu, školení v oblasti digitálních dovedností a přístup k online veřejným službám se zaměřením na venkovské a marginalizované komunity;</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38</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zdůrazňuje, že změna klimatu má nepřiměřený dopad na lidi žijící v chudobě, což je činí zranitelnějšími vůči zdravotním problémům, energetické chudobě, nejistotě bydlení a nucenému vysídlení; zdůrazňuje, že je naléhavě nutné přijmout opatření v oblasti klimatu, která by zohledňovala rovnost žen a mužů, aby se zabránilo propadu žen a dívek do ještě větší chudoby; vyzývá Komisi a členské státy k zajištění toho, aby strategie přizpůsobování se změně klimatu a snižování rizika katastrof  a další činnosti pro začleňování hlediska připravenosti byly inkluzivní a zohledňovaly specifickou zranitelnost a schopnosti žen a dívek, mimo jiné prostřednictvím investic do vzdělávání zohledňujícího genderové aspekty, přístupu ke zdravotní péči a ekonomické odolnosti; vyzývá Komisi k zajištění toho, aby strategie boje proti chudobě přispěla k řešení nepřiměřeného dopadu změny klimatu na lidi žijící v chudobě, a aby zaručila jejich zapojení do ekologické transformace; vyzývá Komisi, aby ve víceletém finančním rámci na období po roce 2027 zajistila odpovídající financování řešení klimatické chudoby se zaměřením na energetickou účinnost a renovaci bytů, a zajistila tak, aby lidé žijící v chudobě dostali během ekologické transformace odpovídající podporu;</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39</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naléhavě vyzývá Komisi a členské státy, aby bojovaly proti chudobě prosazováním politik, které zajistí nedělitelnost a univerzálnost politických, hospodářských, sociálních a kulturních práv;</w:t>
            </w:r>
          </w:p>
        </w:tc>
        <w:tc>
          <w:tcPr>
            <w:tcW w:w="4876" w:type="dxa"/>
            <w:tcBorders>
              <w:top w:val="nil"/>
              <w:left w:val="nil"/>
              <w:bottom w:val="nil"/>
              <w:right w:val="nil"/>
            </w:tcBorders>
          </w:tcPr>
          <w:p>
            <w:pPr>
              <w:pStyle w:val="Normal6a"/>
            </w:pPr>
            <w:r>
              <w:t>6.</w:t>
            </w:r>
            <w:r>
              <w:tab/>
            </w:r>
            <w:r>
              <w:t>naléhavě vyzývá Komisi a členské státy, aby bojovaly proti chudobě prosazováním politik, které zajistí nedělitelnost a univerzálnost občanských, politických, hospodářských, sociálních a kulturních práv;</w:t>
            </w:r>
            <w:r>
              <w:rPr>
                <w:b/>
                <w:i/>
              </w:rPr>
              <w:t> vyzývá členské státy, aby vypracovaly metodiky pro hodnocení strukturálních nebo systémových překážek bránících vymanění se z chudoby a sociálního vyloučení a plnému zapojení do společnosti, ať už se tyto překážky nacházejí v jejich právních systémech, veřejných politikách nebo jejich provádění na územní úrovni;</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40</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vyzývá Komisi a členské státy, aby výrazně zvýšily veřejné investice do politik, které zaručují všeobecné, bezplatné a vysoce kvalitní veřejné služby vzhledem k jejich přínosu k prolamování cyklů chudoby, zejména v oblastech, jako je vzdělávání, zdravotní péče, sociální ochrana a všeobecný přístup k důstojnému bydlení, vodě a hygienickým zařízením, energii, dopravě a kulturním a volnočasovým aktivitám;</w:t>
            </w:r>
          </w:p>
        </w:tc>
        <w:tc>
          <w:tcPr>
            <w:tcW w:w="4876" w:type="dxa"/>
            <w:tcBorders>
              <w:top w:val="nil"/>
              <w:left w:val="nil"/>
              <w:bottom w:val="nil"/>
              <w:right w:val="nil"/>
            </w:tcBorders>
          </w:tcPr>
          <w:p>
            <w:pPr>
              <w:pStyle w:val="Normal6a"/>
            </w:pPr>
            <w:r>
              <w:t>7.</w:t>
            </w:r>
            <w:r>
              <w:tab/>
            </w:r>
            <w:r>
              <w:t>vyzývá Komisi a členské státy, aby výrazně zvýšily veřejné investice do politik, které zaručují všeobecné, cenově dostupné a vysoce kvalitní veřejné služby vzhledem k jejich přínosu k prolamování cyklů chudoby a snížení nerovností mezi muži a ženami, zejména v oblastech, jako je předškolní vzdělávání s individuálními plány podpory vzdělávání pro mladé rodiče, zejména matky, cenově dostupné a vysoce kvalitní služby péče o děti a dlouhodobé péče, především pro osoby se zdravotním postižením, zdravotní péče, včetně bezplatných léků pro děti, cenově dostupné zubařské péče i podpory v oblasti duševního zdraví, a přístup k sexuálnímu a reprodukčnímu zdraví a právům, včetně informačních služeb pro plánování rodičovství, cenově dostupné moderní antikoncepce a bezpečné a legální péče pro případ přerušení těhotenství, sociální ochrany a všeobecného přístupu k důstojnému a cenově dostupnému bydlení, vodě a hygienickým zařízením, energii, dopravě, volnočasovým a společenským aktivitám a digitální infrastruktuře usnadňující práci na dálku, např. pro ženy s pečovatelskými povinnostmi;</w:t>
            </w:r>
            <w:r>
              <w:rPr>
                <w:b/>
                <w:i/>
              </w:rPr>
              <w:t xml:space="preserve"> vyzývá členské státy, aby poskytly dostatečné finanční prostředky na investice do předškolního vzdělávání a péče a zajistily, aby vnitrostátní vzdělávací systémy poskytovaly kvalitní vzdělání s ohledem na rovnost žen a mužů, a čelily tak problému chudoby ve vzdělání, která často ovlivňuje možnosti žen rozvíjet svou schopnost zlepšit svůj sociální blahobyt a ekonomickou nezávislost, a to i prostřednictvím finanční a bankovní gramotnosti; </w:t>
            </w:r>
            <w:r>
              <w:t>vyzývá k novým intenzivnějším snahám o odstranění rozdílů v zaměstnanosti žen a mužů, rozdílů v důchodech žen a mužů a k navýšení investic do veřejných služeb a sociální infrastruktury, které jsou nezbytné jak pro podporu rodin, tak pro ekonomickou nezávislost žen, a vyzývá k přijetí závazku pokročit směrem k pečujícím společnostem;</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41</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7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doporučuje, aby členské státy zajistily poskytování základních, cenově dostupných a inkluzivních služeb pro všechny, se zvláštním důrazem na ochranu a potřeby žen a zranitelných skupin;</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42</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7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7b.</w:t>
            </w:r>
            <w:r>
              <w:tab/>
            </w:r>
            <w:r>
              <w:rPr>
                <w:b/>
                <w:i/>
              </w:rPr>
              <w:t>Zdůrazňuje, že je třeba posílit systémy zdravotní péče a zajistit, aby byly přístupné, cenově dostupné a inkluzivní, s přihlédnutím ke specifickým zdravotním potřebám žen; vyzývá Komisi a členské státy k zaručení toho, aby všichni mladí lidé, zejména dívky a mladí lidé LGBTQI+, zejména ve venkovských oblastech a lidé s nízkými příjmy nebo marginalizovaní z jiných důvodů, měli přístup ke službám a informacím v oblasti sexuálního a reprodukčního zdraví a práv, které jsou vstřícné k mladým lidem, včetně komplexní výchovy v oblasti sexuality a vztahů odpovídajících věku, informací o plánování rodičovství a poradenských služeb ve školním a komunitním prostředí, cenově dostupných antikoncepčních a menstruačních produktů a bezpečné a legální péče při umělém přerušení těhotenství, a to v rámci inkluzivní a genderově citlivé strategie boje proti chudobě;</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43</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7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7c.</w:t>
            </w:r>
            <w:r>
              <w:tab/>
            </w:r>
            <w:r>
              <w:rPr>
                <w:b/>
                <w:i/>
              </w:rPr>
              <w:t>znovu potvrzuje, že komplexní sexuální a reprodukční zdraví a práva (SRHR), včetně přístupu k antikoncepci, předporodní/mateřské péči, bezpečnému potratu, službám v oblasti plodnosti a sexuální výchově přiměřené věku, jsou základními prvky rovnosti žen a mužů a snižování chudoby; vyzývá Komisi a členské státy, aby začlenily SRHR jako hlavní pilíř do všech strategií zaměřených na chudobu žen a dívek;</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44</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7 d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7d.</w:t>
            </w:r>
            <w:r>
              <w:tab/>
            </w:r>
            <w:r>
              <w:rPr>
                <w:b/>
                <w:i/>
              </w:rPr>
              <w:t>podporuje prosazování komunitních přístupů k péči, které jsou participativní, místně zakořeněné a navržené za přímého přispění osob postižených chudobou, aby se zajistilo, že služby, prostory a podpůrné mechanismy odrážejí skutečné potřeby a realitu lidí, kterým slouží; zdůrazňuje význam zapojení žen a marginalizovaných komunit do plánování a navrhování těchto prostor, aby se zajistilo, že budou bezpečné, inkluzivní a budou reagovat na genderově specifické potřeby;</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45</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7 e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7e.</w:t>
            </w:r>
            <w:r>
              <w:tab/>
            </w:r>
            <w:r>
              <w:rPr>
                <w:b/>
                <w:i/>
              </w:rPr>
              <w:t>vyzývá Komisi a členské státy, aby zaručily právo všech osob, zejména těch, které se nacházejí ve zranitelných situacích, na řádné informování o celé škále veřejných služeb a sociální podpory, které jsou jim k dispozici, a to i v oblasti bydlení, zdravotní péče, vzdělávání, zaměstnanosti a ochrany před genderově podmíněným násilím; zdůrazňuje, že informace musí být srozumitelné, kulturně a jazykově vhodné a proaktivně šířené;</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46</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8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vyzývá Komisi, aby se zabývala specifickými problémy a zranitelností žen bez domova, přičemž uznává, že ženy bez domova často prožívají bezdomovectví jinak než muži, jsou více ohroženy násilím, sexuálním napadením a obchodováním s lidmi a mají specifické zdravotní problémy týkající se reprodukčního zdraví a hygieny; zdůrazňuje, že důstojné a cenově dostupné bydlení je základním právem a předpokladem pro požívání dalších základních práv; zdůrazňuje, že strategie boje proti chudobě musí obsahovat zvláštní oddíl věnovaný boji proti bezdomovectví, neboť ho považuje za jednu z nejzávažnějších a nejviditelnějších forem chudoby a sociálního vyloučení, se zvláštním zřetelem na jeho genderová hlediska; vyzývá Komisi, aby dále rozvíjela Evropskou platformu pro boj proti bezdomovectví (EPOCH), a to zvýšením finančních prostředků na její činnost i řízení a rozšířením jejích tří pracovních proudů v oblasti monitorování, vzájemného učení a přístupu k finančním prostředkům EU, se zvláštním zřetelem na ženy bez domova; vyzývá Komisi, aby v souladu s platformou EU pro boj proti bezdomovectví vybízela členské státy k začlenění modelů „bydlení jako priorita“ zohledňujících rovnost žen a mužů do vnitrostátních strategií pro boj proti bezdomovectví a upřednostňujících ženy prchající před genderově podmíněným násilím, migrantky, ženy odlišného rasového původu, matky samoživitelky, ženy se zdravotním postižením, ženy ve venkovských oblastech, jakož i osoby LGBTIQ+; požaduje inkluzivní přístup k základním službám, sociální ochraně a bydlení pro všechny ženy bez ohledu na jejich právní postavení; zdůrazňuje potřebu kulturně citlivých a vícejazyčných podpůrných služeb, zejména v městských a příhraničních regionech; vyzývá Komisi, aby v rámci víceletého finančního rámce pro období po roce 2027 mobilizovala finanční prostředky EU (ESF+, EFRR, InvestEU) na boj proti závažné materiální deprivaci a na podporu dostupného bydlení zejména pro ženy bez domova, a to jako opatření pro sblížení s Evropskou strategií v oblasti péče a evropskou zárukou pro děti;</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47</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8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8b.</w:t>
            </w:r>
            <w:r>
              <w:tab/>
            </w:r>
            <w:r>
              <w:rPr>
                <w:b/>
                <w:i/>
              </w:rPr>
              <w:t>uznává zranitelnost lidí bez odpovídajícího bydlení, lidí, kteří přežili obchodování s lidmi, a lidí užívajících drogy, kteří často čelí vícenásobným a vzájemně se prolínajícím formám diskriminace a vyloučení, jež pramení z chudoby a posilují ji; zdůrazňuje, že ženy a genderové menšiny v těchto skupinách jsou neúměrně vystaveny násilí na základě pohlaví, vykořisťování, stigmatizaci a překážkám v přístupu k základním službám, což dále prohlubuje jejich socioekonomickou marginalizaci;</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48</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8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8c.</w:t>
            </w:r>
            <w:r>
              <w:tab/>
            </w:r>
            <w:r>
              <w:rPr>
                <w:b/>
                <w:i/>
              </w:rPr>
              <w:t>vyzývá Komisi a členské státy, aby přijaly cílená a účinná opatření k odstranění překážek, které brání přístupu ke službám obecného zájmu ve zranitelných oblastech, zejména pro všechny ženy a dívky ve venkovských a odlehlých regionech, včetně nejvzdálenějších regionů, neboť nedostatečný přístup k těmto službám je hlavní příčinou chudoby a sociálního vyloučení; vyzývá, aby zde byl zajištěn přístup k vysoce kvalitním a bezplatným veřejným službám v oblastech jako je péče, vzdělávání, zdravotnictví, bydlení a energetika, se zvláštním důrazem na oblasti ohrožené vylidňováním;</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49</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8 d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8d.</w:t>
            </w:r>
            <w:r>
              <w:tab/>
            </w:r>
            <w:r>
              <w:rPr>
                <w:b/>
                <w:i/>
              </w:rPr>
              <w:t>Vyzývá k přijetí a provádění závazných právních opatření, která zabrání finanční diskriminaci osob s onemocněním v minulosti, včetně osob, které překonaly rakovinu, a osob s duševním onemocněním, přičemž zvláštní pozornost by měla být věnována ženám, které se často potýkají se socioekonomickou zranitelností z důvodu příslušnosti ke dvěma či více skupinám; zdůrazňuje význam „práva být zapomenut“ v této souvislosti, zejména v souvislosti s přístupem k finančním službám, jako je pojištění, úvěr a bydlení, aniž by byl člověk postihován za zdravotní stav v minulosti, s cílem  zajistit socioekonomickou reintegraci a snížit riziko chudoby; zdůrazňuje potenciál přístupu osobního rozpočtování, kdy jednotlivci dostávají finanční prostředky přímo k rozdělení podle svých vlastních potřeb, k podpoře samostatnosti, důstojnosti a více přizpůsobené podpory v úsilí o boj proti chudobě;</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50</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9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9a.</w:t>
            </w:r>
            <w:r>
              <w:tab/>
            </w:r>
            <w:r>
              <w:rPr>
                <w:b/>
                <w:i/>
              </w:rPr>
              <w:t>Vyzývá všechny členské státy, aby urychleně a v plném rozsahu provedly směrnici o transparentnosti odměňování s cílem řešit zásadní aspekty rozdílů v odměňování žen a mužů v jednotlivých odvětvích a aby požadovaly, aby společnosti zveřejňovaly analýzy rozdílů v odměňování žen a mužů a prováděly informační a vzdělávací kampaně, pokud jde o nevědomé předsudky a stereotypy; vyzývá Komisi a členské státy, aby zohlednily regionální rozdíly a zajistily, aby zmíněná opatření byla přizpůsobena specifickým potřebám regionů, kde jsou rozdíly mezi ženami a muži a nerovnosti na trhu práce nejvýraznější; dále vyzývá Komisi, aby se zabývala otázkou strukturálního podhodnocování práce v odvětvích, v nichž převládají ženy, a aby zajistila stejnou odměnu za rovnocennou práci přehodnocením hodnoty práce v oblastech zaměstnání, v nichž obvykle převládají ženy, jako jsou sociální, pečovatelské a zdravotnické služby a vzdělávání, a to prostřednictvím genderově neutrálních nástrojů pro hodnocení pracovních míst, jež jsou vyvinuty a uplatňovány za účelem zavedení lepšího a spravedlivějšího systému odměňování;</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51</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9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9b.</w:t>
            </w:r>
            <w:r>
              <w:tab/>
            </w:r>
            <w:r>
              <w:rPr>
                <w:b/>
                <w:i/>
              </w:rPr>
              <w:t>vyzývá k novým intenzivnějším snahám o odstranění rozdílů v zaměstnanosti žen a mužů a rozdílů v důchodech žen a mužů a k navýšení investic do veřejných služeb a sociální infrastruktury a také k přijetí závazku dosáhnout pokroku při budování pečujících společností;</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52</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9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9c.</w:t>
            </w:r>
            <w:r>
              <w:tab/>
            </w:r>
            <w:r>
              <w:rPr>
                <w:b/>
                <w:i/>
              </w:rPr>
              <w:t>vyzývá Komisi, aby v rámci uvedené strategie zohlednila specifické problémy, kterým čelí starší ženy žijící v chudobě; naléhavě vyzývá Komisi, aby nabádala členské státy k vypracování cílených opatření k zajištění přiměřené výše důchodů, včetně jejich automatické valorizace podle inflace;</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53</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vyzývá členské státy, aby vypracovaly </w:t>
            </w:r>
            <w:r>
              <w:t>politiky</w:t>
            </w:r>
            <w:r>
              <w:t xml:space="preserve"> posílení mateřských, otcovských a rodičovských práv, </w:t>
            </w:r>
            <w:r>
              <w:t>podpory rovnováhy</w:t>
            </w:r>
            <w:r>
              <w:t xml:space="preserve"> mezi pracovním a soukromým životem</w:t>
            </w:r>
            <w:r>
              <w:t>, usnadnění návratu žen do práce</w:t>
            </w:r>
            <w:r>
              <w:t xml:space="preserve"> po těhotenství a mateřské dovolené </w:t>
            </w:r>
            <w:r>
              <w:t>a zajištění odpovídajících podmínek</w:t>
            </w:r>
            <w:r>
              <w:t xml:space="preserve"> pro kojení na pracovišti;</w:t>
            </w:r>
          </w:p>
        </w:tc>
        <w:tc>
          <w:tcPr>
            <w:tcW w:w="4876" w:type="dxa"/>
            <w:tcBorders>
              <w:top w:val="nil"/>
              <w:left w:val="nil"/>
              <w:bottom w:val="nil"/>
              <w:right w:val="nil"/>
            </w:tcBorders>
          </w:tcPr>
          <w:p>
            <w:pPr>
              <w:pStyle w:val="Normal6a"/>
            </w:pPr>
            <w:r>
              <w:t>10.</w:t>
            </w:r>
            <w:r>
              <w:tab/>
            </w:r>
            <w:r>
              <w:rPr>
                <w:b/>
                <w:i/>
              </w:rPr>
              <w:t xml:space="preserve">zdůrazňuje, že většinu neplacené pečovatelské práce stále vykonávají pouze ženy, což má negativní dopad na rozdíly mezi ženami a muži v oblasti zaměstnání a ekonomické nezávislosti; poukazuje na to, že má-li se řešit komplexní povaha chudoby žen, je nezbytné změnit rozdělení práce a poskytnout ženám a mužům pobídky k podpoře spravedlivějšího rozdělení neplacené péče a práce v domácnosti a usnadnit (opětovné) začlenění žen na trh práce s cílem dosáhnout takového modelu společnosti, kdy by byli muži a ženy „stejně výdělečně činní a stejnou měrou zajišťovali pečovatelské povinnosti“; </w:t>
            </w:r>
            <w:r>
              <w:t xml:space="preserve">vyzývá členské státy, aby vypracovaly </w:t>
            </w:r>
            <w:r>
              <w:t>opatření na </w:t>
            </w:r>
            <w:r>
              <w:t xml:space="preserve">posílení mateřských, otcovských a rodičovských práv, </w:t>
            </w:r>
            <w:r>
              <w:t>s cílem prosazovat rovnováhu</w:t>
            </w:r>
            <w:r>
              <w:t xml:space="preserve"> mezi pracovním a soukromým životem </w:t>
            </w:r>
            <w:r>
              <w:t>a flexibilní uspořádání pracovní doby, usnadnit ženám</w:t>
            </w:r>
            <w:r>
              <w:t xml:space="preserve"> po těhotenství a mateřské dovolené </w:t>
            </w:r>
            <w:r>
              <w:t>návrat do práce, mj. zajištěním kvalitní, přístupné a finančně dostupné péče o děti,</w:t>
            </w:r>
            <w:r>
              <w:t xml:space="preserve"> a </w:t>
            </w:r>
            <w:r>
              <w:t>zajistit odpovídající podmínky</w:t>
            </w:r>
            <w:r>
              <w:t xml:space="preserve"> pro kojení </w:t>
            </w:r>
            <w:r>
              <w:t>a péči o kojence</w:t>
            </w:r>
            <w:r>
              <w:t xml:space="preserve"> na pracovišti;</w:t>
            </w:r>
            <w:r>
              <w:rPr>
                <w:b/>
                <w:i/>
              </w:rPr>
              <w:t xml:space="preserve"> vyzývá členské státy, aby zavedly a podporovaly přístupnou a přiměřeně odměňovanou otcovskou dovolenou, včetně prodloužení zákonné otcovské dovolené, zvýšení otcovských příspěvků a poskytování nepřenosné dovolené otcům nebo druhému rodiči, s cílem podpořit skutečné rozdělení pečovatelských povinností, upevnit postavení žen na trhu práce a umožnit druhému rodiči navázat pevné vazby se svými dětmi a čerpat nezbytné volno na podporu rozvoje v raném dětství a dobrých životních podmínek rodin, a přispět tak ke snížení „časové chudoby žen“; vyzývá Komisi a členské státy, aby zajistily neomezené uplatňování směrnice o rovnováze mezi pracovním a soukromým životem;</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54</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10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naléhavě vyzývá Komisi, aby se zabývala systematickým podhodnocením práce vykonávané v odvětvích, v nichž převládají ženy, jako je sociální oblast, zdravotnictví, pečovatelské služby a vzdělávání, což vede k chudobě pracujících, a aby spolupracovala s členskými státy a sociálními partnery na vytvoření genderově neutrálních nástrojů a kritérií pro hodnocení pracovních míst, které by umožnily vytvořit celounijní definici a srovnání „hodnoty práce“, s cílem zajistit spravedlivější oceňování a odměňování práce vykonávané v odvětvích, v nichž převládají ženy;</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55</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10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10b.</w:t>
            </w:r>
            <w:r>
              <w:tab/>
            </w:r>
            <w:r>
              <w:rPr>
                <w:b/>
                <w:i/>
              </w:rPr>
              <w:t>vyzývá Komisi, aby podpořila členské státy při vytváření spravedlivých a účinných vnitrostátních systémů zdanění majetku s cílem snížit nerovnost a zajistit, aby ti, kteří disponují největšími prostředky, spravedlivě přispívali na financování veřejných statků; připomíná, že mezinárodní instituce, jako je Mezinárodní měnový fond a Organizace pro hospodářskou spolupráci a rozvoj, zdůrazňují, že zdanění majetku je užitečným nástrojem k řešení rostoucích nerovností a k navýšení veřejných financí;</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56</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10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10c.</w:t>
            </w:r>
            <w:r>
              <w:tab/>
            </w:r>
            <w:r>
              <w:rPr>
                <w:b/>
                <w:i/>
              </w:rPr>
              <w:t>vyzývá Komisi, aby provedla komplexní studii o účincích zkrácení pracovní doby, mj. na základě zkušeností z pilotních projektů, jako je čtyřdenní pracovní týden ve Velké Británii, které měly pozitivní výsledky z hlediska zdraví a pohody pracovníků, rovnováhy mezi pracovním a soukromým životem a produktivity; uznává úspěchy různých zemí, které se pokusily o zkrácení pracovní doby, a vybízí členské státy, aby zkoumaly a podporovaly iniciativy zaměřené na zkrácení pracovní doby bez ztráty mzdy jako prostředek ke snížení chudoby, k posílení demokracie, k podpoře kvalitní zaměstnanosti a rovnosti žen a mužů a ke zlepšení duševního a fyzického zdraví;</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57</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10 d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10d.</w:t>
            </w:r>
            <w:r>
              <w:tab/>
            </w:r>
            <w:r>
              <w:rPr>
                <w:b/>
                <w:i/>
              </w:rPr>
              <w:t>upozorňuje na ekonomické překážky bránící mateřství, kterým čelí mnoho žen v EU; požaduje vytvoření komplexní rodinné politiky, která by podporovala plození dětí bez dlouhodobých finančních sankcí, zejména pokud jde o přerušení kariéry a rozdíly ve výši důchodů žen a mužů;</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58</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10 e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10e.</w:t>
            </w:r>
            <w:r>
              <w:tab/>
            </w:r>
            <w:r>
              <w:rPr>
                <w:b/>
                <w:i/>
              </w:rPr>
              <w:t>vyzývá Komisi a členské státy, aby v zájmu boje proti izolaci a chudobě ve stáří vypracovaly zvláštní evropský akční plán pro starší ženy, včetně opatření k řešení rozdílů v důchodech žen a mužů, přednostního přístupu k sociálním službám a službám domácí péče, možnosti průběžného vzdělávání a programů zaměstnávání na částečný úvazek;</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59</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10 f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10f.</w:t>
            </w:r>
            <w:r>
              <w:tab/>
            </w:r>
            <w:r>
              <w:rPr>
                <w:b/>
                <w:i/>
              </w:rPr>
              <w:t>naléhavě vyzývá Komisi, aby vypracovala a zavedla celoevropskou strategii pro menstruační zdraví s cílem bojovat proti menstruační chudobě; domnívá se, že otázka menstruačního zdraví a hygieny musí být výslovně začleněna do politiky veřejného zdraví a boje proti chudobě na úrovni členských států a EU; naléhavě vyzývá Komisi, aby podpořila členské státy při začleňování menstruační výchovy a poskytování hygienických potřeb do ucelené zdravotní a sociální politiky zohledňující rovnost žen a mužů, zejména v případě žen bez domova, obětí genderově podmíněného násilí a žen ze zranitelných skupin, jako jsou ženy z přistěhovaleckého prostředí a žadatelky o azyl; naléhavě vyzývá Komisi a členské státy, aby s cílem bojovat proti menstruační chudobě stanovily povinnost poskytovat bezplatné menstruační pomůcky ve veřejných školách a na univerzitách, ve vládních budovách, v útulcích, ve veřejných institucích a v centrech na podporu marginalizovaných žen a dívek; vyzývá členské státy, aby v souladu s cílem zajistit rovnost žen a mužů zrušily DPH a další nepřímé daně na menstruační hygienické výrobky;</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60</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naléhavě vyzývá členské státy, aby zajistily všeobecný přístup k cenově dostupné a vysoce kvalitní veřejné zdravotní péči o matky, novorozence a děti;</w:t>
            </w:r>
          </w:p>
        </w:tc>
        <w:tc>
          <w:tcPr>
            <w:tcW w:w="4876" w:type="dxa"/>
            <w:tcBorders>
              <w:top w:val="nil"/>
              <w:left w:val="nil"/>
              <w:bottom w:val="nil"/>
              <w:right w:val="nil"/>
            </w:tcBorders>
          </w:tcPr>
          <w:p>
            <w:pPr>
              <w:pStyle w:val="Normal6a"/>
            </w:pPr>
            <w:r>
              <w:t>11.</w:t>
            </w:r>
            <w:r>
              <w:tab/>
            </w:r>
            <w:r>
              <w:t>naléhavě vyzývá členské státy, aby zajistily všeobecný přístup k cenově dostupné, kvalitní veřejné zdravotní péči o matky, novorozence a děti, ale také k péči o seniory a osoby se zdravotním postižením, a snížily tak neúměrně vysoký počet žen, které přebírají neplacenou roli pečovatelek, což omezuje jejich schopnost účastnit se trhu práce a vydělávat si na živobytí;</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61</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11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11a.</w:t>
            </w:r>
            <w:r>
              <w:tab/>
            </w:r>
            <w:r>
              <w:rPr>
                <w:b/>
                <w:i/>
              </w:rPr>
              <w:t>vyzývá Komisi, aby vydala doporučení, v němž by členské státy vybídla k zavádění závazných právních opatření s cílem pokročit v úsilí o snižování chudoby tím, že se bude zabývat finanční diskriminací, jíž čelí ženy trpící v minulosti nemocemi, mj. osoby, které překonaly rakovinu, a ženy s duševními poruchami, a to na základě zásady práva být zapomenut, s cílem zajistit jejich opětovné začlenění na trh práce a do společnosti a snížit u nich riziko chudoby, přičemž zvláštní pozornost by měla být věnována ženám, které se potýkají se socioekonomickou diskriminací z důvodu příslušnosti ke dvěma či více skupinám;</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62</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vyzývá Komisi a členské státy, aby zohledňovaly jev tzv. skryté chudoby, bojovaly proti stigmatizaci osob žijících v chudobě a nevyužívání dostupných sociálních dávek a aby braly v potaz skutečnost, že starší lidé, osoby se zdravotním postižením, rodiny samoživitelů, etnické menšiny a migranti jsou skupinami, které jsou vůči chudobě a sociálnímu vyloučení zranitelnější;</w:t>
            </w:r>
          </w:p>
        </w:tc>
        <w:tc>
          <w:tcPr>
            <w:tcW w:w="4876" w:type="dxa"/>
            <w:tcBorders>
              <w:top w:val="nil"/>
              <w:left w:val="nil"/>
              <w:bottom w:val="nil"/>
              <w:right w:val="nil"/>
            </w:tcBorders>
          </w:tcPr>
          <w:p>
            <w:pPr>
              <w:pStyle w:val="Normal6a"/>
            </w:pPr>
            <w:r>
              <w:t>13.</w:t>
            </w:r>
            <w:r>
              <w:tab/>
            </w:r>
            <w:r>
              <w:t>vyzývá Komisi a členské státy, aby zohledňovaly jev tzv. skryté chudoby, bojovaly proti stigmatizaci osob žijících v chudobě, aby v rámci strategií zaměřených na boj proti chudobě postupovaly s ohledem na genderové otázky, přijaly meziodvětvový přístup a braly v potaz, že skupiny, které jsou zranitelnější vůči chudobě a sociálnímu vyloučení než ostatní, tvoří starší ženy, ženy se zdravotním postižením, rodiny samoživitelů, které jsou většinou tvořeny ženami s dětmi, ženy z rasových a etnických menšin, migrantky, oběti genderově podmíněného násilí a osoby LGTBIQ+;</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63</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13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13a.</w:t>
            </w:r>
            <w:r>
              <w:tab/>
            </w:r>
            <w:r>
              <w:rPr>
                <w:b/>
                <w:i/>
              </w:rPr>
              <w:t>vyzývá Komisi, aby v souladu s Evropským pilířem sociálních práv a cíli udržitelného rozvoje stanovila rozčleněné cíle pro snížení chudoby u nejvíce marginalizovaných žen a sledovala dosažení pokroku pomocí mezioborových ukazatelů;</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64</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13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13b.</w:t>
            </w:r>
            <w:r>
              <w:tab/>
            </w:r>
            <w:r>
              <w:rPr>
                <w:b/>
                <w:i/>
              </w:rPr>
              <w:t>poukazuje na to, že chudoba žen vede k chudobě dětí a že její řešení je klíčem k prolomení mezigeneračního cyklu chudoby; vyzývá Komisi a členské státy, aby podporovaly zavedení nebo zvýšení univerzálních přídavků na děti jako klíčového nástroje ke snížení dětské chudoby, k podpoře rodin a ke spravedlivějšímu rozdělení bohatství při respektování vnitrostátních pravomocí a systémů sociální ochrany; vyzývá EU a členské státy, aby zvážily vytvoření zvláštního statusu pro neúplné rodiny, které jsou nepoměrně častěji tvořeny matkami, jež jsou samy ještě dětmi, a jejich dětmi;</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65</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13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13c.</w:t>
            </w:r>
            <w:r>
              <w:tab/>
            </w:r>
            <w:r>
              <w:rPr>
                <w:b/>
                <w:i/>
              </w:rPr>
              <w:t xml:space="preserve">vyzývá Komisi a členské státy, aby se zaměřily přednostně na snižování dětské chudoby, a upozorňuje, že přibližně každé čtvrté dítě v EU je ohroženo chudobou nebo sociálním vyloučením; </w:t>
            </w:r>
            <w:r>
              <w:t>uznává, že chudoba dětí úzce souvisí s ekonomickou situací jejich matek, které často čelí vyššímu riziku chudoby kvůli rozdílům v odměňování žen a mužů, nejistému zaměstnání a nepřiměřeným pečovatelským povinnostem</w:t>
            </w:r>
            <w:r>
              <w:rPr>
                <w:vertAlign w:val="superscript"/>
              </w:rPr>
              <w:t>1a</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Eurostat, Statistics Explained, „Children at risk of poverty or social exclusion“ (Děti ohrožené rizikem chudoby nebo sociálního vyloučení).  Údaje získané dne 7. května 2025, https://ec.europa.eu/eurostat/statistics-explained/index.php?title=Children_at_risk_of_poverty_or_social_exclusion.</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66</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13 d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13d.</w:t>
            </w:r>
            <w:r>
              <w:tab/>
            </w:r>
            <w:r>
              <w:rPr>
                <w:b/>
                <w:i/>
              </w:rPr>
              <w:t>je si vědom toho, že EU nese odpovědnost za úkol řešit a odstraňovat obchodování s lidmi, které má přeshraniční a genderový rozměr, jelikož riziku sexuálního a pracovního vykořisťování jsou nepoměrně více vystaveny ženy žijící v chudobě; poukazuje na to, že pracovní vykořisťování může spočívat v příliš dlouhé pracovní době, v nebezpečném a nezdravém pracovní prostředí a v upírání pracovních práv, jako je nemocenská dovolená a právo organizovat se nebo stávkovat, což nepoměrně více postihuje ženy pracující v odvětvích zaměřených na vývoz;</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67</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13 e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13e.</w:t>
            </w:r>
            <w:r>
              <w:tab/>
            </w:r>
            <w:r>
              <w:rPr>
                <w:b/>
                <w:i/>
              </w:rPr>
              <w:t>zdůrazňuje, že nedostatek bezpečných a legálních migračních cest, které jsou v současnosti k dispozici, je vedle stále přísnější migrační politiky, která přispívá k vytvoření pevnosti Evropa, příčinou marginalizace a nejisté situace migrujících osob, zejména žen a dětí; vyzývá Komisi a členské státy, aby zajistily bezpečné a legální migrační cesty a řádné poskytování sociálních služeb všem lidem včetně žen a dětí bez ohledu na jejich migrační status;</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68</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doporučuje, aby členské státy zvýšily podporu rodin a osob ve zranitelném postavení prostřednictvím služeb podpory v oblasti duševního zdraví a psychosociální podpory;</w:t>
            </w:r>
          </w:p>
        </w:tc>
        <w:tc>
          <w:tcPr>
            <w:tcW w:w="4876" w:type="dxa"/>
            <w:tcBorders>
              <w:top w:val="nil"/>
              <w:left w:val="nil"/>
              <w:bottom w:val="nil"/>
              <w:right w:val="nil"/>
            </w:tcBorders>
          </w:tcPr>
          <w:p>
            <w:pPr>
              <w:pStyle w:val="Normal6a"/>
            </w:pPr>
            <w:r>
              <w:t>14.</w:t>
            </w:r>
            <w:r>
              <w:tab/>
            </w:r>
            <w:r>
              <w:t>doporučuje, aby členské státy zvýšily podporu socioekonomické a emocionální pohody rodin, zejména matek samoživitelek, a osob ve zranitelném postavení prostřednictvím služeb zajišťujících podporu v oblasti duševního zdraví a psychosociální podporu a poskytování možnosti účastnit se sportovní činnosti, kvalitních vzdělávacích a školicích programů, ale také kulturních a rekreačních aktivit;</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69</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16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16a.</w:t>
            </w:r>
            <w:r>
              <w:tab/>
            </w:r>
            <w:r>
              <w:rPr>
                <w:b/>
                <w:i/>
              </w:rPr>
              <w:t>vybízí k tomu, aby se konference výslovně zabývala genderovými rozměry chudoby, mj. menstruační chudobou;</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70</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17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17a.</w:t>
            </w:r>
            <w:r>
              <w:tab/>
            </w:r>
            <w:r>
              <w:rPr>
                <w:b/>
                <w:i/>
              </w:rPr>
              <w:t>vyzývá Komisi, aby zřídila výbor osob žijících v chudobě, který by se skládal z osob žijících v chudobě, zejména žen, osob LGBTQI+ a dalších marginalizovaných osob, a jehož úkolem by bylo přispět k vypracování, realizaci a hodnocení příslušné strategie; je si vědom toho, že komunity, které jsou přímo postiženy chudobou, mohou nejlépe informovat o opatřeních, jež mají dopad na jejich každodenní život; vyzývá Komisi, aby zajistila smysluplnou účast lidí žijících v chudobě, mimo jiné vyplácením odpovídající finanční kompenzace a poskytováním nezbytných podpůrných nástrojů, jako je tlumočení a přístupné formáty;</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71</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17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17b.</w:t>
            </w:r>
            <w:r>
              <w:tab/>
            </w:r>
            <w:r>
              <w:rPr>
                <w:b/>
                <w:i/>
              </w:rPr>
              <w:t>vyzývá Komisi, aby vytvořila zvláštní pracovní skupinu složenou z osob žijících v chudobě, akademických pracovníků, zástupců Eurostatu, Agentury Evropské unie pro základní práva, Evropského institutu pro rovnost žen a mužů, statistických úřadů členských států, tvůrců politiky, organizací občanské společnosti a odborníků z praxe pracujících v základních službách;</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72</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17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17c.</w:t>
            </w:r>
            <w:r>
              <w:tab/>
            </w:r>
            <w:r>
              <w:rPr>
                <w:b/>
                <w:i/>
              </w:rPr>
              <w:t>naléhavě žádá Komisi, aby do strategie zahrnula cílenou část, v níž by členské státy vybídla ke zrušení zákonů a správních předpisů, které kriminalizují činnost ve veřejném prostoru zaměřenou na přežívání, včetně zákonů zaměřených na žebrání, přespávání na ulici, neformální hospodářskou činnost a další formy práce zajišťující živobytí;</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73</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18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18a.</w:t>
            </w:r>
            <w:r>
              <w:tab/>
            </w:r>
            <w:r>
              <w:rPr>
                <w:b/>
                <w:i/>
              </w:rPr>
              <w:t>vyzývá Evropský orgán pro rovnost žen a mužů a Agenturu EU pro základní práva, aby provedla celounijní výzkum průřezových aspektů chudoby;</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74</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18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18b.</w:t>
            </w:r>
            <w:r>
              <w:tab/>
            </w:r>
            <w:r>
              <w:rPr>
                <w:b/>
                <w:i/>
              </w:rPr>
              <w:t>vyzývá Komisi, aby v souladu s Evropským pilířem sociálních práv a cíli udržitelného rozvoje vypracovala jednak průřezovou metodiku sledování dopadu uvedené strategie na snižování chudoby, a jednak rozčleněné cíle zaměřené na snižování chudoby mezi nejvíce marginalizovanými ženami;</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75</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18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18c.</w:t>
            </w:r>
            <w:r>
              <w:tab/>
            </w:r>
            <w:r>
              <w:rPr>
                <w:b/>
                <w:i/>
              </w:rPr>
              <w:t>zdůrazňuje, že účinné provádění a monitorování strategie vyžaduje systematické shromažďování a využívání rozčleněných údajů; vyzývá Komisi, aby znovu vydala pokyny pro shromažďování údajů o rovnosti, které by členským státům umožnily shromažďovat údaje rozčleněné podle rasy nebo etnického původu, pohlaví, věku, zdravotního postižení a migračního statusu, a to v plném souladu se základními právy a normami na ochranu údajů, aby bylo možné přesně zjišťovat a řešit ohniska chudoby a vyloučení, odhalovat strukturální nerovnosti a realizovat na všech úrovních správy politická opatření založená na důkazech;</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76</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vyzývá Komisi, aby do strategie začlenila horizontální zásadu zaměřenou na posuzování dopadů odvětvových politik na chudobu, včetně povinnosti provádět předběžné posouzení dopadů;</w:t>
            </w:r>
          </w:p>
        </w:tc>
        <w:tc>
          <w:tcPr>
            <w:tcW w:w="4876" w:type="dxa"/>
            <w:tcBorders>
              <w:top w:val="nil"/>
              <w:left w:val="nil"/>
              <w:bottom w:val="nil"/>
              <w:right w:val="nil"/>
            </w:tcBorders>
          </w:tcPr>
          <w:p>
            <w:pPr>
              <w:pStyle w:val="Normal6a"/>
            </w:pPr>
            <w:r>
              <w:t>20.</w:t>
            </w:r>
            <w:r>
              <w:tab/>
            </w:r>
            <w:r>
              <w:t>vyzývá Komisi, aby do strategie začlenila horizontální zásadu zaměřenou na posuzování dopadů odvětvových politik na chudobu, včetně povinnosti provádět předběžné posouzení dopadů</w:t>
            </w:r>
            <w:r>
              <w:t>, a změřila se přitom zejména na nepřiměřené ohrožení žen chudobou a na regionální rozdíly</w:t>
            </w:r>
            <w:r>
              <w:t>;</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77</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20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20a.</w:t>
            </w:r>
            <w:r>
              <w:tab/>
            </w:r>
            <w:r>
              <w:rPr>
                <w:b/>
                <w:i/>
              </w:rPr>
              <w:t>vyzývá Komisi, aby do přehledu sociálních ukazatelů začlenila index rovnosti mezi muži a ženami, který vypracoval Evropský institut pro rovnost žen a mužů;</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78</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21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21a.</w:t>
            </w:r>
            <w:r>
              <w:tab/>
            </w:r>
            <w:r>
              <w:rPr>
                <w:b/>
                <w:i/>
              </w:rPr>
              <w:t>vyzývá Komisi, aby vyvinula tlak na členské státy, aby zavedly spravedlivé, redistributivní a progresivní daňové systémy, které by zajistily, aby byly veřejné rozpočty vybaveny dostatečnými prostředky k financování vymýcení chudoby a snižování nerovností a k řešení nerovnoměrného rozdělení bohatství a zdrojů; zdůrazňuje, že daňová spravedlnost má zásadní význam pro zachování sociální soudržnosti a dodržování zásad Evropského pilíře sociálních práv;</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79</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21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21b.</w:t>
            </w:r>
            <w:r>
              <w:tab/>
            </w:r>
            <w:r>
              <w:rPr>
                <w:b/>
                <w:i/>
              </w:rPr>
              <w:t>vyzývá Komisi, aby proces v rámci evropského semestru posílila zavedením důkladnějších doporučení pro jednotlivé země, která by více zohledňovala rovnost žen a mužů, a to nad rámec současných omezených ukazatelů v sociálním srovnávacím přehledu, a lépe tak zachytila nerovnosti mezi muži a ženami a řešila strukturální vazby mezi chudobou a genderově podmíněným násilím;</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80</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vyzývá k navýšení příštího víceletého finančního rámce (VFR) a k lepšímu využívání fondů ESF+, EFRR, FEAD a AMIF, aby byly posíleny politiky, které přispívají k vymýcení chudoby;</w:t>
            </w:r>
          </w:p>
        </w:tc>
        <w:tc>
          <w:tcPr>
            <w:tcW w:w="4876" w:type="dxa"/>
            <w:tcBorders>
              <w:top w:val="nil"/>
              <w:left w:val="nil"/>
              <w:bottom w:val="nil"/>
              <w:right w:val="nil"/>
            </w:tcBorders>
          </w:tcPr>
          <w:p>
            <w:pPr>
              <w:pStyle w:val="Normal6a"/>
            </w:pPr>
            <w:r>
              <w:t>22.</w:t>
            </w:r>
            <w:r>
              <w:tab/>
            </w:r>
            <w:r>
              <w:t>vyzývá k navýšení příštího víceletého finančního rámce (VFR) a k lepšímu využívání fondů ESF+, EFRR, FEAD a AMIF, aby byla posílena opatření, která přispívají k vymýcení chudoby;</w:t>
            </w:r>
            <w:r>
              <w:rPr>
                <w:b/>
                <w:i/>
              </w:rPr>
              <w:t xml:space="preserve"> zdůrazňuje, že fond ESF+ by měl být ve víceletém finančním rámci pro období po roce 2027 zachován jako samostatný fond, protože má klíčový význam z hlediska zlepšení dostupných, cenově přijatelných a přizpůsobivých sociálních služeb pro všechny zranitelné skupiny, zejména pro ženy a dívky se zdravotním postižením;</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81</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22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22a.</w:t>
            </w:r>
            <w:r>
              <w:tab/>
            </w:r>
            <w:r>
              <w:rPr>
                <w:b/>
                <w:i/>
              </w:rPr>
              <w:t>poukazuje na to, že v rámci povinnosti vyplývající z Úmluvy OSN o právech osob se zdravotním postižením musí EU do všech programů víceletého finančního rámce na období po roce 2027 začlenit činnost zaměřenou na podporu zranitelných skupin, které jsou více ohroženy chudobou, jako jsou osoby se zdravotním postižením; domnívá se, že je nezbytné zajistit, aby osoby se zdravotním postižením, zejména ženy a dívky, měly v souladu se Strategií práv osob se zdravotním postižením na období 2021–2030 rovný přístup ke všem programům financovaným Evropskou unií; naléhavě vyzývá Komisi, aby vypracovala metodiku ke sledování výdajů, z nichž budou mít prospěch osoby se zdravotním postižením, zejména ženy a dívky, a ověřila, zda všechny programy a projekty, které EU financuje, zaručují rovné příležitosti pro muže a ženy a přístup osob se zdravotním postižením k finančním prostředkům EU;</w:t>
            </w:r>
          </w:p>
        </w:tc>
      </w:tr>
    </w:tbl>
    <w:p>
      <w:r>
        <w:rPr>
          <w:rStyle w:val="HideTWBExt"/>
        </w:rPr>
        <w:t>&lt;/Amend&gt;</w:t>
      </w:r>
    </w:p>
    <w:p>
      <w:pPr>
        <w:pStyle w:val="AmNumberTabs"/>
      </w:pPr>
      <w:r>
        <w:rPr>
          <w:rStyle w:val="HideTWBExt"/>
        </w:rPr>
        <w:t>&lt;Amend&gt;</w:t>
      </w:r>
      <w:r>
        <w:t>Pozměňovací návrh</w:t>
      </w:r>
      <w:r>
        <w:tab/>
      </w:r>
      <w:r>
        <w:tab/>
      </w:r>
      <w:r>
        <w:rPr>
          <w:rStyle w:val="HideTWBExt"/>
        </w:rPr>
        <w:t>&lt;NumAm&gt;</w:t>
      </w:r>
      <w:r>
        <w:t>82</w:t>
      </w:r>
      <w:r>
        <w:rPr>
          <w:rStyle w:val="HideTWBExt"/>
        </w:rPr>
        <w:t>&lt;/NumAm&gt;</w:t>
      </w:r>
    </w:p>
    <w:p>
      <w:pPr>
        <w:pStyle w:val="NormalBold12b"/>
      </w:pPr>
      <w:r>
        <w:rPr>
          <w:rStyle w:val="HideTWBExt"/>
        </w:rPr>
        <w:t>&lt;DocAmend&gt;</w:t>
      </w:r>
      <w:r>
        <w:t>Návrh usnesení</w:t>
      </w:r>
      <w:r>
        <w:rPr>
          <w:rStyle w:val="HideTWBExt"/>
        </w:rPr>
        <w:t>&lt;/DocAmend&gt;</w:t>
      </w:r>
    </w:p>
    <w:p>
      <w:pPr>
        <w:pStyle w:val="NormalBold"/>
      </w:pPr>
      <w:r>
        <w:rPr>
          <w:rStyle w:val="HideTWBExt"/>
        </w:rPr>
        <w:t>&lt;Article&gt;</w:t>
      </w:r>
      <w:r>
        <w:t>Bod 22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22b.</w:t>
            </w:r>
            <w:r>
              <w:tab/>
            </w:r>
            <w:r>
              <w:rPr>
                <w:b/>
                <w:i/>
              </w:rPr>
              <w:t>zdůrazňuje, že při navrhování, provádění a sledování nové strategie EU pro boj proti chudobě je třeba sestavovat rozpočet s ohledem na rovnost žen a mužů a používat údaje rozčleněné podle pohlaví; vyzývá Komisi, aby vypracovala specifické ukazatele pro sledování přístupu k menstruačním pomůckám a službám v oblasti sexuálního a reprodukčního zdraví a aby zajistila, aby finanční prostředky EU prokazatelně snižovaly genderový rozměr chudoby;</w:t>
            </w:r>
          </w:p>
        </w:tc>
      </w:tr>
    </w:tbl>
    <w:p>
      <w:r>
        <w:rPr>
          <w:rStyle w:val="HideTWBExt"/>
        </w:rPr>
        <w:t>&lt;/Amend&gt;</w:t>
      </w:r>
    </w:p>
    <w:p>
      <w:r>
        <w:rPr>
          <w:rStyle w:val="HideTWBExt"/>
        </w:rPr>
        <w:t>&lt;/RepeatBlock-Amend&gt;</w:t>
      </w:r>
    </w:p>
    <w:p>
      <w:pPr>
        <w:sectPr>
          <w:footnotePr>
            <w:numRestart w:val="eachSect"/>
          </w:footnotePr>
          <w:type w:val="nextPage"/>
          <w:pgSz w:w="11909" w:h="16834"/>
          <w:pgMar w:top="1134" w:right="1417" w:bottom="1417" w:left="1417" w:header="1134" w:footer="567"/>
          <w:cols w:space="720"/>
        </w:sectPr>
      </w:pPr>
    </w:p>
    <w:p>
      <w:pPr>
        <w:pStyle w:val="PageHeading"/>
      </w:pPr>
      <w:r>
        <w:t>PŘÍLOHA: ZVEŘEJŇOVÁNÍ PODNĚTŮ</w:t>
      </w:r>
    </w:p>
    <w:p>
      <w:pPr>
        <w:pStyle w:val="Normal12a"/>
      </w:pPr>
      <w:r>
        <w:rPr>
          <w:rStyle w:val="HideTWBExt"/>
        </w:rPr>
        <w:t>&lt;FootprintIntro&gt;</w:t>
      </w:r>
      <w:r>
        <w:rPr>
          <w:rStyle w:val="HideTWBExt"/>
        </w:rPr>
        <w:t>&lt;/FootprintIntro&gt;</w:t>
      </w:r>
    </w:p>
    <w:p>
      <w:pPr>
        <w:pStyle w:val="Normal12a"/>
      </w:pPr>
      <w:r>
        <w:t>Zpravodajka v souladu s článkem 8 přílohy I jednacího řádu prohlašuje, že do své zprávy zahrnula podněty k záležitostem týkajícím se předmětu spisu, které při vypracovávání návrhu zprávy obdržela od zástupců zájmových skupin spadajících do oblasti působnosti interinstitucionální dohody o povinném rejstříku transparentnosti</w:t>
      </w:r>
      <w:r>
        <w:rPr>
          <w:rStyle w:val="FootnoteReference"/>
        </w:rPr>
        <w:footnoteReference w:customMarkFollows="1" w:id="2"/>
        <w:t xml:space="preserve">1</w:t>
      </w:r>
      <w:r>
        <w:t xml:space="preserve"> nebo představitelů orgánů třetích zemí, včetně jejich diplomatických misí a velvyslanectví: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0" w:type="dxa"/>
          <w:right w:w="140" w:type="dxa"/>
        </w:tblCellMar>
      </w:tblPr>
      <w:tblGrid>
        <w:gridCol w:w="908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0" w:type="dxa"/>
            <w:right w:w="140" w:type="dxa"/>
          </w:tblCellMar>
        </w:tblPrEx>
        <w:tc>
          <w:tcPr>
            <w:tcW w:w="9080" w:type="dxa"/>
          </w:tcPr>
          <w:p>
            <w:pPr>
              <w:jc w:val="center"/>
            </w:pPr>
            <w:r>
              <w:rPr>
                <w:b/>
              </w:rPr>
              <w:t>1. Zástupci zájmových skupin spadající do oblasti působnosti interinstitucionální dohody o povinném rejstříku transparentnosti</w:t>
            </w:r>
          </w:p>
        </w:tc>
      </w:tr>
      <w:tr>
        <w:tblPrEx>
          <w:tblW w:w="0" w:type="auto"/>
          <w:tblLayout w:type="fixed"/>
          <w:tblCellMar>
            <w:left w:w="140" w:type="dxa"/>
            <w:right w:w="140" w:type="dxa"/>
          </w:tblCellMar>
        </w:tblPrEx>
        <w:tc>
          <w:tcPr>
            <w:tcW w:w="9080" w:type="dxa"/>
          </w:tcPr>
          <w:p>
            <w:r>
              <w:t>Make Mothers Matter (MMM)</w:t>
            </w:r>
          </w:p>
        </w:tc>
      </w:tr>
      <w:tr>
        <w:tblPrEx>
          <w:tblW w:w="0" w:type="auto"/>
          <w:tblLayout w:type="fixed"/>
          <w:tblCellMar>
            <w:left w:w="140" w:type="dxa"/>
            <w:right w:w="140" w:type="dxa"/>
          </w:tblCellMar>
        </w:tblPrEx>
        <w:tc>
          <w:tcPr>
            <w:tcW w:w="9080" w:type="dxa"/>
          </w:tcPr>
          <w:p>
            <w:r>
              <w:rPr>
                <w:b/>
              </w:rPr>
              <w:t>2. Představitelé orgánů třetích zemí, včetně jejich diplomatických misí a velvyslanectví</w:t>
            </w:r>
          </w:p>
        </w:tc>
      </w:tr>
    </w:tbl>
    <w:p/>
    <w:p>
      <w:pPr>
        <w:pStyle w:val="Normal12a"/>
      </w:pPr>
      <w:r>
        <w:t>Výše uvedený seznam je sestaven na výhradní odpovědnost zpravodaje.</w:t>
      </w:r>
    </w:p>
    <w:p>
      <w:pPr>
        <w:pStyle w:val="Normal12a"/>
      </w:pPr>
      <w:r>
        <w:t>Pokud jsou na seznamu uvedena jména, funkce, případně jména i funkce fyzických osob, zpravodajka prohlašuje, že příslušné fyzické osoby byly seznámeny s prohlášením Evropského parlamentu o ochraně osobních údajů č. 484 (</w:t>
      </w:r>
      <w:hyperlink r:id="rId9" w:tgtFrame="https://www.europarl.europa.eu/data-protect/index.do" w:history="1">
        <w:r>
          <w:rPr>
            <w:rStyle w:val="Hyperlink"/>
          </w:rPr>
          <w:t>https://www.europarl.europa.eu/data-protect/index.do</w:t>
        </w:r>
      </w:hyperlink>
      <w:r>
        <w:t>), v němž jsou stanoveny podmínky platné pro zpracování jejich osobních údajů a práva související s tímto zpracováním.</w:t>
      </w:r>
    </w:p>
    <w:p>
      <w:pPr>
        <w:sectPr>
          <w:footnotePr>
            <w:numRestart w:val="eachSect"/>
          </w:footnotePr>
          <w:type w:val="nextPage"/>
          <w:pgSz w:w="11909" w:h="16834"/>
          <w:pgMar w:top="1134" w:right="1417" w:bottom="1417" w:left="1417" w:header="1134" w:footer="567"/>
          <w:cols w:space="720"/>
        </w:sectPr>
      </w:pPr>
    </w:p>
    <w:p>
      <w:pPr>
        <w:pStyle w:val="PageHeading"/>
      </w:pPr>
      <w:r>
        <w:t>INFORMACE O PŘIJETÍ VÝBOREM POSKYTUJÍCÍM STANOVISKO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0" w:type="dxa"/>
          <w:right w:w="140" w:type="dxa"/>
        </w:tblCellMar>
      </w:tblPr>
      <w:tblGrid>
        <w:gridCol w:w="3600"/>
        <w:gridCol w:w="640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0" w:type="dxa"/>
            <w:right w:w="140" w:type="dxa"/>
          </w:tblCellMar>
        </w:tblPrEx>
        <w:tc>
          <w:tcPr>
            <w:tcW w:w="3600" w:type="dxa"/>
          </w:tcPr>
          <w:p>
            <w:pPr>
              <w:pStyle w:val="ProcedureTableBold"/>
            </w:pPr>
            <w:r>
              <w:t>Datum přijetí</w:t>
            </w:r>
          </w:p>
        </w:tc>
        <w:tc>
          <w:tcPr>
            <w:tcW w:w="6400" w:type="dxa"/>
            <w:tcBorders>
              <w:left w:val="dotted" w:sz="4" w:space="0" w:color="auto"/>
            </w:tcBorders>
          </w:tcPr>
          <w:p>
            <w:pPr>
              <w:pStyle w:val="ProcedureTable"/>
            </w:pPr>
            <w:r>
              <w:t>13.10.2025</w:t>
            </w:r>
          </w:p>
        </w:tc>
      </w:tr>
      <w:tr>
        <w:tblPrEx>
          <w:tblW w:w="0" w:type="auto"/>
          <w:tblLayout w:type="fixed"/>
          <w:tblCellMar>
            <w:left w:w="140" w:type="dxa"/>
            <w:right w:w="140" w:type="dxa"/>
          </w:tblCellMar>
        </w:tblPrEx>
        <w:tc>
          <w:tcPr>
            <w:tcW w:w="3600" w:type="dxa"/>
          </w:tcPr>
          <w:p>
            <w:pPr>
              <w:pStyle w:val="ProcedureTableBold"/>
            </w:pPr>
            <w:r>
              <w:t>Výsledek konečného hlasování</w:t>
            </w:r>
          </w:p>
        </w:tc>
        <w:tc>
          <w:tcPr>
            <w:tcW w:w="6400" w:type="dxa"/>
            <w:tcBorders>
              <w:left w:val="dotted" w:sz="4" w:space="0" w:color="auto"/>
            </w:tcBorders>
          </w:tcPr>
          <w:p>
            <w:r>
              <w:t>+</w:t>
            </w:r>
            <w:r>
              <w:tab/>
            </w:r>
            <w:r>
              <w:t>:</w:t>
            </w:r>
            <w:r>
              <w:tab/>
            </w:r>
            <w:r>
              <w:t>26</w:t>
            </w:r>
          </w:p>
          <w:p>
            <w:r>
              <w:t>-</w:t>
            </w:r>
            <w:r>
              <w:tab/>
            </w:r>
            <w:r>
              <w:t>:</w:t>
            </w:r>
            <w:r>
              <w:tab/>
            </w:r>
            <w:r>
              <w:t>8</w:t>
            </w:r>
          </w:p>
          <w:p>
            <w:r>
              <w:t>0</w:t>
            </w:r>
            <w:r>
              <w:tab/>
            </w:r>
            <w:r>
              <w:t>:</w:t>
            </w:r>
            <w:r>
              <w:tab/>
            </w:r>
            <w:r>
              <w:t>0</w:t>
            </w:r>
          </w:p>
        </w:tc>
      </w:tr>
      <w:tr>
        <w:tblPrEx>
          <w:tblW w:w="0" w:type="auto"/>
          <w:tblLayout w:type="fixed"/>
          <w:tblCellMar>
            <w:left w:w="140" w:type="dxa"/>
            <w:right w:w="140" w:type="dxa"/>
          </w:tblCellMar>
        </w:tblPrEx>
        <w:tc>
          <w:tcPr>
            <w:tcW w:w="3600" w:type="dxa"/>
          </w:tcPr>
          <w:p>
            <w:pPr>
              <w:pStyle w:val="ProcedureTableBold"/>
            </w:pPr>
            <w:r>
              <w:t>Členové přítomní při konečném hlasování</w:t>
            </w:r>
          </w:p>
        </w:tc>
        <w:tc>
          <w:tcPr>
            <w:tcW w:w="6400" w:type="dxa"/>
            <w:tcBorders>
              <w:left w:val="dotted" w:sz="4" w:space="0" w:color="auto"/>
            </w:tcBorders>
          </w:tcPr>
          <w:p>
            <w:pPr>
              <w:pStyle w:val="ProcedureTable"/>
            </w:pPr>
            <w:r>
              <w:t>Margarita de la Pisa Carrión, Valérie Devaux, Heléne Fritzon, Lina Gálvez, Alexandra Geese, Chiara Gemma, Fernand Kartheiser, Arba Kokalari, Elena Kountoura, Sebastian Kruis, Judita Laššáková, Eleonora Meleti, Carolina Morace, Maria Noichl, Sirpa Pietikäinen, Giusi Princi, Emma Rafowicz, Joanna Scheuring-Wielgus, Benedetta Scuderi, Laurence Trochu, Marko Vešligaj, Maria Walsh, Lucia Yar</w:t>
            </w:r>
          </w:p>
        </w:tc>
      </w:tr>
      <w:tr>
        <w:tblPrEx>
          <w:tblW w:w="0" w:type="auto"/>
          <w:tblLayout w:type="fixed"/>
          <w:tblCellMar>
            <w:left w:w="140" w:type="dxa"/>
            <w:right w:w="140" w:type="dxa"/>
          </w:tblCellMar>
        </w:tblPrEx>
        <w:tc>
          <w:tcPr>
            <w:tcW w:w="3600" w:type="dxa"/>
          </w:tcPr>
          <w:p>
            <w:pPr>
              <w:pStyle w:val="ProcedureTableBold"/>
            </w:pPr>
            <w:r>
              <w:t>Náhradníci přítomní při konečném hlasování</w:t>
            </w:r>
          </w:p>
        </w:tc>
        <w:tc>
          <w:tcPr>
            <w:tcW w:w="6400" w:type="dxa"/>
            <w:tcBorders>
              <w:left w:val="dotted" w:sz="4" w:space="0" w:color="auto"/>
            </w:tcBorders>
          </w:tcPr>
          <w:p>
            <w:pPr>
              <w:pStyle w:val="ProcedureTable"/>
            </w:pPr>
            <w:r>
              <w:t>Christine Anderson, Veronika Cifrová Ostrihoňová, Paulo Do Nascimento Cabral, Elisabeth Grossmann, Billy Kelleher, Katrin Langensiepen, Manuela Ripa, Beatrice Timgren, Marianne Vind</w:t>
            </w:r>
          </w:p>
        </w:tc>
      </w:tr>
      <w:tr>
        <w:tblPrEx>
          <w:tblW w:w="0" w:type="auto"/>
          <w:tblLayout w:type="fixed"/>
          <w:tblCellMar>
            <w:left w:w="140" w:type="dxa"/>
            <w:right w:w="140" w:type="dxa"/>
          </w:tblCellMar>
        </w:tblPrEx>
        <w:tc>
          <w:tcPr>
            <w:tcW w:w="3600" w:type="dxa"/>
          </w:tcPr>
          <w:p>
            <w:pPr>
              <w:pStyle w:val="ProcedureTableBold"/>
            </w:pPr>
            <w:r>
              <w:t>Poslanci uvedení v čl. 216 odst. 7 jednacího řádu přítomní při konečném hlasování</w:t>
            </w:r>
          </w:p>
        </w:tc>
        <w:tc>
          <w:tcPr>
            <w:tcW w:w="6400" w:type="dxa"/>
            <w:tcBorders>
              <w:left w:val="dotted" w:sz="4" w:space="0" w:color="auto"/>
            </w:tcBorders>
          </w:tcPr>
          <w:p>
            <w:pPr>
              <w:pStyle w:val="ProcedureTable"/>
            </w:pPr>
            <w:r>
              <w:t>Peter Agius, Daniel Caspary</w:t>
            </w:r>
          </w:p>
        </w:tc>
      </w:tr>
    </w:tbl>
    <w:p>
      <w:pPr>
        <w:sectPr>
          <w:type w:val="nextPage"/>
          <w:pgSz w:w="11909" w:h="16834"/>
          <w:pgMar w:top="1134" w:right="1417" w:bottom="1417" w:left="1417" w:header="1134" w:footer="567"/>
          <w:cols w:space="720"/>
        </w:sectPr>
      </w:pPr>
    </w:p>
    <w:p>
      <w:pPr>
        <w:pStyle w:val="PageHeading"/>
      </w:pPr>
      <w:r>
        <w:t>JMENOVITÉ KONEČNÉ HLASOVÁNÍ VE VÝBORU POSKYTUJÍCÍM STANOVISKO</w:t>
      </w:r>
    </w:p>
    <w:tbl>
      <w:tblPr>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
      <w:tblGrid>
        <w:gridCol w:w="1600"/>
        <w:gridCol w:w="7600"/>
      </w:tblGrid>
      <w:tr>
        <w:tblPrEx>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Ex>
        <w:tc>
          <w:tcPr>
            <w:tcW w:w="1600" w:type="dxa"/>
            <w:shd w:val="clear" w:color="auto" w:fill="C0C0C0"/>
          </w:tcPr>
          <w:p>
            <w:pPr>
              <w:pStyle w:val="NormalBold"/>
            </w:pPr>
            <w:r>
              <w:t>26</w:t>
            </w:r>
          </w:p>
        </w:tc>
        <w:tc>
          <w:tcPr>
            <w:tcW w:w="7600" w:type="dxa"/>
            <w:shd w:val="clear" w:color="auto" w:fill="C0C0C0"/>
          </w:tcPr>
          <w:p>
            <w:pPr>
              <w:pStyle w:val="Arial14CentreBold"/>
            </w:pPr>
            <w:r>
              <w:t>+</w:t>
            </w:r>
          </w:p>
        </w:tc>
      </w:tr>
      <w:tr>
        <w:tblPrEx>
          <w:tblW w:w="0" w:type="auto"/>
          <w:tblLayout w:type="fixed"/>
          <w:tblCellMar>
            <w:top w:w="54" w:type="dxa"/>
            <w:left w:w="140" w:type="dxa"/>
            <w:bottom w:w="54" w:type="dxa"/>
            <w:right w:w="140" w:type="dxa"/>
          </w:tblCellMar>
        </w:tblPrEx>
        <w:tc>
          <w:tcPr>
            <w:tcW w:w="1600" w:type="dxa"/>
          </w:tcPr>
          <w:p>
            <w:pPr>
              <w:pStyle w:val="ProcedureTable"/>
            </w:pPr>
            <w:r>
              <w:t>PPE</w:t>
            </w:r>
          </w:p>
        </w:tc>
        <w:tc>
          <w:tcPr>
            <w:tcW w:w="7600" w:type="dxa"/>
          </w:tcPr>
          <w:p>
            <w:pPr>
              <w:pStyle w:val="ProcedureTable"/>
            </w:pPr>
            <w:r>
              <w:t>Agius Peter, Caspary Daniel, Do Nascimento Cabral Paulo, Kokalari Arba, Meleti Eleonora, Pietikäinen Sirpa, Princi Giusi, Ripa Manuela, Walsh Maria</w:t>
            </w:r>
          </w:p>
        </w:tc>
      </w:tr>
      <w:tr>
        <w:tblPrEx>
          <w:tblW w:w="0" w:type="auto"/>
          <w:tblLayout w:type="fixed"/>
          <w:tblCellMar>
            <w:top w:w="54" w:type="dxa"/>
            <w:left w:w="140" w:type="dxa"/>
            <w:bottom w:w="54" w:type="dxa"/>
            <w:right w:w="140" w:type="dxa"/>
          </w:tblCellMar>
        </w:tblPrEx>
        <w:tc>
          <w:tcPr>
            <w:tcW w:w="1600" w:type="dxa"/>
          </w:tcPr>
          <w:p>
            <w:pPr>
              <w:pStyle w:val="ProcedureTable"/>
            </w:pPr>
            <w:r>
              <w:t>Renew</w:t>
            </w:r>
          </w:p>
        </w:tc>
        <w:tc>
          <w:tcPr>
            <w:tcW w:w="7600" w:type="dxa"/>
          </w:tcPr>
          <w:p>
            <w:pPr>
              <w:pStyle w:val="ProcedureTable"/>
            </w:pPr>
            <w:r>
              <w:t>Cifrová Ostrihonová Veronika, Devaux Valérie, Kelleher Billy, Yar Lucia</w:t>
            </w:r>
          </w:p>
        </w:tc>
      </w:tr>
      <w:tr>
        <w:tblPrEx>
          <w:tblW w:w="0" w:type="auto"/>
          <w:tblLayout w:type="fixed"/>
          <w:tblCellMar>
            <w:top w:w="54" w:type="dxa"/>
            <w:left w:w="140" w:type="dxa"/>
            <w:bottom w:w="54" w:type="dxa"/>
            <w:right w:w="140" w:type="dxa"/>
          </w:tblCellMar>
        </w:tblPrEx>
        <w:tc>
          <w:tcPr>
            <w:tcW w:w="1600" w:type="dxa"/>
          </w:tcPr>
          <w:p>
            <w:pPr>
              <w:pStyle w:val="ProcedureTable"/>
            </w:pPr>
            <w:r>
              <w:t>S&amp;D</w:t>
            </w:r>
          </w:p>
        </w:tc>
        <w:tc>
          <w:tcPr>
            <w:tcW w:w="7600" w:type="dxa"/>
          </w:tcPr>
          <w:p>
            <w:pPr>
              <w:pStyle w:val="ProcedureTable"/>
            </w:pPr>
            <w:r>
              <w:t>Fritzon Heléne, Gálvez Lina, Grossmann Elisabeth, Noichl Maria, Rafowicz Emma, Scheuring-Wielgus Joanna, Vesligaj Marko, Vind Marianne</w:t>
            </w:r>
          </w:p>
        </w:tc>
      </w:tr>
      <w:tr>
        <w:tblPrEx>
          <w:tblW w:w="0" w:type="auto"/>
          <w:tblLayout w:type="fixed"/>
          <w:tblCellMar>
            <w:top w:w="54" w:type="dxa"/>
            <w:left w:w="140" w:type="dxa"/>
            <w:bottom w:w="54" w:type="dxa"/>
            <w:right w:w="140" w:type="dxa"/>
          </w:tblCellMar>
        </w:tblPrEx>
        <w:tc>
          <w:tcPr>
            <w:tcW w:w="1600" w:type="dxa"/>
          </w:tcPr>
          <w:p>
            <w:pPr>
              <w:pStyle w:val="ProcedureTable"/>
            </w:pPr>
            <w:r>
              <w:t>The Left</w:t>
            </w:r>
          </w:p>
        </w:tc>
        <w:tc>
          <w:tcPr>
            <w:tcW w:w="7600" w:type="dxa"/>
          </w:tcPr>
          <w:p>
            <w:pPr>
              <w:pStyle w:val="ProcedureTable"/>
            </w:pPr>
            <w:r>
              <w:t>Kountoura Elena, Morace Carolina</w:t>
            </w:r>
          </w:p>
        </w:tc>
      </w:tr>
      <w:tr>
        <w:tblPrEx>
          <w:tblW w:w="0" w:type="auto"/>
          <w:tblLayout w:type="fixed"/>
          <w:tblCellMar>
            <w:top w:w="54" w:type="dxa"/>
            <w:left w:w="140" w:type="dxa"/>
            <w:bottom w:w="54" w:type="dxa"/>
            <w:right w:w="140" w:type="dxa"/>
          </w:tblCellMar>
        </w:tblPrEx>
        <w:tc>
          <w:tcPr>
            <w:tcW w:w="1600" w:type="dxa"/>
          </w:tcPr>
          <w:p>
            <w:pPr>
              <w:pStyle w:val="ProcedureTable"/>
            </w:pPr>
            <w:r>
              <w:t>Verts/ALE</w:t>
            </w:r>
          </w:p>
        </w:tc>
        <w:tc>
          <w:tcPr>
            <w:tcW w:w="7600" w:type="dxa"/>
          </w:tcPr>
          <w:p>
            <w:pPr>
              <w:pStyle w:val="ProcedureTable"/>
            </w:pPr>
            <w:r>
              <w:t>Geese Alexandra, Langensiepen Katrin, Scuderi Benedetta</w:t>
            </w:r>
          </w:p>
        </w:tc>
      </w:tr>
    </w:tbl>
    <w:p/>
    <w:tbl>
      <w:tblPr>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
      <w:tblGrid>
        <w:gridCol w:w="1600"/>
        <w:gridCol w:w="7600"/>
      </w:tblGrid>
      <w:tr>
        <w:tblPrEx>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Ex>
        <w:tc>
          <w:tcPr>
            <w:tcW w:w="1600" w:type="dxa"/>
            <w:shd w:val="clear" w:color="auto" w:fill="C0C0C0"/>
          </w:tcPr>
          <w:p>
            <w:pPr>
              <w:pStyle w:val="NormalBold"/>
            </w:pPr>
            <w:r>
              <w:t>8</w:t>
            </w:r>
          </w:p>
        </w:tc>
        <w:tc>
          <w:tcPr>
            <w:tcW w:w="7600" w:type="dxa"/>
            <w:shd w:val="clear" w:color="auto" w:fill="C0C0C0"/>
          </w:tcPr>
          <w:p>
            <w:pPr>
              <w:pStyle w:val="Arial14CentreBold"/>
            </w:pPr>
            <w:r>
              <w:t>-</w:t>
            </w:r>
          </w:p>
        </w:tc>
      </w:tr>
      <w:tr>
        <w:tblPrEx>
          <w:tblW w:w="0" w:type="auto"/>
          <w:tblLayout w:type="fixed"/>
          <w:tblCellMar>
            <w:top w:w="54" w:type="dxa"/>
            <w:left w:w="140" w:type="dxa"/>
            <w:bottom w:w="54" w:type="dxa"/>
            <w:right w:w="140" w:type="dxa"/>
          </w:tblCellMar>
        </w:tblPrEx>
        <w:tc>
          <w:tcPr>
            <w:tcW w:w="1600" w:type="dxa"/>
          </w:tcPr>
          <w:p>
            <w:pPr>
              <w:pStyle w:val="ProcedureTable"/>
            </w:pPr>
            <w:r>
              <w:t>ECR</w:t>
            </w:r>
          </w:p>
        </w:tc>
        <w:tc>
          <w:tcPr>
            <w:tcW w:w="7600" w:type="dxa"/>
          </w:tcPr>
          <w:p>
            <w:pPr>
              <w:pStyle w:val="ProcedureTable"/>
            </w:pPr>
            <w:r>
              <w:t>Gemma Chiara, Timgren Beatrice, Trochu Laurence</w:t>
            </w:r>
          </w:p>
        </w:tc>
      </w:tr>
      <w:tr>
        <w:tblPrEx>
          <w:tblW w:w="0" w:type="auto"/>
          <w:tblLayout w:type="fixed"/>
          <w:tblCellMar>
            <w:top w:w="54" w:type="dxa"/>
            <w:left w:w="140" w:type="dxa"/>
            <w:bottom w:w="54" w:type="dxa"/>
            <w:right w:w="140" w:type="dxa"/>
          </w:tblCellMar>
        </w:tblPrEx>
        <w:tc>
          <w:tcPr>
            <w:tcW w:w="1600" w:type="dxa"/>
          </w:tcPr>
          <w:p>
            <w:pPr>
              <w:pStyle w:val="ProcedureTable"/>
            </w:pPr>
            <w:r>
              <w:t>ESN</w:t>
            </w:r>
          </w:p>
        </w:tc>
        <w:tc>
          <w:tcPr>
            <w:tcW w:w="7600" w:type="dxa"/>
          </w:tcPr>
          <w:p>
            <w:pPr>
              <w:pStyle w:val="ProcedureTable"/>
            </w:pPr>
            <w:r>
              <w:t>Anderson Christine</w:t>
            </w:r>
          </w:p>
        </w:tc>
      </w:tr>
      <w:tr>
        <w:tblPrEx>
          <w:tblW w:w="0" w:type="auto"/>
          <w:tblLayout w:type="fixed"/>
          <w:tblCellMar>
            <w:top w:w="54" w:type="dxa"/>
            <w:left w:w="140" w:type="dxa"/>
            <w:bottom w:w="54" w:type="dxa"/>
            <w:right w:w="140" w:type="dxa"/>
          </w:tblCellMar>
        </w:tblPrEx>
        <w:tc>
          <w:tcPr>
            <w:tcW w:w="1600" w:type="dxa"/>
          </w:tcPr>
          <w:p>
            <w:pPr>
              <w:pStyle w:val="ProcedureTable"/>
            </w:pPr>
            <w:r>
              <w:t>NI</w:t>
            </w:r>
          </w:p>
        </w:tc>
        <w:tc>
          <w:tcPr>
            <w:tcW w:w="7600" w:type="dxa"/>
          </w:tcPr>
          <w:p>
            <w:pPr>
              <w:pStyle w:val="ProcedureTable"/>
            </w:pPr>
            <w:r>
              <w:t>Kartheiser Fernand, Lassáková Judita</w:t>
            </w:r>
          </w:p>
        </w:tc>
      </w:tr>
      <w:tr>
        <w:tblPrEx>
          <w:tblW w:w="0" w:type="auto"/>
          <w:tblLayout w:type="fixed"/>
          <w:tblCellMar>
            <w:top w:w="54" w:type="dxa"/>
            <w:left w:w="140" w:type="dxa"/>
            <w:bottom w:w="54" w:type="dxa"/>
            <w:right w:w="140" w:type="dxa"/>
          </w:tblCellMar>
        </w:tblPrEx>
        <w:tc>
          <w:tcPr>
            <w:tcW w:w="1600" w:type="dxa"/>
          </w:tcPr>
          <w:p>
            <w:pPr>
              <w:pStyle w:val="ProcedureTable"/>
            </w:pPr>
            <w:r>
              <w:t>PfE</w:t>
            </w:r>
          </w:p>
        </w:tc>
        <w:tc>
          <w:tcPr>
            <w:tcW w:w="7600" w:type="dxa"/>
          </w:tcPr>
          <w:p>
            <w:pPr>
              <w:pStyle w:val="ProcedureTable"/>
            </w:pPr>
            <w:r>
              <w:t>Kruis Sebastian, de la Pisa Carrión Margarita</w:t>
            </w:r>
          </w:p>
        </w:tc>
      </w:tr>
    </w:tbl>
    <w:p/>
    <w:tbl>
      <w:tblPr>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
      <w:tblGrid>
        <w:gridCol w:w="1600"/>
        <w:gridCol w:w="7600"/>
      </w:tblGrid>
      <w:tr>
        <w:tblPrEx>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Ex>
        <w:tc>
          <w:tcPr>
            <w:tcW w:w="1600" w:type="dxa"/>
            <w:shd w:val="clear" w:color="auto" w:fill="C0C0C0"/>
          </w:tcPr>
          <w:p>
            <w:pPr>
              <w:pStyle w:val="NormalBold"/>
            </w:pPr>
            <w:r>
              <w:t>0</w:t>
            </w:r>
          </w:p>
        </w:tc>
        <w:tc>
          <w:tcPr>
            <w:tcW w:w="7600" w:type="dxa"/>
            <w:shd w:val="clear" w:color="auto" w:fill="C0C0C0"/>
          </w:tcPr>
          <w:p>
            <w:pPr>
              <w:pStyle w:val="Arial14CentreBold"/>
            </w:pPr>
            <w:r>
              <w:t>0</w:t>
            </w:r>
          </w:p>
        </w:tc>
      </w:tr>
    </w:tbl>
    <w:p/>
    <w:p>
      <w:r>
        <w:t>Význam zkratek:</w:t>
      </w:r>
    </w:p>
    <w:p>
      <w:pPr>
        <w:pStyle w:val="NormalTab"/>
      </w:pPr>
      <w:r>
        <w:t>+</w:t>
      </w:r>
      <w:r>
        <w:t xml:space="preserve">  :  </w:t>
      </w:r>
      <w:r>
        <w:t>pro</w:t>
      </w:r>
    </w:p>
    <w:p>
      <w:pPr>
        <w:pStyle w:val="NormalTab"/>
      </w:pPr>
      <w:r>
        <w:t>-</w:t>
      </w:r>
      <w:r>
        <w:t xml:space="preserve">  :  </w:t>
      </w:r>
      <w:r>
        <w:t>proti</w:t>
      </w:r>
    </w:p>
    <w:p>
      <w:pPr>
        <w:pStyle w:val="NormalTab"/>
      </w:pPr>
      <w:r>
        <w:t>0</w:t>
      </w:r>
      <w:r>
        <w:t xml:space="preserve">  :  </w:t>
      </w:r>
      <w:r>
        <w:t>zdrželi se</w:t>
      </w:r>
    </w:p>
    <w:sectPr>
      <w:type w:val="nextPage"/>
      <w:pgSz w:w="11909" w:h="16834"/>
      <w:pgMar w:top="1134" w:right="1417" w:bottom="1417" w:left="1417" w:header="1134" w:footer="567"/>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774.456</w:t>
    </w:r>
    <w:r>
      <w:rPr>
        <w:rStyle w:val="HideTWBExt"/>
      </w:rPr>
      <w:t>&lt;/NoPE&gt;</w:t>
    </w:r>
    <w:r>
      <w:rPr>
        <w:rStyle w:val="HideTWBExt"/>
      </w:rPr>
      <w:t>&lt;Version&gt;</w:t>
    </w:r>
    <w:r>
      <w:t>v02-00</w:t>
    </w:r>
    <w:r>
      <w:rPr>
        <w:rStyle w:val="HideTWBExt"/>
      </w:rPr>
      <w:t>&lt;/Version&gt;</w:t>
    </w:r>
    <w:r>
      <w:tab/>
    </w:r>
    <w:r>
      <w:fldChar w:fldCharType="begin"/>
    </w:r>
    <w:r>
      <w:instrText xml:space="preserve"> PAGE </w:instrText>
    </w:r>
    <w:r>
      <w:fldChar w:fldCharType="separate"/>
    </w:r>
    <w:r>
      <w:t>54</w:t>
    </w:r>
    <w:r>
      <w:fldChar w:fldCharType="end"/>
    </w:r>
    <w:r>
      <w:t>/</w:t>
    </w:r>
    <w:r>
      <w:fldChar w:fldCharType="begin"/>
    </w:r>
    <w:r>
      <w:instrText xml:space="preserve"> NUMPAGES </w:instrText>
    </w:r>
    <w:r>
      <w:fldChar w:fldCharType="separate"/>
    </w:r>
    <w:r>
      <w:t>54</w:t>
    </w:r>
    <w:r>
      <w:fldChar w:fldCharType="end"/>
    </w:r>
    <w:r>
      <w:tab/>
    </w:r>
    <w:r>
      <w:rPr>
        <w:rStyle w:val="HideTWBExt"/>
      </w:rPr>
      <w:t>&lt;PathFdR&gt;</w:t>
    </w:r>
    <w:r>
      <w:t>AD\1326834CS.docx</w:t>
    </w:r>
    <w:r>
      <w:rPr>
        <w:rStyle w:val="HideTWBExt"/>
      </w:rPr>
      <w:t>&lt;/PathFdR&gt;</w:t>
    </w:r>
  </w:p>
  <w:p>
    <w:pPr>
      <w:pStyle w:val="EPFooter2"/>
    </w:pPr>
    <w:r>
      <w:t>CS</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AD\1326834CS.docx</w:t>
    </w:r>
    <w:r>
      <w:rPr>
        <w:rStyle w:val="HideTWBExt"/>
      </w:rPr>
      <w:t>&lt;/PathFdR&gt;</w:t>
    </w:r>
    <w:r>
      <w:tab/>
    </w:r>
    <w:r>
      <w:fldChar w:fldCharType="begin"/>
    </w:r>
    <w:r>
      <w:instrText xml:space="preserve"> PAGE </w:instrText>
    </w:r>
    <w:r>
      <w:fldChar w:fldCharType="separate"/>
    </w:r>
    <w:r>
      <w:t>53</w:t>
    </w:r>
    <w:r>
      <w:fldChar w:fldCharType="end"/>
    </w:r>
    <w:r>
      <w:t>/</w:t>
    </w:r>
    <w:r>
      <w:fldChar w:fldCharType="begin"/>
    </w:r>
    <w:r>
      <w:instrText xml:space="preserve"> NUMPAGES </w:instrText>
    </w:r>
    <w:r>
      <w:fldChar w:fldCharType="separate"/>
    </w:r>
    <w:r>
      <w:t>54</w:t>
    </w:r>
    <w:r>
      <w:fldChar w:fldCharType="end"/>
    </w:r>
    <w:r>
      <w:tab/>
    </w:r>
    <w:r>
      <w:t>PE</w:t>
    </w:r>
    <w:r>
      <w:rPr>
        <w:rStyle w:val="HideTWBExt"/>
      </w:rPr>
      <w:t>&lt;NoPE&gt;</w:t>
    </w:r>
    <w:r>
      <w:t>774.456</w:t>
    </w:r>
    <w:r>
      <w:rPr>
        <w:rStyle w:val="HideTWBExt"/>
      </w:rPr>
      <w:t>&lt;/NoPE&gt;</w:t>
    </w:r>
    <w:r>
      <w:rPr>
        <w:rStyle w:val="HideTWBExt"/>
      </w:rPr>
      <w:t>&lt;Version&gt;</w:t>
    </w:r>
    <w:r>
      <w:t>v02-00</w:t>
    </w:r>
    <w:r>
      <w:rPr>
        <w:rStyle w:val="HideTWBExt"/>
      </w:rPr>
      <w:t>&lt;/Version&gt;</w:t>
    </w:r>
  </w:p>
  <w:p>
    <w:pPr>
      <w:pStyle w:val="EPFooter2"/>
    </w:pPr>
    <w:r>
      <w:tab/>
    </w:r>
    <w:r>
      <w:tab/>
    </w:r>
    <w:r>
      <w:t>CS</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AD\1326834CS.docx</w:t>
    </w:r>
    <w:r>
      <w:rPr>
        <w:rStyle w:val="HideTWBExt"/>
      </w:rPr>
      <w:t>&lt;/PathFdR&gt;</w:t>
    </w:r>
    <w:r>
      <w:tab/>
    </w:r>
    <w:r>
      <w:tab/>
    </w:r>
    <w:r>
      <w:t>PE</w:t>
    </w:r>
    <w:r>
      <w:rPr>
        <w:rStyle w:val="HideTWBExt"/>
      </w:rPr>
      <w:t>&lt;NoPE&gt;</w:t>
    </w:r>
    <w:r>
      <w:t>774.456</w:t>
    </w:r>
    <w:r>
      <w:rPr>
        <w:rStyle w:val="HideTWBExt"/>
      </w:rPr>
      <w:t>&lt;/NoPE&gt;</w:t>
    </w:r>
    <w:r>
      <w:rPr>
        <w:rStyle w:val="HideTWBExt"/>
      </w:rPr>
      <w:t>&lt;Version&gt;</w:t>
    </w:r>
    <w:r>
      <w:t>v02-00</w:t>
    </w:r>
    <w:r>
      <w:rPr>
        <w:rStyle w:val="HideTWBExt"/>
      </w:rPr>
      <w:t>&lt;/Version&gt;</w:t>
    </w:r>
  </w:p>
  <w:p>
    <w:pPr>
      <w:pStyle w:val="EPFooter2"/>
    </w:pPr>
    <w:r>
      <w:t>CS</w:t>
    </w:r>
    <w:r>
      <w:tab/>
    </w:r>
    <w:r>
      <w:rPr>
        <w:rStyle w:val="EPFooter2Motto"/>
      </w:rPr>
      <w:t>Jednotná v rozmanitosti</w:t>
    </w:r>
    <w:r>
      <w:tab/>
    </w:r>
    <w:r>
      <w:t>CS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 w:id="2">
    <w:p>
      <w:pPr>
        <w:pStyle w:val="FootnoteText"/>
      </w:pPr>
      <w:r>
        <w:rPr>
          <w:vertAlign w:val="superscript"/>
        </w:rPr>
        <w:t>1</w:t>
      </w:r>
      <w:r>
        <w:t xml:space="preserve"> </w:t>
      </w:r>
      <w:r>
        <w:t>Interinstitucionální dohoda ze dne 20. května 2021 mezi Evropským parlamentem, Radou Evropské unie a Evropskou komisí o povinném rejstříku transparentnosti (Úř. věst. L 207, 11.6.2021, s. 1, ELI: http://data.europa.eu/eli/agree_interinstit/2021/611/oj).</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footnotePr>
    <w:numRestart w:val="eachSect"/>
    <w:footnote w:id="0"/>
    <w:footnote w:id="1"/>
  </w:foot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7\uc1\adeff0\deff0\stshfdbch0\stshfloch0\stshfhich0\stshfbi0\deflang1063\deflangfe1041\themelang2057\themelangfe1041\themelangcs1108{\fonttbl{\f0\fbidi \froman\fcharset0\fprq2{\*\panose 02020603050405020304}Times New Roman;}{\f1\fbidi \fswiss\fcharset0\fprq2{\*\panose 020b0604020202020204}Arial;}&#13;_x000a_{\f34\fbidi \froman\fcharset0\fprq2{\*\panose 02040503050406030204}Cambria Math;}{\f38\fbidi \fswiss\fcharset128\fprq2{\*\panose 020b0300000000000000}Yu Gothic Light{\*\falt \'9f\'e0\'83\'53\'83\'56\'83\'62\'83\'4e Light};}&#13;_x000a_{\f163\fbidi \fswiss\fcharset128\fprq2 @Yu Gothic Light;}{\flomajor\f31500\fbidi \froman\fcharset0\fprq2{\*\panose 02020603050405020304}Times New Roman;}&#13;_x000a_{\fdbmajor\f31501\fbidi \fswiss\fcharset128\fprq2{\*\panose 020b0300000000000000}Yu Gothic Light{\*\falt \'9f\'e0\'83\'53\'83\'56\'83\'62\'83\'4e Light};}{\fhimajor\f31502\fbidi \fswiss\fcharset0\fprq2{\*\panose 020f0302020204030204}Calibri Light;}&#13;_x000a_{\fbimajor\f31503\fbidi \fswiss\fcharset0\fprq2 DokChampa;}{\flominor\f31504\fbidi \froman\fcharset0\fprq2{\*\panose 02020603050405020304}Times New Roman;}&#13;_x000a_{\fdbminor\f31505\fbidi \froman\fcharset128\fprq0{\*\panose 00000000000000000000}Yu Mincho{\*\falt \'9f\'e0\'96\'be\'92\'a9};}{\fhiminor\f31506\fbidi \fswiss\fcharset0\fprq2{\*\panose 020f0502020204030204}Calibri;}&#13;_x000a_{\fbiminor\f31507\fbidi \fswiss\fcharset0\fprq2 DokChampa;}{\f335\fbidi \froman\fcharset238\fprq2 Times New Roman CE;}{\f336\fbidi \froman\fcharset204\fprq2 Times New Roman Cyr;}{\f338\fbidi \froman\fcharset161\fprq2 Times New Roman Greek;}&#13;_x000a_{\f339\fbidi \froman\fcharset162\fprq2 Times New Roman Tur;}{\f340\fbidi \froman\fcharset177\fprq2 Times New Roman (Hebrew);}{\f341\fbidi \froman\fcharset178\fprq2 Times New Roman (Arabic);}{\f342\fbidi \froman\fcharset186\fprq2 Times New Roman Baltic;}&#13;_x000a_{\f343\fbidi \froman\fcharset163\fprq2 Times New Roman (Vietnamese);}{\f345\fbidi \fswiss\fcharset238\fprq2 Arial CE;}{\f346\fbidi \fswiss\fcharset204\fprq2 Arial Cyr;}{\f348\fbidi \fswiss\fcharset161\fprq2 Arial Greek;}&#13;_x000a_{\f349\fbidi \fswiss\fcharset162\fprq2 Arial Tur;}{\f350\fbidi \fswiss\fcharset177\fprq2 Arial (Hebrew);}{\f351\fbidi \fswiss\fcharset178\fprq2 Arial (Arabic);}{\f352\fbidi \fswiss\fcharset186\fprq2 Arial Baltic;}&#13;_x000a_{\f353\fbidi \fswiss\fcharset163\fprq2 Arial (Vietnamese);}{\f675\fbidi \froman\fcharset238\fprq2 Cambria Math CE;}{\f676\fbidi \froman\fcharset204\fprq2 Cambria Math Cyr;}{\f678\fbidi \froman\fcharset161\fprq2 Cambria Math Greek;}&#13;_x000a_{\f679\fbidi \froman\fcharset162\fprq2 Cambria Math Tur;}{\f682\fbidi \froman\fcharset186\fprq2 Cambria Math Baltic;}{\f683\fbidi \froman\fcharset163\fprq2 Cambria Math (Vietnamese);}&#13;_x000a_{\f717\fbidi \fswiss\fcharset0\fprq2 Yu Gothic Light Western{\*\falt \'9f\'e0\'83\'53\'83\'56\'83\'62\'83\'4e Light};}{\f715\fbidi \fswiss\fcharset238\fprq2 Yu Gothic Light CE{\*\falt \'9f\'e0\'83\'53\'83\'56\'83\'62\'83\'4e Light};}&#13;_x000a_{\f716\fbidi \fswiss\fcharset204\fprq2 Yu Gothic Light Cyr{\*\falt \'9f\'e0\'83\'53\'83\'56\'83\'62\'83\'4e Light};}{\f718\fbidi \fswiss\fcharset161\fprq2 Yu Gothic Light Greek{\*\falt \'9f\'e0\'83\'53\'83\'56\'83\'62\'83\'4e Light};}&#13;_x000a_{\f719\fbidi \fswiss\fcharset162\fprq2 Yu Gothic Light Tur{\*\falt \'9f\'e0\'83\'53\'83\'56\'83\'62\'83\'4e Light};}{\f722\fbidi \fswiss\fcharset186\fprq2 Yu Gothic Light Baltic{\*\falt \'9f\'e0\'83\'53\'83\'56\'83\'62\'83\'4e Light};}&#13;_x000a_{\f1967\fbidi \fswiss\fcharset0\fprq2 @Yu Gothic Light Western;}{\f1965\fbidi \fswiss\fcharset238\fprq2 @Yu Gothic Light CE;}{\f1966\fbidi \fswiss\fcharset204\fprq2 @Yu Gothic Light Cyr;}{\f1968\fbidi \fswiss\fcharset161\fprq2 @Yu Gothic Light Greek;}&#13;_x000a_{\f1969\fbidi \fswiss\fcharset162\fprq2 @Yu Gothic Light Tur;}{\f1972\fbidi \fswiss\fcharset186\fprq2 @Yu Gothic Light Baltic;}{\flomajor\f31508\fbidi \froman\fcharset238\fprq2 Times New Roman CE;}&#13;_x000a_{\flomajor\f31509\fbidi \froman\fcharset204\fprq2 Times New Roman Cyr;}{\flomajor\f31511\fbidi \froman\fcharset161\fprq2 Times New Roman Greek;}{\flomajor\f31512\fbidi \froman\fcharset162\fprq2 Times New Roman Tur;}&#13;_x000a_{\flomajor\f31513\fbidi \froman\fcharset177\fprq2 Times New Roman (Hebrew);}{\flomajor\f31514\fbidi \froman\fcharset178\fprq2 Times New Roman (Arabic);}{\flomajor\f31515\fbidi \froman\fcharset186\fprq2 Times New Roman Baltic;}&#13;_x000a_{\flomajor\f31516\fbidi \froman\fcharset163\fprq2 Times New Roman (Vietnamese);}{\fdbmajor\f31520\fbidi \fswiss\fcharset0\fprq2 Yu Gothic Light Western{\*\falt \'9f\'e0\'83\'53\'83\'56\'83\'62\'83\'4e Light};}&#13;_x000a_{\fdbmajor\f31518\fbidi \fswiss\fcharset238\fprq2 Yu Gothic Light CE{\*\falt \'9f\'e0\'83\'53\'83\'56\'83\'62\'83\'4e Light};}{\fdbmajor\f31519\fbidi \fswiss\fcharset204\fprq2 Yu Gothic Light Cyr{\*\falt \'9f\'e0\'83\'53\'83\'56\'83\'62\'83\'4e Light};}&#13;_x000a_{\fdbmajor\f31521\fbidi \fswiss\fcharset161\fprq2 Yu Gothic Light Greek{\*\falt \'9f\'e0\'83\'53\'83\'56\'83\'62\'83\'4e Light};}&#13;_x000a_{\fdbmajor\f31522\fbidi \fswiss\fcharset162\fprq2 Yu Gothic Light Tur{\*\falt \'9f\'e0\'83\'53\'83\'56\'83\'62\'83\'4e Light};}&#13;_x000a_{\fdbmajor\f31525\fbidi \fswiss\fcharset186\fprq2 Yu Gothic Light Baltic{\*\falt \'9f\'e0\'83\'53\'83\'56\'83\'62\'83\'4e Light};}{\fhimajor\f31528\fbidi \fswiss\fcharset238\fprq2 Calibri Light CE;}&#13;_x000a_{\fhimajor\f31529\fbidi \fswiss\fcharset204\fprq2 Calibri Light Cyr;}{\fhimajor\f31531\fbidi \fswiss\fcharset161\fprq2 Calibri Light Greek;}{\fhimajor\f31532\fbidi \fswiss\fcharset162\fprq2 Calibri Light Tur;}&#13;_x000a_{\fhimajor\f31533\fbidi \fswiss\fcharset177\fprq2 Calibri Light (Hebrew);}{\fhimajor\f31534\fbidi \fswiss\fcharset178\fprq2 Calibri Light (Arabic);}{\fhimajor\f31535\fbidi \fswiss\fcharset186\fprq2 Calibri Light Baltic;}&#13;_x000a_{\fhimajor\f31536\fbidi \fswiss\fcharset163\fprq2 Calibri Light (Vietnamese);}{\fbimajor\f31547\fbidi \fswiss\fcharset222\fprq2 DokChampa (Thai);}{\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himinor\f31568\fbidi \fswiss\fcharset238\fprq2 Calibri CE;}{\fhiminor\f31569\fbidi \fswiss\fcharset204\fprq2 Calibri Cyr;}&#13;_x000a_{\fhiminor\f31571\fbidi \fswiss\fcharset161\fprq2 Calibri Greek;}{\fhiminor\f31572\fbidi \fswiss\fcharset162\fprq2 Calibri Tur;}{\fhiminor\f31573\fbidi \fswiss\fcharset177\fprq2 Calibri (Hebrew);}&#13;_x000a_{\fhiminor\f31574\fbidi \fswiss\fcharset178\fprq2 Calibri (Arabic);}{\fhiminor\f31575\fbidi \fswiss\fcharset186\fprq2 Calibri Baltic;}{\fhiminor\f31576\fbidi \fswiss\fcharset163\fprq2 Calibri (Vietnamese);}&#13;_x000a_{\fbiminor\f31587\fbidi \fswiss\fcharset222\fprq2 DokChampa (Thai);}}{\colortbl;\red0\green0\blue0;\red0\green0\blue255;\red0\green255\blue255;\red0\green255\blue0;\red255\green0\blue255;\red255\green0\blue0;\red255\green255\blue0;&#13;_x000a_\red255\green255\blue255;\red0\green0\blue128;\red0\green128\blue128;\red0\green128\blue0;\red128\green0\blue128;\red128\green0\blue0;\red128\green128\blue0;\red128\green128\blue128;\red192\green192\blue192;&#13;_x000a_\caccentone\ctint255\cshade191\red46\green116\blue181;}{\*\defchp \lang2057\langfe2057\langnp2057\langfenp2057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7\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7\loch\f31502\hich\af31502\dbch\af31501 \sbasedon10 \slink1 \slocked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2242834 HideTWBExt;}{&#13;_x000a_\s18\ql \li0\ri0\nowidctlpar\wrapdefault\aspalpha\aspnum\faauto\adjustright\rin0\lin0\itap0 \rtlch\fcs1 \af0\afs20\alang1025 \ltrch\fcs0 \b\fs24\lang2057\langfe2057\cgrid\langnp2057\langfenp2057 \sbasedon0 \snext18 \spriority0 \styrsid2242834 NormalBold;}&#13;_x000a_{\s19\qr \li0\ri0\sb240\sa240\nowidctlpar\wrapdefault\aspalpha\aspnum\faauto\adjustright\rin0\lin0\itap0 \rtlch\fcs1 \af0\afs20\alang1025 \ltrch\fcs0 \fs24\lang2057\langfe2057\cgrid\langnp2057\langfenp2057 \sbasedon0 \snext19 \spriority0 \styrsid2242834 &#13;_x000a_AmOrLang;}{\s20\ql \li0\ri0\sa120\nowidctlpar\wrapdefault\aspalpha\aspnum\faauto\adjustright\rin0\lin0\itap0 \rtlch\fcs1 \af0\afs20\alang1025 \ltrch\fcs0 \fs24\lang2057\langfe2057\cgrid\langnp2057\langfenp2057 &#13;_x000a_\sbasedon0 \snext20 \spriority0 \styrsid2242834 Normal6a;}{\s21\qc \li0\ri0\sa240\nowidctlpar\wrapdefault\aspalpha\aspnum\faauto\adjustright\rin0\lin0\itap0 \rtlch\fcs1 \af0\afs20\alang1025 \ltrch\fcs0 &#13;_x000a_\i\fs24\lang2057\langfe2057\cgrid\langnp2057\langfenp2057 \sbasedon0 \snext21 \spriority0 \styrsid2242834 AmColumnHeading;}{\s22\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2 \spriority0 \styrsid2242834 AmNumberTabs;}{\s23\ql \li0\ri0\sb240\nowidctlpar\wrapdefault\aspalpha\aspnum\faauto\adjustright\rin0\lin0\itap0 \rtlch\fcs1 &#13;_x000a_\af0\afs20\alang1025 \ltrch\fcs0 \b\fs24\lang2057\langfe2057\cgrid\langnp2057\langfenp2057 \sbasedon0 \snext23 \spriority0 \styrsid2242834 NormalBold12b;}}{\*\rsidtbl \rsid24658\rsid223860\rsid735077\rsid1718133\rsid2242834\rsid2892074\rsid3565327&#13;_x000a_\rsid4666813\rsid6641733\rsid7823322\rsid9582763\rsid9636012\rsid10377208\rsid11215221\rsid11549030\rsid12154954\rsid14382809\rsid14424199\rsid15204470\rsid15285974\rsid15950462\rsid16324206\rsid16662270}{\mmathPr\mmathFont34\mbrkBin0\mbrkBinSub0&#13;_x000a_\msmallFrac0\mdispDef1\mlMargin0\mrMargin0\mdefJc1\mwrapIndent1440\mintLim0\mnaryLim1}{\info{\author nmonkuniene}{\operator MONKUNIENE Neringa}{\creatim\yr2024\mo5\dy23\hr11\min2}{\revtim\yr2024\mo5\dy23\hr11\min2}{\version1}{\edmins0}{\nofpages1}&#13;_x000a_{\nofwords120}{\nofchars69}{\nofcharsws188}{\vern109}}{\*\xmlnstbl {\xmlns1 http://schemas.microsoft.com/office/word/2003/wordml}}\paperw11906\paperh16838\margl1418\margr1418\margt1134\margb1418\gutter0\ltrsect &#13;_x000a_\facingp\widowctrl\ftnbj\aenddoc\ftnrestart\hyphhotz396\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2242834\newtblstyruls\nogrowautofit\usenormstyforlist\noindnmbrts\felnbrelev\nocxsptable\indrlsweleven\noafcnsttbl\afelev\utinl\hwelev\spltpgpar\notcvasp\notbrkcnstfrctbl\notvatxbx\krnprsnet\cachedcolbal &#13;_x000a_\nouicompat \fet0{\*\wgrffmtfilter 013f}\nofeaturethrottle1\ilfomacatclnup0{\*\template C:\\Users\\NMONKU~1\\AppData\\Local\\Temp\\Blank1.dotx}{\*\ftnsep \ltrpar \pard\plain \ltrpar&#13;_x000a_\ql \li0\ri0\widctlpar\wrapdefault\aspalpha\aspnum\faauto\adjustright\rin0\lin0\itap0 \rtlch\fcs1 \af0\afs20\alang1025 \ltrch\fcs0 \fs24\lang2057\langfe2057\cgrid\langnp2057\langfenp2057 {\rtlch\fcs1 \af0 \ltrch\fcs0 \insrsid9582763 \chftnsep &#13;_x000a_\par }}{\*\ftnsepc \ltrpar \pard\plain \ltrpar\ql \li0\ri0\widctlpar\wrapdefault\aspalpha\aspnum\faauto\adjustright\rin0\lin0\itap0 \rtlch\fcs1 \af0\afs20\alang1025 \ltrch\fcs0 \fs24\lang2057\langfe2057\cgrid\langnp2057\langfenp2057 {\rtlch\fcs1 \af0 &#13;_x000a_\ltrch\fcs0 \insrsid9582763 \chftnsepc &#13;_x000a_\par }}{\*\aftnsep \ltrpar \pard\plain \ltrpar\ql \li0\ri0\widctlpar\wrapdefault\aspalpha\aspnum\faauto\adjustright\rin0\lin0\itap0 \rtlch\fcs1 \af0\afs20\alang1025 \ltrch\fcs0 \fs24\lang2057\langfe2057\cgrid\langnp2057\langfenp2057 {\rtlch\fcs1 \af0 &#13;_x000a_\ltrch\fcs0 \insrsid9582763 \chftnsep &#13;_x000a_\par }}{\*\aftnsepc \ltrpar \pard\plain \ltrpar\ql \li0\ri0\widctlpar\wrapdefault\aspalpha\aspnum\faauto\adjustright\rin0\lin0\itap0 \rtlch\fcs1 \af0\afs20\alang1025 \ltrch\fcs0 \fs24\lang2057\langfe2057\cgrid\langnp2057\langfenp2057 {\rtlch\fcs1 \af0 &#13;_x000a_\ltrch\fcs0 \insrsid9582763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qc\pnstart1\pnindent720\pnhang {\pntxta .}}{\*\pnseclvl2\pnucltr\pnqc\pnstart1\pnindent720\pnhang {\pntxta .}}{\*\pnseclvl3\pndec\pnqc\pnstart1\pnindent720\pnhang {\pntxta .}}{\*\pnseclvl4\pnlcltr\pnqc\pnstart1\pnindent720\pnhang &#13;_x000a_{\pntxta )}}{\*\pnseclvl5\pndec\pnqc\pnstart1\pnindent720\pnhang {\pntxtb (}{\pntxta )}}{\*\pnseclvl6\pnlcltr\pnqc\pnstart1\pnindent720\pnhang {\pntxtb (}{\pntxta )}}{\*\pnseclvl7\pnlcrm\pnqc\pnstart1\pnindent720\pnhang {\pntxtb (}{\pntxta )}}&#13;_x000a_{\*\pnseclvl8\pnlcltr\pnqc\pnstart1\pnindent720\pnhang {\pntxtb (}{\pntxta )}}{\*\pnseclvl9\pnlcrm\pnqc\pnstart1\pnindent720\pnhang {\pntxtb (}{\pntxta )}}\pard\plain \ltrpar\s22\ql \li0\ri0\sb240\keepn\nowidctlpar&#13;_x000a_\tx879\tx936\tx1021\tx1077\tx1134\tx1191\tx1247\tx1304\tx1361\tx1418\tx1474\tx1531\tx1588\tx1644\tx1701\tx1758\tx1814\tx1871\tx2070\tx2126\tx3374\tx3430\wrapdefault\aspalpha\aspnum\faauto\adjustright\rin0\lin0\itap0\pararsid2242834 \rtlch\fcs1 &#13;_x000a_\af0\afs20\alang1025 \ltrch\fcs0 \b\fs24\lang2057\langfe2057\cgrid\langnp2057\langfenp2057 {\rtlch\fcs1 \af0 \ltrch\fcs0 \cs17\b0\v\fs20\cf9\lang1024\langfe1024\loch\af1\hich\af1\dbch\af31501\noproof\langnp1036\insrsid2242834\charrsid4291528 &#13;_x000a_{\*\bkmkstart restart}\hich\af1\dbch\af31501\loch\f1 &lt;Amend&gt;}{\rtlch\fcs1 \af0 \ltrch\fcs0 \lang1036\langfe2057\langnp1036\insrsid2242834\charrsid4291528 [ZAMENDMENT]\tab \tab }{\rtlch\fcs1 \af0 \ltrch\fcs0 &#13;_x000a_\cs17\b0\v\fs20\cf9\lang1024\langfe1024\loch\af1\hich\af1\dbch\af31501\noproof\langnp1036\insrsid2242834\charrsid4291528 \hich\af1\dbch\af31501\loch\f1 &lt;NumAm&gt;}{\rtlch\fcs1 \af0 \ltrch\fcs0 \lang1036\langfe2057\langnp1036\insrsid2242834\charrsid4291528 &#13;_x000a_[ZNRAM]}{\rtlch\fcs1 \af0 \ltrch\fcs0 \cs17\b0\v\fs20\cf9\lang1024\langfe1024\loch\af1\hich\af1\dbch\af31501\noproof\langnp1036\insrsid2242834\charrsid4291528 \hich\af1\dbch\af31501\loch\f1 &lt;/NumAm&gt;}{\rtlch\fcs1 \af0 \ltrch\fcs0 &#13;_x000a_\lang1036\langfe2057\langnp1036\insrsid2242834\charrsid4291528 &#13;_x000a_\par }\pard\plain \ltrpar\s23\ql \li0\ri0\sb240\keepn\nowidctlpar\wrapdefault\aspalpha\aspnum\faauto\adjustright\rin0\lin0\itap0\pararsid2242834 \rtlch\fcs1 \af0\afs20\alang1025 \ltrch\fcs0 \b\fs24\lang2057\langfe2057\cgrid\langnp2057\langfenp2057 {&#13;_x000a_\rtlch\fcs1 \af0 \ltrch\fcs0 \cs17\b0\v\fs20\cf9\lang1024\langfe1024\loch\af1\hich\af1\dbch\af31501\noproof\langnp1036\insrsid2242834\charrsid4291528 \hich\af1\dbch\af31501\loch\f1 &lt;DocAmend&gt;}{\rtlch\fcs1 \af0 \ltrch\fcs0 &#13;_x000a_\lang1036\langfe2057\langnp1036\insrsid2242834\charrsid4291528 [}{\rtlch\fcs1 \af0 \ltrch\fcs0 \lang1036\langfe2057\langnp1036\insrsid2242834\charrsid3548259 ZPROPOSAL}{\rtlch\fcs1 \af0 \ltrch\fcs0 &#13;_x000a_\lang1036\langfe2057\langnp1036\insrsid2242834\charrsid4291528 ]}{\rtlch\fcs1 \af0 \ltrch\fcs0 \cs17\b0\v\fs20\cf9\lang1024\langfe1024\loch\af1\hich\af1\dbch\af31501\noproof\langnp1036\insrsid2242834\charrsid4291528 \hich\af1\dbch\af31501\loch\f1 &#13;_x000a_&lt;/DocAmend&gt;}{\rtlch\fcs1 \af0 \ltrch\fcs0 \lang1036\langfe2057\langnp1036\insrsid2242834\charrsid4291528 &#13;_x000a_\par }\pard\plain \ltrpar\s18\ql \li0\ri0\nowidctlpar\wrapdefault\aspalpha\aspnum\faauto\adjustright\rin0\lin0\itap0\pararsid2242834 \rtlch\fcs1 \af0\afs20\alang1025 \ltrch\fcs0 \b\fs24\lang2057\langfe2057\cgrid\langnp2057\langfenp2057 {\rtlch\fcs1 \af0 &#13;_x000a_\ltrch\fcs0 \cs17\b0\v\fs20\cf9\lang1024\langfe1024\loch\af1\hich\af1\dbch\af31501\noproof\langnp1036\insrsid2242834\charrsid4291528 \hich\af1\dbch\af31501\loch\f1 &lt;Article&gt;}{\rtlch\fcs1 \af0 \ltrch\fcs0 &#13;_x000a_\lang1036\langfe2057\langnp1036\insrsid2242834\charrsid4291528 [ZAMPART]}{\rtlch\fcs1 \af0 \ltrch\fcs0 \cs17\b0\v\fs20\cf9\lang1024\langfe1024\loch\af1\hich\af1\dbch\af31501\noproof\langnp1036\insrsid2242834\charrsid4291528 \hich\af1\dbch\af31501\loch\f1 &#13;_x000a_&lt;/Article&gt;}{\rtlch\fcs1 \af0 \ltrch\fcs0 \lang1036\langfe2057\langnp1036\insrsid2242834\charrsid4291528 &#13;_x000a_\par \ltrrow}\trowd \irow0\irowband0\ltrrow\ts11\trqc\trgaph340\trleft0\trftsWidth3\trwWidth9752\trftsWidthB3\trpaddl340\trpaddr340\trpaddfl3\trpaddft3\trpaddfb3\trpaddfr3\tblrsid9505846\tblind0\tblindtype3 \clvertalt\clbrdrt\brdrtbl \clbrdrl\brdrtbl \clbrdrb&#13;_x000a_\brdrtbl \clbrdrr\brdrtbl \cltxlrtb\clftsWidth3\clwWidth9752\clshdrawnil \cellx9752\pard\plain \ltrpar\ql \li0\ri0\keepn\widctlpar\intbl\wrapdefault\aspalpha\aspnum\faauto\adjustright\rin0\lin0\pararsid9505846 \rtlch\fcs1 \af0\afs20\alang1025 \ltrch\fcs0 &#13;_x000a_\fs24\lang2057\langfe2057\cgrid\langnp2057\langfenp2057 {\rtlch\fcs1 \af0 \ltrch\fcs0 \lang1036\langfe2057\langnp1036\insrsid2242834\charrsid4291528 \cell }\pard\plain \ltrpar&#13;_x000a_\ql \li0\ri0\widctlpar\intbl\wrapdefault\aspalpha\aspnum\faauto\adjustright\rin0\lin0 \rtlch\fcs1 \af0\afs20\alang1025 \ltrch\fcs0 \fs24\lang2057\langfe2057\cgrid\langnp2057\langfenp2057 {\rtlch\fcs1 \af0 \ltrch\fcs0 \insrsid2242834\charrsid4291528 &#13;_x000a_\trowd \irow0\irowband0\ltrrow\ts11\trqc\trgaph340\trleft0\trftsWidth3\trwWidth9752\trftsWidthB3\trpaddl340\trpaddr340\trpaddfl3\trpaddft3\trpaddfb3\trpaddfr3\tblrsid9505846\tblind0\tblindtype3 \clvertalt\clbrdrt\brdrtbl \clbrdrl\brdrtbl \clbrdrb\brdrtbl &#13;_x000a_\clbrdrr\brdrtbl \cltxlrtb\clftsWidth3\clwWidth9752\clshdrawnil \cellx9752\row \ltrrow}\trowd \irow1\irowband1\ltrrow&#13;_x000a_\ts11\trqc\trgaph340\trleft0\trftsWidth3\trwWidth9752\trftsWidthB3\trpaddl340\trpaddr340\trpaddfl3\trpaddft3\trpaddfb3\trpaddfr3\tblrsid9505846\tblind0\tblindtype3 \clvertalt\clbrdrt\brdrtbl \clbrdrl\brdrtbl \clbrdrb\brdrtbl \clbrdrr\brdrtbl &#13;_x000a_\cltxlrtb\clftsWidth3\clwWidth4876\clshdrawnil \cellx4876\clvertalt\clbrdrt\brdrtbl \clbrdrl\brdrtbl \clbrdrb\brdrtbl \clbrdrr\brdrtbl \cltxlrtb\clftsWidth3\clwWidth4876\clshdrawnil \cellx9752\pard\plain \ltrpar&#13;_x000a_\s21\qc \li0\ri0\sa240\keepn\nowidctlpar\intbl\wrapdefault\aspalpha\aspnum\faauto\adjustright\rin0\lin0\pararsid9505846 \rtlch\fcs1 \af0\afs20\alang1025 \ltrch\fcs0 \i\fs24\lang2057\langfe2057\cgrid\langnp2057\langfenp2057 {\rtlch\fcs1 \af0 \ltrch\fcs0 &#13;_x000a_\insrsid2242834\charrsid6708014 [ZLEFT]\cell [ZRIGHT]\cell }\pard\plain \ltrpar\ql \li0\ri0\widctlpar\intbl\wrapdefault\aspalpha\aspnum\faauto\adjustright\rin0\lin0 \rtlch\fcs1 \af0\afs20\alang1025 \ltrch\fcs0 &#13;_x000a_\fs24\lang2057\langfe2057\cgrid\langnp2057\langfenp2057 {\rtlch\fcs1 \af0 \ltrch\fcs0 \insrsid2242834\charrsid6708014 \trowd \irow1\irowband1\ltrrow&#13;_x000a_\ts11\trqc\trgaph340\trleft0\trftsWidth3\trwWidth9752\trftsWidthB3\trpaddl340\trpaddr340\trpaddfl3\trpaddft3\trpaddfb3\trpaddfr3\tblrsid9505846\tblind0\tblindtype3 \clvertalt\clbrdrt\brdrtbl \clbrdrl\brdrtbl \clbrdrb\brdrtbl \clbrdrr\brdrtbl &#13;_x000a_\cltxlrtb\clftsWidth3\clwWidth4876\clshdrawnil \cellx4876\clvertalt\clbrdrt\brdrtbl \clbrdrl\brdrtbl \clbrdrb\brdrtbl \clbrdrr\brdrtbl \cltxlrtb\clftsWidth3\clwWidth4876\clshdrawnil \cellx9752\row \ltrrow}\pard\plain \ltrpar&#13;_x000a_\s20\ql \li0\ri0\sa120\nowidctlpar\intbl\wrapdefault\aspalpha\aspnum\faauto\adjustright\rin0\lin0\pararsid9505846 \rtlch\fcs1 \af0\afs20\alang1025 \ltrch\fcs0 \fs24\lang2057\langfe2057\cgrid\langnp2057\langfenp2057 {\rtlch\fcs1 \af0 \ltrch\fcs0 &#13;_x000a_\insrsid2242834\charrsid6708014 [ZTEXTL]\cell [ZTEXTR]}{\rtlch\fcs1 \af0\afs24 \ltrch\fcs0 \insrsid2242834\charrsid6708014 \cell }\pard\plain \ltrpar\ql \li0\ri0\widctlpar\intbl\wrapdefault\aspalpha\aspnum\faauto\adjustright\rin0\lin0 \rtlch\fcs1 &#13;_x000a_\af0\afs20\alang1025 \ltrch\fcs0 \fs24\lang2057\langfe2057\cgrid\langnp2057\langfenp2057 {\rtlch\fcs1 \af0 \ltrch\fcs0 \insrsid2242834\charrsid6708014 \trowd \irow2\irowband2\lastrow \ltrrow&#13;_x000a_\ts11\trqc\trgaph340\trleft0\trftsWidth3\trwWidth9752\trftsWidthB3\trpaddl340\trpaddr340\trpaddfl3\trpaddft3\trpaddfb3\trpaddfr3\tblrsid9505846\tblind0\tblindtype3 \clvertalt\clbrdrt\brdrtbl \clbrdrl\brdrtbl \clbrdrb\brdrtbl \clbrdrr\brdrtbl &#13;_x000a_\cltxlrtb\clftsWidth3\clwWidth4876\clshdrawnil \cellx4876\clvertalt\clbrdrt\brdrtbl \clbrdrl\brdrtbl \clbrdrb\brdrtbl \clbrdrr\brdrtbl \cltxlrtb\clftsWidth3\clwWidth4876\clshdrawnil \cellx9752\row }\pard\plain \ltrpar&#13;_x000a_\s19\qr \li0\ri0\sb240\sa240\nowidctlpar\wrapdefault\aspalpha\aspnum\faauto\adjustright\rin0\lin0\itap0\pararsid2242834 \rtlch\fcs1 \af0\afs20\alang1025 \ltrch\fcs0 \fs24\lang2057\langfe2057\cgrid\langnp2057\langfenp2057 {\rtlch\fcs1 \af0 \ltrch\fcs0 &#13;_x000a_\insrsid2242834\charrsid6708014 Or. }{\rtlch\fcs1 \af0 \ltrch\fcs0 \cs17\v\fs20\cf9\lang1024\langfe1024\loch\af1\hich\af1\dbch\af31501\noproof\insrsid2242834\charrsid6708014 \hich\af1\dbch\af31501\loch\f1 &lt;Original&gt;}{\rtlch\fcs1 \af0 \ltrch\fcs0 &#13;_x000a_\insrsid2242834\charrsid6708014 [ZORLANG]}{\rtlch\fcs1 \af0 \ltrch\fcs0 \cs17\v\fs20\cf9\lang1024\langfe1024\loch\af1\hich\af1\dbch\af31501\noproof\insrsid2242834\charrsid6708014 \hich\af1\dbch\af31501\loch\f1 &lt;/Original&gt;}{\rtlch\fcs1 \af0 \ltrch\fcs0 &#13;_x000a_\insrsid2242834\charrsid6708014 &#13;_x000a_\par }\pard\plain \ltrpar\ql \li0\ri0\widctlpar\wrapdefault\aspalpha\aspnum\faauto\adjustright\rin0\lin0\itap0\pararsid2242834 \rtlch\fcs1 \af0\afs20\alang1025 \ltrch\fcs0 \fs24\lang2057\langfe2057\cgrid\langnp2057\langfenp2057 {\rtlch\fcs1 \af0 \ltrch\fcs0 &#13;_x000a_\cs17\v\fs20\cf9\lang1024\langfe1024\loch\af1\hich\af1\dbch\af31501\noproof\insrsid2242834\charrsid6708014 \hich\af1\dbch\af31501\loch\f1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b4&#13;_x000a_ebf4efacda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rossRef">
    <w:name w:val="AmCrossRef"/>
    <w:basedOn w:val="Normal"/>
    <w:pPr>
      <w:widowControl/>
      <w:spacing w:before="240" w:after="240"/>
      <w:jc w:val="center"/>
    </w:pPr>
    <w:rPr>
      <w:i/>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customStyle="1" w:styleId="NormalBold">
    <w:name w:val="NormalBold"/>
    <w:basedOn w:val="Normal"/>
    <w:pPr>
      <w:widowControl/>
    </w:pPr>
    <w:rPr>
      <w:b/>
    </w:r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NormalBold12b">
    <w:name w:val="NormalBold12b"/>
    <w:basedOn w:val="Normal"/>
    <w:pPr>
      <w:widowControl/>
      <w:spacing w:before="240"/>
    </w:pPr>
    <w:rPr>
      <w:b/>
    </w:r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EPLogo">
    <w:name w:val="EPLogo"/>
    <w:basedOn w:val="Normal"/>
    <w:pPr>
      <w:widowControl/>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paragraph" w:customStyle="1" w:styleId="Normal12a">
    <w:name w:val="Normal12a"/>
    <w:basedOn w:val="Normal"/>
    <w:pPr>
      <w:widowControl/>
      <w:spacing w:after="240"/>
    </w:pPr>
  </w:style>
  <w:style w:type="paragraph" w:styleId="TOCHeading">
    <w:name w:val="TOC Heading"/>
    <w:basedOn w:val="Normal"/>
    <w:next w:val="Normal"/>
    <w:uiPriority w:val="39"/>
    <w:unhideWhenUsed/>
    <w:qFormat/>
    <w:rsid w:val="000200DD"/>
    <w:pPr>
      <w:keepNext/>
      <w:widowControl/>
      <w:spacing w:before="240" w:after="240"/>
      <w:jc w:val="center"/>
      <w:outlineLvl w:val="9"/>
    </w:pPr>
    <w:rPr>
      <w:rFonts w:ascii="Arial" w:hAnsi="Arial"/>
      <w:b/>
    </w:rPr>
  </w:style>
  <w:style w:type="character" w:customStyle="1" w:styleId="HideTWBInt">
    <w:name w:val="HideTWBInt"/>
    <w:rPr>
      <w:rFonts w:ascii="Arial" w:hAnsi="Arial"/>
      <w:vanish/>
      <w:color w:val="808080"/>
      <w:sz w:val="20"/>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hAnsi="Arial"/>
      <w:b/>
    </w:r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Date">
    <w:name w:val="CoverDate"/>
    <w:basedOn w:val="Normal"/>
    <w:pPr>
      <w:widowControl/>
      <w:spacing w:before="240" w:after="1200"/>
    </w:pPr>
  </w:style>
  <w:style w:type="paragraph" w:customStyle="1" w:styleId="NormalHanging12a">
    <w:name w:val="NormalHanging12a"/>
    <w:basedOn w:val="Normal"/>
    <w:pPr>
      <w:widowControl/>
      <w:overflowPunct/>
      <w:spacing w:after="240"/>
      <w:ind w:left="566" w:hanging="566"/>
    </w:p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hAnsi="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hAnsi="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Footer">
    <w:name w:val="EPFooter"/>
    <w:basedOn w:val="Normal"/>
    <w:pPr>
      <w:widowControl/>
      <w:tabs>
        <w:tab w:val="center" w:pos="4534"/>
        <w:tab w:val="right" w:pos="9070"/>
      </w:tabs>
      <w:spacing w:before="240" w:after="240"/>
    </w:pPr>
    <w:rPr>
      <w:sz w:val="22"/>
    </w:rPr>
  </w:style>
  <w:style w:type="paragraph" w:customStyle="1" w:styleId="PageHeadingNotTOC">
    <w:name w:val="PageHeadingNotTOC"/>
    <w:basedOn w:val="Normal"/>
    <w:pPr>
      <w:keepNext/>
      <w:widowControl/>
      <w:spacing w:after="480"/>
      <w:jc w:val="center"/>
    </w:pPr>
    <w:rPr>
      <w:rFonts w:ascii="Arial" w:eastAsia="Arial" w:hAnsi="Arial" w:cs="Arial"/>
      <w:b/>
    </w:rPr>
  </w:style>
  <w:style w:type="paragraph" w:customStyle="1" w:styleId="AmDocTypeTab">
    <w:name w:val="AmDocTypeTab"/>
    <w:basedOn w:val="Normal"/>
    <w:pPr>
      <w:widowControl/>
      <w:tabs>
        <w:tab w:val="right" w:pos="9070"/>
      </w:tabs>
    </w:pPr>
    <w:rPr>
      <w:b/>
    </w:rPr>
  </w:style>
  <w:style w:type="paragraph" w:customStyle="1" w:styleId="AmDateTab">
    <w:name w:val="AmDateTab"/>
    <w:basedOn w:val="Normal"/>
    <w:pPr>
      <w:widowControl/>
      <w:tabs>
        <w:tab w:val="right" w:pos="9070"/>
      </w:tabs>
    </w:pPr>
  </w:style>
  <w:style w:type="character" w:customStyle="1" w:styleId="EPFooter2Motto">
    <w:name w:val="EPFooter2Motto"/>
    <w:rPr>
      <w:rFonts w:ascii="Arial" w:hAnsi="Arial"/>
      <w:b/>
      <w:i/>
      <w:color w:val="C0C0C0"/>
      <w:sz w:val="22"/>
    </w:rPr>
  </w:style>
  <w:style w:type="paragraph" w:customStyle="1" w:styleId="PMissingStyle">
    <w:name w:val="P_MissingStyle"/>
    <w:basedOn w:val="Normal"/>
    <w:pPr>
      <w:widowControl/>
      <w:spacing w:after="0" w:line="240" w:lineRule="auto"/>
    </w:pPr>
    <w:rPr>
      <w:rFonts w:ascii="Times New Roman" w:eastAsia="Times New Roman" w:hAnsi="Times New Roman" w:cs="Times New Roman"/>
      <w:color w:val="FFFFFF"/>
      <w:sz w:val="24"/>
    </w:rPr>
  </w:style>
  <w:style w:type="character" w:customStyle="1" w:styleId="CMissingStyle">
    <w:name w:val="C_MissingStyle"/>
    <w:rPr>
      <w:color w:val="FFFFFF"/>
      <w:sz w:val="22"/>
    </w:rPr>
  </w:style>
  <w:style w:type="paragraph" w:customStyle="1" w:styleId="Normal24a">
    <w:name w:val="Normal24a"/>
    <w:basedOn w:val="Normal"/>
    <w:pPr>
      <w:widowControl/>
      <w:spacing w:after="480"/>
    </w:pPr>
  </w:style>
  <w:style w:type="character" w:customStyle="1" w:styleId="FooterChar">
    <w:name w:val="Footer Char"/>
    <w:rPr>
      <w:rFonts w:ascii="Times New Roman" w:eastAsia="Times New Roman" w:hAnsi="Times New Roman" w:cs="Times New Roman"/>
      <w:sz w:val="24"/>
    </w:rPr>
  </w:style>
  <w:style w:type="paragraph" w:customStyle="1" w:styleId="NormalHanging">
    <w:name w:val="NormalHanging"/>
    <w:basedOn w:val="Normal"/>
    <w:pPr>
      <w:widowControl/>
      <w:overflowPunct/>
      <w:spacing w:after="240" w:line="240" w:lineRule="auto"/>
      <w:ind w:left="566" w:hanging="566"/>
    </w:pPr>
    <w:rPr>
      <w:rFonts w:ascii="Times New Roman" w:eastAsia="Times New Roman" w:hAnsi="Times New Roman" w:cs="Times New Roman"/>
      <w:sz w:val="24"/>
    </w:rPr>
  </w:style>
  <w:style w:type="paragraph" w:customStyle="1" w:styleId="Arial14CentreBold">
    <w:name w:val="Arial14CentreBold"/>
    <w:basedOn w:val="Normal"/>
    <w:pPr>
      <w:widowControl/>
      <w:spacing w:after="0" w:line="240" w:lineRule="auto"/>
      <w:jc w:val="center"/>
    </w:pPr>
    <w:rPr>
      <w:rFonts w:ascii="Arial" w:eastAsia="Arial" w:hAnsi="Arial" w:cs="Arial"/>
      <w:b/>
      <w:sz w:val="28"/>
    </w:rPr>
  </w:style>
  <w:style w:type="paragraph" w:customStyle="1" w:styleId="ProcedureTable">
    <w:name w:val="ProcedureTable"/>
    <w:basedOn w:val="Normal"/>
    <w:pPr>
      <w:widowControl/>
      <w:spacing w:after="0" w:line="240" w:lineRule="auto"/>
    </w:pPr>
    <w:rPr>
      <w:rFonts w:ascii="Times New Roman" w:eastAsia="Times New Roman" w:hAnsi="Times New Roman" w:cs="Times New Roman"/>
      <w:sz w:val="20"/>
    </w:rPr>
  </w:style>
  <w:style w:type="paragraph" w:customStyle="1" w:styleId="ProcedureTableBold">
    <w:name w:val="ProcedureTableBold"/>
    <w:basedOn w:val="Normal"/>
    <w:pPr>
      <w:widowControl/>
      <w:spacing w:after="0" w:line="240" w:lineRule="auto"/>
    </w:pPr>
    <w:rPr>
      <w:rFonts w:ascii="Times New Roman" w:eastAsia="Times New Roman" w:hAnsi="Times New Roman" w:cs="Times New Roman"/>
      <w:b/>
      <w:sz w:val="20"/>
    </w:rPr>
  </w:style>
  <w:style w:type="paragraph" w:customStyle="1" w:styleId="NormalTab">
    <w:name w:val="NormalTab"/>
    <w:basedOn w:val="Normal"/>
    <w:pPr>
      <w:widowControl/>
      <w:tabs>
        <w:tab w:val="center" w:pos="284"/>
        <w:tab w:val="left" w:pos="424"/>
      </w:tabs>
      <w:spacing w:after="0" w:line="240" w:lineRule="auto"/>
    </w:pPr>
    <w:rPr>
      <w:rFonts w:ascii="Times New Roman" w:eastAsia="Times New Roman" w:hAnsi="Times New Roman" w:cs="Times New Roman"/>
      <w:sz w:val="24"/>
    </w:rPr>
  </w:style>
  <w:style w:type="paragraph" w:customStyle="1" w:styleId="PageHeading">
    <w:name w:val="PageHeading"/>
    <w:basedOn w:val="Normal"/>
    <w:pPr>
      <w:keepNext/>
      <w:widowControl/>
      <w:spacing w:after="480"/>
      <w:jc w:val="center"/>
    </w:pPr>
    <w:rPr>
      <w:rFonts w:ascii="Arial" w:eastAsia="Arial" w:hAnsi="Arial" w:cs="Arial"/>
      <w:b/>
    </w:rPr>
  </w:style>
  <w:style w:type="paragraph" w:customStyle="1" w:styleId="NormalCenter12a">
    <w:name w:val="NormalCenter12a"/>
    <w:basedOn w:val="Normal"/>
    <w:pPr>
      <w:widowControl/>
      <w:spacing w:after="240"/>
      <w:jc w:val="center"/>
    </w:pPr>
  </w:style>
  <w:style w:type="paragraph" w:customStyle="1" w:styleId="EPFooterLandscape">
    <w:name w:val="EPFooterLandscape"/>
    <w:pPr>
      <w:widowControl/>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widowControl/>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NormalCenter">
    <w:name w:val="NormalCenter"/>
    <w:basedOn w:val="Normal"/>
    <w:pPr>
      <w:widowControl/>
      <w:spacing w:after="0" w:line="240" w:lineRule="auto"/>
      <w:jc w:val="center"/>
    </w:pPr>
    <w:rPr>
      <w:rFonts w:ascii="Times New Roman" w:eastAsia="Times New Roman" w:hAnsi="Times New Roman" w:cs="Times New Roman"/>
      <w:sz w:val="24"/>
    </w:rPr>
  </w:style>
  <w:style w:type="character" w:styleId="FootnoteReference">
    <w:name w:val="footnote reference"/>
    <w:basedOn w:val="DefaultParagraphFont"/>
    <w:rsid w:val="00805BCE"/>
    <w:rPr>
      <w:vertAlign w:val="superscript"/>
    </w:rPr>
  </w:style>
  <w:style w:type="paragraph" w:styleId="FootnoteText">
    <w:name w:val="footnote text"/>
    <w:basedOn w:val="Normal"/>
    <w:rsid w:val="00805BCE"/>
    <w:rPr>
      <w:sz w:val="20"/>
      <w:szCs w:val="20"/>
    </w:rPr>
  </w:style>
  <w:style w:type="character" w:styleId="Hyperlink">
    <w:name w:val="Hyperlink"/>
    <w:basedOn w:val="DefaultParagraphFont"/>
    <w:rsid w:val="00EF7B96"/>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theme" Target="theme/theme1.xml" /><Relationship Id="rId1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hyperlink" Target="https://www.europarl.europa.eu/data-protect/index.do"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54</Pages>
  <Words>9916</Words>
  <Characters>61769</Characters>
  <Application>Microsoft Office Word</Application>
  <DocSecurity>0</DocSecurity>
  <Lines>1</Lines>
  <Paragraphs>625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lt;FdR&gt;">
    <vt:lpwstr>1326834</vt:lpwstr>
  </property>
  <property fmtid="{D5CDD505-2E9C-101B-9397-08002B2CF9AE}" pid="4" name="&lt;Model&gt;">
    <vt:lpwstr>PA_NonLeg</vt:lpwstr>
  </property>
  <property fmtid="{D5CDD505-2E9C-101B-9397-08002B2CF9AE}" pid="5" name="&lt;Type&gt;">
    <vt:lpwstr>AD</vt:lpwstr>
  </property>
  <property fmtid="{D5CDD505-2E9C-101B-9397-08002B2CF9AE}" pid="6" name="dmxml.render.id">
    <vt:lpwstr>276211</vt:lpwstr>
  </property>
  <property fmtid="{D5CDD505-2E9C-101B-9397-08002B2CF9AE}" pid="7" name="dmxml.render.traceId">
    <vt:lpwstr>690869007f45a9cf984acd84dad32b97</vt:lpwstr>
  </property>
  <property fmtid="{D5CDD505-2E9C-101B-9397-08002B2CF9AE}" pid="8" name="FooterPath">
    <vt:lpwstr>AD\1326834CS.doc</vt:lpwstr>
  </property>
  <property fmtid="{D5CDD505-2E9C-101B-9397-08002B2CF9AE}" pid="9" name="PE Number">
    <vt:lpwstr>774.456</vt:lpwstr>
  </property>
  <property fmtid="{D5CDD505-2E9C-101B-9397-08002B2CF9AE}" pid="10" name="UID">
    <vt:lpwstr>eu.europa.europarl-DIN1-2025-0000157637_01.08-cs-01.00_text-xml</vt:lpwstr>
  </property>
</Properties>
</file>