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{FEMM}</w:t>
      </w:r>
      <w:r>
        <w:t>Udvalget om Kvinders Rettigheder og Ligestilling</w:t>
      </w:r>
      <w:r>
        <w:rPr>
          <w:rStyle w:val="HideTWBExt"/>
        </w:rPr>
        <w:t>&lt;/Commission&gt;</w:t>
      </w:r>
    </w:p>
    <w:p>
      <w:pPr>
        <w:pStyle w:val="LineBottom"/>
      </w:pPr>
      <w:r>
        <w:t xml:space="preserve"> </w:t>
      </w:r>
    </w:p>
    <w:p>
      <w:pPr>
        <w:pStyle w:val="CoverReference"/>
      </w:pPr>
      <w:r>
        <w:rPr>
          <w:rStyle w:val="HideTWBExt"/>
        </w:rPr>
        <w:t>&lt;RefProc&gt;</w:t>
      </w:r>
      <w:r>
        <w:t>2025/2095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{17/10/2025}</w:t>
      </w:r>
      <w:r>
        <w:t>17.10.2025</w:t>
      </w:r>
      <w:r>
        <w:rPr>
          <w:rStyle w:val="HideTWBExt"/>
        </w:rPr>
        <w:t>&lt;/Date&gt;</w:t>
      </w:r>
    </w:p>
    <w:p>
      <w:pPr>
        <w:pStyle w:val="CoverDocType24a"/>
      </w:pPr>
      <w:r>
        <w:rPr>
          <w:rStyle w:val="HideTWBExt"/>
        </w:rPr>
        <w:t>&lt;TitreType&gt;</w:t>
      </w:r>
      <w:r>
        <w:t>UDTALELSE</w:t>
      </w:r>
      <w:r>
        <w:rPr>
          <w:rStyle w:val="HideTWBExt"/>
        </w:rPr>
        <w:t>&lt;/TitreType&gt;</w:t>
      </w:r>
    </w:p>
    <w:p>
      <w:pPr>
        <w:pStyle w:val="CoverNormal24a"/>
      </w:pPr>
      <w:r>
        <w:rPr>
          <w:rStyle w:val="HideTWBExt"/>
        </w:rPr>
        <w:t>&lt;CommissionResp&gt;</w:t>
      </w:r>
      <w:r>
        <w:t>fra Udvalget om Kvinders Rettigheder og Ligestilling</w:t>
      </w:r>
      <w:r>
        <w:rPr>
          <w:rStyle w:val="HideTWBExt"/>
        </w:rPr>
        <w:t>&lt;/CommissionResp&gt;</w:t>
      </w:r>
    </w:p>
    <w:p>
      <w:pPr>
        <w:pStyle w:val="CoverNormal24a"/>
      </w:pPr>
      <w:r>
        <w:rPr>
          <w:rStyle w:val="HideTWBExt"/>
        </w:rPr>
        <w:t>&lt;CommissionInt&gt;</w:t>
      </w:r>
      <w:r>
        <w:t>til Udvalget om Beskæftigelse og Sociale Anliggender</w:t>
      </w:r>
      <w:r>
        <w:rPr>
          <w:rStyle w:val="HideTWBExt"/>
        </w:rPr>
        <w:t>&lt;/CommissionInt&gt;</w:t>
      </w:r>
    </w:p>
    <w:p>
      <w:pPr>
        <w:pStyle w:val="CoverNormal"/>
      </w:pPr>
      <w:r>
        <w:rPr>
          <w:rStyle w:val="HideTWBExt"/>
        </w:rPr>
        <w:t>&lt;Titre&gt;</w:t>
      </w:r>
      <w:r>
        <w:t>om udvikling af en ny EU-strategi for bekæmpelse af fattigdom</w:t>
      </w:r>
      <w:r>
        <w:rPr>
          <w:rStyle w:val="HideTWBExt"/>
        </w:rPr>
        <w:t>&lt;/Titre&gt;</w:t>
      </w:r>
    </w:p>
    <w:p>
      <w:pPr>
        <w:pStyle w:val="CoverNormal24a"/>
      </w:pPr>
      <w:r>
        <w:rPr>
          <w:rStyle w:val="HideTWBExt"/>
        </w:rPr>
        <w:t>&lt;DocRef&gt;</w:t>
      </w:r>
      <w:r>
        <w:t>(2025/2095(INI))</w:t>
      </w:r>
      <w:r>
        <w:rPr>
          <w:rStyle w:val="HideTWBExt"/>
        </w:rPr>
        <w:t>&lt;/DocRef&gt;</w:t>
      </w:r>
    </w:p>
    <w:p>
      <w:pPr>
        <w:pStyle w:val="CoverNormal24a"/>
      </w:pPr>
      <w:r>
        <w:t>Ordfører for udtalelse</w:t>
      </w:r>
      <w:r>
        <w:t xml:space="preserve">: </w:t>
      </w:r>
      <w:r>
        <w:rPr>
          <w:rStyle w:val="HideTWBExt"/>
        </w:rPr>
        <w:t>&lt;Depute&gt;</w:t>
      </w:r>
      <w:r>
        <w:t>Lina Gálvez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ÆNDRINGSFORSLAG</w:t>
      </w:r>
    </w:p>
    <w:p>
      <w:pPr>
        <w:pStyle w:val="Normal12a"/>
      </w:pPr>
      <w:r>
        <w:t>Udvalget om Kvinders Rettigheder og Ligestilling</w:t>
      </w:r>
      <w:r>
        <w:t xml:space="preserve"> </w:t>
      </w:r>
      <w:r>
        <w:t>forelægger Udvalget om Beskæftigelse og Sociale Anliggender, som er korresponderende udvalg, følgende</w:t>
      </w:r>
      <w:r>
        <w:t>:</w:t>
      </w:r>
    </w:p>
    <w:p>
      <w:pPr>
        <w:pStyle w:val="AmNumberTabs"/>
      </w:pP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artikel 2 og artikel 3, stk. 3, i traktaten om Den Europæiske Union,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artikel 8, 9, 151, 153 og 157 i traktaten om Den Europæiske Unions funktionsmåde,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4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 Forenede Nationers konvention om afskaffelse af alle former for diskrimination imod kvinder (CEDAW) af 1979,</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9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Europarådets konvention til forebyggelse og bekæmpelse af vold mod kvinder og vold i hjemmet (Istanbulkonventionen) af 2011,</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10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Rådets direktiv 2000/43/EF af 29. juni 2000 om gennemførelse af princippet om ligebehandling af alle uanset race eller etnisk oprindelse,</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L 180 af 19.7.2000, s. 22, ELI: </w:t>
            </w:r>
            <w:r>
              <w:rPr>
                <w:b/>
                <w:i/>
              </w:rPr>
              <w:t>http://data.europa.eu/eli/dir/2000/43/oj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10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Europa-Parlamentets og Rådets direktiv 2006/54/EF af 5. juli 2006 om gennemførelse af princippet om lige muligheder for og ligebehandling af mænd og kvinder i forbindelse med beskæftigelse og erhverv,</w:t>
            </w:r>
            <w:r>
              <w:br/>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L 204 af 26.7.2006, s. 23, ELI: </w:t>
            </w:r>
            <w:r>
              <w:rPr>
                <w:b/>
                <w:i/>
              </w:rPr>
              <w:t>http://data.europa.eu/eli/dir/2006/54/oj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10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Europa-Parlamentets og Rådets direktiv (EU) 2023/970 af 10. maj 2023 om styrkelse af anvendelsen af princippet om lige løn til mænd og kvinder for samme arbejde eller arbejde af samme værdi ved hjælp af løngennemsigtighed og håndhævelsesmekanismer,</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L 132 af 17.5.2023, s. 21, ELI: </w:t>
            </w:r>
            <w:r>
              <w:rPr>
                <w:b/>
                <w:i/>
              </w:rPr>
              <w:t>http://data.europa.eu/eli/dir/2023/970/oj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10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Europa-Parlamentets og Rådets direktiv (EU) 2024/1385 af 14. maj 2024 om bekæmpelse af vold mod kvinder og vold i hjemmet,</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L, 2024/1385, 24.5.2024, ELI: </w:t>
            </w:r>
            <w:r>
              <w:rPr>
                <w:b/>
                <w:i/>
              </w:rPr>
              <w:t>http://data.europa.eu/eli/dir/2024/1385/oj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11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Kommissionens henstilling (EU) 2024/1238 af 23. april 2024 om udvikling og styrkelse af integrerede børnebeskyttelsessystemer, der er i barnets tarv,</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EUT L, 2024/1238, 24.5.2024, ELI: </w:t>
            </w:r>
            <w:r>
              <w:rPr>
                <w:b/>
                <w:i/>
              </w:rPr>
              <w:t>http://data.europa.eu/eli/reco/2024/1238/oj</w:t>
            </w:r>
            <w:r>
              <w:rPr>
                <w:b/>
                <w:i/>
              </w:rP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12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Kommissionens meddelelse af 18. september 2020 med titlen: "En Union med lighed: EU-handlingsplan mod racisme 2020-2025" (COM(2020)0565),</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12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Kommissionens meddelelse af 12. november 2020 med titlen "En Union med lige muligheder: Strategi for ligestilling af LGBTIQ-personer 2020-2025" (</w:t>
            </w:r>
            <w:r>
              <w:t>COM(2020)0698</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12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sin beslutning af 30. januar 2020 om kønsbestemt lønforskel,</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331 af 17.8.2021, s. 5.</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15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der henviser til sin beslutning af 5. juli 2022 om fattigdom blandt kvinder i Europa,</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EUT C 47 af 7.2.2023, s. 2.</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20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Kommissionens meddelelse af 7. marts 2025 med titlen En køreplan for kvinders rettigheder (COM(2025)0097),</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Henvisning 28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rapporten Mothers' Poverty in the EU udarbejdet af organisationen Make Mothers Matter, som forventes offentliggjort i september 2025,</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 xml:space="preserve">der henviser til, at kvinder fortsat rammes uforholdsmæssigt mere end mænd af både absolut og relativ fattigdom samt risikoen for social udstødelse på grund af strukturelle uligheder mellem kønnene; der henviser til, at fattigdom blandt kvinder i al dens mangfoldighed skal forstås som et komplekst og flerdimensionelt fænomen, der ikke kun omfatter sociale, politiske og kulturelle aspekter, men også indkomst, bolig, sundhed og adgang til uddannelse og sociale ydelser, og som ikke kan udryddes ved hjælp af beskæftigelse alene, men kræver en omfattende og inklusiv tilgang baseret på både forebyggelse og bekæmpelse af fattigdom; </w:t>
            </w:r>
            <w:r>
              <w:t>der henviser til, at andelen af personer, der lider alvorlige materielle og sociale afsavn, i 2024 i alle EU-lande undtagen to var højere for kvinder (6,6 %) end for mænd (6,2 %), og at andelen af personer i risiko for fattigdom eller social udstødelse var højere for kvinder (21,9 %) end for mænd (20 %) i alle EU-lande;</w:t>
            </w:r>
            <w:r>
              <w:rPr>
                <w:vertAlign w:val="superscript"/>
              </w:rPr>
              <w:t>1a</w:t>
            </w:r>
            <w:r>
              <w:rPr>
                <w:vertAlign w:val="superscript"/>
              </w:rPr>
              <w:t>1b</w:t>
            </w:r>
            <w:r>
              <w:rPr>
                <w:b/>
                <w:i/>
              </w:rPr>
              <w:t xml:space="preserve"> </w:t>
            </w:r>
            <w:r>
              <w:t>der henviser til, at 23,7 % af kvinder og 22,7 % af mænd i EU samme år anså sig selv for fattige, og til at 21,6 % af kvinder over 65 var i risiko for fattigdom sammenlignet med ca. 16,5 % af mænd i samme aldersgruppe;</w:t>
            </w:r>
            <w:r>
              <w:rPr>
                <w:vertAlign w:val="superscript"/>
              </w:rPr>
              <w:t>1c</w:t>
            </w:r>
            <w:r>
              <w:rPr>
                <w:vertAlign w:val="superscript"/>
              </w:rPr>
              <w:t>1d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Data Browser, "Severe material and social deprivation rate by age and sex", https://ec.europa.eu/eurostat/databrowser/view/ilc_mdsd11__custom_17284202/bookmark/table?lang=en&amp;&amp;bookmarkId=a0f88fa5-9110-4302-a67d-d58f889214d0&amp;&amp;page=time:2024.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Eurostat, Data Browser, "Persons at risk of poverty or social exclusion by age and sex", https://ec.europa.eu/eurostat/databrowser/view/ilc_peps01n__custom_17280682/bookmark/table?lang=en&amp;&amp;bookmarkId=1136c1ef-3d9f-4fda-82fb-cf7423eac65e&amp;&amp;page=time:2024.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Data Browser, "Subjective poverty by age and sex", https://ec.europa.eu/eurostat/databrowser/view/ilc_sbjp01__custom_17284289/bookmark/table?lang=en&amp;&amp;bookmarkId=7d0decb7-866a-4494-b901-58a61bebd575&amp;&amp;page=time:2024.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Eurostat, Data Browser, "Persons at risk of poverty or social exclusion by age and sex", https://ec.europa.eu/eurostat/databrowser/view/ilc_peps01n__custom_17280682/bookmark/table?lang=en&amp;&amp;bookmarkId=1136c1ef-3d9f-4fda-82fb-cf7423eac65e&amp;&amp;page=time:2024.</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 xml:space="preserve">der henviser til, at fattigdom blandt kvinder både er en årsag til og en konsekvens af intersektionel forskelsbehandling, som kvinder oplever, navnlig kvinder udsat for særlige former for marginalisering og strukturel forskelsbehandling på grund af køn, race, etnicitet, handicap, alder, migrationsstatus, seksuel orientering, kønsidentitet, religion eller tro, samt kvinder fra dårligt stillede socioøkonomiske baggrunde og navnlig transkønnede og interkønnede kvinder; der henviser til, at enlige mødre og kvinder, der bor i EU's fjerntliggende regioner, øregioner og regioner i den yderste periferi, står over for særlige udfordringer og en øget risiko for fattigdom; der henviser til, at manglende juridisk anerkendelse af forhold mellem personer af samme køn og kønsidentitet i medlemsstaterne bidrager til udelukkelse af LGBTIQ+-personer fra grundlæggende sociale og familierelaterede ydelser og dermed styrker fattigdoms- og marginaliseringscyklussen; der henviser til, at især romakvinder udsættes for forskelsbehandling i forbindelse med uddannelse og anstændigt arbejde; </w:t>
            </w:r>
            <w:r>
              <w:t>der henviser til, at kun 28 % af romakvinderne i alderen 20-64 år i 2021 var i beskæftigelse sammenlignet med 58 % af romamænd i samme aldersgruppe;</w:t>
            </w:r>
            <w:r>
              <w:rPr>
                <w:vertAlign w:val="superscript"/>
              </w:rPr>
              <w:t>1a</w:t>
            </w:r>
            <w:r>
              <w:rPr>
                <w:b/>
                <w:i/>
              </w:rPr>
              <w:t xml:space="preserve"> </w:t>
            </w:r>
            <w:r>
              <w:t>der henviser til, at kvinder, der synligt bærer religiøs beklædning, ofte udsættes for forskelsbehandling på arbejdsmarkedet, herunder ifølge den seneste FRA-rapport 45 % af de muslimske kvinder;</w:t>
            </w:r>
            <w:r>
              <w:rPr>
                <w:vertAlign w:val="superscript"/>
              </w:rPr>
              <w:t>1b</w:t>
            </w:r>
            <w:r>
              <w:rPr>
                <w:b/>
                <w:i/>
              </w:rPr>
              <w:t xml:space="preserve"> der henviser til, at migrantkvinder, herunder flygtninge og asylansøgere, udsættes for flere former for forskelsbehandling i forsøget på at opnå beskæftigelse og midlertidig eller permanent bolig; </w:t>
            </w:r>
            <w:r>
              <w:t>der henviser til, at migrantkvinder oplever en større grad af fattigdom og udstødelse på grund af vanskeligheder med at opnå beskæftigelse, anerkendelse af kvalifikationer og børnepasning;</w:t>
            </w:r>
            <w:r>
              <w:rPr>
                <w:vertAlign w:val="superscript"/>
              </w:rPr>
              <w:t>1c</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Agenturet for Grundlæggende Rettigheder, Roma in 10 European countries, Den Europæiske Unions Publikationskontor, 2022, https://fra.europa.eu/sites/default/files/fra_uploads/fra-2022-roma-survey-2021-main-results2_en.pdf.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Agenturet for Grundlæggende Rettigheder, Being Muslim in the EU, Den Europæiske Unions Publikationskontor, 2024, https://fra.europa.eu/sites/default/files/fra_uploads/fra-2024-being-muslim-in-the-eu_en.pdf.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Statistics Explained, "Migrant integration statistics - at risk of poverty and social exclusion", data tilgået 26.9.2024, https://ec.europa.eu/eurostat/statistics-explained/index.php?title=Migrant_integration_statistics_-_at_risk_of_poverty_and_social_exclusion.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 xml:space="preserve">der henviser til, at der er en nøje sammenhæng mellem fattigdom blandt kvinder og børnefattigdom; </w:t>
            </w:r>
            <w:r>
              <w:t>der henviser til, at andelen af personer i risiko for fattigdom eller social udstødelse (24,2 % af personer under 18 år) og andelen af personer, der lider alvorlige materielle og sociale afsavn (7,9 % af personer under 18 år), i EU i 2024 var højest blandt børn;</w:t>
            </w:r>
            <w:r>
              <w:rPr>
                <w:vertAlign w:val="superscript"/>
              </w:rPr>
              <w:t>1a</w:t>
            </w:r>
            <w:r>
              <w:rPr>
                <w:vertAlign w:val="superscript"/>
              </w:rPr>
              <w:t>1b</w:t>
            </w:r>
            <w:r>
              <w:rPr>
                <w:b/>
                <w:i/>
              </w:rPr>
              <w:t xml:space="preserve"> </w:t>
            </w:r>
            <w:r>
              <w:t>der henviser til, at 26,1 % af alle personer under 18 år i EU i 2024 anså sig for at være fattige;</w:t>
            </w:r>
            <w:r>
              <w:rPr>
                <w:vertAlign w:val="superscript"/>
              </w:rPr>
              <w:t>1c</w:t>
            </w:r>
            <w:r>
              <w:rPr>
                <w:b/>
                <w:i/>
              </w:rPr>
              <w:t xml:space="preserve"> </w:t>
            </w:r>
            <w:r>
              <w:t>der henviser til, at hvert fjerde barn i EU er i risiko for fattigdom eller social udstødelse;</w:t>
            </w:r>
            <w:r>
              <w:rPr>
                <w:vertAlign w:val="superscript"/>
              </w:rPr>
              <w:t>1d</w:t>
            </w:r>
            <w:r>
              <w:rPr>
                <w:b/>
                <w:i/>
              </w:rPr>
              <w:t xml:space="preserve"> </w:t>
            </w:r>
            <w:r>
              <w:t>der henviser til, at 8 % af børn under 17 år i EU i 2024 boede i arbejdsløse husstande;</w:t>
            </w:r>
            <w:r>
              <w:rPr>
                <w:vertAlign w:val="superscript"/>
              </w:rPr>
              <w:t>1e</w:t>
            </w:r>
            <w:r>
              <w:rPr>
                <w:b/>
                <w:i/>
              </w:rPr>
              <w:t xml:space="preserve"> der henviser til, at en økonomisk styrkelse af mødre har en direkte og varig positiv effekt på børns trivsel og er afgørende for at bryde fattigdomscyklussen mellem generationerne og sikre lige muligheder for børn;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Data Browser, "Persons at risk of poverty or social exclusion by age and sex", https://ec.europa.eu/eurostat/databrowser/bookmark/1136c1ef-3d9f-4fda-82fb-cf7423eac65e?lang=en&amp;&amp;page=time:2024.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Eurostat, Data Browser, "Severe material and social deprivation rate by age and sex", https://ec.europa.eu/eurostat/databrowser/view/ilc_mdsd11__custom_17284216/bookmark/table?lang=en&amp;&amp;bookmarkId=a3bbdd78-6da8-43f5-8b3b-b2eb4a3ddadc&amp;&amp;page=time:2024.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Data Browser</w:t>
            </w:r>
            <w:r>
              <w:rPr>
                <w:b/>
                <w:i/>
              </w:rPr>
              <w:t>,</w:t>
            </w:r>
            <w:r>
              <w:rPr>
                <w:b/>
                <w:i/>
              </w:rPr>
              <w:t xml:space="preserve"> "Subjective poverty by age and sex",</w:t>
            </w:r>
            <w:r>
              <w:rPr>
                <w:b/>
                <w:i/>
              </w:rPr>
              <w:t xml:space="preserve"> https://ec.europa.eu/eurostat/databrowser/view/ilc_sbjp01__custom_17284300/bookmark/table?lang=en&amp;&amp;bookmarkId=a2e1c6ea-e1ca-43ca-a78c-5bb0645fdd77&amp;&amp;page=time:2024.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Eurostat, Data Browser, "Persons at risk of poverty or social exclusion by age and sex",</w:t>
            </w:r>
            <w:r>
              <w:rPr>
                <w:b/>
                <w:i/>
              </w:rPr>
              <w:t xml:space="preserve"> </w:t>
            </w:r>
            <w:r>
              <w:rPr>
                <w:b/>
                <w:i/>
              </w:rPr>
              <w:t>https://ec.europa.eu/eurostat/databrowser/view/ilc_peps01n__custom_17501965/default/table?lang=en.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1e</w:t>
            </w:r>
            <w:r>
              <w:t xml:space="preserve"> </w:t>
            </w:r>
            <w:r>
              <w:rPr>
                <w:b/>
                <w:i/>
              </w:rPr>
              <w:t>Eurostat, Statistics Explained, "Statistikker over husholdningernes sammensætning" &gt; Datakilder, https://ec.europa.eu/eurostat/statistics-explained/index.php?title=Household_composition_statistics#Data_sources.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 xml:space="preserve">der henviser til, at eneforsørgerfamilier er i større risiko for fattigdom og social udstødelse, og at der her er større sandsynlighed for fattigdom i flere generationsled; </w:t>
            </w:r>
            <w:r>
              <w:t>der henviser til, at ca. et ud af seks børn i EU (17 %) vokser op i husstande med enlige forsørgere;</w:t>
            </w:r>
            <w:r>
              <w:rPr>
                <w:vertAlign w:val="superscript"/>
              </w:rPr>
              <w:t>1a</w:t>
            </w:r>
            <w:r>
              <w:rPr>
                <w:b/>
                <w:i/>
              </w:rPr>
              <w:t xml:space="preserve"> </w:t>
            </w:r>
            <w:r>
              <w:t>der henviser til, at den enlige forsørger i de fleste af sådanne husstande er kvinder;</w:t>
            </w:r>
            <w:r>
              <w:rPr>
                <w:vertAlign w:val="superscript"/>
              </w:rPr>
              <w:t>1b</w:t>
            </w:r>
            <w:r>
              <w:rPr>
                <w:b/>
                <w:i/>
              </w:rPr>
              <w:t xml:space="preserve"> </w:t>
            </w:r>
            <w:r>
              <w:t>der henviser til, at husstande med enlige forældre, især hvor denne er kvinde, er i uforholdsmæssig stor risiko for fattigdom (over 32 %) sammenlignet med kun 11,2 % blandt familier med to forældre;</w:t>
            </w:r>
            <w:r>
              <w:rPr>
                <w:vertAlign w:val="superscript"/>
              </w:rPr>
              <w:t>1c</w:t>
            </w:r>
            <w:r>
              <w:rPr>
                <w:b/>
                <w:i/>
              </w:rPr>
              <w:t xml:space="preserve"> der henviser til, at fattigdom stadig er en af de medvirkende faktorer til familieadskillelse i EU; </w:t>
            </w:r>
            <w:r>
              <w:t>der henviser til, at næsten 20 millioner børn, svarende til hvert fjerde barn, er i risiko for fattigdom eller social udstødelse i EU, og at den nuværende tendens ikke er forenelig med målet om at nedbringe antallet af børn i fattigdom med mindst 5 millioner senest pr. 2030;</w:t>
            </w:r>
            <w:r>
              <w:rPr>
                <w:vertAlign w:val="superscript"/>
              </w:rPr>
              <w:t>1d</w:t>
            </w:r>
            <w:r>
              <w:rPr>
                <w:vertAlign w:val="superscript"/>
              </w:rPr>
              <w:t>1e</w:t>
            </w:r>
            <w:r>
              <w:rPr>
                <w:b/>
                <w:i/>
              </w:rPr>
              <w:t xml:space="preserve"> der henviser til, at børnefattigdom er en af de mest presserende og vanskelige former for fattigdom at komme til livs, og har langvarige konsekvenser for børns udvikling, livsmuligheder og samfundets fremtid; </w:t>
            </w:r>
            <w:r>
              <w:t>der henviser til, at der konstateres betydelige uligheder blandt børn med etnisk baggrund eller indvandrerbaggrund og børn med handicap;</w:t>
            </w:r>
            <w:r>
              <w:rPr>
                <w:vertAlign w:val="superscript"/>
              </w:rPr>
              <w:t>1f</w:t>
            </w:r>
            <w:r>
              <w:rPr>
                <w:b/>
                <w:i/>
              </w:rPr>
              <w:t xml:space="preserve"> </w:t>
            </w:r>
            <w:r>
              <w:t>der henviser til, at det at få børn yderligere øger risikoen for fattigdom for enlige voksne, en risiko, der i uforholdsmæssig høj grad påvirker kvinder, der oftest står for børnepasning og for hvem der er dobbelt så stor sandsynlighed som enlige fædres vedkommende for, at de ikke er i arbejde, mens mere end en tredjedel af de arbejdende enlige mødre kun er ansat på deltid;</w:t>
            </w:r>
            <w:r>
              <w:rPr>
                <w:vertAlign w:val="superscript"/>
              </w:rPr>
              <w:t>1g</w:t>
            </w:r>
            <w:r>
              <w:t>der henviser til, at en styrkelse af kvinders stilling, så de kan tjene mere og opnå finansiel stabilitet er et kraftigt og effektivt middel til at nedbringe børnefattigdom;</w:t>
            </w:r>
            <w:r>
              <w:rPr>
                <w:b/>
                <w:i/>
              </w:rPr>
              <w:t xml:space="preserve"> der henviser til, at nogle kommuner i medlemsstaterne har anerkendt den særligt vanskelige situation, som enlige mødre befinder sig i, og har indført målrettede politikker og støtteforanstaltninger;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Statistics Explained, "Young people – family and society", https://ec.europa.eu/eurostat/statistics-explained/index.php?title=Young_people_-_family_and_society.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Eurostat, Statistics Explained, "Household composition statistics", tilgået 23.6.2025, https://ec.europa.eu/eurostat/statistics-explained/index.php?title=Household_composition_statistics#Data_sources.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Data Browser, "At-risk-of-poverty rate by poverty threshold and household type", https://ec.europa.eu/eurostat/databrowser/view/ilc_li03/default/table?lang=en.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Eurostat, Statistics Explained, "Children at risk of poverty or social exclusion", https://ec.europa.eu/eurostat/statistics-explained/index.php?title=Children_at_risk_of_poverty_or_social_exclusion.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1e</w:t>
            </w:r>
            <w:r>
              <w:t xml:space="preserve"> </w:t>
            </w:r>
            <w:r>
              <w:rPr>
                <w:b/>
                <w:i/>
              </w:rPr>
              <w:t>Kommissionens meddelelse af 4. marts 2021, Handlingsplan for den europæiske søjle for sociale rettigheder (COM(2021)0102),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1f</w:t>
            </w:r>
            <w:r>
              <w:t xml:space="preserve"> </w:t>
            </w:r>
            <w:r>
              <w:rPr>
                <w:b/>
                <w:i/>
              </w:rPr>
              <w:t>UNICEF, Child Poverty Policy Brief, 2024, https://www.unicef.org/eu/documents/policy-brief-child-poverty.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1g</w:t>
            </w:r>
            <w:r>
              <w:t xml:space="preserve"> </w:t>
            </w:r>
            <w:r>
              <w:rPr>
                <w:b/>
                <w:i/>
              </w:rPr>
              <w:t>Det Europæiske Ligestillingsinstitut (EIGE): Beijing+25</w:t>
            </w:r>
            <w:r>
              <w:rPr>
                <w:b/>
                <w:i/>
              </w:rPr>
              <w:t xml:space="preserve">: </w:t>
            </w:r>
            <w:r>
              <w:rPr>
                <w:b/>
                <w:i/>
              </w:rPr>
              <w:t>femte gennemgang af gennemførelsen af Beijing-handlingsprogrammet i EU's medlemsstater, https://eige.europa.eu/sites/default/files/documents/20190441_mh0119039enn_pdf.pdf.</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Ae.</w:t>
            </w:r>
            <w:r>
              <w:tab/>
            </w:r>
            <w:r>
              <w:rPr>
                <w:b/>
                <w:i/>
              </w:rPr>
              <w:t xml:space="preserve">der henviser til, at der er en nøje sammenhæng mellem fattigdom og kønsbaseret vold, og at fattigdom forværrer virkningen af kønsbaseret vold, navnlig for kvinder i marginaliserede situationer såsom LGBTIQ+-personer; </w:t>
            </w:r>
            <w:r>
              <w:t>der henviser til, at kvinder, der lever i fattigdom, har en højere risiko for at opleve vold, herunder vold i parforhold og vold i hjemmet, på grund af faktorer såsom økonomisk afhængighed, boligusikkerhed og begrænset mulighed får at opnå støttetilbud;</w:t>
            </w:r>
            <w:r>
              <w:rPr>
                <w:vertAlign w:val="superscript"/>
              </w:rPr>
              <w:t>1a</w:t>
            </w:r>
            <w:r>
              <w:rPr>
                <w:b/>
                <w:i/>
              </w:rPr>
              <w:t xml:space="preserve"> </w:t>
            </w:r>
            <w:r>
              <w:t>der henviser til, at 30,7 % af kvinderne i EU-27 i løbet af deres liv har oplevet fysisk vold eller trusler og/eller seksuel vold fra en given gerningsmands side;</w:t>
            </w:r>
            <w:r>
              <w:rPr>
                <w:vertAlign w:val="superscript"/>
              </w:rPr>
              <w:t>1b</w:t>
            </w:r>
            <w:r>
              <w:rPr>
                <w:b/>
                <w:i/>
              </w:rPr>
              <w:t xml:space="preserve"> der henviser til, at fattigdom udsætter kvinder for en større risiko for menneskehandel og seksuel udnyttelse;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EIGE, https://eige.europa.eu/sites/default/files/documents/financial-independence-and-gender-equality.pdf.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EIGE, "Gender-based violence survey", https://eige.europa.eu/newsroom/eu-gender-based-violence-survey?language_content_entity=en.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Af.</w:t>
            </w:r>
            <w:r>
              <w:tab/>
            </w:r>
            <w:r>
              <w:rPr>
                <w:b/>
                <w:i/>
              </w:rPr>
              <w:t>der henviser til, at hjemløse kvinder ofte er usynlige i statistikkerne, og at glidebanerne til hjemløshed har kønsspecifikke årsager; der henviser til, at normative definitioner af hjemløshed ofte ikke afspejler de faktiske omstændigheder, som mange kvinder står over for, da de i mindre grad bor på gaden og snarere forlader sig på uformelle eller midlertidige former for tag over hovedet, og er i større risiko for kønsbaseret vold og for at miste forældreretten over deres børn; der henviser til, at LGBTIQ+-personer, især transkønnede og hjemløse personer, er i øget risiko for fattigdom og social udstødelse på grund af strukturel forskelsbehandling i forbindelse med beskæftigelse, bolig, sundhedspleje og det sociale sikkerhedsnet;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Ag.</w:t>
            </w:r>
            <w:r>
              <w:tab/>
            </w:r>
            <w:r>
              <w:rPr>
                <w:b/>
                <w:i/>
              </w:rPr>
              <w:t xml:space="preserve">der henviser til, at ulønnet og underbetalt plejearbejde, der i uforholdsmæssig høj grad udføres af kvinder, fortsat er en vigtig drivkraft for uligheder mellem kønnene med hensyn til indkomst, karriereudvikling og pension, hvilket resulterer i lavere livstidsindkomst og en væsentlig kønsbestemt pensionsforskel; </w:t>
            </w:r>
            <w:r>
              <w:t>der henviser til, at der er tendens til, at kvinder lever længere og til, at de har brug for langtidspleje, efterhånden som de bliver ældre;</w:t>
            </w:r>
            <w:r>
              <w:rPr>
                <w:vertAlign w:val="superscript"/>
              </w:rPr>
              <w:t>1a</w:t>
            </w:r>
            <w:r>
              <w:rPr>
                <w:b/>
                <w:i/>
              </w:rPr>
              <w:t xml:space="preserve"> </w:t>
            </w:r>
            <w:r>
              <w:t>der henviser til, at de fleste arbejdstagere inden for langtidspleje også er kvinder, heraf mange indvandrere;</w:t>
            </w:r>
            <w:r>
              <w:rPr>
                <w:vertAlign w:val="superscript"/>
              </w:rPr>
              <w:t>1b</w:t>
            </w:r>
            <w:r>
              <w:rPr>
                <w:b/>
                <w:i/>
              </w:rPr>
              <w:t xml:space="preserve"> </w:t>
            </w:r>
            <w:r>
              <w:t>der henviser til, at lønningerne i langtidsplejesektoren og jobs inden for anden social forsorg i 2021 var 21 % under gennemsnitslønnen;</w:t>
            </w:r>
            <w:r>
              <w:br/>
            </w:r>
            <w:r>
              <w:rPr>
                <w:vertAlign w:val="superscript"/>
              </w:rPr>
              <w:t>1c</w:t>
            </w:r>
            <w:r>
              <w:rPr>
                <w:b/>
                <w:i/>
              </w:rPr>
              <w:t xml:space="preserve"> der henviser til, at kønsbaseret horisontal opdeling på arbejdsmarkedet bidrager til vedvarende lønforskelle;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FN's Afdeling for Økonomiske og Sociale Anliggender (UNDESA), The growing need for long-term care, https://www.un.org/esa/socdev/ageing/documents/un-ageing_briefing-paper_Long-term-care.pdf.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EIGE, Gender inequalities in care and consequences for the labour market, Den Europæiske Unions Publikationskontor, 2021, https://eige.europa.eu/sites/default/files/documents/20204948_mh0220888enn_pdf.pdf.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Eurofound, "Løn i langtidspleje og andre sociale tjenester 21 % under gennemsnittet", 2021, https://www.eurofound.europa.eu/da/publications/all/wages-long-term-care-and-other-social-services-21-below-average.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Ah.</w:t>
            </w:r>
            <w:r>
              <w:tab/>
            </w:r>
            <w:r>
              <w:rPr>
                <w:b/>
                <w:i/>
              </w:rPr>
              <w:t xml:space="preserve">der henviser til, at økonomisk inaktivitet og arbejdsløshed i væsentlig grad øger risikoen for fattigdom og social udstødelse for både kvinder og mænd; </w:t>
            </w:r>
            <w:r>
              <w:t>der henviser til, at den kønsbestemte forskel i beskæftigelsesfrekvensen i EU i 2024 var 10,0 procentpoint, hvilket betyder, at andelen af mænd i den arbejdsdygtige alder i beskæftigelse oversteg andelen af kvinder med 10,0 procentpoint;</w:t>
            </w:r>
            <w:r>
              <w:rPr>
                <w:vertAlign w:val="superscript"/>
              </w:rPr>
              <w:t>1a</w:t>
            </w:r>
            <w:r>
              <w:rPr>
                <w:b/>
                <w:i/>
              </w:rPr>
              <w:t xml:space="preserve"> </w:t>
            </w:r>
            <w:r>
              <w:t>der henviser til, at beskæftigelsesfrekvensen blandt romakvinder er endnu lavere, nemlig 28 %;</w:t>
            </w:r>
            <w:r>
              <w:rPr>
                <w:vertAlign w:val="superscript"/>
              </w:rPr>
              <w:t>1b</w:t>
            </w:r>
            <w:r>
              <w:rPr>
                <w:b/>
                <w:i/>
              </w:rPr>
              <w:t xml:space="preserve"> </w:t>
            </w:r>
            <w:r>
              <w:t>der henviser til, at den kønsbestemte lønforskel i EU i 2023 var på 12 %, og til at kvinder er uforholdsmæssigt højt repræsenteret i lavtlønnede, usikre jobsektorer og i fleksible former for arbejde med atypiske og fleksible kontrakter (deltidsarbejde, vikararbejde osv.);</w:t>
            </w:r>
            <w:r>
              <w:rPr>
                <w:vertAlign w:val="superscript"/>
              </w:rPr>
              <w:t>1c</w:t>
            </w:r>
            <w:r>
              <w:rPr>
                <w:b/>
                <w:i/>
              </w:rPr>
              <w:t xml:space="preserve"> der henviser til, at selv om arbejdet i de meget kvindedominerede sektorer er af afgørende betydning og af høj socioøkonomisk værdi, er det undervurderet og dårligere betalt end arbejdet i de mandsdominerede sektorer; der henviser til, at der er et akut behov for at revurdere, hvorvidt lønnen er tilstrækkelig i de kvindedominerede sektorer i forhold til deres socioøkonomiske værdi og gøre fremskridt vedrørende mindsteløn, minimumsindkomst og løngennemsigtighed i EU-forordninger; der henviser til, at kvinder udsættes for forskelsbehandling i forbindelse med graviditet og barsel samt tidlig pension på grund af omsorgsforpligtelser og den indvirkning, som lidelser forårsaget af menopausen har på deres sundhed eller sociale situation; </w:t>
            </w:r>
            <w:r>
              <w:t>der henviser til, at kun 20,7 % af kvinder med handicap er i fuldtidsbeskæftigelse i EU;</w:t>
            </w:r>
            <w:r>
              <w:rPr>
                <w:vertAlign w:val="superscript"/>
              </w:rPr>
              <w:t>1d</w:t>
            </w:r>
            <w:r>
              <w:rPr>
                <w:b/>
                <w:i/>
              </w:rPr>
              <w:t xml:space="preserve"> </w:t>
            </w:r>
            <w:r>
              <w:t>der henviser til, at transkønnede kvinder er i næsten tre gange så stor risiko for arbejdsløshed som gennemsnittet af befolkningen;</w:t>
            </w:r>
            <w:r>
              <w:rPr>
                <w:vertAlign w:val="superscript"/>
              </w:rPr>
              <w:t>1e</w:t>
            </w:r>
            <w:r>
              <w:rPr>
                <w:b/>
                <w:i/>
              </w:rPr>
              <w:t xml:space="preserve"> der henviser til, at migrantkvinder, herunder flygtninge, udsættes for flere former for forskelsbehandling i forbindelse med beskæftigelse og bolig; der henviser til, at vedvarende kønsbestemte lønforskelle bidrager til livslang økonomisk ulighed, herunder forskelle i pension og øget risiko for fattigdom blandt ældre kvinder, hvilket hæmmer konkurrenceevnen i EU; der henviser til, at denne lønforskel er drevet af faktorer som arbejdsmarkedsopdeling, forskelle i arbejdstid og ulige repræsentation i ledende stillinger, som tilsammen hindrer kvinders økonomiske uafhængighed og sociale sikkerhed; der henviser til, at det er vigtigt at tage fat på lønforskellen mellem kønnene for at opnå retfærdige arbejdsmarkeder og reducere kønsbaseret fattigdom inden for alle aldersgrupper; </w:t>
            </w:r>
            <w:r>
              <w:t>der henviser til, at kvinders pensionsindkomst i EU i 2024 i gennemsnit var 26,1 % lavere end mænds, og at 5,3 % af kvinderne slet ikke modtog pension;</w:t>
            </w:r>
            <w:r>
              <w:rPr>
                <w:vertAlign w:val="superscript"/>
              </w:rPr>
              <w:t>1f</w:t>
            </w:r>
            <w:r>
              <w:rPr>
                <w:b/>
                <w:i/>
              </w:rPr>
              <w:t xml:space="preserve"> der henviser til, at dette er et resultat af de ubalancer, der er skabt af vedvarende, livslange uligheder; der henviser til, at denne pensionsforskel betyder, at kvinder har større risiko for at synke ned under fattigdomsgrænsen, efterhånden som de bliver ældre, herunder også i betragtning af at den forventede levetid er længere for kvinder end for mænd, hvad der forværrer konsekvenserne af fattigdom og social udelukkelse; der henviser til, at indkomstforskelle fortsat er et stort problem i hele EU; der henviser til, at på trods af den samlede økonomiske vækst har indkomstforhøjelserne i uforholdsmæssig høj grad været til gavn for de højestlønnede, mens lav- og mellemindkomsthusstandene kun har oplevet marginale forbedringer; </w:t>
            </w:r>
            <w:r>
              <w:t>der henviser til, at ginikoefficienten for ækvivalente disponible indkomster i EU i 2023 var på 29,6 %, hvilket understreger de vedvarende forskelle i indkomstfordelingen;</w:t>
            </w:r>
            <w:r>
              <w:rPr>
                <w:vertAlign w:val="superscript"/>
              </w:rPr>
              <w:t>1g</w:t>
            </w:r>
            <w:r>
              <w:rPr>
                <w:b/>
                <w:i/>
              </w:rPr>
              <w:t xml:space="preserve"> der henviser til, at den kønsbestemte forskel i forbindelse med fattigdom forventes at stige frem til 2030, da kvinder fortsat vil udgøre størstedelen af verdens ekstremt fattige, og at forskellen kan øges yderligere med digitaliseringen af vores arbejdsmarkeder i betragtning af kønsskævheden inden for uddannelser i naturvidenskab, teknologi, maskinlære og matematik og skævheden i visse beskæftigelsessektorer såsom forsvar og luft- og rumfart, informations- og kommunikationsteknologi (IKT) og energi;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Statistics Explained, Gender statistics, tilgået 23.6.2025, https://ec.europa.eu/eurostat/statistics-explained/index.php?title=Gender_statistics.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Agenturet for Grundlæggende Rettigheder, Roma in 10 European countries, 2022, https://fra.europa.eu/sites/default/files/fra_uploads/fra-2022-roma-survey-2021-main-results2_en.pdf.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Statistics Explained, "Gender pay gap statistics", tilgået 23.6.2025, https://ec.europa.eu/eurostat/statistics-explained/index.php?title=Gender_pay_gap_statistics.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Det Europæiske Handicapforum, 2023 EU Gender Equality Index: Women with disabilities still left behind, 2023, https://www.edf-feph.org/2023-eu-gender-equality-index-women-with-disabilities-still-left-behind/#:~:text=22%25%20of%20women%20with%20disabilities,15%25%20of%20men%20without%20disabilities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1e</w:t>
            </w:r>
            <w:r>
              <w:t xml:space="preserve"> </w:t>
            </w:r>
            <w:r>
              <w:rPr>
                <w:b/>
                <w:i/>
              </w:rPr>
              <w:t>Europa-Kommissionen, Direktoratet for Retlige Anliggender og Forbrugere, Legal gender recognition in the EU, Den Europæiske Unions Publikationskontor, 2020, https://commission.europa.eu/system/files/2020-09/legal_gender_recognition_in_the_eu_the_journeys_of_trans_people_towards_full_equality_sept_en.pdf.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1f</w:t>
            </w:r>
            <w:r>
              <w:t xml:space="preserve"> </w:t>
            </w:r>
            <w:r>
              <w:rPr>
                <w:b/>
                <w:i/>
              </w:rPr>
              <w:t>Europa-Kommissionen, Generaldirektoratet for Beskæftigelse, Sociale Anliggender, Arbejdsmarkedsforhold og Inklusion og Udvalget for Social Beskyttelse, The 2024 pension adequacy report, Den Europæiske Unions Publikationskontor, 2024, https://employment-social-affairs.ec.europa.eu/pension-adequacy-report-current-and-future-income-adequacy-old-age-eu_en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1g</w:t>
            </w:r>
            <w:r>
              <w:t xml:space="preserve"> </w:t>
            </w:r>
            <w:r>
              <w:rPr>
                <w:b/>
                <w:i/>
              </w:rPr>
              <w:t>Eurostat, Data Browser, "Living conditions in Europe – income distribution and income inequality", https://ec.europa.eu/eurostat/statistics-explained/index.php?title=Living_conditions_in_Europe_-_income_distribution_and_income_inequality.</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i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Ai.</w:t>
            </w:r>
            <w:r>
              <w:tab/>
            </w:r>
            <w:r>
              <w:t>der henviser til, at kvinders pensionsindkomst i EU i 2024 i gennemsnit var 26,1 % lavere end mænds, og at 5,3 % af kvinderne slet ikke modtog pension;</w:t>
            </w:r>
            <w:r>
              <w:rPr>
                <w:vertAlign w:val="superscript"/>
              </w:rPr>
              <w:t>1a</w:t>
            </w:r>
            <w:r>
              <w:rPr>
                <w:b/>
                <w:i/>
              </w:rPr>
              <w:t xml:space="preserve"> der henviser til, at dette er et resultat af de ubalancer, der er skabt af vedvarende, livslange uligheder; der henviser til, at denne pensionsforskel betyder, at kvinder har større risiko for at synke ned under fattigdomsgrænsen, efterhånden som de bliver ældre, herunder også i betragtning af at den forventede levetid er længere for kvinder end for mænd, hvad der forværrer konsekvenserne af fattigdom og social udelukkelse; der henviser til, at større deltagelse på arbejdsmarkedet gennem en persons levetid vil være med til at udjævne den kønsbestemte pensionsforskel;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Europa-Kommissionen, Generaldirektoratet for Beskæftigelse, Sociale Anliggender, Arbejdsmarkedsforhold og Inklusion og Udvalget for Social Beskyttelse, The 2024 pension adequacy report, Den Europæiske Unions Publikationskontor, 2024,</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j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Aj.</w:t>
            </w:r>
            <w:r>
              <w:tab/>
            </w:r>
            <w:r>
              <w:rPr>
                <w:b/>
                <w:i/>
              </w:rPr>
              <w:t>der henviser til, at "tidsfattigdom" betyder, at man ikke har tid til rådighed efter fratrækning af den tid, der er nødvendig til lønnet beskæftigelse og ulønnet arbejde (herunder pleje), studier eller andre grundlæggende livsfornødenheder såsom mental og fysisk pleje af en selv; der henviser til, at tidsfattigdom berøver kvinder den tid eller autonomi, som de har brug for til at opnå anstændige arbejdsvilkår, finansiel autonomi, læring eller adgang til basale ressourcer eller minimumsydelser, som kan garantere dem et sundt liv og sætte dem i stand til at tage fuldgyldig del i fællesskaber og samfundet som helhed; der henviser til, at tidsfattigdom begrænser kvinders muligheder for at deltage i langsigtet, fuldtidsbeskæftigelse, hvilket begrænser deres indtjeningspotentiale og øger deres afhængighed af lavtløns- eller deltidsjob, reducerer deres pensionsbidrag og øger deres økonomiske afhængighed i alderdommen; der henviser til, at disse overlappende begrænsninger understreger det presserende behov for at forbinde ligestillingsindsatsen med indkomstsikkerhed og omfattende reform af plejepolitikken; der henviser til, at håndtering af tidsfattigdom kræver en grundlæggende nytænkning af, hvordan pleje og husligt arbejde organiseres, værdsættes og omfordeles i hele samfundet; der henviser til, at der er et presserende behov for at knytte plejeretfærdighed til økonomisk retfærdighed og for at træde op mod systemer, der gør arbejdskraft til en handelsvare, men samtidig udtrækker værdi af ubetalt og usynligt arbejde, der overvejende udføres af kvinder;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k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Ak.</w:t>
            </w:r>
            <w:r>
              <w:tab/>
            </w:r>
            <w:r>
              <w:rPr>
                <w:b/>
                <w:i/>
              </w:rPr>
              <w:t>der henviser til, at kvinder er overrepræsenteret blandt personer, der lever i energifattigdom, er mere afhængige af naturressourcer og har færre aktiver eller ressourcer til at tilpasse sig konsekvenserne af klimaforandringerne; der henviser til, at energikrisen og de stigende leveomkostninger, navnlig i forbindelse med boliger, reducerer kvinders finansielle kapacitet til at opbygge en selvstændig tilværelse, hvilket gør det vanskeligere for kvinder uden indkomst eller med en lav indkomst at undslippe vold i hjemmet;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l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Al.</w:t>
            </w:r>
            <w:r>
              <w:tab/>
            </w:r>
            <w:r>
              <w:rPr>
                <w:b/>
                <w:i/>
              </w:rPr>
              <w:t>bemærker, at menstruationsfattigdom, som er mangel på tilstrækkelig mulighed for at tilgå menstruationsprodukter og -faciliteter, påvirker anslået 10 % af menstruerende kvinder i Unionen og påvirker marginaliserede og sårbare grupper uforholdsmæssigt meget, hvilket begrænser deres deltagelse i det sociale samfundsliv, i uddannelse og i arbejdsmarkedet; understreger, at menstruationsfattigdom fortsat er en vedvarende hindring for ligestilling mellem kønnene i EU, hvor kvinder og piger med lav indkomst ofte er tvunget til at vælge mellem menstruationshygiejneprodukter og andre basale behov;</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m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Am.</w:t>
            </w:r>
            <w:r>
              <w:tab/>
            </w:r>
            <w:r>
              <w:rPr>
                <w:b/>
                <w:i/>
              </w:rPr>
              <w:t xml:space="preserve">der henviser til, at mennesker af afrikansk afstamning er i højere risiko for fattigdom, social udstødelse og energifattigdom end den almindelige befolkning; der henviser til, at 33 % af mennesker af afrikansk afstamning har svært ved at få deres indtægter til at slå til; der henviser til, at en ud af fire personer af afrikansk afstamning er blevet afvist som lejer på grund af deres race eller etniske oprindelse; </w:t>
            </w:r>
            <w:r>
              <w:t>der henviser til, at 45 % af mennesker af afrikansk afstamning bor i overfyldte boliger;</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EU's Agentur for Grundlæggende Rettigheder, Being Muslim in the EU, Den Europæiske Unions Publikationskontor, 2024, https://fra.europa.eu/sites/default/files/fra_uploads/fra-2023-being-black_in_the_eu_en.pdf.</w:t>
            </w:r>
          </w:p>
        </w:tc>
      </w:tr>
    </w:tbl>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Betragtning A n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An.</w:t>
            </w:r>
            <w:r>
              <w:tab/>
            </w:r>
            <w:r>
              <w:t>der henviser til, at der er en forskel i beskæftigelsesfrekvensen på 24 procentpoint mellem personer med og uden handicap i EU og en endnu større forskel for kvinder og unge med handicap;</w:t>
            </w:r>
            <w:r>
              <w:rPr>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Det Europæiske Handicapforum, EDF 7th Human Rights Report. The Right to work: The employment situation of persons with disabilities in Europe, 2023, https://www.edf-feph.org/publications/human-rights-report-2023-the-right-to-work/</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 – litra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en omfattende og integreret tilgang til politikker og foranstaltninger til bekæmpelse af fattigdom og målet om at udrydde fattigdom som et tværgående kriterium i sektorpolitikkerne</w:t>
            </w:r>
          </w:p>
        </w:tc>
        <w:tc>
          <w:tcPr>
            <w:tcW w:w="4876" w:type="dxa"/>
            <w:tcBorders>
              <w:top w:val="nil"/>
              <w:left w:val="nil"/>
              <w:bottom w:val="nil"/>
              <w:right w:val="nil"/>
            </w:tcBorders>
          </w:tcPr>
          <w:p>
            <w:pPr>
              <w:pStyle w:val="Normal6a"/>
            </w:pPr>
            <w:r>
              <w:t>d)</w:t>
            </w:r>
            <w:r>
              <w:tab/>
            </w:r>
            <w:r>
              <w:t>en omfattende og integreret tilgang til politikker og foranstaltninger til bekæmpelse af fattigdom og målet om at udrydde fattigdom som et tværgående kriterium i sektorpolitikkerne</w:t>
            </w:r>
            <w:r>
              <w:t>, navnlig under hensyntagen til EU's ligestillings-, inklusions- og socialpolitiske område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opfordrer Kommissionen til at formulere en kønsorienteret strategi, der baseres på indsigt i kønsdimensionen af fattigdom og sætter nøje fokus på strukturel fattigdom, der navnlig rammer kvinder og piger, og til at anlægge en intersektionel tilgang med henblik på navnlig at tage hånd om familier med enlige forældre – der hovedsagelig er kvinder – mødre med lav indkomst, kvinder med handicap, kvinder fra marginaliserede racemæssige, etniske og socioøkonomiske grupper, herunder romakvinder, migrantkvinder og ældre kvinder, ofre for kønsbaseret vold og LGBTIQ+-personer;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understreger, at den mest bæredygtige politik til fattigdomsbekæmpelse er en, der forhindrer fattigdom i overhovedet at opstå; understreger, at fattigdomsbekæmpelsesstrategien skal imødegå de grundlæggende årsager til fattigdom blandt kvinder og udvirke gavnlige strukturelle ændringer for kvinder og særligt risikoudsatte personer, med fokus på sociale investeringer i tilgængelig sundhedspleje af høj kvalitet, børnepasning, inklusiv uddannelse, anstændige og økonomisk overkommelige boliger, tilstrækkeligt socialt forsorgsvæsen og målrettede foranstaltninger til at sikre, at disponible sociale ydelser ikke står ubrugte hen; opfordrer indtrængende Kommissionen til at medtage og tackle de kønsbestemte og intersektionelle risici for fattigdom, herunder fattigdom blandt personer i beskæftigelse og pensionsfattigdom, gennem ordentlige mindstelønninger og minimumsindkomst, social beskyttelse og kollektive overenskomstforhandlinger; opfordrer medlemsstaterne og Kommissionen til yderligere at undersøge potentialet ved grundindtægtsordninger som led i bredere strategier til bekæmpelse af fattigdom, der tager hensyn til kvinders specifikke socioøkonomiske sårbarheder, og til at sikre, at EU's rammer og dataindsamlingsværktøjer (f.eks. Eurostat og nationale statistikorganer) i højere grad tager højde for kønsrelaterede aspekter af fattigdom og de grundlæggende årsager hertil;</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opfordrer Kommissionen til at anerkende de strukturelle sammenhænge mellem fattigdom og kønsbaseret vold og til at tage hånd om kønsbaseret vold som en central strategi til at udrydde fattigdom, navnlig blandt kvinder og børn, i anerkendelse af, at udryddelsen af alle former for vold er afgørende for at fremme kvindes evne til at tage fuld del i det omgivende samfundsliv og økonomien, få adgang til uddannelse, beskæftigelse og sociale ydelser og dermed opnå økonomisk uafhængighed; opfordrer indtrængende Kommissionen og medlemsstaterne til at fremme offentlig finansiering af politiktiltag til bekæmpelse af kønsbaseret vold; glæder sig over EU's ratificering af Istanbulkonventionen og opfordrer indtrængende Bulgarien, Tjekkiet, Ungarn, Litauen og Slovakiet til at afslutte deres ratificeringsproces uden yderligere opsættelse; opfordrer Kommissionen til at sørge for, at direktivet om bekæmpelse af vold mod kvinder og vold i hjemmet gennemføres på formålstjenlig vis, så kvinder der udsættes for fattigdom og andre former for vold har garanti for tilstrækkelig og uindskrænket adgang til krisecentre, offerstøttetjenester, retshjælp og social velfærd, uanset deres opholds- eller migrationsstatus;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opfordrer Kommissionen og medlemsstaterne til at fremme politikker til beskyttelse og fremme af arbejdstagerrettigheder og forbedring af beskæftigelsens kvalitet, herunder stabile ansættelsesforhold, rimelige lønninger, anstændige og sikre arbejdsvilkår og adgang til social beskyttelse;</w:t>
            </w:r>
          </w:p>
        </w:tc>
        <w:tc>
          <w:tcPr>
            <w:tcW w:w="4876" w:type="dxa"/>
            <w:tcBorders>
              <w:top w:val="nil"/>
              <w:left w:val="nil"/>
              <w:bottom w:val="nil"/>
              <w:right w:val="nil"/>
            </w:tcBorders>
          </w:tcPr>
          <w:p>
            <w:pPr>
              <w:pStyle w:val="Normal6a"/>
            </w:pPr>
            <w:r>
              <w:t>3.</w:t>
            </w:r>
            <w:r>
              <w:tab/>
            </w:r>
            <w:r>
              <w:t xml:space="preserve">opfordrer Kommissionen og medlemsstaterne til at fremme politikker til beskyttelse og fremme af arbejdstagerrettigheder og forbedring af beskæftigelsens kvalitet, </w:t>
            </w:r>
            <w:r>
              <w:t>med særligt fokus på kvinder på arbejdsmarkedet,</w:t>
            </w:r>
            <w:r>
              <w:t xml:space="preserve"> herunder stabile ansættelsesforhold, rimelige </w:t>
            </w:r>
            <w:r>
              <w:t>og gennemsigtige</w:t>
            </w:r>
            <w:r>
              <w:t xml:space="preserve"> lønninger </w:t>
            </w:r>
            <w:r>
              <w:t>i alle sektorer med – inklusive kvindedominerede sektorer såsom social-, pleje-, sundheds- og uddannelsessektoren – med henblik på at sikre lige løn for arbejde af samme værdi,</w:t>
            </w:r>
            <w:r>
              <w:t xml:space="preserve"> anstændige og sikre arbejdsvilkår og adgang til social beskyttelse;</w:t>
            </w:r>
            <w:r>
              <w:rPr>
                <w:b/>
                <w:i/>
              </w:rPr>
              <w:t xml:space="preserve"> opfordrer Kommissionen og medlemsstaterne til navnlig at fokusere på at mindske den kønsbestemte forskel i beskæftigelsesfrekvensen, løn- og pensionsforskellene og fattigdom blandt kvinder i arbejde ved at tilbyde fleksible arbejdsordninger og tilgængelige og økonomisk overkommelige pasningsordninger med henblik på at lette kvinders adgang til kvalitetsjob; opfordrer indtrængende Kommissionen til at træffe bestemmelse om indførelse af arbejdspladspolitikker, der understøtter menstruationssundhed – herunder muligheden for menstruationsorlov, indkvartering til arbejdstagere, der gennemgår kvindespecifikke omstændigheder, f.eks. menopause, migræne og endometriose – og fri med løn til regelmæssige brystscreeningskontroller for at fremme kvinders sundhed og trivsel i alle faser af livet;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minder om, at fattigdom fortsat måles på grundlag af den samlede husstandsindkomst, selv hvis det ikke er alle medlemmer af husholdningen, der tjener det samme eller fordeler ressourcerne ligeligt; opfordrer til individualiserede rettigheder og beregninger baseret på den individuelle indkomst med henblik på at bekæmpe fattigdom blandt kvinder i dets reelle omfang og til at medtage tidsfattigdom som parameter;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understreger betydningen af at støtte kvinders iværksætterånd og muligheder for selvstændig beskæftigelse, navnlig i landdistrikter, på øer og i andre geografisk fjerntliggende områder, som et middel til at opnå bedre økonomisk inddragelse og ligestilling og til at bekæmpe fattigdom, skabe lokal beskæftigelse og fremme en inklusiv økonomisk udvikling; opfordrer Kommissionen og medlemsstaterne til at sikre målrettet støtte til kvindelige iværksættere gennem forbedret adgang til finansiering, erhvervsuddannelse, digitale værktøjer og markeder; opfordrer Kommissionen til at udvikle politikker, der letter kvinders adgang til kvalitetsjob og iværksættermuligheder, gennem incitamenter for virksomheder til at ansætte og fremme kvinder, navnlig enlige mødre, og til at tilbyde fleksible arbejdsordninger;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3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c.</w:t>
            </w:r>
            <w:r>
              <w:tab/>
            </w:r>
            <w:r>
              <w:rPr>
                <w:b/>
                <w:i/>
              </w:rPr>
              <w:t>opfordrer Kommissionen til at integrere uddannelse og livslang læring i strategien for bekæmpelse af fattigdom med fokus på inklusiv uddannelse og reintegration af elever, der forlader skolen tidligt; anbefaler, at man udvider programmerne for digitale færdigheder og mediekendskab og investerer i en-chance-til-uddannelsestilbud; understreger behovet for at forbinde fattigdomsbekæmpelsesstrategien med inklusiv uddannelse, opkvalificerings- og omskolingsprogrammer samt borgerengagement, der specifikt er rettet mod sårbare grupper, kvinder og piger, langtidsledige, enlige forældre og unge, der forlader skolen tidligt; opfordrer Kommissionen og medlemsstaterne til at bygge bro over den digitale kløft for kvinder og piger i fattigdom ved at sikre økonomisk overkommelig internetadgang, uddannelse i digitale færdigheder og adgang til offentlige onlinetjenester med fokus på landdistrikter og marginaliserede befolkningsgrupper;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fremhæver, at klimaforandringer i uforholdsmæssig høj grad påvirker mennesker, der lever i fattigdom, således at de er mere eksponeret for sundhedsproblemer, energifattigdom, boligusikkerhed og tvangsfordrivelse; understreger det presserende behov for en kønsorienteret klimaindsats for at forhindre kvinder og piger i at synke dybere ned i fattigdom; opfordrer Kommissionen og medlemsstaterne til at sikre, at strategier til tilpasning til klimaforandringer og begrænsning af katastroferisici er inklusive og tager hensyn til kvinders og pigers specifikke sårbarheder og kapacitet, herunder gennem investeringer i uddannelse om kønsskifte, adgang til sundhedspleje og økonomisk modstandskraft; opfordrer Kommissionen til at sikre, at strategien bidrager til at tackle klimaforandringernes uforholdsmæssigt store indvirkning på mennesker, der oplever fattigdom, og til at sikre, at de inddrages i den grønne omstilling; opfordrer Kommissionen til at sikre tilstrækkelig finansiering til at bekæmpe klimafattigdom med fokus på energieffektivitet og boligrenovering i FFR efter 2027 for at sikre, at mennesker, der lever i fattigdom, modtager tilstrækkelig støtte under den grønne omstilling;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opfordrer indtrængende Kommissionen og medlemsstaterne til at bekæmpe fattigdom ved at fremme politikker, der sikrer de politiske, økonomiske, sociale og kulturelle rettigheders udelelighed og universelle karakter;</w:t>
            </w:r>
          </w:p>
        </w:tc>
        <w:tc>
          <w:tcPr>
            <w:tcW w:w="4876" w:type="dxa"/>
            <w:tcBorders>
              <w:top w:val="nil"/>
              <w:left w:val="nil"/>
              <w:bottom w:val="nil"/>
              <w:right w:val="nil"/>
            </w:tcBorders>
          </w:tcPr>
          <w:p>
            <w:pPr>
              <w:pStyle w:val="Normal6a"/>
            </w:pPr>
            <w:r>
              <w:t>6.</w:t>
            </w:r>
            <w:r>
              <w:tab/>
            </w:r>
            <w:r>
              <w:t xml:space="preserve">opfordrer indtrængende Kommissionen og medlemsstaterne til at bekæmpe fattigdom ved at fremme politikker, der sikrer de </w:t>
            </w:r>
            <w:r>
              <w:t>borgerlige,</w:t>
            </w:r>
            <w:r>
              <w:t xml:space="preserve"> politiske, økonomiske, sociale og kulturelle rettigheders udelelighed og universelle karakter;</w:t>
            </w:r>
            <w:r>
              <w:rPr>
                <w:b/>
                <w:i/>
              </w:rPr>
              <w:t> opfordrer medlemsstaterne til at udvikle metoder til at vurdere strukturelle eller systemiske hindringer for at overvinde i fattigdom og social udstødelse og for at deltage fuldt ud i samfundet, hvad enten sådanne hindringer findes i deres retssystemer, offentlige politikker eller gennemførelsen af disse på territorialt niveau;</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opfordrer Kommissionen og medlemsstaterne til i væsentlig grad at øge de offentlige investeringer i politikker, der garanterer universelle, </w:t>
            </w:r>
            <w:r>
              <w:t>gratis</w:t>
            </w:r>
            <w:r>
              <w:t xml:space="preserve"> offentlige tjenester af høj kvalitet, i betragtning af deres bidrag til at bryde fattigdomscyklusserne, navnlig på områder som </w:t>
            </w:r>
            <w:r>
              <w:t>uddannelse,</w:t>
            </w:r>
            <w:r>
              <w:t xml:space="preserve"> sundhedspleje</w:t>
            </w:r>
            <w:r>
              <w:t>,</w:t>
            </w:r>
            <w:r>
              <w:t xml:space="preserve"> social beskyttelse og universel adgang til anstændige boliger, vand og sanitet, energi, transport </w:t>
            </w:r>
            <w:r>
              <w:t>samt</w:t>
            </w:r>
            <w:r>
              <w:t xml:space="preserve"> </w:t>
            </w:r>
            <w:r>
              <w:t>kulturelle aktiviteter og fritidsaktiviteter</w:t>
            </w:r>
            <w:r>
              <w:t>;</w:t>
            </w:r>
          </w:p>
        </w:tc>
        <w:tc>
          <w:tcPr>
            <w:tcW w:w="4876" w:type="dxa"/>
            <w:tcBorders>
              <w:top w:val="nil"/>
              <w:left w:val="nil"/>
              <w:bottom w:val="nil"/>
              <w:right w:val="nil"/>
            </w:tcBorders>
          </w:tcPr>
          <w:p>
            <w:pPr>
              <w:pStyle w:val="Normal6a"/>
            </w:pPr>
            <w:r>
              <w:t>7.</w:t>
            </w:r>
            <w:r>
              <w:tab/>
            </w:r>
            <w:r>
              <w:t xml:space="preserve">opfordrer Kommissionen og medlemsstaterne til i væsentlig grad at øge de offentlige investeringer i politikker, der garanterer universelle, </w:t>
            </w:r>
            <w:r>
              <w:t>økonomisk overkommelige</w:t>
            </w:r>
            <w:r>
              <w:t xml:space="preserve"> offentlige tjenester af høj kvalitet, i betragtning af deres bidrag til at bryde fattigdomscyklusserne </w:t>
            </w:r>
            <w:r>
              <w:t>og nedbringe de kønsbestemte uligheder</w:t>
            </w:r>
            <w:r>
              <w:t xml:space="preserve">, navnlig på områder som </w:t>
            </w:r>
            <w:r>
              <w:t xml:space="preserve">grundskolegang med personaliseret undervisningsstøtteplaner for unge forældre – især mødre </w:t>
            </w:r>
            <w:r>
              <w:t xml:space="preserve">– </w:t>
            </w:r>
            <w:r>
              <w:t>økonomisk overkommelige børnepasnings- og langtidsplejetjenester af høj kvalitet – først og fremmest for personer med handicap –</w:t>
            </w:r>
            <w:r>
              <w:t xml:space="preserve"> sundhedspleje – </w:t>
            </w:r>
            <w:r>
              <w:t>herunder gratis medicin til børn, økonomisk overkommelig tandpleje, tilgængelige mental sundhedsydelser og adgang til seksuel og reproduktiv sundhed og rettigheder, herunder information om familieplanlægning, økonomisk overkommelig, moderne prævention og sikker og lovlig abort –</w:t>
            </w:r>
            <w:r>
              <w:t xml:space="preserve"> social beskyttelse og universel adgang til anstændige </w:t>
            </w:r>
            <w:r>
              <w:t xml:space="preserve">og økonomisk overkommelige </w:t>
            </w:r>
            <w:r>
              <w:t xml:space="preserve">boliger, vand og sanitet, energi, transport, </w:t>
            </w:r>
            <w:r>
              <w:t>fritids- og sociale aktiviteter samt digital adgang, der kan øge muligheden for telearbejde, eksempelvis for kvinder med pasningsopgaver</w:t>
            </w:r>
            <w:r>
              <w:t>;</w:t>
            </w:r>
            <w:r>
              <w:rPr>
                <w:b/>
                <w:i/>
              </w:rPr>
              <w:t xml:space="preserve"> opfordrer medlemsstaterne til at tilvejebringe tilstrækkelige midler til at investere i grundskoleundervisning og børnepasning og sikre, at de nationale uddannelsessystemer yder uddannelse af høj kvalitet med ligestilling mellem kønnene for at imødegå problemet med uddannelsesmæssig fattigdom, der ofte påvirker kvinders muligheder og evne til at forbedre deres sociale velfærd og økonomiske uafhængighed, herunder gennem finansielle og bankmæssige færdigheder; </w:t>
            </w:r>
            <w:r>
              <w:t>opfordrer til en ny, intensiveret indsats for at udligne den kønsbestemte forskel i beskæftigelsesfrekvensen og i pension og til at øge investeringerne i offentlige tjenesteydelser og social infrastruktur, som er afgørende for både familiestøtte og kvinders økonomiske uafhængighed, og opfordrer til tilsagn om at gøre fremskridt hen imod omsorgssamfundet;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anbefaler, at medlemsstaterne sikrer tilbud om væsentlige, overkommelige og inklusive tjenester for alle, med særlig vægt på beskyttelse og behov hos kvinder og sårbare grupper;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understreger behovet for at styrke sundhedssystemerne og gøre dem tilgængelige, økonomisk overkommelige og inklusive under hensyntagen til kvinders særlige sundhedsbehov; opfordrer Kommissionen og medlemsstaterne til at sikre, at alle unge – navnlig piger og LGBTQI+-unge, og navnlig i landdistrikterne og som tilhører lavindkomstgrupper eller er marginaliserede af andre årsager – har adgang til ungdomsvenlige tjenester og information vedrørende seksuel og reproduktiv sundhed og rettigheder (SRHR) – herunder omfattende, alderssvarende seksual- og samlivsundervisning, information om familieplanlægning og rådgivningstjenester i skole- og lokalsamfundsregi – økonomisk overkommelig prævention og menstruationsprodukter og sikker og lovlig mulighed for abort som led i en inklusiv og kønssensitiv strategi til bekæmpelse af fattigdom;</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7c.</w:t>
            </w:r>
            <w:r>
              <w:tab/>
            </w:r>
            <w:r>
              <w:rPr>
                <w:b/>
                <w:i/>
              </w:rPr>
              <w:t>bekræfter, at omfattende SRHR, herunder adgang til prævention, svangerskabs-/barselspleje, sikker abort, fertilitetstjenester og alderssvarende seksualundervisning, er væsentlige komponenter i ligestillingen mellem kønnene og i fattigdomsbekæmpelse; opfordrer Kommissionen og medlemsstaterne til at indarbejde SRHR som en central søjle i alle strategier rettet mod fattigdom blandt kvinder og piger;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7d.</w:t>
            </w:r>
            <w:r>
              <w:tab/>
            </w:r>
            <w:r>
              <w:rPr>
                <w:b/>
                <w:i/>
              </w:rPr>
              <w:t>tilskynder til fremme af fællesskabsbaserede tilgange til pleje, der er deltagelsesorienterede, lokalt forankrede og udformet med direkte input fra dem, der er berørt af fattigdom, for at sikre, at ydelser, faciliteter og støttemekanismer afspejler de faktiske behov og realiteter hos de mennesker, de er beregnet til; fremhæver betydningen af at inddrage kvinder og marginaliserede samfund i planlægning og udformning af sådanne faciliteter for at sikre, at de er beskyttende, inkluderende og indrettede efter kønsspecifikke behov;</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7 e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7e.</w:t>
            </w:r>
            <w:r>
              <w:tab/>
            </w:r>
            <w:r>
              <w:rPr>
                <w:b/>
                <w:i/>
              </w:rPr>
              <w:t>opfordrer Kommissionen og medlemsstaterne til at garantere alle personers ret, især dem i sårbare situationer, til at blive behørigt informeret om hele spektret af de offentlige ydelser og social støtte, de kan tilgå, herunder vedrørende bolig, sundhedspleje, uddannelse, beskæftigelse og beskyttelse mod kønsbaseret vold; understreger, at informationer skal være tydelige, kulturelt og sprogligt hensigtsmæssige og formidles proaktivt;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opfordrer Kommissionen til at tage fat på de specifikke udfordringer og sårbarheder, som hjemløse kvinder står over for, og erkender, at hjemløse kvinder ofte oplever hjemløshed på en anden måde end mænd, og at de er i højere risiko for vold, seksuelle overgreb og menneskehandel, samt specifikke sundhedsproblemer i forbindelse med reproduktiv sundhed og hygiejne; understreger, at anstændig og økonomisk overkommelig bolig er en grundlæggende ret, som skal beskyttes og anerkendes som en forudsætning for at kunne nyde godt af andre grundlæggende rettigheder; fremhæver, at fattigdomsbekæmpelsesstrategien skal indeholde et særligt afsnit om bekæmpelse af hjemløshed, som skal anerkendes som en af de mest alvorlige og synlige former for fattigdom og social udstødelse, og med særlig opmærksomhed viet til kønsdimensionerne heraf; opfordrer Kommissionen til at videreudvikle den europæiske platform for bekæmpelse af hjemløshed (EPOCH) ved at øge sin finansiering af både aktiviteter og forvaltning og udvide dens tre opgaveområder inden for overvågning, gensidig læring og adgang til EU-midler, med særligt fokus på hjemløse kvinder; opfordrer Kommissionen til at tilskynde medlemsstaterne til at indarbejde kønsorienterede bolig-først-modeller i de nationale hjemløshedsstrategier og herunder opprioritere kvinder, der flygter fra kønsbaseret vold, indvandrerkvinder, racediskriminerede kvinder, enlige mødre, kvinder med handicap og kvinder i landdistrikter samt LGBTIQ+-personer, i overensstemmelse med EPOCH; opfordrer til inklusiv adgang til væsentlige tjenesteydelser, social beskyttelse og boliger for indvandrerkvinder, uanset deres juridiske status; fremhæver behovet for kulturelt følsomme og flersprogede støttetjenester, især i by- og grænseregioner; opfordrer Kommissionen til at mobilisere EU-midler i FFR for perioden efter 2027 (ESF+, EFRU og InvestEU) for at imødegå alvorlige materielle afsavn og støtte boliger til en overkommelig pris specifikt for hjemløse kvinder, herunder kvinder udsat for vold i hjemmet, som en foranstaltning i samstemmighed med den europæiske plejestrategi og børnegarantien;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8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erkender, at mennesker uden tilstrækkelig bolig, ofre for menneskehandel og stofmisbrugere ofte står over for flere og overlappende former for forskelsbehandling og udstødelse, der både er forårsaget af og forstærker fattigdommen; understreger, at kvinder og kønsidentitetsbaserede mindretal inden for disse grupper er uforholdsmæssigt udsat for kønsbaseret vold, udnyttelse, stigmatisering og hindringer for adgang til basale ydelser, hvilket yderligere bidrager til deres socioøkonomiske marginalisering;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8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opfordrer Kommissionen og medlemsstaterne til at træffe målrettede, formålstjenlige og effektive foranstaltninger til at fjerne de hindringer, der står i vejen for adgang til ydelser af almen interesse i udsatte områder – især landdistrikter og fjerntliggende regioner, herunder regioner i den yderste periferi – da sådanne hindringer er vigtige drivkræfter bag fattigdom og social udstødelse; opfordrer til, at der sikres adgang i disse områder til offentlige tjenesteydelser såsom pleje, uddannelse, sundhed, boliger og energi, idet områder med risiko for affolkning vies særlig opmærksomhed;</w:t>
            </w:r>
          </w:p>
        </w:tc>
      </w:tr>
    </w:tbl>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8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opfordrer til, at der vedtages og gennemføres bindende retlige foranstaltninger til forebyggelse af økonomisk forskelsbehandling af personer med diagnose – herunder personer, der har overlevet kræft, og personer med mentale sundhedsproblemer – idet der lægges særlig vægt på kvinder, som ofte står over for intersektionelle socioøkonomiske sårbarheder; understreger betydningen af "retten til at blive glemt" i den forbindelse, navnlig i relation til adgang til finansielle tjenesteydelser såsom forsikring og kredit såvel som bolig, uden at tidligere sygdom lægges en til last, for således at udvirke socioøkonomisk reintegration og nedbringe risikoen for fattigdom; fremhæver potentialet ved personlige budgetteringstilgange, hvor enkeltpersoner modtager økonomiske midler direkte til selv at forvalte efter eget behov, hvormed man søger at fremme autonomi og værdighed og at skræddersy støtten bedre til indsatsen mod fattigdom;</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opfordrer alle medlemsstater til at gennemføre direktivet om løngennemsigtighed hurtigt og i dets fulde omfang med henblik på at tage hånd om væsentlige aspekter af den kønsbestemte lønforskel inden for sektorer og til at kræve, at virksomheder offentliggør analyser af kønsbestemte lønforskelle og gennemfører oplysnings- og kursustiltag om ubevidste fordomme og stereotyper; opfordrer Kommissionen og medlemsstaterne til at tage hensyn til regionale forskelle og sikre, at sådanne foranstaltninger er skræddersyet til at imødekomme de specifikke behov i regioner, hvor kønsskævheder og uligheder på arbejdsmarkedet er mest udtalte; opfordrer desuden Kommissionen til at løse problemet med strukturel undervurdering af arbejde i kvindedominerede sektorer og til at sikre lige løn for arbejde af samme værdi ved at revurdere værdien af arbejde inden for typisk kvindedominerede beskæftigelsesområder såsom social-, pleje- og sundhedstjenester og uddannelse gennem kønsneutrale jobevalueringsværktøjer, der er udviklet og anvendt til at etablere en bedre og mere retfærdig aflønningsordning;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9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opfordrer til en fornyet, intensiveret indsats for at udligne den kønsbestemte forskel i beskæftigelsesfrekvensen og pension og til at øge investeringerne i offentlige tjenesteydelser og social infrastruktur og opfordrer til tilsagn om at gøre fremskridt hen imod omsorgssamfundet;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9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opfordrer Kommissionen til inden for rammerne af strategien at tage hensyn til de særlige udfordringer, som ældre kvinder, der lever i fattigdom, står over for; opfordrer indtrængende Kommissionen til at tilskynde medlemsstaterne til at udvikle målrettede foranstaltninger for at sikre tilstrækkelige pensionsniveauer, herunder automatisk inflationsbaseret indeksregulering;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opfordrer medlemsstaterne til at udvikle politikker, der styrker barsels-, fædre- og forældrerettigheder, fremmer balancen mellem arbejdsliv og privatliv, letter kvinders tilbagevenden til arbejde efter graviditet og barselsorlov og sikrer passende betingelser for amning på arbejdspladsen;</w:t>
            </w:r>
          </w:p>
        </w:tc>
        <w:tc>
          <w:tcPr>
            <w:tcW w:w="4876" w:type="dxa"/>
            <w:tcBorders>
              <w:top w:val="nil"/>
              <w:left w:val="nil"/>
              <w:bottom w:val="nil"/>
              <w:right w:val="nil"/>
            </w:tcBorders>
          </w:tcPr>
          <w:p>
            <w:pPr>
              <w:pStyle w:val="Normal6a"/>
            </w:pPr>
            <w:r>
              <w:t>10.</w:t>
            </w:r>
            <w:r>
              <w:tab/>
            </w:r>
            <w:r>
              <w:rPr>
                <w:b/>
                <w:i/>
              </w:rPr>
              <w:t xml:space="preserve">understreger, at størstedelen af det ulønnede omsorgsarbejde stadig kun udføres af kvinder, og at dette har negative konsekvenser for kønsskævheden på arbejdsmarkedet og den økonomiske uafhængighed; understreger, at det for at håndtere den komplekse karakter af fattigdom blandt kvinder er nødvendigt at ændre arbejdsdelingen og skabe incitamenter for kvinder og mænd til at dele ulønnet omsorgsarbejde og husligt arbejde på mere retfærdig vis og at gøre det lettere for kvinder at blive integreret eller genintegreret på arbejdsmarkedet med henblik på at opnå en samfundsmodel ud fra en devise som "tjene og pleje i lige mål"; </w:t>
            </w:r>
            <w:r>
              <w:t xml:space="preserve">opfordrer medlemsstaterne til at udvikle politikker, der styrker barsels-, fædre- og forældrerettigheder, fremmer balancen mellem arbejdsliv og privatliv </w:t>
            </w:r>
            <w:r>
              <w:t>og fleksible arbejdsordninger</w:t>
            </w:r>
            <w:r>
              <w:t>, letter kvinders tilbagevenden til arbejde efter graviditet og barselsorlov</w:t>
            </w:r>
            <w:r>
              <w:t>, herunder ved at sørge for kvalitetssikrede, tilgængelige og økonomisk overkommelige børnepasningsfaciliteter,</w:t>
            </w:r>
            <w:r>
              <w:t xml:space="preserve"> og sikrer passende betingelser for amning </w:t>
            </w:r>
            <w:r>
              <w:t>og vuggestuepasning</w:t>
            </w:r>
            <w:r>
              <w:t xml:space="preserve"> på arbejdspladsen;</w:t>
            </w:r>
            <w:r>
              <w:rPr>
                <w:b/>
                <w:i/>
              </w:rPr>
              <w:t xml:space="preserve"> opfordrer medlemsstaterne til at indføre og fremme fædreorlovsordninger, der er brugbare og økonomisk tilstrækkelige, herunder at forøge fædres lovbestemte fædreorlov og forældreydelser og tilbud om orlov, der ikke kan overføres, til fædre eller de andre forældre med henblik på at fremme, at man reelt deles om pasningsforpligtelserne, gøre det muligt for kvinder at styrke deres stilling på arbejdsmarkedet og for den anden forælder at knytte stærke bånd til deres børn og have den fornødne tid til rådighed til at støtte udviklingen i den tidlige barndom og familiens trivsel og dermed bidrage til at mindske kvinders "tidsfattigdom"; opfordrer Kommissionen og medlemsstaterne til at sikre en hurtig gennemførelse af direktivet om balance mellem arbejdsliv og privatliv;</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opfordrer indtrængende Kommissionen til at tage hånd om den systematisk for lave værdiansættelse af det arbejde, der udføres i kvindedominerede sektorer såsom social-, sundheds-, pleje- og uddannelsessektoren, hvilket fører til fattigdom blandt personer i arbejde, og til at samarbejde med medlemsstaterne og arbejdsmarkedets parter om at udvikle kønsneutrale jobevalueringsværktøjer og -kriterier, der giver mulighed for en EU-dækkende definition og sammenligning af "arbejdets værdi" med henblik på en mere retfærdig værdiansættelse og aflønning af arbejde, der udføres i kvindedominerede sektorer;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opfordrer Kommissionen til at tilskynde medlemsstaterne til at opstille retfærdige og effektive nationale systemer for formuebeskatning med henblik på at reducere uligheden og sikre, at personer med de største midler bidrager retfærdigt til finansieringen af offentlige goder; minder om, at internationale institutioner såsom Den Internationale Valutafond og Organisationen for Økonomisk Samarbejde og Udvikling har fremhævet formuebeskatning som et nyttigt værktøj til at imødegå stigende uligheder og styrke de offentlige finanser;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opfordrer Kommissionen til at foretage en omfattende undersøgelse af virkningerne af nedbringelse af arbejdstiden, herunder erfaringer fra pilotprojekter såsom den britiske firedages arbejdsuge, som viste positive resultater for arbejdstagernes sundhed og trivsel, balancen mellem arbejdsliv og privatliv og produktiviteten; anerkender, at en række lande har haft succes med forsøg på at reducere arbejdstiden, og opfordrer medlemsstaterne til at udforske og støtte initiativer, der sigter mod at reducere arbejdstiden uden tab af løn, som et middel til at reducere fattigdom, styrke demokratiet, fremme kvalitetsbeskæftigelse, ligestilling mellem kønnene og forbedret mental og fysisk helbred;</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10d.</w:t>
            </w:r>
            <w:r>
              <w:tab/>
            </w:r>
            <w:r>
              <w:rPr>
                <w:b/>
                <w:i/>
              </w:rPr>
              <w:t>fremhæver de økonomiske hindringer for moderskab, som mange kvinder i hele EU står over for; opfordrer til omfattende familiepolitikker, der støtter det at få børn uden langsigtede økonomiske konsekvenser, navnlig med hensyn til karriereafbrydelser og pensionsforskelle;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e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10e.</w:t>
            </w:r>
            <w:r>
              <w:tab/>
            </w:r>
            <w:r>
              <w:rPr>
                <w:b/>
                <w:i/>
              </w:rPr>
              <w:t>opfordrer Kommissionen og medlemsstaterne til at udvikle en særlig europæisk handlingsplan for ældre kvinder, herunder foranstaltninger til at afhjælpe den kønsbestemte pensionsforskel, prioriteret adgang til sociale tjenester og hjemmepleje, muligheder for videreuddannelse og deltidsbeskæftigelse for at bekæmpe ensomhed og fattigdom i alderdommen;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10 f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10f.</w:t>
            </w:r>
            <w:r>
              <w:tab/>
            </w:r>
            <w:r>
              <w:rPr>
                <w:b/>
                <w:i/>
              </w:rPr>
              <w:t>opfordrer indtrængende Kommissionen til at formulere og gennemføre en EU-dækkende strategi for menstruationssundhed for at bekæmpe menstruationsfattigdom; mener, at menstruationssundhed og -hygiejne udtrykkeligt skal integreres i politikker for folkesundhed og fattigdomsbekæmpelse på nationalt plan og EU-plan; tilskynder indtrængende Kommissionen til at støtte medlemsstaterne i at indarbejde menstruationsundervisning og udlevering af menstruationsprodukter i holistiske, kønssensitive sundheds- og socialpolitikker, navnlig for sårbare grupper såsom hjemløse kvinder, ofre for kønsbaseret vold og kvinder fra sårbare grupper såsom kvinder med indvandrerbaggrund og asylansøgere; opfordrer indtrængende Kommissionen og medlemsstaterne til at træffe bestemmelser om udlevering af gratis menstruationsprodukter i offentlige skoler og universiteter, offentlige bygninger, krisecentre, offentlige institutioner og centre, der støtter marginaliserede kvinder og piger, med henblik på at bekæmpe menstruationsfattigdom; opfordrer endvidere medlemsstaterne til at afskaffe moms og andre indirekte skatter på menstruationsprodukter i overensstemmelse med ligestillingsmålene;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opfordrer indtrængende medlemsstaterne til at sikre universel adgang til økonomisk overkommelig offentlig sundhedspleje af høj kvalitet for mødre, nyfødte og børn;</w:t>
            </w:r>
          </w:p>
        </w:tc>
        <w:tc>
          <w:tcPr>
            <w:tcW w:w="4876" w:type="dxa"/>
            <w:tcBorders>
              <w:top w:val="nil"/>
              <w:left w:val="nil"/>
              <w:bottom w:val="nil"/>
              <w:right w:val="nil"/>
            </w:tcBorders>
          </w:tcPr>
          <w:p>
            <w:pPr>
              <w:pStyle w:val="Normal6a"/>
            </w:pPr>
            <w:r>
              <w:t>11.</w:t>
            </w:r>
            <w:r>
              <w:tab/>
            </w:r>
            <w:r>
              <w:t xml:space="preserve">opfordrer indtrængende medlemsstaterne til at sikre universel adgang til økonomisk overkommelig offentlig sundhedspleje af høj kvalitet for mødre, nyfødte og børn </w:t>
            </w:r>
            <w:r>
              <w:t>samt ældrepleje og pleje af personer med handicap for at reducere antallet af kvinder, der uforholdsmæssigt påtager sig ubetalte plejeroller, hvilket begrænser deres evne til at deltage på arbejdsmarkedet og tjene til livets ophold</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opfordrer Kommissionen til at udstede en henstilling til medlemsstaterne om at træffe bindende retlige foranstaltninger til at fremme fattigdomsbekæmpelsen ved at sætte ind over for økonomisk forskelsbehandling af kvinder med diagnose, herunder overlevende kræftpatienter og kvinder med mentale helbredsproblemer, baseret på princippet om retten til at blive glemt, med henblik på at udvirke disses genintegration på arbejdsmarkedet og i samfundet og mindske deres risiko for fattigdom, samtidig med at der lægges særlig vægt på kvinder, der udsættes for intersektionel socioøkonomisk forskelsbehandling;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opfordrer Kommissionen og medlemsstaterne til at overveje de såkaldte skjulte fattigdomsfænomener, bekæmpe stigmatisering af personer, der lever i fattigdom, </w:t>
            </w:r>
            <w:r>
              <w:t xml:space="preserve">og manglende udnyttelse af tilgængelige sociale ydelser og til at tage hensyn til, </w:t>
            </w:r>
            <w:r>
              <w:t>at ældre</w:t>
            </w:r>
            <w:r>
              <w:t>, personer</w:t>
            </w:r>
            <w:r>
              <w:t xml:space="preserve"> med handicap, familier med enlige forsørgere, etniske minoriteter og </w:t>
            </w:r>
            <w:r>
              <w:t>migranter</w:t>
            </w:r>
            <w:r>
              <w:t xml:space="preserve"> er grupper, der er mere sårbare over for fattigdom og social udstødelse;</w:t>
            </w:r>
          </w:p>
        </w:tc>
        <w:tc>
          <w:tcPr>
            <w:tcW w:w="4876" w:type="dxa"/>
            <w:tcBorders>
              <w:top w:val="nil"/>
              <w:left w:val="nil"/>
              <w:bottom w:val="nil"/>
              <w:right w:val="nil"/>
            </w:tcBorders>
          </w:tcPr>
          <w:p>
            <w:pPr>
              <w:pStyle w:val="Normal6a"/>
            </w:pPr>
            <w:r>
              <w:t>13.</w:t>
            </w:r>
            <w:r>
              <w:tab/>
            </w:r>
            <w:r>
              <w:t xml:space="preserve">opfordrer Kommissionen og medlemsstaterne til at overveje de såkaldte skjulte fattigdomsfænomener, bekæmpe stigmatisering af personer, der lever i fattigdom, og </w:t>
            </w:r>
            <w:r>
              <w:t xml:space="preserve">til at anlægge en kønsorienteret og intersektionel tilgang inden for fattigdomsbekæmpelsesstrategierne, og i forbindelse hermed anerkende, </w:t>
            </w:r>
            <w:r>
              <w:t>at</w:t>
            </w:r>
            <w:r>
              <w:t xml:space="preserve"> </w:t>
            </w:r>
            <w:r>
              <w:t xml:space="preserve">ældre </w:t>
            </w:r>
            <w:r>
              <w:t xml:space="preserve">kvinder, kvinder </w:t>
            </w:r>
            <w:r>
              <w:t xml:space="preserve">med handicap, familier med enlige forsørgere, </w:t>
            </w:r>
            <w:r>
              <w:t xml:space="preserve">der fortrinsvist er kvinder, kvinder fra racedefinerede og </w:t>
            </w:r>
            <w:r>
              <w:t>etniske minoriteter</w:t>
            </w:r>
            <w:r>
              <w:t xml:space="preserve">, </w:t>
            </w:r>
            <w:r>
              <w:t>indvandrerkvinder,</w:t>
            </w:r>
            <w:r>
              <w:t xml:space="preserve"> ofre for kønsbaseret vold</w:t>
            </w:r>
            <w:r>
              <w:t xml:space="preserve"> og </w:t>
            </w:r>
            <w:r>
              <w:t>LGBTIQ+-personer</w:t>
            </w:r>
            <w:r>
              <w:t xml:space="preserve"> er grupper, der er mere sårbare over for fattigdom og social udstødelse </w:t>
            </w:r>
            <w:r>
              <w:t>end andre</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opfordrer Kommissionen til at fastsætte opdelte mål om at reducere fattigdommen blandt de mest marginaliserede kvinder i overensstemmelse med den europæiske søjle for sociale rettigheder og delmålene under verdensmålene for bæredygtig udvikling og til at føre tilsyn med fremskridtene via intersektionelle indikatorer;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påpeger, at fattigdom blandt kvinder skaber børnefattigdom, og at indsatsen heroverfor er afgørende for at kunne bryde fattigdomsspiralen mellem generationerne; opfordrer Kommissionen og medlemsstaterne til at tilskynde til indførelse eller styrkelse af universelle børneydelser som et vigtigt instrument til at reducere børnefattigdom, støtte familier og fremme en mere retfærdig fordeling af velstand, samtidig med at nationale kompetencer og sociale beskyttelsessystemer respekteres; opfordrer EU og medlemsstaterne til at overveje at opstille en specifik status for eneforsørgerfamilier, hvor forsørgeren i uforholdsmæssig grad er moderen, som ofte selv er mindreårig;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 xml:space="preserve">opfordrer Kommissionen og medlemsstaterne til at prioritere nedbringelse af børnefattigdom og bemærker, at ca. hvert fjerde barn i EU er i risiko for fattigdom eller social udstødelse; </w:t>
            </w:r>
            <w:r>
              <w:t>anerkender, at børnefattigdom er tæt forbundet med moderens økonomiske situation, og at hun ofte er i øget risiko for fattigdom på grund af kønsbestemte lønforskelle, usikre ansættelsesforhold og uforholdsmæssigt store passe- og plejeopgaver</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Statistics Explained, "Children at risk of poverty or social exclusion", Data tilgået 7.5.2025, https://ec.europa.eu/eurostat/statistics-explained/index.php?title=Children_at_risk_of_poverty_or_social_exclusion.</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anerkender EU's ansvar for at træde op imod og udrydde menneskehandel, som har en grænseoverskridende og kønsspecifik dimension, da kvinder, der lever i fattigdom, er i uforholdsmæssigt høj risiko for seksuel udnyttelse og udnyttelse af dem som arbejdskraft; henviser til, at udnyttelse af kvinders arbejdskraft kan tage form af for lange arbejdstider, usikre og usunde arbejdsmiljøer, nægtelse af arbejdstagerrettigheder såsom sygeorlov og retten til at organisere sig eller strejke, som i uforholdsmæssig høj grad påvirker kvindelige arbejdstagere i eksportorienterede sektorer;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13 e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13e.</w:t>
            </w:r>
            <w:r>
              <w:tab/>
            </w:r>
            <w:r>
              <w:rPr>
                <w:b/>
                <w:i/>
              </w:rPr>
              <w:t>understreger, at den aktuelle mangel på sikre og lovlige migrationsruter, i tilgift til den stadig strengere migrationspolitik, der bidrager til at skabe et Fæstning Europa, er en årsag til marginalisering og usikkerhed blandt indvandrere, især kvinder og børn; opfordrer Kommissionen og medlemsstaterne til at sørge for sikre og lovlige migrationsruter og for, at sociale tjenesteydelser stilles behørigt til rådighed for alle mennesker, herunder kvinder og børn, uanset deres migrationsstatus;</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anbefaler, at medlemsstaterne øger støtten til </w:t>
            </w:r>
            <w:r>
              <w:t>familier</w:t>
            </w:r>
            <w:r>
              <w:t xml:space="preserve"> og personer i sårbare situationer gennem støttetjenester for mental sundhed og psykosociale støttetjenester;</w:t>
            </w:r>
          </w:p>
        </w:tc>
        <w:tc>
          <w:tcPr>
            <w:tcW w:w="4876" w:type="dxa"/>
            <w:tcBorders>
              <w:top w:val="nil"/>
              <w:left w:val="nil"/>
              <w:bottom w:val="nil"/>
              <w:right w:val="nil"/>
            </w:tcBorders>
          </w:tcPr>
          <w:p>
            <w:pPr>
              <w:pStyle w:val="Normal6a"/>
            </w:pPr>
            <w:r>
              <w:t>14.</w:t>
            </w:r>
            <w:r>
              <w:tab/>
            </w:r>
            <w:r>
              <w:t xml:space="preserve">anbefaler, at medlemsstaterne øger støtten til </w:t>
            </w:r>
            <w:r>
              <w:t>familiers socioøkonomiske og følelsesmæssige velvære, navnlig enlige mødre,</w:t>
            </w:r>
            <w:r>
              <w:t xml:space="preserve"> og personer i sårbare situationer gennem støttetjenester for mental sundhed og psykosociale støttetjenester </w:t>
            </w:r>
            <w:r>
              <w:t>og ved at skabe mulighed for deltagelse i idrætsaktiviteter, kvalitetssikrede uddannelses- og læringsforløb og kulturelle og rekreative aktiviteter, idet det sikres, at disse tjenesteydelser er kønssensitive</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69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tilskynder til, at konferencen udtrykkeligt behandler kønsbestemte dimensioner af fattigdom, herunder menstruationsfattigdom;</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opfordrer Kommissionen til at nedsætte et udvalg af mennesker, der oplever fattigdom, bestående af mennesker, der oplever fattigdom, navnlig kvinder, LGBTQI+-personer og andre marginaliserede personer, og med mandat til at medvirke til udformningen, gennemførelsen og evalueringen af strategien; anerkender, at befolkningsgrupper, der er direkte berørt af fattigdom, er bedst stillet til at skulle influere de politikker, der påvirker deres dagligdag; opfordrer Kommissionen til at sikre, at mennesker, der oplever fattigdom, deltager på meningsgivende vis, herunder gennem passende finansiel kompensation og tilvejebringelse af de nødvendige støtteværktøjer såsom tolkning og tilgængelige formater;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17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opfordrer Kommissionen til at nedsætte en særlig arbejdsgruppe bestående af personer, der oplever fattigdom, akademikere, repræsentanter fra Eurostat, Agenturet for Grundlæggende Rettigheder, EIGE, medlemsstaternes statistikorganer, politiske beslutningstagere og civilsamfundsorganisationer samt fagfolk beskæftiget inden for væsentlige tjenester;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17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17c.</w:t>
            </w:r>
            <w:r>
              <w:tab/>
            </w:r>
            <w:r>
              <w:rPr>
                <w:b/>
                <w:i/>
              </w:rPr>
              <w:t>opfordrer indtrængende Kommissionen til at medtage et målrettet afsnit i strategien, der tilskynder medlemsstaterne til at ophæve love og administrative bestemmelser, der kriminaliserer overlevelsesaktiviteter i offentlige rum, herunder love rettet mod tiggeri, hjemløses ophold på gaden, uformelle økonomiske aktiviteter og andre former for forsørgelsesarbejde;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73</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opfordrer Det Europæiske Institut for Ligestilling mellem Mænd og Kvinder (EIGE) og EU's Agentur for Grundlæggende Rettigheder (FRA) til at lave EU-dækkende forskning i de tværgående aspekter af fattigdom;</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74</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18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opfordrer Kommissionen til at udvikle en intersektionel sporingsmetodologi for fattigdomsbekæmpelse og til at opstille opdelte mål med det mål at reducere fattigdom blandt de mest marginaliserede kvinder i overensstemmelse med den europæiske søjle for sociale rettigheder og delmålene under verdensmålene for bæredygtig udvikling;</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75</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18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18c.</w:t>
            </w:r>
            <w:r>
              <w:tab/>
            </w:r>
            <w:r>
              <w:rPr>
                <w:b/>
                <w:i/>
              </w:rPr>
              <w:t>understreger, at en effektiv gennemførelse og overvågning af strategien kræver systematisk indsamling og anvendelse af opdelte data; opfordrer Kommissionen til at genudstikke retningslinjer for indsamling af ligestillingsdata, således at medlemsstaterne bemyndiges til at indsamle opdelte data, herunder efter racemæssig eller etnisk oprindelse, køn, alder, handicap og migrationsstatus, i fuld overensstemmelse med grundlæggende rettigheder og databeskyttelsesstandarder, for nøjagtigt at indkredse og tage hånd om fattigdomslommer og udstødelse, afdække strukturelle uligheder og underbygge evidensbaserede politiske tiltag på alle forvaltningsniveauer;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76</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opfordrer Kommissionen til at indføre et horisontalt princip i strategien med fokus på at overveje sektorpolitikkernes indvirkning på fattigdom, herunder forpligtelsen til at foretage en forudgående konsekvensanalyse;</w:t>
            </w:r>
          </w:p>
        </w:tc>
        <w:tc>
          <w:tcPr>
            <w:tcW w:w="4876" w:type="dxa"/>
            <w:tcBorders>
              <w:top w:val="nil"/>
              <w:left w:val="nil"/>
              <w:bottom w:val="nil"/>
              <w:right w:val="nil"/>
            </w:tcBorders>
          </w:tcPr>
          <w:p>
            <w:pPr>
              <w:pStyle w:val="Normal6a"/>
            </w:pPr>
            <w:r>
              <w:t>20.</w:t>
            </w:r>
            <w:r>
              <w:tab/>
            </w:r>
            <w:r>
              <w:t>opfordrer Kommissionen til at indføre et horisontalt princip i strategien med fokus på at overveje sektorpolitikkernes indvirkning på fattigdom, herunder forpligtelsen til at foretage en forudgående konsekvensanalyse</w:t>
            </w:r>
            <w:r>
              <w:t>, idet</w:t>
            </w:r>
            <w:r>
              <w:t xml:space="preserve"> </w:t>
            </w:r>
            <w:r>
              <w:t>kvinders uforholdsmæssigt store sårbarhed over for fattigdom og regionale forskelle vies særlig opmærksomhed</w:t>
            </w:r>
            <w:r>
              <w:t>;</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77</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opfordrer Kommissionen til at medtage EU's Institut for Ligestilling mellem Mænd og Kvinders ligestillingsindeks i den sociale resultattavle;</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78</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opfordrer Kommissionen til at lægge pres på medlemsstaterne til at indføre retfærdig, omfordelende og progressiv beskatning, der sikrer, at de offentlige budgetter sættes i stand til at finansiere udryddelse af fattigdom og reduktion af uligheder og modvirke den ulige fordeling af velstand og ressourcer; understreger, at skattemæssig retfærdighed er afgørende for at opretholde den sociale samhørighed og principperne i den europæiske søjle for sociale rettigheder;</w:t>
            </w:r>
          </w:p>
        </w:tc>
      </w:tr>
    </w:tbl>
    <w:p>
      <w:r>
        <w:rPr>
          <w:rStyle w:val="HideTWBExt"/>
        </w:rPr>
        <w:t>&lt;/Amend&gt;</w:t>
      </w:r>
    </w:p>
    <w:p>
      <w:pPr>
        <w:pStyle w:val="AmNumberTabs"/>
      </w:pPr>
      <w:r>
        <w:rPr>
          <w:rStyle w:val="HideTWBExt"/>
        </w:rPr>
        <w:t>&lt;Amend&gt;</w:t>
      </w:r>
      <w:r>
        <w:t>Ændringsforslag</w:t>
      </w:r>
      <w:r>
        <w:tab/>
      </w:r>
      <w:r>
        <w:tab/>
      </w:r>
      <w:r>
        <w:rPr>
          <w:rStyle w:val="HideTWBExt"/>
        </w:rPr>
        <w:t>&lt;NumAm&gt;</w:t>
      </w:r>
      <w:r>
        <w:t>79</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opfordrer Kommissionen til at styrke processen for det europæiske semester ved at indføre mere robuste og kønsorienterede henstillinger i de landespecifikke henstillinger, som skal være mere vidtrækkende end de nuværende begrænsede indikatorer i den sociale resultattavle for bedre at fange uligheder mellem kønnene og tackle de strukturelle forbindelser mellem fattigdom og kønsbaseret vold;</w:t>
            </w:r>
          </w:p>
        </w:tc>
      </w:tr>
    </w:tbl>
    <w:p>
      <w:r>
        <w:rPr>
          <w:rStyle w:val="HideTWBExt"/>
        </w:rPr>
        <w:t>&lt;/Amend&gt;</w:t>
      </w:r>
    </w:p>
    <w:p>
      <w:pPr>
        <w:pStyle w:val="AmNumberTabs"/>
      </w:pPr>
      <w:r>
        <w:rPr>
          <w:rStyle w:val="HideTWBExt"/>
        </w:rPr>
        <w:t>&lt;Amend&gt;</w:t>
      </w:r>
      <w:r>
        <w:t>Ændringsforslag</w:t>
      </w:r>
      <w:r>
        <w:tab/>
      </w:r>
      <w:r>
        <w:tab/>
      </w:r>
      <w:r>
        <w:rPr>
          <w:rStyle w:val="HideTWBExt"/>
        </w:rPr>
        <w:t>&lt;NumAm&gt;</w:t>
      </w:r>
      <w:r>
        <w:t>80</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opfordrer til en styrkelse af den næste flerårige finansielle ramme (FFR) og bedre udnyttelse af ESF+, EFRU, Den Europæiske Fond for Bistand til de Socialt Dårligst Stillede og Asyl- og Migrationsfonden med henblik på at styrke politikker, der bidrager til at udrydde fattigdom;</w:t>
            </w:r>
          </w:p>
        </w:tc>
        <w:tc>
          <w:tcPr>
            <w:tcW w:w="4876" w:type="dxa"/>
            <w:tcBorders>
              <w:top w:val="nil"/>
              <w:left w:val="nil"/>
              <w:bottom w:val="nil"/>
              <w:right w:val="nil"/>
            </w:tcBorders>
          </w:tcPr>
          <w:p>
            <w:pPr>
              <w:pStyle w:val="Normal6a"/>
            </w:pPr>
            <w:r>
              <w:t>22.</w:t>
            </w:r>
            <w:r>
              <w:tab/>
            </w:r>
            <w:r>
              <w:t>opfordrer til en styrkelse af den næste flerårige finansielle ramme (FFR) og bedre udnyttelse af ESF+, EFRU, Den Europæiske Fond for Bistand til de Socialt Dårligst Stillede og Asyl- og Migrationsfonden med henblik på at styrke politikker, der bidrager til at udrydde fattigdom;</w:t>
            </w:r>
            <w:r>
              <w:rPr>
                <w:b/>
                <w:i/>
              </w:rPr>
              <w:t xml:space="preserve"> understreger, at ESF+ bør opretholdes som en separat fond i FFR efter 2027, da fonden er af central betydning for at kunne forbedre tilgængelige, økonomisk overkommelige og tilpasningsdygtige sociale tjenester for alle sårbare grupper, især kvinder og piger med handicap;</w:t>
            </w:r>
          </w:p>
        </w:tc>
      </w:tr>
    </w:tbl>
    <w:p>
      <w:r>
        <w:rPr>
          <w:rStyle w:val="HideTWBExt"/>
        </w:rPr>
        <w:t>&lt;/Amend&gt;</w:t>
      </w:r>
    </w:p>
    <w:p>
      <w:pPr>
        <w:pStyle w:val="AmNumberTabs"/>
      </w:pPr>
      <w:r>
        <w:rPr>
          <w:rStyle w:val="HideTWBExt"/>
        </w:rPr>
        <w:t>&lt;Amend&gt;</w:t>
      </w:r>
      <w:r>
        <w:t>Ændringsforslag</w:t>
      </w:r>
      <w:r>
        <w:tab/>
      </w:r>
      <w:r>
        <w:tab/>
      </w:r>
      <w:r>
        <w:rPr>
          <w:rStyle w:val="HideTWBExt"/>
        </w:rPr>
        <w:t>&lt;NumAm&gt;</w:t>
      </w:r>
      <w:r>
        <w:t>81</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understreger, at Unionen som en forpligtelse, der følger af FN's handicapkonvention, skal integrere støttetiltag for sårbare grupper med højere risiko for fattigdom, såsom personer med handicap, i alle programmer i FFR efter 2027; finder det afgørende at sikre, at personer med handicap, navnlig kvinder og piger, har ret og rimelig adgang til alle programmer, som støttes økonomisk af EU, i overensstemmelse med strategien for rettigheder for personer med handicap 2021-2030; opfordrer indtrængende Kommissionen til at udvikle en metodologi for tilsyn med udgifter til gavn for personer med handicap, navnlig kvinder og piger, og til at kontrollere, at alle programmer og EU-finansierede projekter garanterer lige muligheder uanset køn og adgang til EU-finansiering for personer med handicap;</w:t>
            </w:r>
          </w:p>
        </w:tc>
      </w:tr>
    </w:tbl>
    <w:p>
      <w:r>
        <w:rPr>
          <w:rStyle w:val="HideTWBExt"/>
        </w:rPr>
        <w:t>&lt;/Amend&gt;</w:t>
      </w:r>
    </w:p>
    <w:p>
      <w:pPr>
        <w:pStyle w:val="AmNumberTabs"/>
      </w:pPr>
      <w:r>
        <w:rPr>
          <w:rStyle w:val="HideTWBExt"/>
        </w:rPr>
        <w:t>&lt;Amend&gt;</w:t>
      </w:r>
      <w:r>
        <w:t>Ændringsforslag</w:t>
      </w:r>
      <w:r>
        <w:tab/>
      </w:r>
      <w:r>
        <w:tab/>
      </w:r>
      <w:r>
        <w:rPr>
          <w:rStyle w:val="HideTWBExt"/>
        </w:rPr>
        <w:t>&lt;NumAm&gt;</w:t>
      </w:r>
      <w:r>
        <w:t>82</w:t>
      </w:r>
      <w:r>
        <w:rPr>
          <w:rStyle w:val="HideTWBExt"/>
        </w:rPr>
        <w:t>&lt;/NumAm&gt;</w:t>
      </w:r>
    </w:p>
    <w:p>
      <w:pPr>
        <w:pStyle w:val="NormalBold12b"/>
      </w:pPr>
      <w:r>
        <w:rPr>
          <w:rStyle w:val="HideTWBExt"/>
        </w:rPr>
        <w:t>&lt;DocAmend&gt;</w:t>
      </w:r>
      <w:r>
        <w:t>Forslag til beslutning</w:t>
      </w:r>
      <w:r>
        <w:rPr>
          <w:rStyle w:val="HideTWBExt"/>
        </w:rPr>
        <w:t>&lt;/DocAmend&gt;</w:t>
      </w:r>
    </w:p>
    <w:p>
      <w:pPr>
        <w:pStyle w:val="NormalBold"/>
      </w:pPr>
      <w:r>
        <w:rPr>
          <w:rStyle w:val="HideTWBExt"/>
        </w:rPr>
        <w:t>&lt;Article&gt;</w:t>
      </w:r>
      <w:r>
        <w:t>Punkt 22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understreger behovet for kønsbudgettering og kønsopdelte data i udformning og gennemførelse af og opfølgning på den nye EU-strategi for bekæmpelse af fattigdom; opfordrer Kommissionen til at udvikle specifikke indikatorer til at føre tilsyn med adgang til menstruationsprodukter og SRSR-tjenester og til at sikre, at EU-midler påviseligt reducerer de kønsbestemte dimensioner af fattigdom;</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BILAG: ERKLÆRING OM INPUT</w:t>
      </w:r>
    </w:p>
    <w:p>
      <w:pPr>
        <w:pStyle w:val="Normal12a"/>
      </w:pPr>
      <w:r>
        <w:rPr>
          <w:rStyle w:val="HideTWBExt"/>
        </w:rPr>
        <w:t>&lt;FootprintIntro&gt;</w:t>
      </w:r>
      <w:r>
        <w:rPr>
          <w:rStyle w:val="HideTWBExt"/>
        </w:rPr>
        <w:t>&lt;/FootprintIntro&gt;</w:t>
      </w:r>
    </w:p>
    <w:p>
      <w:pPr>
        <w:pStyle w:val="Normal12a"/>
      </w:pPr>
      <w:r>
        <w:t>I henhold til artikel 8 i bilag I til forretningsordenen erklærer ordføreren, at han i sin betænkning har medtaget input om forhold, der vedrører sagens emne, som han har modtaget som led i udarbejdelsen af udkastet til betænkning fra følgende interesserepræsentanter, der er omfattet af anvendelsesområdet for den interinstitutionelle aftale om et obligatorisk åbenhedsregister</w:t>
      </w:r>
      <w:r>
        <w:rPr>
          <w:rStyle w:val="FootnoteReference"/>
        </w:rPr>
        <w:footnoteReference w:customMarkFollows="1" w:id="2"/>
        <w:t xml:space="preserve">1</w:t>
      </w:r>
      <w:r>
        <w:t>, eller fra følgende repræsentanter for offentlige myndigheder i tredjelande, herunder deres diplomatiske missioner og ambassader: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908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9080" w:type="dxa"/>
          </w:tcPr>
          <w:p>
            <w:pPr>
              <w:jc w:val="center"/>
            </w:pPr>
            <w:r>
              <w:rPr>
                <w:b/>
              </w:rPr>
              <w:t>1 Interesserepræsentanter, der er omfattet af anvendelsesområdet for den interinstitutionelle aftale om et obligatorisk åbenhedsregister</w:t>
            </w:r>
          </w:p>
        </w:tc>
      </w:tr>
      <w:tr>
        <w:tblPrEx>
          <w:tblW w:w="0" w:type="auto"/>
          <w:tblLayout w:type="fixed"/>
          <w:tblCellMar>
            <w:left w:w="140" w:type="dxa"/>
            <w:right w:w="140" w:type="dxa"/>
          </w:tblCellMar>
        </w:tblPrEx>
        <w:tc>
          <w:tcPr>
            <w:tcW w:w="9080" w:type="dxa"/>
          </w:tcPr>
          <w:p>
            <w:r>
              <w:t>Make Mothers Matter (MMM)</w:t>
            </w:r>
          </w:p>
        </w:tc>
      </w:tr>
      <w:tr>
        <w:tblPrEx>
          <w:tblW w:w="0" w:type="auto"/>
          <w:tblLayout w:type="fixed"/>
          <w:tblCellMar>
            <w:left w:w="140" w:type="dxa"/>
            <w:right w:w="140" w:type="dxa"/>
          </w:tblCellMar>
        </w:tblPrEx>
        <w:tc>
          <w:tcPr>
            <w:tcW w:w="9080" w:type="dxa"/>
          </w:tcPr>
          <w:p>
            <w:r>
              <w:rPr>
                <w:b/>
              </w:rPr>
              <w:t>2. Repræsentanter for offentlige myndigheder i tredjelande, herunder deres diplomatiske missioner og ambassader</w:t>
            </w:r>
          </w:p>
        </w:tc>
      </w:tr>
    </w:tbl>
    <w:p/>
    <w:p>
      <w:pPr>
        <w:pStyle w:val="Normal12a"/>
      </w:pPr>
      <w:r>
        <w:t>Ordførerne for udtalelsen har udarbejdet ovenstående liste på eget ansvar.</w:t>
      </w:r>
    </w:p>
    <w:p>
      <w:pPr>
        <w:pStyle w:val="Normal12a"/>
      </w:pPr>
      <w:r>
        <w:t>Når fysiske personer er identificeret på listen ved deres navn, deres funktion eller begge, erklærer ordføreren at have forelagt de pågældende fysiske personer Europa-Parlamentets databeskyttelsesmeddelelse nr. 484 (</w:t>
      </w:r>
      <w:hyperlink r:id="rId9" w:tgtFrame="https://www.europarl.europa.eu/data-protect/index.do" w:history="1">
        <w:r>
          <w:rPr>
            <w:rStyle w:val="Hyperlink"/>
          </w:rPr>
          <w:t>https://www.europarl.europa.eu/data-protect/index.do</w:t>
        </w:r>
      </w:hyperlink>
      <w:r>
        <w:t>), hvori de gældende betingelser for behandling af deres personoplysninger og rettighederne forbundet med denne behandling er fastlagt.</w:t>
      </w:r>
    </w:p>
    <w:p>
      <w:pPr>
        <w:sectPr>
          <w:footnotePr>
            <w:numRestart w:val="eachSect"/>
          </w:footnotePr>
          <w:type w:val="nextPage"/>
          <w:pgSz w:w="11909" w:h="16834"/>
          <w:pgMar w:top="1134" w:right="1417" w:bottom="1417" w:left="1417" w:header="1134" w:footer="567"/>
          <w:cols w:space="720"/>
        </w:sectPr>
      </w:pPr>
    </w:p>
    <w:p>
      <w:pPr>
        <w:pStyle w:val="PageHeading"/>
      </w:pPr>
      <w:r>
        <w:t>OPLYSNINGER OM VEDTAGELSE I RÅDGIVENDE UDVALG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Dato for vedtagelse</w:t>
            </w:r>
          </w:p>
        </w:tc>
        <w:tc>
          <w:tcPr>
            <w:tcW w:w="6400" w:type="dxa"/>
            <w:tcBorders>
              <w:left w:val="dotted" w:sz="4" w:space="0" w:color="auto"/>
            </w:tcBorders>
          </w:tcPr>
          <w:p>
            <w:pPr>
              <w:pStyle w:val="ProcedureTable"/>
            </w:pPr>
            <w:r>
              <w:t>13.10.2025</w:t>
            </w:r>
          </w:p>
        </w:tc>
      </w:tr>
      <w:tr>
        <w:tblPrEx>
          <w:tblW w:w="0" w:type="auto"/>
          <w:tblLayout w:type="fixed"/>
          <w:tblCellMar>
            <w:left w:w="140" w:type="dxa"/>
            <w:right w:w="140" w:type="dxa"/>
          </w:tblCellMar>
        </w:tblPrEx>
        <w:tc>
          <w:tcPr>
            <w:tcW w:w="3600" w:type="dxa"/>
          </w:tcPr>
          <w:p>
            <w:pPr>
              <w:pStyle w:val="ProcedureTableBold"/>
            </w:pPr>
            <w:r>
              <w:t>Resultat af den endelige afstemning</w:t>
            </w:r>
          </w:p>
        </w:tc>
        <w:tc>
          <w:tcPr>
            <w:tcW w:w="6400" w:type="dxa"/>
            <w:tcBorders>
              <w:left w:val="dotted" w:sz="4" w:space="0" w:color="auto"/>
            </w:tcBorders>
          </w:tcPr>
          <w:p>
            <w:r>
              <w:t>+</w:t>
            </w:r>
            <w:r>
              <w:tab/>
            </w:r>
            <w:r>
              <w:t>:</w:t>
            </w:r>
            <w:r>
              <w:tab/>
            </w:r>
            <w:r>
              <w:t>26</w:t>
            </w:r>
          </w:p>
          <w:p>
            <w:r>
              <w:t>-</w:t>
            </w:r>
            <w:r>
              <w:tab/>
            </w:r>
            <w:r>
              <w:t>:</w:t>
            </w:r>
            <w:r>
              <w:tab/>
            </w:r>
            <w:r>
              <w:t>8</w:t>
            </w:r>
          </w:p>
          <w:p>
            <w:r>
              <w:t>0</w:t>
            </w:r>
            <w:r>
              <w:tab/>
            </w:r>
            <w:r>
              <w:t>:</w:t>
            </w:r>
            <w:r>
              <w:tab/>
            </w:r>
            <w:r>
              <w:t>0</w:t>
            </w:r>
          </w:p>
        </w:tc>
      </w:tr>
      <w:tr>
        <w:tblPrEx>
          <w:tblW w:w="0" w:type="auto"/>
          <w:tblLayout w:type="fixed"/>
          <w:tblCellMar>
            <w:left w:w="140" w:type="dxa"/>
            <w:right w:w="140" w:type="dxa"/>
          </w:tblCellMar>
        </w:tblPrEx>
        <w:tc>
          <w:tcPr>
            <w:tcW w:w="3600" w:type="dxa"/>
          </w:tcPr>
          <w:p>
            <w:pPr>
              <w:pStyle w:val="ProcedureTableBold"/>
            </w:pPr>
            <w:r>
              <w:t>Til stede ved den endelige afstemning - medlemmer</w:t>
            </w:r>
          </w:p>
        </w:tc>
        <w:tc>
          <w:tcPr>
            <w:tcW w:w="6400" w:type="dxa"/>
            <w:tcBorders>
              <w:left w:val="dotted" w:sz="4" w:space="0" w:color="auto"/>
            </w:tcBorders>
          </w:tcPr>
          <w:p>
            <w:pPr>
              <w:pStyle w:val="ProcedureTable"/>
            </w:pPr>
            <w:r>
              <w:t>Margarita de la Pisa Carrión, Valérie Devaux, Heléne Fritzon, Lina Gálvez, Alexandra Geese, Chiara Gemma, Fernand Kartheiser, Arba Kokalari, Elena Kountoura, Sebastian Kruis, Judita Laššáková, Eleonora Meleti, Carolina Morace, Maria Noichl, Sirpa Pietikäinen, Giusi Princi, Emma Rafowicz, Joanna Scheuring-Wielgus, Benedetta Scuderi, Laurence Trochu, Marko Vešligaj, Maria Walsh, Lucia Yar</w:t>
            </w:r>
          </w:p>
        </w:tc>
      </w:tr>
      <w:tr>
        <w:tblPrEx>
          <w:tblW w:w="0" w:type="auto"/>
          <w:tblLayout w:type="fixed"/>
          <w:tblCellMar>
            <w:left w:w="140" w:type="dxa"/>
            <w:right w:w="140" w:type="dxa"/>
          </w:tblCellMar>
        </w:tblPrEx>
        <w:tc>
          <w:tcPr>
            <w:tcW w:w="3600" w:type="dxa"/>
          </w:tcPr>
          <w:p>
            <w:pPr>
              <w:pStyle w:val="ProcedureTableBold"/>
            </w:pPr>
            <w:r>
              <w:t>Til stede ved den endelige afstemning - stedfortrædere</w:t>
            </w:r>
          </w:p>
        </w:tc>
        <w:tc>
          <w:tcPr>
            <w:tcW w:w="6400" w:type="dxa"/>
            <w:tcBorders>
              <w:left w:val="dotted" w:sz="4" w:space="0" w:color="auto"/>
            </w:tcBorders>
          </w:tcPr>
          <w:p>
            <w:pPr>
              <w:pStyle w:val="ProcedureTable"/>
            </w:pPr>
            <w:r>
              <w:t>Christine Anderson, Veronika Cifrová Ostrihoňová, Paulo Do Nascimento Cabral, Elisabeth Grossmann, Billy Kelleher, Katrin Langensiepen, Manuela Ripa, Beatrice Timgren, Marianne Vind</w:t>
            </w:r>
          </w:p>
        </w:tc>
      </w:tr>
      <w:tr>
        <w:tblPrEx>
          <w:tblW w:w="0" w:type="auto"/>
          <w:tblLayout w:type="fixed"/>
          <w:tblCellMar>
            <w:left w:w="140" w:type="dxa"/>
            <w:right w:w="140" w:type="dxa"/>
          </w:tblCellMar>
        </w:tblPrEx>
        <w:tc>
          <w:tcPr>
            <w:tcW w:w="3600" w:type="dxa"/>
          </w:tcPr>
          <w:p>
            <w:pPr>
              <w:pStyle w:val="ProcedureTableBold"/>
            </w:pPr>
            <w:r>
              <w:t>Til stede ved den endelige afstemning – medlemmer som omhandlet i forretningsordenens art. 216, stk. 7</w:t>
            </w:r>
          </w:p>
        </w:tc>
        <w:tc>
          <w:tcPr>
            <w:tcW w:w="6400" w:type="dxa"/>
            <w:tcBorders>
              <w:left w:val="dotted" w:sz="4" w:space="0" w:color="auto"/>
            </w:tcBorders>
          </w:tcPr>
          <w:p>
            <w:pPr>
              <w:pStyle w:val="ProcedureTable"/>
            </w:pPr>
            <w:r>
              <w:t>Peter Agius, Daniel Caspary</w:t>
            </w:r>
          </w:p>
        </w:tc>
      </w:tr>
    </w:tbl>
    <w:p>
      <w:pPr>
        <w:sectPr>
          <w:type w:val="nextPage"/>
          <w:pgSz w:w="11909" w:h="16834"/>
          <w:pgMar w:top="1134" w:right="1417" w:bottom="1417" w:left="1417" w:header="1134" w:footer="567"/>
          <w:cols w:space="720"/>
        </w:sectPr>
      </w:pPr>
    </w:p>
    <w:p>
      <w:pPr>
        <w:pStyle w:val="PageHeading"/>
      </w:pPr>
      <w:r>
        <w:t>ENDELIG AFSTEMNING VED NAVNEOPRÅB I RÅDGIVENDE UDVALG</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26</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Agius Peter, Caspary Daniel, Do Nascimento Cabral Paulo, Kokalari Arba, Meleti Eleonora, Pietikäinen Sirpa, Princi Giusi, Ripa Manuela, Walsh Maria</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Cifrová Ostrihonová Veronika, Devaux Valérie, Kelleher Billy, Yar Lucia</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Fritzon Heléne, Gálvez Lina, Grossmann Elisabeth, Noichl Maria, Rafowicz Emma, Scheuring-Wielgus Joanna, Vesligaj Marko, Vind Marianne</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Kountoura Elena, Morace Carolina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Geese Alexandra, Langensiepen Katrin, Scuderi Benedetta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8</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Gemma Chiara, Timgren Beatrice, Trochu Laurence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Anderson Christine</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Kartheiser Fernand, 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Kruis Sebastian, de la Pisa Carrión Margarita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0</w:t>
            </w:r>
          </w:p>
        </w:tc>
        <w:tc>
          <w:tcPr>
            <w:tcW w:w="7600" w:type="dxa"/>
            <w:shd w:val="clear" w:color="auto" w:fill="C0C0C0"/>
          </w:tcPr>
          <w:p>
            <w:pPr>
              <w:pStyle w:val="Arial14CentreBold"/>
            </w:pPr>
            <w:r>
              <w:t>0</w:t>
            </w:r>
          </w:p>
        </w:tc>
      </w:tr>
    </w:tbl>
    <w:p/>
    <w:p>
      <w:r>
        <w:t>Tegnforklaring:</w:t>
      </w:r>
    </w:p>
    <w:p>
      <w:pPr>
        <w:pStyle w:val="NormalTab"/>
      </w:pPr>
      <w:r>
        <w:t>+</w:t>
      </w:r>
      <w:r>
        <w:t xml:space="preserve">  :  </w:t>
      </w:r>
      <w:r>
        <w:t>for</w:t>
      </w:r>
    </w:p>
    <w:p>
      <w:pPr>
        <w:pStyle w:val="NormalTab"/>
      </w:pPr>
      <w:r>
        <w:t>-</w:t>
      </w:r>
      <w:r>
        <w:t xml:space="preserve">  :  </w:t>
      </w:r>
      <w:r>
        <w:t>imod</w:t>
      </w:r>
    </w:p>
    <w:p>
      <w:pPr>
        <w:pStyle w:val="NormalTab"/>
      </w:pPr>
      <w:r>
        <w:t>0</w:t>
      </w:r>
      <w:r>
        <w:t xml:space="preserve">  :  </w:t>
      </w:r>
      <w:r>
        <w:t>hverken/eller</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774.456</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54</w:t>
    </w:r>
    <w:r>
      <w:fldChar w:fldCharType="end"/>
    </w:r>
    <w:r>
      <w:t>/</w:t>
    </w:r>
    <w:r>
      <w:fldChar w:fldCharType="begin"/>
    </w:r>
    <w:r>
      <w:instrText xml:space="preserve"> NUMPAGES </w:instrText>
    </w:r>
    <w:r>
      <w:fldChar w:fldCharType="separate"/>
    </w:r>
    <w:r>
      <w:t>55</w:t>
    </w:r>
    <w:r>
      <w:fldChar w:fldCharType="end"/>
    </w:r>
    <w:r>
      <w:tab/>
    </w:r>
    <w:r>
      <w:rPr>
        <w:rStyle w:val="HideTWBExt"/>
      </w:rPr>
      <w:t>&lt;PathFdR&gt;</w:t>
    </w:r>
    <w:r>
      <w:t>AD\1326834DA.docx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AD\1326834DA.docx</w:t>
    </w:r>
    <w:r>
      <w:rPr>
        <w:rStyle w:val="HideTWBExt"/>
      </w:rPr>
      <w:t>&lt;/PathFdR&gt;</w:t>
    </w:r>
    <w:r>
      <w:tab/>
    </w:r>
    <w:r>
      <w:fldChar w:fldCharType="begin"/>
    </w:r>
    <w:r>
      <w:instrText xml:space="preserve"> PAGE </w:instrText>
    </w:r>
    <w:r>
      <w:fldChar w:fldCharType="separate"/>
    </w:r>
    <w:r>
      <w:t>55</w:t>
    </w:r>
    <w:r>
      <w:fldChar w:fldCharType="end"/>
    </w:r>
    <w:r>
      <w:t>/</w:t>
    </w:r>
    <w:r>
      <w:fldChar w:fldCharType="begin"/>
    </w:r>
    <w:r>
      <w:instrText xml:space="preserve"> NUMPAGES </w:instrText>
    </w:r>
    <w:r>
      <w:fldChar w:fldCharType="separate"/>
    </w:r>
    <w:r>
      <w:t>55</w:t>
    </w:r>
    <w:r>
      <w:fldChar w:fldCharType="end"/>
    </w:r>
    <w:r>
      <w:tab/>
    </w:r>
    <w:r>
      <w:t>PE</w:t>
    </w:r>
    <w:r>
      <w:rPr>
        <w:rStyle w:val="HideTWBExt"/>
      </w:rPr>
      <w:t>&lt;NoPE&gt;</w:t>
    </w:r>
    <w:r>
      <w:t>774.456</w:t>
    </w:r>
    <w:r>
      <w:rPr>
        <w:rStyle w:val="HideTWBExt"/>
      </w:rPr>
      <w:t>&lt;/NoPE&gt;</w:t>
    </w:r>
    <w:r>
      <w:rPr>
        <w:rStyle w:val="HideTWBExt"/>
      </w:rPr>
      <w:t>&lt;Version&gt;</w:t>
    </w:r>
    <w:r>
      <w:t>v02-00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AD\1326834DA.docx</w:t>
    </w:r>
    <w:r>
      <w:rPr>
        <w:rStyle w:val="HideTWBExt"/>
      </w:rPr>
      <w:t>&lt;/PathFdR&gt;</w:t>
    </w:r>
    <w:r>
      <w:tab/>
    </w:r>
    <w:r>
      <w:tab/>
    </w:r>
    <w:r>
      <w:t>PE</w:t>
    </w:r>
    <w:r>
      <w:rPr>
        <w:rStyle w:val="HideTWBExt"/>
      </w:rPr>
      <w:t>&lt;NoPE&gt;</w:t>
    </w:r>
    <w:r>
      <w:t>774.456</w:t>
    </w:r>
    <w:r>
      <w:rPr>
        <w:rStyle w:val="HideTWBExt"/>
      </w:rPr>
      <w:t>&lt;/NoPE&gt;</w:t>
    </w:r>
    <w:r>
      <w:rPr>
        <w:rStyle w:val="HideTWBExt"/>
      </w:rPr>
      <w:t>&lt;Version&gt;</w:t>
    </w:r>
    <w:r>
      <w:t>v02-00</w:t>
    </w:r>
    <w:r>
      <w:rPr>
        <w:rStyle w:val="HideTWBExt"/>
      </w:rPr>
      <w:t>&lt;/Version&gt;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Interinstitutionel aftale af 20. maj 2021 mellem Europa-Parlamentet, Rådet for Den Europæiske Union og Europa-Kommissionen om et obligatorisk åbenhedsregister (EUT L 207 af 11.6.2021, s. 1, ELI: http://data.europa.eu/eli/agree_interinstit/2021/611/oj).</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customStyle="1" w:styleId="NormalBold">
    <w:name w:val="NormalBold"/>
    <w:basedOn w:val="Normal"/>
    <w:pPr>
      <w:widowControl/>
    </w:pPr>
    <w:rPr>
      <w:b/>
    </w:r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NormalBold12b">
    <w:name w:val="NormalBold12b"/>
    <w:basedOn w:val="Normal"/>
    <w:pPr>
      <w:widowControl/>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s://www.europarl.europa.eu/data-protect/index.d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55</Pages>
  <Words>9833</Words>
  <Characters>66320</Characters>
  <Application>Microsoft Office Word</Application>
  <DocSecurity>0</DocSecurity>
  <Lines>1</Lines>
  <Paragraphs>625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1326834</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274483</vt:lpwstr>
  </property>
  <property fmtid="{D5CDD505-2E9C-101B-9397-08002B2CF9AE}" pid="7" name="dmxml.render.traceId">
    <vt:lpwstr>6903469bceea820f3497f29a21711d80</vt:lpwstr>
  </property>
  <property fmtid="{D5CDD505-2E9C-101B-9397-08002B2CF9AE}" pid="8" name="FooterPath">
    <vt:lpwstr>AD\1326834DA.doc</vt:lpwstr>
  </property>
  <property fmtid="{D5CDD505-2E9C-101B-9397-08002B2CF9AE}" pid="9" name="PE Number">
    <vt:lpwstr>774.456</vt:lpwstr>
  </property>
  <property fmtid="{D5CDD505-2E9C-101B-9397-08002B2CF9AE}" pid="10" name="UID">
    <vt:lpwstr>eu.europa.europarl-DIN1-2025-0000157637_01.08-da-01.00_text-xml</vt:lpwstr>
  </property>
</Properties>
</file>