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Moterų teisių ir lyčių lygybės komitetas</w:t>
      </w:r>
      <w:r>
        <w:rPr>
          <w:rStyle w:val="HideTWBExt"/>
        </w:rPr>
        <w:t>&lt;/Commission&gt;</w:t>
      </w:r>
    </w:p>
    <w:p>
      <w:pPr>
        <w:pStyle w:val="LineBottom"/>
      </w:pPr>
      <w:r>
        <w:t xml:space="preserve"> </w:t>
      </w:r>
    </w:p>
    <w:p>
      <w:pPr>
        <w:pStyle w:val="CoverReference"/>
      </w:pPr>
      <w:r>
        <w:rPr>
          <w:rStyle w:val="HideTWBExt"/>
        </w:rPr>
        <w:t>&lt;RefProc&gt;</w:t>
      </w:r>
      <w:r>
        <w:t>2025/2095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{17/10/2025}</w:t>
      </w:r>
      <w:r>
        <w:t>17.10.2025</w:t>
      </w:r>
      <w:r>
        <w:rPr>
          <w:rStyle w:val="HideTWBExt"/>
        </w:rPr>
        <w:t>&lt;/Date&gt;</w:t>
      </w:r>
    </w:p>
    <w:p>
      <w:pPr>
        <w:pStyle w:val="CoverDocType24a"/>
      </w:pPr>
      <w:r>
        <w:rPr>
          <w:rStyle w:val="HideTWBExt"/>
        </w:rPr>
        <w:t>&lt;TitreType&gt;</w:t>
      </w:r>
      <w:r>
        <w:t>NUOMONĖ</w:t>
      </w:r>
      <w:r>
        <w:rPr>
          <w:rStyle w:val="HideTWBExt"/>
        </w:rPr>
        <w:t>&lt;/TitreType&gt;</w:t>
      </w:r>
    </w:p>
    <w:p>
      <w:pPr>
        <w:pStyle w:val="CoverNormal24a"/>
      </w:pPr>
      <w:r>
        <w:rPr>
          <w:rStyle w:val="HideTWBExt"/>
        </w:rPr>
        <w:t>&lt;CommissionResp&gt;</w:t>
      </w:r>
      <w:r>
        <w:t>Moterų teisių ir lyčių lygybės komiteto</w:t>
      </w:r>
      <w:r>
        <w:rPr>
          <w:rStyle w:val="HideTWBExt"/>
        </w:rPr>
        <w:t>&lt;/CommissionResp&gt;</w:t>
      </w:r>
    </w:p>
    <w:p>
      <w:pPr>
        <w:pStyle w:val="CoverNormal24a"/>
      </w:pPr>
      <w:r>
        <w:rPr>
          <w:rStyle w:val="HideTWBExt"/>
        </w:rPr>
        <w:t>&lt;CommissionInt&gt;</w:t>
      </w:r>
      <w:r>
        <w:t>pateikta Užimtumo ir socialinių reikalų komitetui</w:t>
      </w:r>
      <w:r>
        <w:rPr>
          <w:rStyle w:val="HideTWBExt"/>
        </w:rPr>
        <w:t>&lt;/CommissionInt&gt;</w:t>
      </w:r>
    </w:p>
    <w:p>
      <w:pPr>
        <w:pStyle w:val="CoverNormal"/>
      </w:pPr>
      <w:r>
        <w:rPr>
          <w:rStyle w:val="HideTWBExt"/>
        </w:rPr>
        <w:t>&lt;Titre&gt;</w:t>
      </w:r>
      <w:r>
        <w:t>Naujos ES kovos su skurdu strategijos kūrimas</w:t>
      </w:r>
      <w:r>
        <w:rPr>
          <w:rStyle w:val="HideTWBExt"/>
        </w:rPr>
        <w:t>&lt;/Titre&gt;</w:t>
      </w:r>
    </w:p>
    <w:p>
      <w:pPr>
        <w:pStyle w:val="CoverNormal24a"/>
      </w:pPr>
      <w:r>
        <w:rPr>
          <w:rStyle w:val="HideTWBExt"/>
        </w:rPr>
        <w:t>&lt;DocRef&gt;</w:t>
      </w:r>
      <w:r>
        <w:t>(2025/2095(INI))</w:t>
      </w:r>
      <w:r>
        <w:rPr>
          <w:rStyle w:val="HideTWBExt"/>
        </w:rPr>
        <w:t>&lt;/DocRef&gt;</w:t>
      </w:r>
    </w:p>
    <w:p>
      <w:pPr>
        <w:pStyle w:val="CoverNormal24a"/>
      </w:pPr>
      <w:r>
        <w:t>Nuomonės referentė</w:t>
      </w:r>
      <w:r>
        <w:t xml:space="preserve">: </w:t>
      </w:r>
      <w:r>
        <w:rPr>
          <w:rStyle w:val="HideTWBExt"/>
        </w:rPr>
        <w:t>&lt;Depute&gt;</w:t>
      </w:r>
      <w:r>
        <w:t>Lina Gálvez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PAKEITIMAI</w:t>
      </w:r>
    </w:p>
    <w:p>
      <w:pPr>
        <w:pStyle w:val="Normal12a"/>
      </w:pPr>
      <w:r>
        <w:t>Moterų teisių ir lyčių lygybės komitetas</w:t>
      </w:r>
      <w:r>
        <w:t xml:space="preserve"> </w:t>
      </w:r>
      <w:r>
        <w:t>teikia atsakingam Užimtumo ir socialinių reikalų komitetui toliau pateikiamą tekstą</w:t>
      </w:r>
      <w:r>
        <w:t>:</w:t>
      </w:r>
    </w:p>
    <w:p>
      <w:pPr>
        <w:pStyle w:val="AmNumberTabs"/>
      </w:pPr>
      <w:r>
        <w:rPr>
          <w:rStyle w:val="HideTWBExt"/>
        </w:rPr>
        <w:t>&lt;RepeatBlock-Amend&gt;</w:t>
      </w:r>
      <w:r>
        <w:rPr>
          <w:rStyle w:val="HideTWBExt"/>
        </w:rPr>
        <w:t>&lt;Amend&gt;</w:t>
      </w:r>
      <w:r>
        <w:t>Pakeitimas</w:t>
      </w:r>
      <w:r>
        <w:tab/>
      </w:r>
      <w:r>
        <w:tab/>
      </w:r>
      <w:r>
        <w:rPr>
          <w:rStyle w:val="HideTWBExt"/>
        </w:rPr>
        <w:t>&lt;NumAm&gt;</w:t>
      </w:r>
      <w:r>
        <w:t>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Europos Sąjungos sutarties 2 straipsnį ir 3 straipsnio 3 dalį,</w:t>
            </w:r>
          </w:p>
        </w:tc>
      </w:tr>
    </w:tbl>
    <w:p>
      <w:r>
        <w:rPr>
          <w:rStyle w:val="HideTWBExt"/>
        </w:rPr>
        <w:t>&lt;/Amend&gt;</w:t>
      </w:r>
    </w:p>
    <w:p>
      <w:pPr>
        <w:pStyle w:val="AmNumberTabs"/>
      </w:pPr>
      <w:r>
        <w:rPr>
          <w:rStyle w:val="HideTWBExt"/>
        </w:rPr>
        <w:t>&lt;Amend&gt;</w:t>
      </w:r>
      <w:r>
        <w:t>Pakeitimas</w:t>
      </w:r>
      <w:r>
        <w:tab/>
      </w:r>
      <w:r>
        <w:tab/>
      </w:r>
      <w:r>
        <w:rPr>
          <w:rStyle w:val="HideTWBExt"/>
        </w:rPr>
        <w:t>&lt;NumAm&gt;</w:t>
      </w:r>
      <w:r>
        <w:t>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Sutarties dėl Europos Sąjungos veikimo 8, 9, 151, 153 ir 157 straipsnius,</w:t>
            </w:r>
          </w:p>
        </w:tc>
      </w:tr>
    </w:tbl>
    <w:p>
      <w:r>
        <w:rPr>
          <w:rStyle w:val="HideTWBExt"/>
        </w:rPr>
        <w:t>&lt;/Amend&gt;</w:t>
      </w:r>
    </w:p>
    <w:p>
      <w:pPr>
        <w:pStyle w:val="AmNumberTabs"/>
      </w:pPr>
      <w:r>
        <w:rPr>
          <w:rStyle w:val="HideTWBExt"/>
        </w:rPr>
        <w:t>&lt;Amend&gt;</w:t>
      </w:r>
      <w:r>
        <w:t>Pakeitimas</w:t>
      </w:r>
      <w:r>
        <w:tab/>
      </w:r>
      <w:r>
        <w:tab/>
      </w:r>
      <w:r>
        <w:rPr>
          <w:rStyle w:val="HideTWBExt"/>
        </w:rPr>
        <w:t>&lt;NumAm&gt;</w:t>
      </w:r>
      <w:r>
        <w:t>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4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Jungtinių Tautų konvenciją dėl visų formų diskriminacijos panaikinimo moterims (patvirtinta 1979 m.),</w:t>
            </w:r>
          </w:p>
        </w:tc>
      </w:tr>
    </w:tbl>
    <w:p>
      <w:r>
        <w:rPr>
          <w:rStyle w:val="HideTWBExt"/>
        </w:rPr>
        <w:t>&lt;/Amend&gt;</w:t>
      </w:r>
    </w:p>
    <w:p>
      <w:pPr>
        <w:pStyle w:val="AmNumberTabs"/>
      </w:pPr>
      <w:r>
        <w:rPr>
          <w:rStyle w:val="HideTWBExt"/>
        </w:rPr>
        <w:t>&lt;Amend&gt;</w:t>
      </w:r>
      <w:r>
        <w:t>Pakeitimas</w:t>
      </w:r>
      <w:r>
        <w:tab/>
      </w:r>
      <w:r>
        <w:tab/>
      </w:r>
      <w:r>
        <w:rPr>
          <w:rStyle w:val="HideTWBExt"/>
        </w:rPr>
        <w:t>&lt;NumAm&gt;</w:t>
      </w:r>
      <w:r>
        <w:t>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9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Europos Tarybos konvenciją dėl smurto prieš moteris ir smurto šeimoje prevencijos ir kovos su juo (Stambulo konvencija), patvirtinta 2011 m.,</w:t>
            </w:r>
          </w:p>
        </w:tc>
      </w:tr>
    </w:tbl>
    <w:p>
      <w:r>
        <w:rPr>
          <w:rStyle w:val="HideTWBExt"/>
        </w:rPr>
        <w:t>&lt;/Amend&gt;</w:t>
      </w:r>
    </w:p>
    <w:p>
      <w:pPr>
        <w:pStyle w:val="AmNumberTabs"/>
      </w:pPr>
      <w:r>
        <w:rPr>
          <w:rStyle w:val="HideTWBExt"/>
        </w:rPr>
        <w:t>&lt;Amend&gt;</w:t>
      </w:r>
      <w:r>
        <w:t>Pakeitimas</w:t>
      </w:r>
      <w:r>
        <w:tab/>
      </w:r>
      <w:r>
        <w:tab/>
      </w:r>
      <w:r>
        <w:rPr>
          <w:rStyle w:val="HideTWBExt"/>
        </w:rPr>
        <w:t>&lt;NumAm&gt;</w:t>
      </w:r>
      <w:r>
        <w:t>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10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atsižvelgdamas į 2000 m. birželio 29 d. Tarybos direktyvą 2000/43/EB, įgyvendinančią vienodo požiūrio principą asmenims nepriklausomai nuo jų rasės arba etninės priklausomybės</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OL L 180, 2000 7 19, p. 22, ELI: </w:t>
            </w:r>
            <w:r>
              <w:rPr>
                <w:b/>
                <w:i/>
              </w:rPr>
              <w:t>http://data.europa.eu/eli/dir/2000/43/oj</w:t>
            </w:r>
            <w:r>
              <w:rPr>
                <w:b/>
                <w:i/>
              </w:rPr>
              <w:t>.</w:t>
            </w:r>
          </w:p>
        </w:tc>
      </w:tr>
    </w:tbl>
    <w:p>
      <w:r>
        <w:rPr>
          <w:rStyle w:val="HideTWBExt"/>
        </w:rPr>
        <w:t>&lt;/Amend&gt;</w:t>
      </w:r>
    </w:p>
    <w:p>
      <w:pPr>
        <w:pStyle w:val="AmNumberTabs"/>
      </w:pPr>
      <w:r>
        <w:rPr>
          <w:rStyle w:val="HideTWBExt"/>
        </w:rPr>
        <w:t>&lt;Amend&gt;</w:t>
      </w:r>
      <w:r>
        <w:t>Pakeitimas</w:t>
      </w:r>
      <w:r>
        <w:tab/>
      </w:r>
      <w:r>
        <w:tab/>
      </w:r>
      <w:r>
        <w:rPr>
          <w:rStyle w:val="HideTWBExt"/>
        </w:rPr>
        <w:t>&lt;NumAm&gt;</w:t>
      </w:r>
      <w:r>
        <w:t>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10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atsižvelgdamas į 2006 m. liepos 5 d. Europos Parlamento ir Tarybos direktyvą 2006/54/EB dėl moterų ir vyrų lygių galimybių ir vienodo požiūrio į moteris ir vyrus užimtumo bei profesinės veiklos srityje principo įgyvendinimo (nauja redakcija)</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OL L 204, 2006 7 26, p. 23, ELI: </w:t>
            </w:r>
            <w:r>
              <w:rPr>
                <w:b/>
                <w:i/>
              </w:rPr>
              <w:t>http://data.europa.eu/eli/dir/2006/54/oj</w:t>
            </w:r>
            <w:r>
              <w:rPr>
                <w:b/>
                <w:i/>
              </w:rPr>
              <w:t>.</w:t>
            </w:r>
          </w:p>
        </w:tc>
      </w:tr>
    </w:tbl>
    <w:p>
      <w:r>
        <w:rPr>
          <w:rStyle w:val="HideTWBExt"/>
        </w:rPr>
        <w:t>&lt;/Amend&gt;</w:t>
      </w:r>
    </w:p>
    <w:p>
      <w:pPr>
        <w:pStyle w:val="AmNumberTabs"/>
      </w:pPr>
      <w:r>
        <w:rPr>
          <w:rStyle w:val="HideTWBExt"/>
        </w:rPr>
        <w:t>&lt;Amend&gt;</w:t>
      </w:r>
      <w:r>
        <w:t>Pakeitimas</w:t>
      </w:r>
      <w:r>
        <w:tab/>
      </w:r>
      <w:r>
        <w:tab/>
      </w:r>
      <w:r>
        <w:rPr>
          <w:rStyle w:val="HideTWBExt"/>
        </w:rPr>
        <w:t>&lt;NumAm&gt;</w:t>
      </w:r>
      <w:r>
        <w:t>7</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10 c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atsižvelgdamas į 2023 m. gegužės 10 d. Europos Parlamento ir Tarybos direktyvą (ES) 2023/970, kuria, nustatant darbo užmokesčio skaidrumo ir vykdymo užtikrinimo mechanizmus, griežčiau taikomas vienodo vyrų ir moterų darbo užmokesčio už vienodą arba vienodos vertės darbą principas</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OL L 132, 2023 5 17, p. 21, ELI: </w:t>
            </w:r>
            <w:r>
              <w:rPr>
                <w:b/>
                <w:i/>
              </w:rPr>
              <w:t>http://data.europa.eu/eli/dir/2023/970/oj</w:t>
            </w:r>
            <w:r>
              <w:rPr>
                <w:b/>
                <w:i/>
              </w:rPr>
              <w:t>.</w:t>
            </w:r>
          </w:p>
        </w:tc>
      </w:tr>
    </w:tbl>
    <w:p>
      <w:r>
        <w:rPr>
          <w:rStyle w:val="HideTWBExt"/>
        </w:rPr>
        <w:t>&lt;/Amend&gt;</w:t>
      </w:r>
    </w:p>
    <w:p>
      <w:pPr>
        <w:pStyle w:val="AmNumberTabs"/>
      </w:pPr>
      <w:r>
        <w:rPr>
          <w:rStyle w:val="HideTWBExt"/>
        </w:rPr>
        <w:t>&lt;Amend&gt;</w:t>
      </w:r>
      <w:r>
        <w:t>Pakeitimas</w:t>
      </w:r>
      <w:r>
        <w:tab/>
      </w:r>
      <w:r>
        <w:tab/>
      </w:r>
      <w:r>
        <w:rPr>
          <w:rStyle w:val="HideTWBExt"/>
        </w:rPr>
        <w:t>&lt;NumAm&gt;</w:t>
      </w:r>
      <w:r>
        <w:t>8</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10 d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atsižvelgdamas į 2024 m. gegužės 14 d. Europos Parlamento ir Tarybos direktyvą (ES) 2024/1385 dėl kovos su smurtu prieš moteris ir smurtu artimoje aplinkoje</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OL L, 2024/1385, 2024 5 24, ELI: </w:t>
            </w:r>
            <w:r>
              <w:rPr>
                <w:b/>
                <w:i/>
              </w:rPr>
              <w:t>http://data.europa.eu/eli/dir/2024/1385/oj</w:t>
            </w:r>
            <w:r>
              <w:rPr>
                <w:b/>
                <w:i/>
              </w:rPr>
              <w:t>.</w:t>
            </w:r>
          </w:p>
        </w:tc>
      </w:tr>
    </w:tbl>
    <w:p>
      <w:r>
        <w:rPr>
          <w:rStyle w:val="HideTWBExt"/>
        </w:rPr>
        <w:t>&lt;/Amend&gt;</w:t>
      </w:r>
    </w:p>
    <w:p>
      <w:pPr>
        <w:pStyle w:val="AmNumberTabs"/>
      </w:pPr>
      <w:r>
        <w:rPr>
          <w:rStyle w:val="HideTWBExt"/>
        </w:rPr>
        <w:t>&lt;Amend&gt;</w:t>
      </w:r>
      <w:r>
        <w:t>Pakeitimas</w:t>
      </w:r>
      <w:r>
        <w:tab/>
      </w:r>
      <w:r>
        <w:tab/>
      </w:r>
      <w:r>
        <w:rPr>
          <w:rStyle w:val="HideTWBExt"/>
        </w:rPr>
        <w:t>&lt;NumAm&gt;</w:t>
      </w:r>
      <w:r>
        <w:t>9</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11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atsižvelgdamas į 2024 m. balandžio 23 d. Komisijos rekomendaciją (ES) 2024/1238 dėl integruotųjų vaiko apsaugos sistemų kūrimo ir stiprinimo atsižvelgiant į vaiko interesus</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OL L, 2024/1238, 2024 5 14, ELI: </w:t>
            </w:r>
            <w:r>
              <w:rPr>
                <w:b/>
                <w:i/>
              </w:rPr>
              <w:t>http://data.europa.eu/eli/reco/2024/1238/oj</w:t>
            </w:r>
            <w:r>
              <w:rPr>
                <w:b/>
                <w:i/>
              </w:rPr>
              <w:t>.</w:t>
            </w:r>
          </w:p>
        </w:tc>
      </w:tr>
    </w:tbl>
    <w:p>
      <w:r>
        <w:rPr>
          <w:rStyle w:val="HideTWBExt"/>
        </w:rPr>
        <w:t>&lt;/Amend&gt;</w:t>
      </w:r>
    </w:p>
    <w:p>
      <w:pPr>
        <w:pStyle w:val="AmNumberTabs"/>
      </w:pPr>
      <w:r>
        <w:rPr>
          <w:rStyle w:val="HideTWBExt"/>
        </w:rPr>
        <w:t>&lt;Amend&gt;</w:t>
      </w:r>
      <w:r>
        <w:t>Pakeitimas</w:t>
      </w:r>
      <w:r>
        <w:tab/>
      </w:r>
      <w:r>
        <w:tab/>
      </w:r>
      <w:r>
        <w:rPr>
          <w:rStyle w:val="HideTWBExt"/>
        </w:rPr>
        <w:t>&lt;NumAm&gt;</w:t>
      </w:r>
      <w:r>
        <w:t>10</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2020 m. rugsėjo 18 d. Komisijos komunikatą „Lygybės sąjunga. 2020–2025 m. ES kovos su rasizmu veiksmų planas“ (COM(2020)0565),</w:t>
            </w:r>
          </w:p>
        </w:tc>
      </w:tr>
    </w:tbl>
    <w:p>
      <w:r>
        <w:rPr>
          <w:rStyle w:val="HideTWBExt"/>
        </w:rPr>
        <w:t>&lt;/Amend&gt;</w:t>
      </w:r>
    </w:p>
    <w:p>
      <w:pPr>
        <w:pStyle w:val="AmNumberTabs"/>
      </w:pPr>
      <w:r>
        <w:rPr>
          <w:rStyle w:val="HideTWBExt"/>
        </w:rPr>
        <w:t>&lt;Amend&gt;</w:t>
      </w:r>
      <w:r>
        <w:t>Pakeitimas</w:t>
      </w:r>
      <w:r>
        <w:tab/>
      </w:r>
      <w:r>
        <w:tab/>
      </w:r>
      <w:r>
        <w:rPr>
          <w:rStyle w:val="HideTWBExt"/>
        </w:rPr>
        <w:t>&lt;NumAm&gt;</w:t>
      </w:r>
      <w:r>
        <w:t>11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12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 xml:space="preserve">atsižvelgdamas į 2020 m. lapkričio 12 d. Komisijos komunikatą „Lygybės sąjunga. </w:t>
            </w:r>
            <w:r>
              <w:t>2020–2025 m. LGBTIQ lygybės strategija“ (</w:t>
            </w:r>
            <w:r>
              <w:t>COM(2020)0698),</w:t>
            </w:r>
          </w:p>
        </w:tc>
      </w:tr>
    </w:tbl>
    <w:p>
      <w:r>
        <w:rPr>
          <w:rStyle w:val="HideTWBExt"/>
        </w:rPr>
        <w:t>&lt;/Amend&gt;</w:t>
      </w:r>
    </w:p>
    <w:p>
      <w:pPr>
        <w:pStyle w:val="AmNumberTabs"/>
      </w:pPr>
      <w:r>
        <w:rPr>
          <w:rStyle w:val="HideTWBExt"/>
        </w:rPr>
        <w:t>&lt;Amend&gt;</w:t>
      </w:r>
      <w:r>
        <w:t>Pakeitimas</w:t>
      </w:r>
      <w:r>
        <w:tab/>
      </w:r>
      <w:r>
        <w:tab/>
      </w:r>
      <w:r>
        <w:rPr>
          <w:rStyle w:val="HideTWBExt"/>
        </w:rPr>
        <w:t>&lt;NumAm&gt;</w:t>
      </w:r>
      <w:r>
        <w:t>12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12 c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atsižvelgdamas į savo 2020 m. sausio 30 d. rezoliuciją dėl vyrų ir moterų darbo užmokesčio skirtumo</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OL C 331, 2021 8 17, p. 5.</w:t>
            </w:r>
          </w:p>
        </w:tc>
      </w:tr>
    </w:tbl>
    <w:p>
      <w:r>
        <w:rPr>
          <w:rStyle w:val="HideTWBExt"/>
        </w:rPr>
        <w:t>&lt;/Amend&gt;</w:t>
      </w:r>
    </w:p>
    <w:p>
      <w:pPr>
        <w:pStyle w:val="AmNumberTabs"/>
      </w:pPr>
      <w:r>
        <w:rPr>
          <w:rStyle w:val="HideTWBExt"/>
        </w:rPr>
        <w:t>&lt;Amend&gt;</w:t>
      </w:r>
      <w:r>
        <w:t>Pakeitimas</w:t>
      </w:r>
      <w:r>
        <w:tab/>
      </w:r>
      <w:r>
        <w:tab/>
      </w:r>
      <w:r>
        <w:rPr>
          <w:rStyle w:val="HideTWBExt"/>
        </w:rPr>
        <w:t>&lt;NumAm&gt;</w:t>
      </w:r>
      <w:r>
        <w:t>13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15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atsižvelgdamas į savo 2022 m. liepos 5 d. rezoliuciją dėl moterų skurdo Europoje</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OL C 47, 2023 2 7, p. 2.</w:t>
            </w:r>
          </w:p>
        </w:tc>
      </w:tr>
    </w:tbl>
    <w:p>
      <w:r>
        <w:rPr>
          <w:rStyle w:val="HideTWBExt"/>
        </w:rPr>
        <w:t>&lt;/Amend&gt;</w:t>
      </w:r>
    </w:p>
    <w:p>
      <w:pPr>
        <w:pStyle w:val="AmNumberTabs"/>
      </w:pPr>
      <w:r>
        <w:rPr>
          <w:rStyle w:val="HideTWBExt"/>
        </w:rPr>
        <w:t>&lt;Amend&gt;</w:t>
      </w:r>
      <w:r>
        <w:t>Pakeitimas</w:t>
      </w:r>
      <w:r>
        <w:tab/>
      </w:r>
      <w:r>
        <w:tab/>
      </w:r>
      <w:r>
        <w:rPr>
          <w:rStyle w:val="HideTWBExt"/>
        </w:rPr>
        <w:t>&lt;NumAm&gt;</w:t>
      </w:r>
      <w:r>
        <w:t>14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20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kovo 7 d. Komisijos komunikatą „Moterų teisių veiksmų gairės“ (COM(2025)0097),</w:t>
            </w:r>
          </w:p>
        </w:tc>
      </w:tr>
    </w:tbl>
    <w:p>
      <w:r>
        <w:rPr>
          <w:rStyle w:val="HideTWBExt"/>
        </w:rPr>
        <w:t>&lt;/Amend&gt;</w:t>
      </w:r>
    </w:p>
    <w:p>
      <w:pPr>
        <w:pStyle w:val="AmNumberTabs"/>
      </w:pPr>
      <w:r>
        <w:rPr>
          <w:rStyle w:val="HideTWBExt"/>
        </w:rPr>
        <w:t>&lt;Amend&gt;</w:t>
      </w:r>
      <w:r>
        <w:t>Pakeitimas</w:t>
      </w:r>
      <w:r>
        <w:tab/>
      </w:r>
      <w:r>
        <w:tab/>
      </w:r>
      <w:r>
        <w:rPr>
          <w:rStyle w:val="HideTWBExt"/>
        </w:rPr>
        <w:t>&lt;NumAm&gt;</w:t>
      </w:r>
      <w:r>
        <w:t>15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28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„Make Mothers Matter“ ataskaitą „Motinų skurdas ES“, kuri turi būti paskelbta 2025 m. rugsėjo mėn.,</w:t>
            </w:r>
          </w:p>
        </w:tc>
      </w:tr>
    </w:tbl>
    <w:p>
      <w:r>
        <w:rPr>
          <w:rStyle w:val="HideTWBExt"/>
        </w:rPr>
        <w:t>&lt;/Amend&gt;</w:t>
      </w:r>
    </w:p>
    <w:p>
      <w:pPr>
        <w:pStyle w:val="AmNumberTabs"/>
      </w:pPr>
      <w:r>
        <w:rPr>
          <w:rStyle w:val="HideTWBExt"/>
        </w:rPr>
        <w:t>&lt;Amend&gt;</w:t>
      </w:r>
      <w:r>
        <w:t>Pakeitimas</w:t>
      </w:r>
      <w:r>
        <w:tab/>
      </w:r>
      <w:r>
        <w:tab/>
      </w:r>
      <w:r>
        <w:rPr>
          <w:rStyle w:val="HideTWBExt"/>
        </w:rPr>
        <w:t>&lt;NumAm&gt;</w:t>
      </w:r>
      <w:r>
        <w:t>16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 xml:space="preserve">kadangi moterys ir toliau neproporcingai dažniau nei vyrai patiria tiek absoliutų, tiek santykinį skurdą, taip pat socialinės atskirties riziką dėl struktūrinės lyčių nelygybės; kadangi moterų skurdas, atsižvelgiant į jo įvairovę, turi būti suprantamas kaip sudėtingas ir daugialypis reiškinys, apimantis ne tik socialinius, politinius ir kultūrinius aspektus, bet ir pajamas, būstą, sveikatą ir galimybę naudotis švietimo ir socialinėmis paslaugomis, kurio negalima panaikinti vien tik užimtumo priemonėmis, tačiau reikia visapusiško ir įtraukaus požiūrio, grindžiamo tiek skurdo prevencija, tiek jo mažinimu; </w:t>
            </w:r>
            <w:r>
              <w:t>kadangi 2024 m. visose ES šalyse, išskyrus dvi, didelio materialinio ir socialinio nepritekliaus lygis visose ES šalyse buvo didesnis (6,6 proc.) nei vyrų (6,2 proc.)</w:t>
            </w:r>
            <w:r>
              <w:rPr>
                <w:vertAlign w:val="superscript"/>
              </w:rPr>
              <w:t>1a</w:t>
            </w:r>
            <w:r>
              <w:t>, o moterų skurdo ar socialinės atskirties rizikos lygis buvo didesnis (21,9 proc.) nei vyrų (20 proc.) visose ES šalyse</w:t>
            </w:r>
            <w:r>
              <w:rPr>
                <w:vertAlign w:val="superscript"/>
              </w:rPr>
              <w:t>1c</w:t>
            </w:r>
            <w:r>
              <w:rPr>
                <w:b/>
                <w:i/>
              </w:rPr>
              <w:t xml:space="preserve"> </w:t>
            </w:r>
            <w:r>
              <w:t>kadangi tais pačiais metais 23,7 proc. moterų ir 22,7 proc. vyrų ES laikė save skurdžiais, kadangi 21,6 proc. 65 metų ir vyresnių moterų grėsė skurdas, palyginti su maždaug 16,5 proc. tos pačios amžiaus grupės vyrų;</w:t>
            </w:r>
            <w:r>
              <w:rPr>
                <w:vertAlign w:val="superscript"/>
              </w:rPr>
              <w:t>1d</w:t>
            </w:r>
            <w:r>
              <w:rPr>
                <w:vertAlign w:val="superscript"/>
              </w:rPr>
              <w:t>1b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Eurostatas, Duomenų naršyklė, „Sunkaus materialinio ir socialinio nepritekliaus lygis pagal amžių ir lytį“, https://ec.europa.eu/eurostat/databrowser/view/ilc_mdsd11__custom_17284202/bookmark/table?lang=en&amp;&amp;bookmarkId=a0f88fa5-9110-4302-a67d-d58f889214d0&amp;page=time:2024.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1b</w:t>
            </w:r>
            <w:r>
              <w:t xml:space="preserve"> </w:t>
            </w:r>
            <w:r>
              <w:rPr>
                <w:b/>
                <w:i/>
              </w:rPr>
              <w:t>Eurostatas, Duomenų naršyklė, „Asmenys, kuriems gresia skurdas ar socialinė atskirtis pagal amžių ir lytį“, https://ec.europa.eu/eurostat/databrowser/view/ilc_peps01n__custom_17280682/bookmark/table?lang=en&amp;&amp;bookmarkId=1136c1ef-3d9f-4fda-82fb-cf7423eac65e&amp;&amp;page=time:2024.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1c</w:t>
            </w:r>
            <w:r>
              <w:t xml:space="preserve"> </w:t>
            </w:r>
            <w:r>
              <w:rPr>
                <w:b/>
                <w:i/>
              </w:rPr>
              <w:t>Eurostatas, Duomenų naršyklė, „Subjektyvus skurdas pagal amžių ir lytį“, https://ec.europa.eu/eurostat/databrowser/view/ilc_sbjp01__custom_17284289/bookmark/table?lang=en&amp;&amp;bookmarkId=7d0decb7-866a-4494-b901-58a61bebd575&amp;page=time:2024.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1d</w:t>
            </w:r>
            <w:r>
              <w:t xml:space="preserve"> </w:t>
            </w:r>
            <w:r>
              <w:rPr>
                <w:b/>
                <w:i/>
              </w:rPr>
              <w:t>Eurostatas, Duomenų naršyklė, „Asmenys, kuriems gresia skurdas ar socialinė atskirtis pagal amžių ir lytį“, https://ec.europa.eu/eurostat/databrowser/view/ilc_peps01n__custom_17280682/bookmark/table?lang=en&amp;&amp;bookmarkId=1136c1ef-3d9f-4fda-82fb-cf7423eac65e&amp;&amp;page=time:2024.</w:t>
            </w:r>
          </w:p>
        </w:tc>
      </w:tr>
    </w:tbl>
    <w:p>
      <w:r>
        <w:rPr>
          <w:rStyle w:val="HideTWBExt"/>
        </w:rPr>
        <w:t>&lt;/Amend&gt;</w:t>
      </w:r>
    </w:p>
    <w:p>
      <w:pPr>
        <w:pStyle w:val="AmNumberTabs"/>
      </w:pPr>
      <w:r>
        <w:rPr>
          <w:rStyle w:val="HideTWBExt"/>
        </w:rPr>
        <w:t>&lt;Amend&gt;</w:t>
      </w:r>
      <w:r>
        <w:t>Pakeitimas</w:t>
      </w:r>
      <w:r>
        <w:tab/>
      </w:r>
      <w:r>
        <w:tab/>
      </w:r>
      <w:r>
        <w:rPr>
          <w:rStyle w:val="HideTWBExt"/>
        </w:rPr>
        <w:t>&lt;NumAm&gt;</w:t>
      </w:r>
      <w:r>
        <w:t>17</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A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 xml:space="preserve">kadangi moterų skurdas yra tarpsektorinės diskriminacijos, kurią patiria moterys, visų pirma moterys, susiduriančios su tam tikrų formų marginalizacija ir struktūrine diskriminacija dėl lyties, rasės, etninės kilmės, negalios, amžiaus, migracijos statuso, seksualinės orientacijos, lytinės tapatybės, religijos ar tikėjimo, taip pat moterys iš nepalankios socialinės ir ekonominės aplinkos ir ypač translytės ir interseksualios moterys, priežastis ir pasekmė; kadangi vienišos motinos ir moterys, gyvenančios atokiuose, salų ir atokiausiuose ES regionuose, susiduria su specifiniais iššūkiais ir didėja skurdo rizika; kadangi tos pačios lyties asmenų santykių ir lytinės tapatybės teisinio pripažinimo trūkumas valstybėse narėse prisideda prie LGBTIQ+ asmenų atskirties nuo esminių socialinių paslaugų ir su šeima susijusių išmokų, taip sustiprinant skurdo ir marginalizacijos ciklus; kadangi romų tautybės moterys ypač diskriminuojamos švietimo ir deramo darbo srityse; </w:t>
            </w:r>
            <w:r>
              <w:t>kadangi 2022 m. dirbo tik 28 proc. 20–64 m. romų moterų, palyginti su 58 proc. tos pačios amžiaus kategorijos romų vyrų</w:t>
            </w:r>
            <w:r>
              <w:rPr>
                <w:vertAlign w:val="superscript"/>
              </w:rPr>
              <w:t>1a</w:t>
            </w:r>
            <w:r>
              <w:t>;</w:t>
            </w:r>
            <w:r>
              <w:rPr>
                <w:b/>
                <w:i/>
              </w:rPr>
              <w:t xml:space="preserve"> </w:t>
            </w:r>
            <w:r>
              <w:t>kadangi moterys, kurios akivaizdžiai dėvi religinius drabužius, dažnai susiduria su diskriminacija užimtumo srityje, įskaitant, remiantis naujausia FRA ataskaita, 45 proc. musulmonų moterų</w:t>
            </w:r>
            <w:r>
              <w:rPr>
                <w:vertAlign w:val="superscript"/>
              </w:rPr>
              <w:t>1b</w:t>
            </w:r>
            <w:r>
              <w:t>;</w:t>
            </w:r>
            <w:r>
              <w:rPr>
                <w:b/>
                <w:i/>
              </w:rPr>
              <w:t xml:space="preserve"> kadangi moterys migrantės, įskaitant pabėgėles ir prieglobsčio prašytojus, patiria įvairių formų diskriminaciją užtikrindamos oficialų užimtumą ir būstą; </w:t>
            </w:r>
            <w:r>
              <w:t>kadangi moterų migrančių skurdo ir atskirties lygis yra aukštesnis dėl kliūčių įsidarbinti, kvalifikacijų pripažinimo ir vaikų priežiūros</w:t>
            </w:r>
            <w:r>
              <w:rPr>
                <w:vertAlign w:val="superscript"/>
              </w:rPr>
              <w:t>1c</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Pagrindinių teisių agentūra, Roma in 10 European countries, Europos Sąjungos leidinių biuras, 2022 m., https://fra.europa.eu/sites/default/files/fra_uploads/fra-2022-roma-survey-2021-main-results2_en.pdf.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1b</w:t>
            </w:r>
            <w:r>
              <w:t xml:space="preserve"> </w:t>
            </w:r>
            <w:r>
              <w:rPr>
                <w:b/>
                <w:i/>
              </w:rPr>
              <w:t>Pagrindinių teisių agentūra, „Being Muslim in the EU“, Europos Sąjungos leidinių biuras, 2024 m., https://fra.europa.eu/sites/default/files/fra_uploads/fra-2024-being-muslim-in-the-eu_en.pdf.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1c</w:t>
            </w:r>
            <w:r>
              <w:t xml:space="preserve"> </w:t>
            </w:r>
            <w:r>
              <w:rPr>
                <w:b/>
                <w:i/>
              </w:rPr>
              <w:t>Eurostatas, Statistics Explained, „Migrantų integracijos statistika. Skurdo ir socialinės atskirties rizika“, 2024 m. rugsėjo 26 d. gauti duomenys, https://ec.europa.eu/eurostat/statistics-explained/index.php?title=Migrant_integration_statistics_-_at_risk_of_poverty_and_social_exclusion.</w:t>
            </w:r>
          </w:p>
        </w:tc>
      </w:tr>
    </w:tbl>
    <w:p>
      <w:r>
        <w:rPr>
          <w:rStyle w:val="HideTWBExt"/>
        </w:rPr>
        <w:t>&lt;/Amend&gt;</w:t>
      </w:r>
    </w:p>
    <w:p>
      <w:pPr>
        <w:pStyle w:val="AmNumberTabs"/>
      </w:pPr>
      <w:r>
        <w:rPr>
          <w:rStyle w:val="HideTWBExt"/>
        </w:rPr>
        <w:t>&lt;Amend&gt;</w:t>
      </w:r>
      <w:r>
        <w:t>Pakeitimas</w:t>
      </w:r>
      <w:r>
        <w:tab/>
      </w:r>
      <w:r>
        <w:tab/>
      </w:r>
      <w:r>
        <w:rPr>
          <w:rStyle w:val="HideTWBExt"/>
        </w:rPr>
        <w:t>&lt;NumAm&gt;</w:t>
      </w:r>
      <w:r>
        <w:t>18</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A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 xml:space="preserve">kadangi moterų skurdas ir vaikų skurdas yra glaudžiai susiję; </w:t>
            </w:r>
            <w:r>
              <w:t>kadangi 2024 m. visoje ES tarp vaikų buvo didžiausias skurdo ar socialinės atskirties rizikos lygis (24,2 proc. jaunesnių nei 18 metų asmenų)</w:t>
            </w:r>
            <w:r>
              <w:rPr>
                <w:vertAlign w:val="superscript"/>
              </w:rPr>
              <w:t>1a</w:t>
            </w:r>
            <w:r>
              <w:t xml:space="preserve"> ir didelio materialinio ir socialinio nepritekliaus lygis (7,9 proc. jaunesnių nei 18 metų asmenų)</w:t>
            </w:r>
            <w:r>
              <w:rPr>
                <w:vertAlign w:val="superscript"/>
              </w:rPr>
              <w:t>1c</w:t>
            </w:r>
            <w:r>
              <w:t>;</w:t>
            </w:r>
            <w:r>
              <w:rPr>
                <w:b/>
                <w:i/>
              </w:rPr>
              <w:t xml:space="preserve"> </w:t>
            </w:r>
            <w:r>
              <w:t>kadangi 2024 m. 26,1 proc. jaunesnių nei 18 metų asmenų ES laikė save neturtingais;</w:t>
            </w:r>
            <w:r>
              <w:rPr>
                <w:b/>
                <w:i/>
              </w:rPr>
              <w:t xml:space="preserve"> </w:t>
            </w:r>
            <w:r>
              <w:t>kadangi vienam iš keturių vaikų ES gresia skurdas ar socialinė atskirtis</w:t>
            </w:r>
            <w:r>
              <w:rPr>
                <w:vertAlign w:val="superscript"/>
              </w:rPr>
              <w:t>1e</w:t>
            </w:r>
            <w:r>
              <w:t xml:space="preserve">; </w:t>
              <w:br/>
            </w:r>
            <w:r>
              <w:rPr>
                <w:b/>
                <w:i/>
              </w:rPr>
              <w:t xml:space="preserve"> </w:t>
            </w:r>
            <w:r>
              <w:t xml:space="preserve">kadangi 2024 m. 8 proc. jaunesnių nei 17 metų vaikų ES gyveno namų ūkiuose, kuriuose nė vienas narys nedirbo;  </w:t>
              <w:br/>
            </w:r>
            <w:r>
              <w:rPr>
                <w:b/>
                <w:i/>
              </w:rPr>
              <w:t xml:space="preserve"> kadangi ekonominių galių suteikimas motinoms daro tiesioginį ir ilgalaikį teigiamą poveikį vaikų gerovei ir yra labai svarbus siekiant nutraukti iš kartos į kartą perduodamo skurdo ciklus bei užtikrinti lygias galimybes vaikams;</w:t>
            </w:r>
            <w:r>
              <w:rPr>
                <w:vertAlign w:val="superscript"/>
              </w:rPr>
              <w:t>1d</w:t>
            </w:r>
            <w:r>
              <w:rPr>
                <w:vertAlign w:val="superscript"/>
              </w:rPr>
              <w:t>1b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Eurostatas, Duomenų naršyklė, „Asmenys, kuriems gresia skurdas ar socialinė atskirtis pagal amžių ir lytį“, https://ec.europa.eu/eurostat/databrowser/bookmark/1136c1ef-3d9f-4fda-82fb-cf7423eac65e?lang=en&amp;&amp;page=time:2024.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1b</w:t>
            </w:r>
            <w:r>
              <w:t xml:space="preserve"> </w:t>
            </w:r>
            <w:r>
              <w:rPr>
                <w:b/>
                <w:i/>
              </w:rPr>
              <w:t>Eurostatas, Duomenų naršyklė, „Sunkaus materialinio ir socialinio nepritekliaus lygis pagal amžių ir lytį“, https://ec.europa.eu/eurostat/databrowser/view/ilc_mdsd11__custom_17284216/bookmark/table?lang=en&amp;&amp;bookmarkId=a3bbdd78-6da8-43f5-8b3b-b2eb4a3ddadc&amp;&amp;page=time:2024.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1c</w:t>
            </w:r>
            <w:r>
              <w:t xml:space="preserve"> </w:t>
            </w:r>
            <w:r>
              <w:rPr>
                <w:b/>
                <w:i/>
              </w:rPr>
              <w:t>Eurostatas, Duomenų naršyklė, „Subjektyvus skurdas pagal amžių ir lytį“, https://ec.europa.eu/eurostat/databrowser/view/ilc_sbjp01__custom_17284300/bookmark/table?lang=en&amp;&amp;bookmarkId=a2e1c6ea-e1ca-43ca-a78c-5bb0645fdd77&amp;&amp;page=time:2024.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1d</w:t>
            </w:r>
            <w:r>
              <w:t xml:space="preserve"> </w:t>
            </w:r>
            <w:r>
              <w:rPr>
                <w:b/>
                <w:i/>
              </w:rPr>
              <w:t>Eurostatas, Duomenų naršyklė, „Asmenys, kuriems gresia skurdas ar socialinė atskirtis pagal amžių ir lytį“, https://ec.europa.eu/eurostat/databrowser/view/ilc_peps01n__custom_17501965/default/table?lang=en.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1e</w:t>
            </w:r>
            <w:r>
              <w:t xml:space="preserve"> </w:t>
            </w:r>
            <w:r>
              <w:rPr>
                <w:b/>
                <w:i/>
              </w:rPr>
              <w:t>Eurostatas, „Statistics Explained“, „Namų ūkių sudėties statistika“, https://ec.europa.eu/eurostat/statistics-explained/index.php?title=Household_composition_statistics#Data_sources.</w:t>
            </w:r>
          </w:p>
        </w:tc>
      </w:tr>
    </w:tbl>
    <w:p>
      <w:r>
        <w:rPr>
          <w:rStyle w:val="HideTWBExt"/>
        </w:rPr>
        <w:t>&lt;/Amend&gt;</w:t>
      </w:r>
    </w:p>
    <w:p>
      <w:pPr>
        <w:pStyle w:val="AmNumberTabs"/>
      </w:pPr>
      <w:r>
        <w:rPr>
          <w:rStyle w:val="HideTWBExt"/>
        </w:rPr>
        <w:t>&lt;Amend&gt;</w:t>
      </w:r>
      <w:r>
        <w:t>Pakeitimas</w:t>
      </w:r>
      <w:r>
        <w:tab/>
      </w:r>
      <w:r>
        <w:tab/>
      </w:r>
      <w:r>
        <w:rPr>
          <w:rStyle w:val="HideTWBExt"/>
        </w:rPr>
        <w:t>&lt;NumAm&gt;</w:t>
      </w:r>
      <w:r>
        <w:t>19</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A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 xml:space="preserve">kadangi nepilnoms šeimoms kyla didesnė skurdo ir socialinės atskirties rizika ir didesnė skurdo tikimybė išlieka kelioms kartoms; </w:t>
            </w:r>
            <w:r>
              <w:t>kadangi maždaug vienas iš šešių vaikų ES (17 proc.)</w:t>
            </w:r>
            <w:r>
              <w:rPr>
                <w:vertAlign w:val="superscript"/>
              </w:rPr>
              <w:t>1a</w:t>
            </w:r>
            <w:r>
              <w:t xml:space="preserve"> auga vieno iš tėvų namų ūkyje; </w:t>
              <w:br/>
              <w:t xml:space="preserve">kadangi daugumai vienišų tėvų namų ūkių vadovauja moterys; </w:t>
              <w:br/>
            </w:r>
            <w:r>
              <w:rPr>
                <w:b/>
                <w:i/>
              </w:rPr>
              <w:t xml:space="preserve"> </w:t>
            </w:r>
            <w:r>
              <w:t>kadangi daugumai nepilnų namų ūkių vadovauja moterys</w:t>
            </w:r>
            <w:r>
              <w:rPr>
                <w:vertAlign w:val="superscript"/>
              </w:rPr>
              <w:t>1b</w:t>
            </w:r>
            <w:r>
              <w:rPr>
                <w:b/>
                <w:i/>
              </w:rPr>
              <w:t xml:space="preserve"> </w:t>
            </w:r>
            <w:r>
              <w:t>kadangi vienišų tėvų namų ūkiai, visų pirma tie, kuriems vadovauja moterys, susiduria su neproporcingai didele skurdo rizika (daugiau kaip 32 proc.), palyginti su tik 11,2 proc. dviejų tėvų šeimų namų ūkiais</w:t>
            </w:r>
            <w:r>
              <w:rPr>
                <w:vertAlign w:val="superscript"/>
              </w:rPr>
              <w:t>1c</w:t>
            </w:r>
            <w:r>
              <w:t>;</w:t>
            </w:r>
            <w:r>
              <w:rPr>
                <w:b/>
                <w:i/>
              </w:rPr>
              <w:t xml:space="preserve"> kadangi skurdas tebėra vienas iš veiksnių, lemiančių šeimų išsiskyrimą ES; </w:t>
            </w:r>
            <w:r>
              <w:t>kadangi beveik 20 mln. vaikų, t. y. viena iš keturių, ES</w:t>
            </w:r>
            <w:r>
              <w:rPr>
                <w:vertAlign w:val="superscript"/>
              </w:rPr>
              <w:t>1d</w:t>
            </w:r>
            <w:r>
              <w:t xml:space="preserve"> vis dar gresia skurdas ar socialinė atskirtis ir kadangi dabartinė tendencija nepasieks tikslo iki 2030 m.</w:t>
            </w:r>
            <w:r>
              <w:rPr>
                <w:vertAlign w:val="superscript"/>
              </w:rPr>
              <w:t>1e</w:t>
            </w:r>
            <w:r>
              <w:t xml:space="preserve"> bent 5 mln. sumažinti skurstančių vaikų skaičių;</w:t>
            </w:r>
            <w:r>
              <w:rPr>
                <w:b/>
                <w:i/>
              </w:rPr>
              <w:t xml:space="preserve"> kadangi vaikų skurdas yra viena iš skubiausiai spręstinų ir sunkiausių skurdo panaikinimo formų, turinti ilgalaikių pasekmių vaikų vystymuisi ir gyvenimo galimybėms bei mūsų visuomenės ateičiai; </w:t>
            </w:r>
            <w:r>
              <w:t>kadangi pastebimi dideli skirtumai tarp vaikų iš etninės ar migrantų kilmės ir vaikų su negalia</w:t>
            </w:r>
            <w:r>
              <w:rPr>
                <w:vertAlign w:val="superscript"/>
              </w:rPr>
              <w:t>1f</w:t>
            </w:r>
            <w:r>
              <w:t>;</w:t>
            </w:r>
            <w:r>
              <w:rPr>
                <w:b/>
                <w:i/>
              </w:rPr>
              <w:t xml:space="preserve"> </w:t>
            </w:r>
            <w:r>
              <w:t>kadangi vaikų turėjimas dar labiau padidina vienišų suaugusiųjų skurdo riziką, kuri daro neproporcingą poveikį moterims, kurios dažniausiai yra atsakingos už vaikų priežiūrą ir kurios beveik dvigubai dažniau nei vieniši tėvai nedirba, o daugiau kaip trečdalis dirbančių vienišų motinų dirba tik ne visą darbo dieną</w:t>
            </w:r>
            <w:r>
              <w:rPr>
                <w:vertAlign w:val="superscript"/>
              </w:rPr>
              <w:t>1g</w:t>
            </w:r>
            <w:r>
              <w:t>; kadangi galių suteikimas motinoms uždirbti daugiau ir pasiekti finansinį stabilumą yra galingas ir veiksmingas vaikų skurdo mažinimo svertas;</w:t>
            </w:r>
            <w:r>
              <w:rPr>
                <w:b/>
                <w:i/>
              </w:rPr>
              <w:t xml:space="preserve"> kadangi kai kurios valstybių narių savivaldybės pripažino ypatingus iššūkius, su kuriais susiduria vienišos motinos, ir nustatė tikslinę politiką ir paramos priemones;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Eurostatas „Young people – family and society” (liet. Jauni žmonės. Šeima ir visuomenė“); https://ec.europa.eu/eurostat/statistics-explained/index.php?title=Young_people_-_family_and_society.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1b</w:t>
            </w:r>
            <w:r>
              <w:t xml:space="preserve"> </w:t>
            </w:r>
            <w:r>
              <w:rPr>
                <w:b/>
                <w:i/>
              </w:rPr>
              <w:t>Eurostatas, Statistics Explained, „Household composition statistics“, paskelbta 2025 m. birželio 23 d., https://ec.europa.eu/eurostat/statistics-explained/index.php?title=Household_composition_statistics#Data_sources.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1c</w:t>
            </w:r>
            <w:r>
              <w:t xml:space="preserve"> </w:t>
            </w:r>
            <w:r>
              <w:rPr>
                <w:b/>
                <w:i/>
              </w:rPr>
              <w:t>Eurostatas, „At-risk-of-poverty rate by poverty threshold and household type“ (liet. „Skurdo rizikos lygis pagal skurdo ribą ir namų ūkio tipą“), https://ec.europa.eu/eurostat/databrowser/view/ilc_li03/default/table?lang=en.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1d</w:t>
            </w:r>
            <w:r>
              <w:t xml:space="preserve"> </w:t>
            </w:r>
            <w:r>
              <w:rPr>
                <w:b/>
                <w:i/>
              </w:rPr>
              <w:t>Eurostatas, „Statistics Explained“, „Vaikai, kuriems gresia skurdas ar socialinė atskirtis“, https://ec.europa.eu/eurostat/statistics-explained/index.php?title=Children_at_risk_of_poverty_or_social_exclusion.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1e</w:t>
            </w:r>
            <w:r>
              <w:t xml:space="preserve"> </w:t>
            </w:r>
            <w:r>
              <w:rPr>
                <w:b/>
                <w:i/>
              </w:rPr>
              <w:t>2021 m. kovo 4 d. Komisijos komunikatas „Europos socialinių teisių ramsčio veiksmų planas“ (COM(2021)0102),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1f</w:t>
            </w:r>
            <w:r>
              <w:t xml:space="preserve"> </w:t>
            </w:r>
            <w:r>
              <w:rPr>
                <w:b/>
                <w:i/>
              </w:rPr>
              <w:t>UNICEF, Vaikų skurdo politikos informacinis pranešimas, 2024 m., https://www.unicef.org/eu/documents/policy-brief-child-poverty.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1g</w:t>
            </w:r>
            <w:r>
              <w:t xml:space="preserve"> </w:t>
            </w:r>
            <w:r>
              <w:rPr>
                <w:b/>
                <w:i/>
              </w:rPr>
              <w:t xml:space="preserve">Europos lyčių lygybės institutas (EIGE), Pekinas + 25: </w:t>
              <w:br/>
            </w:r>
            <w:r>
              <w:rPr>
                <w:b/>
                <w:i/>
              </w:rPr>
              <w:t xml:space="preserve"> </w:t>
            </w:r>
            <w:r>
              <w:rPr>
                <w:b/>
                <w:i/>
              </w:rPr>
              <w:t xml:space="preserve">Penktoji Pekino veiksmų platformos įgyvendinimo ES valstybėse narėse peržiūra, https://eige.europa.eu/sites/default/files/documents/20190441_mh0119039enn_pdf.pdf. </w:t>
              <w:br/>
              <w:t>1f</w:t>
            </w:r>
          </w:p>
        </w:tc>
      </w:tr>
    </w:tbl>
    <w:p>
      <w:r>
        <w:rPr>
          <w:rStyle w:val="HideTWBExt"/>
        </w:rPr>
        <w:t>&lt;/Amend&gt;</w:t>
      </w:r>
    </w:p>
    <w:p>
      <w:pPr>
        <w:pStyle w:val="AmNumberTabs"/>
      </w:pPr>
      <w:r>
        <w:rPr>
          <w:rStyle w:val="HideTWBExt"/>
        </w:rPr>
        <w:t>&lt;Amend&gt;</w:t>
      </w:r>
      <w:r>
        <w:t>Pakeitimas</w:t>
      </w:r>
      <w:r>
        <w:tab/>
      </w:r>
      <w:r>
        <w:tab/>
      </w:r>
      <w:r>
        <w:rPr>
          <w:rStyle w:val="HideTWBExt"/>
        </w:rPr>
        <w:t>&lt;NumAm&gt;</w:t>
      </w:r>
      <w:r>
        <w:t>20</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A e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 xml:space="preserve">kadangi skurdas ir smurtas dėl lyties yra glaudžiai susiję ir kadangi skurdas didina smurto dėl lyties poveikį, ypač marginalizuotoje padėtyje esančioms moterims, pvz., LGBTIQ+ asmenims; </w:t>
            </w:r>
            <w:r>
              <w:t>kadangi skurde gyvenančioms moterims kyla didesnė rizika patirti smurtą, įskaitant artimo partnerio smurtą ir smurtą šeimoje, dėl tokių veiksnių kaip finansinė priklausomybė, būsto nesaugumas ir sumažėjusios galimybės naudotis paramos paslaugomis</w:t>
            </w:r>
            <w:r>
              <w:rPr>
                <w:vertAlign w:val="superscript"/>
              </w:rPr>
              <w:t>1a</w:t>
            </w:r>
            <w:r>
              <w:t>;</w:t>
            </w:r>
            <w:r>
              <w:rPr>
                <w:b/>
                <w:i/>
              </w:rPr>
              <w:t xml:space="preserve"> </w:t>
            </w:r>
            <w:r>
              <w:t>kadangi ES 27 30,7 proc. moterų per savo gyvenimą patiria bet kurio nusikaltėlio vykdytą fizinį smurtą, grasinimus ir (arba) seksualinį smurtą</w:t>
            </w:r>
            <w:r>
              <w:rPr>
                <w:vertAlign w:val="superscript"/>
              </w:rPr>
              <w:t>1b</w:t>
            </w:r>
            <w:r>
              <w:t>;</w:t>
            </w:r>
            <w:r>
              <w:rPr>
                <w:b/>
                <w:i/>
              </w:rPr>
              <w:t xml:space="preserve"> kadangi dėl skurdo moterims kyla didesnė rizika tapti prekybos žmonėmis auka ir nukentėti nuo seksualinio išnaudojimo;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EIGE, https://eige.europa.eu/sites/default/files/documents/financial-independence-and-gender-equality.pdf.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1b</w:t>
            </w:r>
            <w:r>
              <w:t xml:space="preserve"> </w:t>
            </w:r>
            <w:r>
              <w:rPr>
                <w:b/>
                <w:i/>
              </w:rPr>
              <w:t>EIGE, „Smurto dėl lyties tyrimas“, https://eige.europa.eu/newsroom/eu-gender-based-violence-survey?language_content_entity=en.</w:t>
            </w:r>
          </w:p>
        </w:tc>
      </w:tr>
    </w:tbl>
    <w:p>
      <w:r>
        <w:rPr>
          <w:rStyle w:val="HideTWBExt"/>
        </w:rPr>
        <w:t>&lt;/Amend&gt;</w:t>
      </w:r>
    </w:p>
    <w:p>
      <w:pPr>
        <w:pStyle w:val="AmNumberTabs"/>
      </w:pPr>
      <w:r>
        <w:rPr>
          <w:rStyle w:val="HideTWBExt"/>
        </w:rPr>
        <w:t>&lt;Amend&gt;</w:t>
      </w:r>
      <w:r>
        <w:t>Pakeitimas</w:t>
      </w:r>
      <w:r>
        <w:tab/>
      </w:r>
      <w:r>
        <w:tab/>
      </w:r>
      <w:r>
        <w:rPr>
          <w:rStyle w:val="HideTWBExt"/>
        </w:rPr>
        <w:t>&lt;NumAm&gt;</w:t>
      </w:r>
      <w:r>
        <w:t>21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A f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kadangi moterys, patiriančios benamystę, statistikoje dažnai nematomos ir susiduria su lyčių aspektu grindžiamais benamystės būdais; kadangi norminėse benamystės apibrėžtyse dažnai neatsižvelgiama į realijas, su kuriomis susiduria moterys ir kurios skiriasi nuo vyrų realijų, nes jos rečiau miega tam nepritaikytose vietose ir dažniau naudojasi neoficialiomis ar laikinomis apgyvendinimo sąlygomis, rizikuodamos patirti smurtą dėl lyties ir prarasti savo vaikų globą; kadangi LGBTIQ+ asmenys, ypač translyčiai asmenys ir benamiai, susiduria su didesne skurdo ir socialinės atskirties rizika dėl struktūrinės diskriminacijos užimtumo, būsto, sveikatos priežiūros ir galimybių naudotis socialinės apsaugos sistemomis srityse;</w:t>
            </w:r>
          </w:p>
        </w:tc>
      </w:tr>
    </w:tbl>
    <w:p>
      <w:r>
        <w:rPr>
          <w:rStyle w:val="HideTWBExt"/>
        </w:rPr>
        <w:t>&lt;/Amend&gt;</w:t>
      </w:r>
    </w:p>
    <w:p>
      <w:pPr>
        <w:pStyle w:val="AmNumberTabs"/>
      </w:pPr>
      <w:r>
        <w:rPr>
          <w:rStyle w:val="HideTWBExt"/>
        </w:rPr>
        <w:t>&lt;Amend&gt;</w:t>
      </w:r>
      <w:r>
        <w:t>Pakeitimas</w:t>
      </w:r>
      <w:r>
        <w:tab/>
      </w:r>
      <w:r>
        <w:tab/>
      </w:r>
      <w:r>
        <w:rPr>
          <w:rStyle w:val="HideTWBExt"/>
        </w:rPr>
        <w:t>&lt;NumAm&gt;</w:t>
      </w:r>
      <w:r>
        <w:t>22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A g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 xml:space="preserve">kadangi neapmokamas ir nepakankamai apmokamas priežiūros darbas, kurį neproporcingai atlieka moterys, tebėra vienas iš pagrindinių lyčių nelygybės, susijusios su pajamomis, karjeros raida ir pensijomis, veiksnių, lemiantis mažesnes pajamas visą gyvenimą ir didelį vyrų ir moterų pensijų skirtumą; </w:t>
            </w:r>
            <w:r>
              <w:t>kadangi moterys paprastai gyvena ilgiau ir joms senstant labiau tikėtina, kad joms reikės ilgalaikės priežiūros</w:t>
            </w:r>
            <w:r>
              <w:rPr>
                <w:vertAlign w:val="superscript"/>
              </w:rPr>
              <w:t>1a</w:t>
            </w:r>
            <w:r>
              <w:t>;</w:t>
            </w:r>
            <w:r>
              <w:rPr>
                <w:b/>
                <w:i/>
              </w:rPr>
              <w:t xml:space="preserve"> </w:t>
            </w:r>
            <w:r>
              <w:t>kadangi dauguma ilgalaikės priežiūros darbuotojų taip pat yra moterys, kurių daugelis yra migrantės</w:t>
            </w:r>
            <w:r>
              <w:rPr>
                <w:vertAlign w:val="superscript"/>
              </w:rPr>
              <w:t>1b</w:t>
            </w:r>
            <w:r>
              <w:t>;</w:t>
            </w:r>
            <w:r>
              <w:rPr>
                <w:b/>
                <w:i/>
              </w:rPr>
              <w:t xml:space="preserve"> </w:t>
            </w:r>
            <w:r>
              <w:t>kadangi 2021 m. darbo užmokestis ilgalaikės priežiūros ir kituose socialinių paslaugų sektoriuose buvo 21 proc. mažesnis už vidutinį darbo užmokestį</w:t>
            </w:r>
            <w:r>
              <w:rPr>
                <w:vertAlign w:val="superscript"/>
              </w:rPr>
              <w:t>1c</w:t>
            </w:r>
            <w:r>
              <w:t>;</w:t>
            </w:r>
            <w:r>
              <w:rPr>
                <w:b/>
                <w:i/>
              </w:rPr>
              <w:t xml:space="preserve"> kadangi horizontalioji segregacija dėl lyties darbo rinkoje prisideda prie nuolatinės darbo užmokesčio nelygybės;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Jungtinių Tautų Ekonomikos ir socialinių reikalų departamentas (UNDESA), „Augėjantis ilgalaikės priežiūros poreikis“, https://www.un.org/esa/socdev/ageing/documents/un-ageing_briefing-paper_Long-term-care.pdf.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1b</w:t>
            </w:r>
            <w:r>
              <w:t xml:space="preserve"> </w:t>
            </w:r>
            <w:r>
              <w:rPr>
                <w:b/>
                <w:i/>
              </w:rPr>
              <w:t>EIGE, „Lyčių nelygybė priežiūros srityje ir pasekmės darbo rinkai“, Europos Sąjungos leidinių biuras, 2021 m., https://eige.europa.eu/sites/default/files/documents/20204948_mh0220888enn_pdf.pdf.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1c</w:t>
            </w:r>
            <w:r>
              <w:t xml:space="preserve"> </w:t>
            </w:r>
            <w:r>
              <w:rPr>
                <w:b/>
                <w:i/>
              </w:rPr>
              <w:t>EUROFOUND, „Darbo užmokestis teikiant ilgalaikės priežiūros ir kitas socialines paslaugas 21 proc. mažesnis už vidurkį“, 2021 m., https://www.eurofound.europa.eu/en/resources/article/2021/wages-long-term-care-and-other-social-services-21-low-average.</w:t>
            </w:r>
          </w:p>
        </w:tc>
      </w:tr>
    </w:tbl>
    <w:p>
      <w:r>
        <w:rPr>
          <w:rStyle w:val="HideTWBExt"/>
        </w:rPr>
        <w:t>&lt;/Amend&gt;</w:t>
      </w:r>
    </w:p>
    <w:p>
      <w:pPr>
        <w:pStyle w:val="AmNumberTabs"/>
      </w:pPr>
      <w:r>
        <w:rPr>
          <w:rStyle w:val="HideTWBExt"/>
        </w:rPr>
        <w:t>&lt;Amend&gt;</w:t>
      </w:r>
      <w:r>
        <w:t>Pakeitimas</w:t>
      </w:r>
      <w:r>
        <w:tab/>
      </w:r>
      <w:r>
        <w:tab/>
      </w:r>
      <w:r>
        <w:rPr>
          <w:rStyle w:val="HideTWBExt"/>
        </w:rPr>
        <w:t>&lt;NumAm&gt;</w:t>
      </w:r>
      <w:r>
        <w:t>23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A h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Ah.</w:t>
            </w:r>
            <w:r>
              <w:tab/>
            </w:r>
            <w:r>
              <w:rPr>
                <w:b/>
                <w:i/>
              </w:rPr>
              <w:t xml:space="preserve">kadangi dėl ekonominio neaktyvumo ir nedarbo labai padidėja tiek moterų, tiek vyrų skurdo ir socialinės atskirties rizika; </w:t>
            </w:r>
            <w:r>
              <w:t>kadangi 2024 m. vyrų ir moterų užimtumo skirtumas ES buvo 10.0 procentinio punkto, o tai reiškia, kad dirbančių darbingo amžiaus vyrų dalis 10.0 procentinio punkto viršijo moterų dalį</w:t>
            </w:r>
            <w:r>
              <w:rPr>
                <w:vertAlign w:val="superscript"/>
              </w:rPr>
              <w:t>1a</w:t>
            </w:r>
            <w:r>
              <w:t>;</w:t>
            </w:r>
            <w:r>
              <w:rPr>
                <w:b/>
                <w:i/>
              </w:rPr>
              <w:t xml:space="preserve"> </w:t>
            </w:r>
            <w:r>
              <w:t>kadangi romų moterų užimtumo lygis yra dar žemesnis, t. y. 28 proc</w:t>
            </w:r>
            <w:r>
              <w:rPr>
                <w:vertAlign w:val="superscript"/>
              </w:rPr>
              <w:t>1c</w:t>
            </w:r>
            <w:r>
              <w:t>.;</w:t>
            </w:r>
            <w:r>
              <w:rPr>
                <w:b/>
                <w:i/>
              </w:rPr>
              <w:t xml:space="preserve"> </w:t>
            </w:r>
            <w:r>
              <w:t>kadangi 2023 m. vyrų ir moterų darbo užmokesčio skirtumas ES siekė 12 proc., kadangi neproporcingai daug moterų dirba menkai apmokamo, mažų garantijų darbo sektoriuose ir lanksčiose darbo formose, su netipinėmis ir lanksčiomis darbo sutartimis (darbas ne visą darbo dieną, laikinas darbas ir t. t.);</w:t>
            </w:r>
            <w:r>
              <w:rPr>
                <w:b/>
                <w:i/>
              </w:rPr>
              <w:t xml:space="preserve"> kadangi, nors darbas sektoriuose, kuriuose daugiausia dirba moterys, yra labai svarbus, o jo socialinė ir ekonominė vertė yra didelė, jis yra menkiau vertinamas ir dažnai mažiau apmokamas nei darbas sektoriuose, kuriuose daugiausia dirba vyrai; kadangi reikia skubiai iš naujo įvertinti darbo užmokesčio adekvatumą sektoriuose, kuriuose daugiausia dirba moterys, atsižvelgiant į jų socialinę ir ekonominę vertę, ir pasiekti pažangos ES teisės aktais didinant minimalųjį darbo užmokestį, minimalias pajamas ir darbo užmokesčio skaidrumą; kadangi moterys patiria diskriminaciją dėl nėštumo ir motinystės, taip pat dėl ankstyvo išėjimo į pensiją iš darbo rinkos dėl priežiūros pareigų ir menopauzės sutrikimų poveikio jų sveikatai ar dėl socialinės padėties; </w:t>
            </w:r>
            <w:r>
              <w:t>kadangi tik 20,7 proc. neįgalių moterų dirba visą darbo dieną</w:t>
            </w:r>
            <w:r>
              <w:rPr>
                <w:vertAlign w:val="superscript"/>
              </w:rPr>
              <w:t>1d</w:t>
            </w:r>
            <w:r>
              <w:t xml:space="preserve">; </w:t>
              <w:br/>
            </w:r>
            <w:r>
              <w:rPr>
                <w:b/>
                <w:i/>
              </w:rPr>
              <w:t xml:space="preserve"> </w:t>
            </w:r>
            <w:r>
              <w:t>kadangi translyčių moterų bedarbystės tikimybė yra tris kartus didesnė nei bendro gyventojų skaičiaus vidurkis</w:t>
            </w:r>
            <w:r>
              <w:rPr>
                <w:vertAlign w:val="superscript"/>
              </w:rPr>
              <w:t>1e</w:t>
            </w:r>
            <w:r>
              <w:t xml:space="preserve">; </w:t>
              <w:br/>
            </w:r>
            <w:r>
              <w:rPr>
                <w:b/>
                <w:i/>
              </w:rPr>
              <w:t xml:space="preserve"> kadangi moterys migrantės, įskaitant pabėgėles, patiria įvairių formų diskriminaciją, susijusią su užimtumu ir būstu;  </w:t>
              <w:br/>
              <w:t xml:space="preserve"> kadangi nuolatinis vyrų ir moterų darbo užmokesčio skirtumas prisideda prie visą gyvenimą trunkančios ekonominės nelygybės, įskaitant pensijų skirtumus ir didesnę vyresnio amžiaus moterų skurdo riziką, o tai trukdo konkurencingumui ES; kadangi šį darbo užmokesčio skirtumą lemia tokie veiksniai kaip profesinė segregacija, darbo valandų skirtumai ir nevienodas atstovavimas vyresniojo rango pareigūnams, kurie bendrai trukdo moterų ekonominei nepriklausomybei ir socialiniam saugumui; kadangi moterų ir vyrų darbo užmokesčio skirtumo problemos sprendimas labai svarbus siekiant sukurti teisingas darbo rinkas ir sumažinti skurdą dėl lyties visose amžiaus grupėse; </w:t>
            </w:r>
            <w:r>
              <w:t>kadangi 2024 m. moterys ES gavo vidutiniškai 26,1 proc. mažesnes pensijų pajamas nei vyrai ir 5,3 proc. moterų jokios pensijos negavo</w:t>
            </w:r>
            <w:r>
              <w:rPr>
                <w:vertAlign w:val="superscript"/>
              </w:rPr>
              <w:t>1f</w:t>
            </w:r>
            <w:r>
              <w:t>;</w:t>
            </w:r>
            <w:r>
              <w:rPr>
                <w:b/>
                <w:i/>
              </w:rPr>
              <w:t xml:space="preserve"> kadangi tai yra disbalanso, kurį lemia nuolatinė nelygybė visą gyvenimą, rezultatas; kadangi šis pensijų skirtumas reiškia, kad vyresnio amžiaus moterys dažniau atsidurs žemiau skurdo ribos, taip pat atsižvelgiant į tai, kad moterų tikėtina gyvenimo trukmė yra ilgesnė nei vyrų ir todėl didėja skurdo bei socialinės atskirties padariniai; kadangi pajamų nelygybė vis dar kelia didelį susirūpinimą visoje ES; kadangi, nepaisant bendro ekonomikos augimo, pajamų padidėjimas buvo neproporcingai naudingas daugiausiai uždirbantiems asmenims, o mažas ir vidutines pajamas gaunančių namų ūkių padėtis pagerėjo tik nežymiai; </w:t>
            </w:r>
            <w:r>
              <w:t>kadangi 2023 m. ekvivalentinių disponuojamųjų pajamų Gini koeficientas ES buvo 29,6 proc., o tai rodo nuolatinius pajamų pasiskirstymo skirtumus</w:t>
            </w:r>
            <w:r>
              <w:rPr>
                <w:vertAlign w:val="superscript"/>
              </w:rPr>
              <w:t>1g</w:t>
            </w:r>
            <w:r>
              <w:t>;</w:t>
            </w:r>
            <w:r>
              <w:rPr>
                <w:b/>
                <w:i/>
              </w:rPr>
              <w:t xml:space="preserve"> kadangi numatoma, kad iki 2030 m. vyrų ir moterų skurdo skirtumas didės, nes moterys ir toliau sudarys daugumą itin skurstančių pasaulio gyventojų, o šis atotrūkis gali dar labiau padidėti dėl mūsų darbo rinkų skaitmeninimo, atsižvelgiant į lyčių nelygybę mokslo, technologijų, inžinerijos ir matematikos srityse ir atotrūkį kai kuriuose užimtumo sektoriuose, pvz., gynybos ir orlaivių bei erdvėlaivių, informacinių ir ryšių technologijų ir energetikos sektoriuose;</w:t>
            </w:r>
            <w:r>
              <w:rPr>
                <w:vertAlign w:val="superscript"/>
              </w:rPr>
              <w:t>1b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Eurostatas, Statistics Explained, „Gender statistics“, žiūrėta 2025 m. birželio 23 d., https://ec.europa.eu/eurostat/statistics-explained/index.php?title=Gender_statistics.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1b</w:t>
            </w:r>
            <w:r>
              <w:t xml:space="preserve"> </w:t>
            </w:r>
            <w:r>
              <w:rPr>
                <w:b/>
                <w:i/>
              </w:rPr>
              <w:t>Pagrindinių teisių agentūra, Roma in 10 European countries, 2022 m., https://fra.europa.eu/sites/default/files/fra_uploads/fra-2022-roma-survey-2021-main-results2_en.pdf.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1c</w:t>
            </w:r>
            <w:r>
              <w:t xml:space="preserve"> </w:t>
            </w:r>
            <w:r>
              <w:rPr>
                <w:b/>
                <w:i/>
              </w:rPr>
              <w:t>Eurostatas, Statistics Explained, „Gender pay gap statistics“, 2025 m. kovo mėn. gauti duomenys, https://ec.europa.eu/eurostat/statistics-explained/index.php?title=Gender_pay_gap_statistics.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1d</w:t>
            </w:r>
            <w:r>
              <w:t xml:space="preserve"> </w:t>
            </w:r>
            <w:r>
              <w:rPr>
                <w:b/>
                <w:i/>
              </w:rPr>
              <w:t>Europos neįgaliųjų forumas, „2023 m. ES lyčių lygybės indeksas: Neįgalios moterys vis dar lieka nuošalyje“, 2023 m., https://www.edf-feph.org/2023-eu-gender-equality-index-women-with-disabilities-still-left-behind/#:~:text=22%25%20of%20women%20with%20disabilities,15%25%20of%20men%20without%20disabilities.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1e</w:t>
            </w:r>
            <w:r>
              <w:t xml:space="preserve"> </w:t>
            </w:r>
            <w:r>
              <w:rPr>
                <w:b/>
                <w:i/>
              </w:rPr>
              <w:t>Europos Komisija, Teisingumo ir vartotojų reikalų direktoratas, „Teisinis lyčių pripažinimas ES“, Europos Sąjungos leidinių biuras, 2020 m., https://commission.europa.eu/system/files/2020-09/legal_gender_recognition_in_the_eu_the_journeys_of_trans_people_towards_full_equality_sept_en.pdf.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1f</w:t>
            </w:r>
            <w:r>
              <w:t xml:space="preserve"> </w:t>
            </w:r>
            <w:r>
              <w:rPr>
                <w:b/>
                <w:i/>
              </w:rPr>
              <w:t>Europos Komisija, Užimtumo, socialinių reikalų ir įtraukties generalinis direktoratas ir Socialinės apsaugos komitetas, „The 2024 pension adequacy report“, Europos Sąjungos leidinių biuras, 2024 m., https://employment-social-affairs.ec.europa.eu/pension-adequacy-report-current-and-future-income-adequacy-old-age-eu_en.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1g</w:t>
            </w:r>
            <w:r>
              <w:t xml:space="preserve"> </w:t>
            </w:r>
            <w:r>
              <w:rPr>
                <w:b/>
                <w:i/>
              </w:rPr>
              <w:t>Eurostatas, Duomenų naršyklė, „Gyvenimo sąlygos Europoje. Pajamų paskirstymas ir pajamų nelygybė“, https://ec.europa.eu/eurostat/statistics-explained/index.php?title=Living_conditions_in_Europe_-_income_distribution_and_income_inequality.</w:t>
            </w:r>
          </w:p>
        </w:tc>
      </w:tr>
    </w:tbl>
    <w:p>
      <w:r>
        <w:rPr>
          <w:rStyle w:val="HideTWBExt"/>
        </w:rPr>
        <w:t>&lt;/Amend&gt;</w:t>
      </w:r>
    </w:p>
    <w:p>
      <w:pPr>
        <w:pStyle w:val="AmNumberTabs"/>
      </w:pPr>
      <w:r>
        <w:rPr>
          <w:rStyle w:val="HideTWBExt"/>
        </w:rPr>
        <w:t>&lt;Amend&gt;</w:t>
      </w:r>
      <w:r>
        <w:t>Pakeitimas</w:t>
      </w:r>
      <w:r>
        <w:tab/>
      </w:r>
      <w:r>
        <w:tab/>
      </w:r>
      <w:r>
        <w:rPr>
          <w:rStyle w:val="HideTWBExt"/>
        </w:rPr>
        <w:t>&lt;NumAm&gt;</w:t>
      </w:r>
      <w:r>
        <w:t>24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A i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Ai.</w:t>
            </w:r>
            <w:r>
              <w:tab/>
            </w:r>
            <w:r>
              <w:t>kadangi 2024 m. moterys ES gavo vidutiniškai 26,1 proc. mažesnes pensijų pajamas nei vyrai ir 5,3 proc. moterų jokios pensijos negavo</w:t>
            </w:r>
            <w:r>
              <w:rPr>
                <w:vertAlign w:val="superscript"/>
              </w:rPr>
              <w:t>1a</w:t>
            </w:r>
            <w:r>
              <w:t>;</w:t>
            </w:r>
            <w:r>
              <w:rPr>
                <w:b/>
                <w:i/>
              </w:rPr>
              <w:t xml:space="preserve"> kadangi tai yra disbalanso, kurį lemia nuolatinė nelygybė visą gyvenimą, rezultatas; kadangi šis pensijų skirtumas reiškia, kad vyresnio amžiaus moterys dažniau atsidurs žemiau skurdo ribos, taip pat atsižvelgiant į tai, kad moterų tikėtina gyvenimo trukmė yra ilgesnė nei vyrų ir todėl didėja skurdo bei socialinės atskirties padariniai; kadangi didesnė įtrauktis į darbo rinką per visą asmens gyvenimą padės panaikinti vyrų ir moterų pensijų skirtumą;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Europos Komisija, Užimtumo, socialinių reikalų ir įtraukties generalinis direktoratas ir Socialinės apsaugos komitetas, „The 2024 pension adequacy report“, Europos Sąjungos leidinių biuras, 2024 m.</w:t>
            </w:r>
          </w:p>
        </w:tc>
      </w:tr>
    </w:tbl>
    <w:p>
      <w:r>
        <w:rPr>
          <w:rStyle w:val="HideTWBExt"/>
        </w:rPr>
        <w:t>&lt;/Amend&gt;</w:t>
      </w:r>
    </w:p>
    <w:p>
      <w:pPr>
        <w:pStyle w:val="AmNumberTabs"/>
      </w:pPr>
      <w:r>
        <w:rPr>
          <w:rStyle w:val="HideTWBExt"/>
        </w:rPr>
        <w:t>&lt;Amend&gt;</w:t>
      </w:r>
      <w:r>
        <w:t>Pakeitimas</w:t>
      </w:r>
      <w:r>
        <w:tab/>
      </w:r>
      <w:r>
        <w:tab/>
      </w:r>
      <w:r>
        <w:rPr>
          <w:rStyle w:val="HideTWBExt"/>
        </w:rPr>
        <w:t>&lt;NumAm&gt;</w:t>
      </w:r>
      <w:r>
        <w:t>25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A j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Aj.</w:t>
            </w:r>
            <w:r>
              <w:tab/>
            </w:r>
            <w:r>
              <w:rPr>
                <w:b/>
                <w:i/>
              </w:rPr>
              <w:t>kadangi „laiko nepriteklius“ – tai laiko nebuvimas, atėmus laiką, reikalingą apmokamam darbui ir neapmokamam darbui (rūpyba), studijoms ar kitiems būtiniausiems gyvenimo poreikiams, pvz., psichinei ir fizinei savipriežiūrai; kadangi dėl laiko nepritekliaus moterys netenka laisvo laiko ar galimybės savarankiškai naudoti turimą laiką, todėl negali turėti tinkamų darbo sąlygų, būti finansiškai nepriklausomoms, mokytis ir gauti pagrindinių išteklių bei minimalių paslaugų, kurios leistų gyventi sveikai ir visapusiškai integruotis į savo bendruomenę ar visuomenę. kadangi dėl laiko nepritekliaus ribojamos moterų galimybės dirbti ilgalaikį darbą visą darbo laiką, ribojamos jų galimybės užsidirbti, didėja priklausomybė nuo mažo darbo užmokesčio arba darbo ne visą darbo laiką darbo vietų, mažėja pensijų įmokos ir didėja finansinė priklausomybė senatvėje; kadangi šie sutampantys trūkumai rodo, kad reikia skubiai susieti lyčių lygybę su pajamų saugumu ir visapusiškomis priežiūros politikos reformomis; kadangi sprendžiant laiko nepritekliaus problemą reikia iš esmės persvarstyti priežiūros ir namų ruošos darbo organizavimą, vertinimą ir perskirstymą visuomenėje; kadangi būtina skubiai susieti teisingumą priežiūros srityje su ekonominiu teisingumu ir kovoti su sistemomis, kurios pakeičia darbo rinką, kartu išgaunant vertę iš neapmokamo ir nematomo darbo, kurį daugiausia atlieka moterys;</w:t>
            </w:r>
          </w:p>
        </w:tc>
      </w:tr>
    </w:tbl>
    <w:p>
      <w:r>
        <w:rPr>
          <w:rStyle w:val="HideTWBExt"/>
        </w:rPr>
        <w:t>&lt;/Amend&gt;</w:t>
      </w:r>
    </w:p>
    <w:p>
      <w:pPr>
        <w:pStyle w:val="AmNumberTabs"/>
      </w:pPr>
      <w:r>
        <w:rPr>
          <w:rStyle w:val="HideTWBExt"/>
        </w:rPr>
        <w:t>&lt;Amend&gt;</w:t>
      </w:r>
      <w:r>
        <w:t>Pakeitimas</w:t>
      </w:r>
      <w:r>
        <w:tab/>
      </w:r>
      <w:r>
        <w:tab/>
      </w:r>
      <w:r>
        <w:rPr>
          <w:rStyle w:val="HideTWBExt"/>
        </w:rPr>
        <w:t>&lt;NumAm&gt;</w:t>
      </w:r>
      <w:r>
        <w:t>26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A k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Ak.</w:t>
            </w:r>
            <w:r>
              <w:tab/>
            </w:r>
            <w:r>
              <w:rPr>
                <w:b/>
                <w:i/>
              </w:rPr>
              <w:t>Kadangi moterys sudaro didžiąją dalį asmenų, patiriančių energijos nepriteklių, jos yra labiau priklausomos nuo gamtos išteklių ir turi mažiau turto ar išteklių, kad galėtų prisitaikyti prie klimato kaitos poveikio; kadangi dėl energetikos krizių ir didėjančių pragyvenimo išlaidų, ypač susijusių su būstu, mažėja moterų finansiniai pajėgumai kurti savarankišką gyvenimą, todėl pajamų neturinčioms arba mažas pajamas gaunančioms moterims sunkiau išvengti smurto šeimoje;</w:t>
            </w:r>
          </w:p>
        </w:tc>
      </w:tr>
    </w:tbl>
    <w:p>
      <w:r>
        <w:rPr>
          <w:rStyle w:val="HideTWBExt"/>
        </w:rPr>
        <w:t>&lt;/Amend&gt;</w:t>
      </w:r>
    </w:p>
    <w:p>
      <w:pPr>
        <w:pStyle w:val="AmNumberTabs"/>
      </w:pPr>
      <w:r>
        <w:rPr>
          <w:rStyle w:val="HideTWBExt"/>
        </w:rPr>
        <w:t>&lt;Amend&gt;</w:t>
      </w:r>
      <w:r>
        <w:t>Pakeitimas</w:t>
      </w:r>
      <w:r>
        <w:tab/>
      </w:r>
      <w:r>
        <w:tab/>
      </w:r>
      <w:r>
        <w:rPr>
          <w:rStyle w:val="HideTWBExt"/>
        </w:rPr>
        <w:t>&lt;NumAm&gt;</w:t>
      </w:r>
      <w:r>
        <w:t>27</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A l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Al.</w:t>
            </w:r>
            <w:r>
              <w:tab/>
            </w:r>
            <w:r>
              <w:rPr>
                <w:b/>
                <w:i/>
              </w:rPr>
              <w:t>kadangi menstruacinių priemonių nepriteklius yra tinkamų galimybių naudotis menstruacijų higienos produktais ir infrastruktūra trūkumas, darantis poveikį maždaug 10 proc. menstruacijas patiriančių ES gyventojų, darantis neproporcingą poveikį marginalizuotoms ir pažeidžiamoms grupėms ir ribojantis jų dalyvavimą socialiniame, švietimo ir profesiniame gyvenime; pabrėžia, kad menstruacinių priemonių nepriteklius tebėra nuolatinė kliūtis lyčių lygybei ES, nes mažas pajamas gaunančios moterys ir mergaitės dažnai yra priverstos rinktis tarp menstruacinių higienos priemonių ir kitų pagrindinių poreikių;</w:t>
            </w:r>
          </w:p>
        </w:tc>
      </w:tr>
    </w:tbl>
    <w:p>
      <w:r>
        <w:rPr>
          <w:rStyle w:val="HideTWBExt"/>
        </w:rPr>
        <w:t>&lt;/Amend&gt;</w:t>
      </w:r>
    </w:p>
    <w:p>
      <w:pPr>
        <w:pStyle w:val="AmNumberTabs"/>
      </w:pPr>
      <w:r>
        <w:rPr>
          <w:rStyle w:val="HideTWBExt"/>
        </w:rPr>
        <w:t>&lt;Amend&gt;</w:t>
      </w:r>
      <w:r>
        <w:t>Pakeitimas</w:t>
      </w:r>
      <w:r>
        <w:tab/>
      </w:r>
      <w:r>
        <w:tab/>
      </w:r>
      <w:r>
        <w:rPr>
          <w:rStyle w:val="HideTWBExt"/>
        </w:rPr>
        <w:t>&lt;NumAm&gt;</w:t>
      </w:r>
      <w:r>
        <w:t>28</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A m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Am.</w:t>
            </w:r>
            <w:r>
              <w:tab/>
            </w:r>
            <w:r>
              <w:rPr>
                <w:b/>
                <w:i/>
              </w:rPr>
              <w:t xml:space="preserve">kadangi Afrikos kilmės žmonėms kyla didesnė skurdo, socialinės atskirties ir energijos nepritekliaus rizika nei visiems gyventojams ES; kadangi 33 proc. Afrikos kilmės žmonių sunkiai pragyvena; kadangi vienam iš keturių afrikiečių kilmės žmonių buvo atsisakyta išnuomoti būstą dėl jų rasinės ar etninės kilmės; </w:t>
            </w:r>
            <w:r>
              <w:t>kadangi 45 proc. Afrikos kilmės žmonių gyvena perpildytuose būstuose</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ES pagrindinių teisių agentūra, „Being Black in the EU“, Europos Sąjungos leidinių biuras, 2024 m., https://fra.europa.eu/sites/default/files/fra_uploads/fra-2023-being-black_in_the_eu_en.pdf.</w:t>
            </w:r>
          </w:p>
        </w:tc>
      </w:tr>
    </w:tbl>
    <w:p>
      <w:r>
        <w:rPr>
          <w:rStyle w:val="HideTWBExt"/>
        </w:rPr>
        <w:t>&lt;/Amend&gt;</w:t>
      </w:r>
    </w:p>
    <w:p>
      <w:pPr>
        <w:pStyle w:val="AmNumberTabs"/>
      </w:pPr>
      <w:r>
        <w:rPr>
          <w:rStyle w:val="HideTWBExt"/>
        </w:rPr>
        <w:t>&lt;Amend&gt;</w:t>
      </w:r>
      <w:r>
        <w:t>Pakeitimas</w:t>
      </w:r>
      <w:r>
        <w:tab/>
      </w:r>
      <w:r>
        <w:tab/>
      </w:r>
      <w:r>
        <w:rPr>
          <w:rStyle w:val="HideTWBExt"/>
        </w:rPr>
        <w:t>&lt;NumAm&gt;</w:t>
      </w:r>
      <w:r>
        <w:t>29</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A n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An.</w:t>
            </w:r>
            <w:r>
              <w:tab/>
            </w:r>
            <w:r>
              <w:t>kadangi ES yra 24 proc. asmenų su negalia ir asmenų be negalios užimtumo skirtumas tarp, o moterų su negalia ir jaunimo užimtumo skirtumas dar didesnis</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Europos neįgaliųjų forumas, „EDF 7-oji žmogaus teisių ataskaita. Teisė dirbti: Asmenų su negalia užimtumo padėtis Europoje“, 2023 m., https://www.edf-feph.org/publications/human-rights-report-2023-the-right-to-work/.</w:t>
            </w:r>
          </w:p>
        </w:tc>
      </w:tr>
    </w:tbl>
    <w:p>
      <w:r>
        <w:rPr>
          <w:rStyle w:val="HideTWBExt"/>
        </w:rPr>
        <w:t>&lt;/Amend&gt;</w:t>
      </w:r>
    </w:p>
    <w:p>
      <w:pPr>
        <w:pStyle w:val="AmNumberTabs"/>
      </w:pPr>
      <w:r>
        <w:rPr>
          <w:rStyle w:val="HideTWBExt"/>
        </w:rPr>
        <w:t>&lt;Amend&gt;</w:t>
      </w:r>
      <w:r>
        <w:t>Pakeitimas</w:t>
      </w:r>
      <w:r>
        <w:tab/>
      </w:r>
      <w:r>
        <w:tab/>
      </w:r>
      <w:r>
        <w:rPr>
          <w:rStyle w:val="HideTWBExt"/>
        </w:rPr>
        <w:t>&lt;NumAm&gt;</w:t>
      </w:r>
      <w:r>
        <w:t>30</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laikytis visapusiško ir integruoto požiūrio į kovos su skurdu politiką ir priemones ir nustatyti tikslą panaikinti skurdą kaip kompleksinį sektorių politikos kriterijų;</w:t>
            </w:r>
          </w:p>
        </w:tc>
        <w:tc>
          <w:tcPr>
            <w:tcW w:w="4876" w:type="dxa"/>
            <w:tcBorders>
              <w:top w:val="nil"/>
              <w:left w:val="nil"/>
              <w:bottom w:val="nil"/>
              <w:right w:val="nil"/>
            </w:tcBorders>
          </w:tcPr>
          <w:p>
            <w:pPr>
              <w:pStyle w:val="Normal6a"/>
            </w:pPr>
            <w:r>
              <w:t>d)</w:t>
            </w:r>
            <w:r>
              <w:tab/>
            </w:r>
            <w:r>
              <w:t>laikytis visapusiško ir integruoto požiūrio į kovos su skurdu politiką ir priemones ir nustatyti tikslą panaikinti skurdą kaip kompleksinį sektorių politikos kriterijų, ypač atsižvelgiant į ES lygybės, įtraukties ir socialinės politikos sritis;</w:t>
            </w:r>
          </w:p>
        </w:tc>
      </w:tr>
    </w:tbl>
    <w:p>
      <w:r>
        <w:rPr>
          <w:rStyle w:val="HideTWBExt"/>
        </w:rPr>
        <w:t>&lt;/Amend&gt;</w:t>
      </w:r>
    </w:p>
    <w:p>
      <w:pPr>
        <w:pStyle w:val="AmNumberTabs"/>
      </w:pPr>
      <w:r>
        <w:rPr>
          <w:rStyle w:val="HideTWBExt"/>
        </w:rPr>
        <w:t>&lt;Amend&gt;</w:t>
      </w:r>
      <w:r>
        <w:t>Pakeitimas</w:t>
      </w:r>
      <w:r>
        <w:tab/>
      </w:r>
      <w:r>
        <w:tab/>
      </w:r>
      <w:r>
        <w:rPr>
          <w:rStyle w:val="HideTWBExt"/>
        </w:rPr>
        <w:t>&lt;NumAm&gt;</w:t>
      </w:r>
      <w:r>
        <w:t>31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ragina Komisiją parengti strategiją, kuria būtų atsižvelgiama į lyčių aspektą ir kurioje būtų suvokiami skurdo lyčių aspektai, daug dėmesio skiriant struktūriniam skurdui, kuris ypač paveikia moteris ir mergaites, ir taikyti tarpsektorinį požiūrį, siekiant visų pirma atsižvelgti į vienišas šeimas, kurias daugiausia išlaiko moterys, mažas pajamas gaunančias motinas, neįgalias moteris, marginalizuotoms rasinėms, etninėms ir socialinėms bei ekonominėms grupėms priklausančias moteris, įskaitant romų tautybės moteris, migrantes ir vyresnio amžiaus moteris, smurto dėl lyties aukas ir LGBTIQ+ asmenis;</w:t>
            </w:r>
          </w:p>
        </w:tc>
      </w:tr>
    </w:tbl>
    <w:p>
      <w:r>
        <w:rPr>
          <w:rStyle w:val="HideTWBExt"/>
        </w:rPr>
        <w:t>&lt;/Amend&gt;</w:t>
      </w:r>
    </w:p>
    <w:p>
      <w:pPr>
        <w:pStyle w:val="AmNumberTabs"/>
      </w:pPr>
      <w:r>
        <w:rPr>
          <w:rStyle w:val="HideTWBExt"/>
        </w:rPr>
        <w:t>&lt;Amend&gt;</w:t>
      </w:r>
      <w:r>
        <w:t>Pakeitimas</w:t>
      </w:r>
      <w:r>
        <w:tab/>
      </w:r>
      <w:r>
        <w:tab/>
      </w:r>
      <w:r>
        <w:rPr>
          <w:rStyle w:val="HideTWBExt"/>
        </w:rPr>
        <w:t>&lt;NumAm&gt;</w:t>
      </w:r>
      <w:r>
        <w:t>32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pabrėžia, kad tvariausia skurdo mažinimo politika yra ta, kuria pirmiausia užkertamas kelias skurdui atsirasti; pabrėžia, kad kovos su skurdu strategijoje turi būti šalinamos pagrindinės moterų skurdo priežastys ir įgyvendinami struktūriniai pokyčiai moterims ir tiems, kuriems gresia didžiausias pavojus, daugiausia dėmesio skiriant socialinėms investicijoms į prieinamą ir kokybišką sveikatos priežiūrą, vaikų priežiūrą, įtraukų švietimą, deramą ir įperkamą būstą, tinkamas socialinės apsaugos sistemas ir tikslines priemones, kuriomis siekiama spręsti nepasinaudojimo išmokomis problemą; primygtinai ragina Komisiją spręsti su lytimi susijusios ir tarpsektorinės skurdo rizikos, įskaitant dirbančiųjų skurdą ir skurdą pensijų srityje, klausimą nustatant tinkamą minimalųjį darbo užmokestį, minimaliąsias pajamas, socialinę apsaugą ir kolektyvines derybas; ragina valstybes nares ir Komisiją toliau nagrinėti bazinių pajamų sistemų potencialą įgyvendinant platesnes kovos su skurdu strategijas, kuriose atsižvelgiama į konkretų moterų socialinį ir ekonominį pažeidžiamumą, ir užtikrinti, kad ES sistemose ir duomenų rinkimo priemonėse (pvz., Eurostato, nacionalinių statistikos tarnybų) būtų geriau atsižvelgiama į skurdo lyčių aspektus ir pagrindines jo priežastis;</w:t>
            </w:r>
          </w:p>
        </w:tc>
      </w:tr>
    </w:tbl>
    <w:p>
      <w:r>
        <w:rPr>
          <w:rStyle w:val="HideTWBExt"/>
        </w:rPr>
        <w:t>&lt;/Amend&gt;</w:t>
      </w:r>
    </w:p>
    <w:p>
      <w:pPr>
        <w:pStyle w:val="AmNumberTabs"/>
      </w:pPr>
      <w:r>
        <w:rPr>
          <w:rStyle w:val="HideTWBExt"/>
        </w:rPr>
        <w:t>&lt;Amend&gt;</w:t>
      </w:r>
      <w:r>
        <w:t>Pakeitimas</w:t>
      </w:r>
      <w:r>
        <w:tab/>
      </w:r>
      <w:r>
        <w:tab/>
      </w:r>
      <w:r>
        <w:rPr>
          <w:rStyle w:val="HideTWBExt"/>
        </w:rPr>
        <w:t>&lt;NumAm&gt;</w:t>
      </w:r>
      <w:r>
        <w:t>33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ragina Komisiją pripažinti struktūrines skurdo ir smurto dėl lyties sąsajas ir spręsti smurto dėl lyties problemą kaip pagrindinę skurdo, ypač moterų ir vaikų skurdo, panaikinimo strategiją, pripažįstant, kad visų rūšių smurto panaikinimas yra labai svarbus moterų gebėjimui visapusiškai dalyvauti savo bendruomenėse ir ekonomikoje, gauti išsilavinimą, darbą ir socialines paslaugas ir taip pasiekti finansinę nepriklausomybę; primygtinai ragina Komisiją ir valstybes nares didinti viešąsias investicijas į politiką, kuria kovojama su smurtu dėl lyties; palankiai vertina tai, kad ES ratifikavo Stambulo konvenciją, ir primygtinai ragina Bulgariją, Čekijos Respubliką, Vengriją, Lietuvą ir Slovakiją nedelsiant užbaigti ratifikavimo procesus; ragina Komisiją užtikrinti veiksmingą Direktyvos dėl kovos su smurtu prieš moteris ir smurtu šeimoje įgyvendinimą, užtikrinant, kad skurdą ir kitų rūšių smurtą patiriančios moterys turėtų tinkamas ir besąlygines galimybes naudotis prieglaudomis, paramos aukoms paslaugomis, teisine pagalba ir socialine gerove, nepriklausomai nuo jų gyvenamosios vietos ar migracijos statuso;</w:t>
            </w:r>
          </w:p>
        </w:tc>
      </w:tr>
    </w:tbl>
    <w:p>
      <w:r>
        <w:rPr>
          <w:rStyle w:val="HideTWBExt"/>
        </w:rPr>
        <w:t>&lt;/Amend&gt;</w:t>
      </w:r>
    </w:p>
    <w:p>
      <w:pPr>
        <w:pStyle w:val="AmNumberTabs"/>
      </w:pPr>
      <w:r>
        <w:rPr>
          <w:rStyle w:val="HideTWBExt"/>
        </w:rPr>
        <w:t>&lt;Amend&gt;</w:t>
      </w:r>
      <w:r>
        <w:t>Pakeitimas</w:t>
      </w:r>
      <w:r>
        <w:tab/>
      </w:r>
      <w:r>
        <w:tab/>
      </w:r>
      <w:r>
        <w:rPr>
          <w:rStyle w:val="HideTWBExt"/>
        </w:rPr>
        <w:t>&lt;NumAm&gt;</w:t>
      </w:r>
      <w:r>
        <w:t>34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ragina Komisiją ir valstybes nares skatinti politiką, kuria siekiama apsaugoti ir skatinti darbuotojų teises ir gerinti užimtumo kokybę, įskaitant stabilius darbo santykius, teisingą darbo užmokestį, deramas ir saugias darbo sąlygas ir galimybes naudotis socialine apsauga;</w:t>
            </w:r>
          </w:p>
        </w:tc>
        <w:tc>
          <w:tcPr>
            <w:tcW w:w="4876" w:type="dxa"/>
            <w:tcBorders>
              <w:top w:val="nil"/>
              <w:left w:val="nil"/>
              <w:bottom w:val="nil"/>
              <w:right w:val="nil"/>
            </w:tcBorders>
          </w:tcPr>
          <w:p>
            <w:pPr>
              <w:pStyle w:val="Normal6a"/>
            </w:pPr>
            <w:r>
              <w:t>3.</w:t>
            </w:r>
            <w:r>
              <w:tab/>
            </w:r>
            <w:r>
              <w:t>ragina Komisiją ir valstybes nares skatinti politiką, kuria būtų saugomos ir skatinamos darbuotojų teisės ir gerinama užimtumo kokybė, ypatingą dėmesį skiriant moterims darbo rinkoje, įskaitant stabilius darbo santykius, teisingą ir skaidrų darbo užmokestį visuose sektoriuose, įskaitant sektorius, kuriuose daugiausia dirba moterys, pvz., socialinius, priežiūros, sveikatos ir švietimo sektorius, siekiant užtikrinti vienodą užmokestį už vienodos vertės darbą, deramas ir saugias darbo sąlygas ir galimybę naudotis socialine apsauga;</w:t>
            </w:r>
            <w:r>
              <w:rPr>
                <w:b/>
                <w:i/>
              </w:rPr>
              <w:t xml:space="preserve"> ragina Komisiją ir valstybes nares ypatingą dėmesį skirti vyrų ir moterų užimtumo skirtumo, darbo užmokesčio ir pensijų skirtumų bei dirbančiųjų skurdo mažinimui užtikrinant lanksčias darbo sąlygas ir prieinamas bei įperkamas priežiūros paslaugas, kad moterims būtų sudarytos palankesnės sąlygos gauti kokybišką darbą; primygtinai ragina Komisiją įgalioti pradėti taikyti darbo vietos politiką, kuria būtų remiama menstruacinė sveikata, įskaitant galimybę pasinaudoti menstruacinėmis atostogomis, ir sudaryti sąlygas darbuotojams, sergantiems moterims būdingomis ligomis, pvz., menopauze, migrena ir endometrioze, taip pat suteikti apmokamą laiką reguliariems krūtų patikrinimams atlikti, siekiant skatinti moterų sveikatą ir gerovę visais gyvenimo etapais;</w:t>
            </w:r>
          </w:p>
        </w:tc>
      </w:tr>
    </w:tbl>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primena, kad skurdas ir toliau matuojamas remiantis sukauptomis namų ūkio pajamomis, net jei ne visi namų ūkio nariai uždirba tiek pat arba vienodai paskirsto išteklius; ragina užtikrinti individualizuotas teises ir individualiomis pajamomis grindžiamus skaičiavimus siekiant kovoti su tikruoju moterų skurdo mastu ir kaip priemonę įtraukti laiko stygių;</w:t>
            </w:r>
          </w:p>
        </w:tc>
      </w:tr>
    </w:tbl>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3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pabrėžia, kad svarbu remti moterų verslumo ir savarankiško darbo galimybes, ypač kaimo, salų ir kitose geografiškai atokiose vietovėse, nes tai yra priemonė siekiant geresnės ekonominės įtraukties ir lyčių lygybės bei kovojant su skurdu, kuriant vietos darbo vietas ir skatinant įtraukų ekonominį vystymąsi; ragina Komisiją ir valstybes nares užtikrinti tikslinę paramą verslininkėms gerinant prieigą prie finansavimo, verslo mokymo, skaitmeninių priemonių ir rinkų; ragina Komisiją parengti politiką, kuria būtų sudaromos palankesnės sąlygos moterims gauti kokybišką darbą ir verslumo kelius, skatinant įmones samdyti ir skatinti moteris, ypač vienišas motinas, ir sudaryti lanksčias darbo sąlygas;</w:t>
            </w:r>
          </w:p>
        </w:tc>
      </w:tr>
    </w:tbl>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3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ragina Komisiją įtraukti švietimą, mokymą ir mokymąsi visą gyvenimą į kovos su skurdu strategiją, daugiausia dėmesio skiriant įtraukiam švietimui ir mokyklos nebaigusių asmenų reintegracijai; rekomenduoja plėsti skaitmeninio raštingumo ir gebėjimo naudotis žiniasklaidos priemonėmis programas ir investuoti į antrą galimybę mokytis; pabrėžia, kad kovos su skurdu strategiją reikia susieti su įtraukiuoju švietimu, kvalifikacijos kėlimo ir perkvalifikavimo programomis, taip pat su pilietiniu dalyvavimu, konkrečiai orientuojantis į pažeidžiamas grupes, moteris ir mergaites, ilgalaikius bedarbius, vienišus tėvus ir mokyklos nebaigusius asmenis; ragina Komisiją ir valstybes nares panaikinti skurdą patiriančių moterų ir mergaičių skaitmeninę atskirtį užtikrinant įperkamą prieigą prie interneto, skaitmeninių įgūdžių ugdymą ir prieigą prie internetinių viešųjų paslaugų, daugiausia dėmesio skiriant kaimo ir marginalizuotoms bendruomenėms;</w:t>
            </w:r>
          </w:p>
        </w:tc>
      </w:tr>
    </w:tbl>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pabrėžia, kad klimato kaita daro neproporcingai didelį poveikį skurdą patiriantiems žmonėms, todėl jie tampa pažeidžiamesni sveikatos problemoms, energijos nepritekliui, būsto nesaugumui ir priverstiniam perkėlimui; pabrėžia, kad reikia skubiai imtis klimato politikos veiksmų atsižvelgiant į lyčių aspektą, kad moterys ir mergaitės nepatirtų dar didesnio skurdo; ragina Komisiją ir valstybes nares užtikrinti, kad prisitaikymas prie klimato kaitos, nelaimių rizikos mažinimo strategijos ir kita pasirengimo aspekto integravimo veikla būtų įtrauki, ir atsižvelgti į konkretų moterų ir mergaičių pažeidžiamumą ir pajėgumus, be kita ko, investuojant į švietimą, kuriuo atsižvelgiama į lyčių aspektą, sveikatos priežiūros prieinamumą ir ekonominį atsparumą; ragina Komisiją užtikrinti, kad kovos su skurdu strategija padėtų spręsti neproporcingo klimato kaitos poveikio skurdą patiriantiems žmonėms problemą ir užtikrinti jų įtrauktį į žaliąją pertvarką; ragina Komisiją užtikrinti tinkamą finansavimą klimato nepritekliaus problemai spręsti, daugiausia dėmesio skiriant energijos vartojimo efektyvumui ir būsto renovacijai daugiametėje finansinėje programoje po 2027 m., siekiant užtikrinti, kad vykdant žaliąją pertvarką skurstantys žmonės gautų tinkamą paramą;</w:t>
            </w:r>
          </w:p>
        </w:tc>
      </w:tr>
    </w:tbl>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ragina Komisiją ir valstybes nares kovoti su skurdu skatinant politiką, kuria užtikrinamas politinių, ekonominių, socialinių ir kultūrinių teisių nedalomumas ir visuotinumas;</w:t>
            </w:r>
          </w:p>
        </w:tc>
        <w:tc>
          <w:tcPr>
            <w:tcW w:w="4876" w:type="dxa"/>
            <w:tcBorders>
              <w:top w:val="nil"/>
              <w:left w:val="nil"/>
              <w:bottom w:val="nil"/>
              <w:right w:val="nil"/>
            </w:tcBorders>
          </w:tcPr>
          <w:p>
            <w:pPr>
              <w:pStyle w:val="Normal6a"/>
            </w:pPr>
            <w:r>
              <w:t>6.</w:t>
            </w:r>
            <w:r>
              <w:tab/>
            </w:r>
            <w:r>
              <w:t>ragina Komisiją ir valstybes nares kovoti su skurdu skatinant politiką, kuria užtikrinamas civilinių, politinių, ekonominių, socialinių ir kultūrinių teisių nedalomumas ir visuotinumas;</w:t>
            </w:r>
            <w:r>
              <w:rPr>
                <w:b/>
                <w:i/>
              </w:rPr>
              <w:t> ragina valstybes nares parengti metodikas, pagal kurias būtų vertinamos struktūrinės ar sisteminės kliūtys, trukdančios įveikti skurdą ir socialinę atskirtį bei visapusiškai dalyvauti visuomenės gyvenime, nepriklausomai nuo to, ar šios kliūtys yra jų teisinėse sistemose, viešojoje politikoje ar jos įgyvendinimo teritoriniu lygmeniu būduose;</w:t>
            </w:r>
          </w:p>
        </w:tc>
      </w:tr>
    </w:tbl>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ragina Komisiją ir valstybes nares gerokai padidinti viešąsias investicijas į politiką, kuria užtikrinamos visuotinės, nemokamos ir aukštos kokybės viešosios paslaugos, atsižvelgiant į jų indėlį siekiant nutraukti skurdo ciklą, be kita ko, tokiose srityse kaip švietimas, sveikatos priežiūra, socialinė apsauga, taip pat visuotinė prieiga prie deramo būsto, vandens ir sanitarijos, energijos, transporto, kultūrinės ir laisvalaikio veiklos;</w:t>
            </w:r>
          </w:p>
        </w:tc>
        <w:tc>
          <w:tcPr>
            <w:tcW w:w="4876" w:type="dxa"/>
            <w:tcBorders>
              <w:top w:val="nil"/>
              <w:left w:val="nil"/>
              <w:bottom w:val="nil"/>
              <w:right w:val="nil"/>
            </w:tcBorders>
          </w:tcPr>
          <w:p>
            <w:pPr>
              <w:pStyle w:val="Normal6a"/>
            </w:pPr>
            <w:r>
              <w:t>7.</w:t>
            </w:r>
            <w:r>
              <w:tab/>
            </w:r>
            <w:r>
              <w:t>ragina Komisiją ir valstybes nares gerokai padidinti viešąsias investicijas į politiką, kuria užtikrinamos visuotinės, įperkamos ir aukštos kokybės viešosios paslaugos, atsižvelgiant į jų indėlį įveikiant skurdo ciklus ir mažinant lyčių nelygybę, visų pirma tokiose srityse kaip ikimokyklinis ugdymas su individualiems poreikiams pritaikytais švietimo paramos planais jauniems tėvams, ypač motinoms, aukštos kokybės, prieinamos ir įperkamos vaikų priežiūros ir ilgalaikės priežiūros paslaugos, visų pirma neįgaliesiems, sveikatos priežiūra, įskaitant nemokamą mediciną vaikams, įperkama dantų priežiūra, prieinama psichikos sveikatos priežiūra, galimybė naudotis lytinės ir reprodukcinės sveikatos priežiūros paslaugomis ir teisėmis, įskaitant galimybę naudotis informacijos apie šeimos planavimą paslaugomis, įperkama modernia kontracepcija ir saugia bei teisėta nėštumo nutraukimo priežiūra, socialinė apsauga ir visuotinė galimybė gauti deramą ir įperkamą būstą, vandenį ir sanitariją, energiją, transportą, rekreacinę ir socialinę veiklą, taip pat skaitmeninė prieiga, kad būtų sudarytos palankesnės sąlygos nuotoliniam darbui, pvz., moterims, turinčioms priežiūros pareigų;</w:t>
            </w:r>
            <w:r>
              <w:rPr>
                <w:b/>
                <w:i/>
              </w:rPr>
              <w:t xml:space="preserve"> ragina valstybes nares investuoti pakankamai lėšų į ikimokyklinį ugdymą ir priežiūrą ir užtikrinti, kad nacionalinėse švietimo sistemose būtų teikiamas lyčių lygybe grindžiamas aukštos kokybės švietimas, siekiant kovoti su skurdu švietimo srityje, kuris dažnai daro poveikį moterų galimybėms ir jų gebėjimui gerinti savo socialinę gerovę ir ekonominę nepriklausomybę, be kita ko, pasitelkiant finansinį ir bankinį raštingumą; </w:t>
            </w:r>
            <w:r>
              <w:t>ragina dėti daugiau pastangų siekiant panaikinti vyrų ir moterų užimtumo skirtumą ir vyrų ir moterų darbo užmokesčio bei pensijų skirtumą ir padidinti investicijas į viešąsias paslaugas ir socialinę infrastruktūrą, sveikatos priežiūrą ir ilgalaikę priežiūrą, kurios yra labai svarbios tiek paramai šeimai, tiek moterų ekonominei nepriklausomybei, ir ragina įsipareigoti daryti pažangą siekiant priežiūros visuomenės;</w:t>
            </w:r>
          </w:p>
        </w:tc>
      </w:tr>
    </w:tbl>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rekomenduoja valstybėms narėms užtikrinti esminių, įperkamų ir įtraukių paslaugų teikimą visiems, ypatingą dėmesį skiriant moterų ir pažeidžiamų grupių apsaugai ir poreikiams;</w:t>
            </w:r>
          </w:p>
        </w:tc>
      </w:tr>
    </w:tbl>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pabrėžia, kad reikia stiprinti sveikatos priežiūros sistemas ir užtikrinti, kad jos būtų prieinamos, įperkamos ir įtraukios, atsižvelgiant į konkrečius moterų sveikatos poreikius; ragina Komisiją ir valstybes nares užtikrinti, kad visi jaunuoliai, ypač mergaitės ir LGBTQI+ jaunimas, ypač kaimo vietovėse ir mažas pajamas gaunantys ar dėl kitų priežasčių marginalizuoti jaunuoliai, turėtų galimybę naudotis jaunimui palankiomis lytinės ir reprodukcinės sveikatos bei teisių paslaugomis ir informacija, įskaitant amžių atitinkantį išsamų lytinį ir santykių švietimą, informaciją apie šeimos planavimą ir konsultavimo paslaugas mokykloje ir bendruomenėje, įperkamus kontracepcijos ir menstruacijų produktus bei saugią ir teisėtą nėštumo nutraukimo priežiūrą, kaip įtraukios ir lyčiai atžvalgios kovos su skurdu strategijos dalį;</w:t>
            </w:r>
          </w:p>
        </w:tc>
      </w:tr>
    </w:tbl>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7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dar kartą patvirtina, kad visapusiška lytinė ir reprodukcinė sveikata bei teisės, įskaitant prieiga prie kontraceptinių priemonių, priežiūrą iki gimdymo ir (arba) motinų priežiūrą, saugų abortą, vaisingumo paslaugas ir amžiui tinkamą lytinio švietimą, yra esminiai lyčių lygybės ir skurdo mažinimo elementai; ragina Komisiją ir valstybes nares į visas kovos su moterų ir mergaičių skurdu strategijas įtraukti lytinę ir reprodukcinę sveikatą bei teises kaip pagrindinį ramstį;</w:t>
            </w:r>
          </w:p>
        </w:tc>
      </w:tr>
    </w:tbl>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7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ragina skatinti bendruomeninius priežiūros metodus, kurie būtų dalyvaujamojo pobūdžio, įsišakniję vietos lygmeniu ir kuriami tiesiogiai dalyvaujant skurdą patiriantiems asmenims, siekiant užtikrinti, kad paslaugos, erdvės ir paramos mechanizmai atspindėtų faktinius žmonių, kuriems jie tarnauja, poreikius ir realijas; pabrėžia, kad svarbu įtraukti moteris ir marginalizuotas bendruomenes į tokių erdvių planavimą ir kūrimą, siekiant užtikrinti, kad jos būtų saugios, įtraukios ir atitiktų su lytimi susijusius poreikius;</w:t>
            </w:r>
          </w:p>
        </w:tc>
      </w:tr>
    </w:tbl>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7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7e.</w:t>
            </w:r>
            <w:r>
              <w:tab/>
            </w:r>
            <w:r>
              <w:rPr>
                <w:b/>
                <w:i/>
              </w:rPr>
              <w:t>ragina Komisiją ir valstybes nares užtikrinti visų asmenų, ypač esančių pažeidžiamoje padėtyje, teisę būti tinkamai informuotiems apie visas jiems prieinamas viešąsias paslaugas ir socialinę paramą, be kita ko, būsto, sveikatos priežiūros, švietimo, užimtumo ir apsaugos nuo smurto dėl lyties srityse; pabrėžia, kad informacija turi būti aiški, tinkama kultūriškai ir kalbiškai ir aktyviai skleidžiama;</w:t>
            </w:r>
          </w:p>
        </w:tc>
      </w:tr>
    </w:tbl>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ragina Komisiją spręsti unikalius iššūkius ir pažeidžiamumus, su kuriais susiduria benamės moterys, pripažįstant, kad jų benamystė dažnai skiriasi nuo vyrų, joms kyla didesnė smurto, seksualinės prievartos ir prekybos žmonėmis rizika, taip pat konkrečios sveikatos problemos, susijusios su reprodukcine sveikata ir higiena; pabrėžia, kad deramas ir įperkamas būstas yra pagrindinė teisė ir būtina naudojimosi kitomis pagrindinėmis teisėmis sąlyga; pabrėžia, kad į kovos su skurdu strategiją turi būti įtrauktas specialus skyrius dėl kovos su benamyste, pripažįstant ją viena iš sunkiausių ir akivaizdžiausių skurdo ir socialinės atskirties formų, ypatingą dėmesį skiriant su lytimi susijusiems jos aspektams; ragina Komisiją toliau plėtoti Europos kovos su benamyste platformą (EPOCH) didinant jos finansavimą tiek veiklai, tiek valdymui ir išplečiant tris darbo kryptis, susijusias su stebėsena, abipusiu mokymusi ir galimybe gauti ES lėšų, ypatingą dėmesį skiriant benamėms moterims; ragina Komisiją skatinti valstybes nares į nacionalines benamystės strategijas įtraukti modelius „svarbiausia – būstas“, pagal kuriuos pirmenybė būtų teikiama nuo smurto dėl lyties bėgančioms moterims, migrantėms, dėl rasės diskriminuojamoms moterims, vienišoms motinoms, neįgalioms moterims ir kaimo vietovėse gyvenančioms moterims, taip pat LGBTIQ+ asmenims, laikantis EPOCH; ragina užtikrinti įtraukią visų moterų, nepaisant jų teisinio statuso, prieigą prie pagrindinių paslaugų, socialinės apsaugos ir būsto; pabrėžia, kad reikia kultūriniu požiūriu jautrių ir daugiakalbių paramos paslaugų, ypač miestuose ir pasienio regionuose; ragina Komisiją sutelkti ES lėšas daugiametėje finansinėje programoje po 2027 m. (pvz., ESF+, ERPF, „InvestEU“), siekiant kovoti su dideliu materialiniu nepritekliumi ir remti įperkamą būstą, konkrečiai skirtą benamystę patiriančioms moterims, kaip konvergencijos su Europos priežiūros strategija ir Europos vaiko garantijų sistema priemonę;</w:t>
            </w:r>
          </w:p>
        </w:tc>
      </w:tr>
    </w:tbl>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pripažįsta tinkamo būsto neturinčių asmenų, prekybą žmonėmis išgyvenusių asmenų ir narkotikus vartojančių asmenų, kurie dažnai susiduria su daugialype ir sąveikine diskriminacija ir atskirtimi, kylančiais iš skurdo ir jį didinančiais, pažeidžiamumą; pabrėžia, kad šioms grupėms priklausančios moterys ir lyčių mažumos patiria neproporcingai didelį smurto dėl lyties, išnaudojimo, stigmatizavimo ir kliūčių naudotis pagrindinėmis paslaugomis poveikį, o tai dar labiau didina jų socialinę ir ekonominę marginalizaciją;</w:t>
            </w:r>
          </w:p>
        </w:tc>
      </w:tr>
    </w:tbl>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8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ragina Komisiją ir valstybes nares imtis tikslinių, veiksmingų ir efektyvių priemonių siekiant pašalinti kliūtis, trukdančias naudotis visuotinės svarbos paslaugomis pažeidžiamose vietovėse, ypač moterims ir mergaitėms, atsižvelgiant į jų įvairovę kaimo ir atokiuose regionuose, įskaitant atokiausius regionus, nes tokios kliūtys yra pagrindiniai skurdo ir socialinės atskirties veiksniai; ragina šiose srityse užtikrinti galimybę naudotis kokybiškomis viešosiomis paslaugomis, pvz., priežiūros, švietimo, sveikatos priežiūros, būsto ir energetikos, ypatingą dėmesį skiriant vietovėms, kurioms gresia gyventojų skaičiaus mažėjimas;</w:t>
            </w:r>
          </w:p>
        </w:tc>
      </w:tr>
    </w:tbl>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8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8d.</w:t>
            </w:r>
            <w:r>
              <w:tab/>
            </w:r>
            <w:r>
              <w:rPr>
                <w:b/>
                <w:i/>
              </w:rPr>
              <w:t xml:space="preserve">ragina priimti ir įgyvendinti privalomas teisines priemones, kuriomis būtų užkirstas kelias praeityje sergančių asmenų, įskaitant vėžį įveikusius asmenis ir psichikos sveikatos sutrikimų turinčius asmenis, finansinei diskriminacijai, ypatingą dėmesį skiriant moterims, kurios dažnai susiduria su tarpsektoriniu socialiniu ir ekonominiu pažeidžiamumu; pabrėžia „teisės būti pamirštam“ svarbą šiomis aplinkybėmis, ypač turint mintyje galimybę gauti finansines paslaugas, pvz., draudimą ir kreditą, taip pat būstą, nepatiriant sunkumų dėl ankstesnių sveikatos sutrikimų, siekiant užtikrinti socialinę ir ekonominę reintegraciją ir sumažinti skurdo riziką;  </w:t>
              <w:br/>
              <w:t xml:space="preserve"> atkreipia dėmesį į asmeninio biudžeto sudarymo metodų potencialą, kai asmenys gauna finansinius išteklius tiesiogiai, kad galėtų juos panaudoti pagal savo poreikius, skatinti savarankiškumą ir orumą ir geriau pritaikyti paramą kovos su skurdu pastangoms;</w:t>
            </w:r>
          </w:p>
        </w:tc>
      </w:tr>
    </w:tbl>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ragina visas valstybes nares skubiai ir visapusiškai įgyvendinti Darbo užmokesčio skaidrumo direktyvą, kad būtų sprendžiami esminiai vyrų ir moterų darbo užmokesčio skirtumo sektoriuose aspektai, ir reikalauti, kad įmonės skelbtų vyrų ir moterų darbo užmokesčio skirtumo analizes ir vykdytų informavimo bei mokymo kampanijas apie nesąmoningą šališkumą ir stereotipus; ragina Komisiją ir valstybes nares atsižvelgti į regioninius skirtumus ir užtikrinti, kad tokios priemonės būtų pritaikytos konkretiems regionų, kuriuose lyčių nelygybė ir nelygybė darbo rinkoje yra ryškiausios, poreikiams patenkinti; be to, ragina Komisiją spręsti struktūrinio nepakankamo darbo vertinimo problemą sektoriuose, kuriuose daugiausia dirba moterys, ir užtikrinti vienodą darbo užmokestį už vienodos vertės darbą iš naujo įvertinant darbo vertę užimtumo srityse, kuriose paprastai dominuoja moterys, pvz., socialinių, priežiūros ir sveikatos paslaugų ir švietimo srityse, taikant lyčių požiūriu neutralias darbo vertinimo priemones, parengtas ir taikomas siekiant sukurti geresnę ir teisingesnę darbo užmokesčio sistemą;</w:t>
            </w:r>
          </w:p>
        </w:tc>
      </w:tr>
    </w:tbl>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ragina dėti daugiau pastangų siekiant panaikinti vyrų ir moterų užimtumo skirtumą ir vyrų ir moterų darbo užmokesčio bei pensijų skirtumą ir padidinti investicijas į viešąsias paslaugas ir socialinę infrastruktūrą, taip pat ragina įsipareigoti daryti pažangą siekiant priežiūros visuomenės;</w:t>
            </w:r>
          </w:p>
        </w:tc>
      </w:tr>
    </w:tbl>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9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ragina Komisiją įgyvendinant strategiją atsižvelgti į konkrečius sunkumus, su kuriais susiduria skurde gyvenančios vyresnio amžiaus moterys; primygtinai ragina Komisiją skatinti valstybes nares parengti tikslinius veiksmus siekiant užtikrinti tinkamą pensijų lygį, įskaitant automatinį indeksavimą pagal infliaciją;</w:t>
            </w:r>
          </w:p>
        </w:tc>
      </w:tr>
    </w:tbl>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ragina valstybes nares parengti politiką, kuria būtų stiprinamos motinystės, tėvystės ir tėvų teisės, skatinant darbo ir šeimos gyvenimo derinimą, sudarant palankesnes sąlygas moterims grįžti į darbą po nėštumo ir motinystės atostogų ir užtikrinant tinkamas sąlygas maitinimui krūtimi darbo vietoje;</w:t>
            </w:r>
          </w:p>
        </w:tc>
        <w:tc>
          <w:tcPr>
            <w:tcW w:w="4876" w:type="dxa"/>
            <w:tcBorders>
              <w:top w:val="nil"/>
              <w:left w:val="nil"/>
              <w:bottom w:val="nil"/>
              <w:right w:val="nil"/>
            </w:tcBorders>
          </w:tcPr>
          <w:p>
            <w:pPr>
              <w:pStyle w:val="Normal6a"/>
            </w:pPr>
            <w:r>
              <w:t>10.</w:t>
            </w:r>
            <w:r>
              <w:tab/>
            </w:r>
            <w:r>
              <w:rPr>
                <w:b/>
                <w:i/>
              </w:rPr>
              <w:t xml:space="preserve">pabrėžia, kad didžiąją dalį neapmokamo priežiūros darbo vis dar atlieka tik moterys ir tai turi neigiamų pasekmių profesinei lyčių nelygybei ir ekonominei nepriklausomybei; pabrėžia, kad, siekiant spręsti sudėtingo moterų skurdo problemą, būtina pakeisti darbo pasidalijimą ir skatinti moteris bei vyrus sąžiningiau dalytis neapmokamais priežiūros ir namų ruošos darbais, taip pat sudaryti palankesnes sąlygas moterų integracijai ir reintegracijai į darbo rinką, kad būtų sukurtas vienodas pajamas gaunančių ir vienodai prižiūrinčių asmenų visuomenės modelis; </w:t>
            </w:r>
            <w:r>
              <w:t>ragina valstybes nares parengti politiką, kuria būtų stiprinamos motinystės, tėvystės ir tėvų teisės, skatinama profesinio ir asmeninio gyvenimo pusiausvyra ir lanksčios darbo sąlygos, įskaitant teisę dirbti nuotoliniu būdu, sudaromos palankesnės sąlygos moterims grįžti į darbą po nėštumo ir motinystės atostogų, be kita ko, teikiant kokybiškas, prieinamas ir įperkamas vaikų priežiūros paslaugas ir užtikrinant tinkamas maitinimo krūtimi ir kūdikių priežiūros darbo vietoje sąlygas;</w:t>
            </w:r>
            <w:r>
              <w:rPr>
                <w:b/>
                <w:i/>
              </w:rPr>
              <w:t xml:space="preserve"> ragina valstybes nares nustatyti ir skatinti prieinamą ir tinkamai kompensuojamą tėvystės atostogų politiką, įskaitant teisės aktais nustatytų tėvystės atostogų ir vaiko priežiūros išmokų didinimą bei neperleidžiamų atostogų suteikimą tėvams ar vienam iš tėvų, siekiant skatinti tikrą dalijimąsi priežiūros pareigomis, sudaryti sąlygas stiprinti moterų padėtį darbo rinkoje ir sudaryti sąlygas vienam iš tėvų užmegzti tvirtus ryšius su savo vaikais ir skirti laiko, būtino ankstyvam vaikų vystymuisi ir šeimos gerovei remti, ir taip prisidėti prie moterų laiko trūkumo mažinimo; ragina Komisiją ir valstybes nares užtikrinti visapusišką Profesinio ir asmeninio gyvenimo pusiausvyros direktyvos įgyvendinimą;</w:t>
            </w:r>
          </w:p>
        </w:tc>
      </w:tr>
    </w:tbl>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primygtinai ragina Komisiją kovoti su sistemingu darbo, atliekamo sektoriuose, kuriuose daugiausia dirba moterys, pvz., socialinių, sveikatos ir priežiūros paslaugų bei švietimo sektoriuose, nuvertinimu, kuris lemia dirbančiųjų skurdą, ir bendradarbiauti su valstybėmis narėmis ir socialiniais partneriais siekiant parengti lyčių požiūriu neutralias darbo vertinimo priemones ir kriterijus, pagal kuriuos būtų galima visoje ES apibrėžti ir palyginti darbo vertę, siekiant teisingiau įvertinti ir atlyginti darbą, atliekamą sektoriuose, kuriuose daugiausia dirba moterys;</w:t>
            </w:r>
          </w:p>
        </w:tc>
      </w:tr>
    </w:tbl>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10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ragina Komisiją skatinti valstybes nares kurti teisingas ir veiksmingas nacionalines turto apmokestinimo sistemas, siekiant sumažinti nelygybę ir užtikrinti, kad valstybės, turinčios daugiausiai priemonių, sąžiningai prisidėtų prie viešųjų gėrybių finansavimo; primena, kad tarptautinės institucijos, pvz., Tarptautinis valiutos fondas ir Ekonominio bendradarbiavimo ir plėtros organizacija, pabrėžė, kad turto apmokestinimas yra naudinga priemonė kovojant su didėjančia nelygybe ir stiprinant viešuosius finansus;</w:t>
            </w:r>
          </w:p>
        </w:tc>
      </w:tr>
    </w:tbl>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10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ragina Komisiją atlikti išsamų darbo laiko sutrumpinimo poveikio tyrimą, įskaitant patirtį, įgytą įgyvendinant bandomuosius projektus, pvz., keturių dienų darbo savaitę Jungtinėje Karalystėje, kurie parodė teigiamus rezultatus darbuotojų sveikatai ir gerovei, profesinio ir asmeninio gyvenimo pusiausvyrai ir našumui; pripažįsta įvairių šalių, kurios išbandė darbo laiko sutrumpinimą, sėkmę ir ragina valstybes nares išnagrinėti ir remti iniciatyvas, kuriomis siekiama sutrumpinti darbo laiką neprarandant darbo užmokesčio, kaip priemonę skurdui mažinti, demokratijai stiprinti ir kokybiškam užimtumui, lyčių lygybei bei geresnei psichinei ir fizinei sveikatai skatinti;</w:t>
            </w:r>
          </w:p>
        </w:tc>
      </w:tr>
    </w:tbl>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10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pabrėžia ekonomines kliūtis motinystei, su kuriomis susiduria daugelis moterų visoje ES; ragina vykdyti visapusišką šeimos politiką, pagal kurią būtų remiamas gimdymas be ilgalaikių neigiamų finansinių pasekmių, ypač atsižvelgiant į karjeros pertraukas ir pensijų skirtumus;</w:t>
            </w:r>
          </w:p>
        </w:tc>
      </w:tr>
    </w:tbl>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10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10e.</w:t>
            </w:r>
            <w:r>
              <w:tab/>
            </w:r>
            <w:r>
              <w:rPr>
                <w:b/>
                <w:i/>
              </w:rPr>
              <w:t>ragina Komisiją ir valstybes nares parengti specialų Europos veiksmų planą, skirtą vyresnio amžiaus moterims, įskaitant priemones, skirtas vyrų ir moterų pensijų skirtumui mažinti, prioritetinėms galimybėms naudotis socialinėmis ir priežiūros namuose paslaugomis, tęstinio mokymo galimybėms ir darbo ne visą darbo dieną sistemoms, siekiant kovoti su izoliacija ir skurdu senatvėje;</w:t>
            </w:r>
          </w:p>
        </w:tc>
      </w:tr>
    </w:tbl>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10 f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10f.</w:t>
            </w:r>
            <w:r>
              <w:tab/>
            </w:r>
            <w:r>
              <w:rPr>
                <w:b/>
                <w:i/>
              </w:rPr>
              <w:t>primygtinai ragina Komisiją parengti ir įgyvendinti išsamią ES masto menstruacijų sveikatos strategiją siekiant kovoti su menstruacinių priemonių nepritekliumi; mano, kad menstruacijų sveikata ir higiena turi būti aiškiai įtrauktos į nacionalinę ir ES lygmens visuomenės sveikatos ir kovos su skurdu politiką; primygtinai ragina Komisiją remti valstybes nares įtraukiant menstruacinį švietimą ir sanitarinių produktų tiekimą į holistinę sveikatos ir socialinę politiką, kuria atsižvelgiama į lyčių aspektą, visų pirma benamystę patiriančioms moterims, smurto dėl lyties aukoms ir pažeidžiamoms grupėms, pvz., migrantų kilmės moterims ir prieglobsčio prašytojoms, priklausančioms moterims; primygtinai ragina Komisiją ir valstybes nares įpareigoti teikti nemokamus menstruacijų produktus valstybinėse mokyklose ir universitetuose, vyriausybės pastatuose, prieglaudose, viešosiose institucijose ir centruose, remiančiuose marginalizuotas moteris ir mergaites, siekiant kovoti su menstruacinių priemonių nepritekliumi; be to, ragina valstybes nares panaikinti PVM ir kitus netiesioginius mokesčius menstruacinėms higienos priemonėms, laikantis lyčių lygybės tikslų;</w:t>
            </w:r>
          </w:p>
        </w:tc>
      </w:tr>
    </w:tbl>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ragina valstybes nares užtikrinti visuotinę prieigą prie viešų, prieinamų ir kokybiškų motinų, naujagimių ir pediatrinių sveikatos priežiūros paslaugų;</w:t>
            </w:r>
          </w:p>
        </w:tc>
        <w:tc>
          <w:tcPr>
            <w:tcW w:w="4876" w:type="dxa"/>
            <w:tcBorders>
              <w:top w:val="nil"/>
              <w:left w:val="nil"/>
              <w:bottom w:val="nil"/>
              <w:right w:val="nil"/>
            </w:tcBorders>
          </w:tcPr>
          <w:p>
            <w:pPr>
              <w:pStyle w:val="Normal6a"/>
            </w:pPr>
            <w:r>
              <w:t>11.</w:t>
            </w:r>
            <w:r>
              <w:tab/>
            </w:r>
            <w:r>
              <w:t>ragina valstybes nares užtikrinti visuotinę prieigą prie viešų, prieinamų ir kokybiškų motinų, naujagimių ir pediatrinių sveikatos priežiūros paslaugų, taip pat vyresnio amžiaus asmenų priežiūros ir asmenų su negalia priežiūros, kad būtų sumažintas moterų, kurios neproporcingai atlieka neapmokamas priežiūros funkcijas, skaičius, nes tai riboja jų galimybes dalyvauti darbo rinkoje ir užsidirbti pragyvenimui;</w:t>
            </w:r>
          </w:p>
        </w:tc>
      </w:tr>
    </w:tbl>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ragina Komisiją pateikti rekomendaciją, kuria valstybės narės būtų skatinamos įgyvendinti privalomas teisines priemones, kuriomis būtų skatinamos pastangos mažinti skurdą, kovojant su finansine diskriminacija, su kuria susiduria anksčiau sergančios moterys, įskaitant vėžį įveikusias ir psichikos sveikatos sutrikimų turinčias moteris, remiantis teisės būti pamirštoms principu, siekiant užtikrinti jų reintegraciją į darbo rinką ir visuomenę ir sumažinti skurdo riziką, kartu ypatingą dėmesį skiriant moterims, patiriančioms tarpsektorinę socialinę ir ekonominę diskriminaciją;</w:t>
            </w:r>
          </w:p>
        </w:tc>
      </w:tr>
    </w:tbl>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ragina Komisiją ir valstybes nares atsižvelgti į vadinamuosius nematomus skurdo reiškinius, kovoti su skurstančių žmonių stigmatizacija ir su tuo, kad nesinaudojama esamomis socialinėmis išmokomis, taip pat atsižvelgti į tai, kad vyresnio amžiaus žmonės, asmenys su negalia, šeimos, kurias sudaro tik vienas iš tėvų ir jo vaikai, etninės mažumos ar migrantai yra grupės, kurios yra labiau pažeidžiamos skurdo ir socialinės atskirties požiūriu;</w:t>
            </w:r>
          </w:p>
        </w:tc>
        <w:tc>
          <w:tcPr>
            <w:tcW w:w="4876" w:type="dxa"/>
            <w:tcBorders>
              <w:top w:val="nil"/>
              <w:left w:val="nil"/>
              <w:bottom w:val="nil"/>
              <w:right w:val="nil"/>
            </w:tcBorders>
          </w:tcPr>
          <w:p>
            <w:pPr>
              <w:pStyle w:val="Normal6a"/>
            </w:pPr>
            <w:r>
              <w:t>13.</w:t>
            </w:r>
            <w:r>
              <w:tab/>
            </w:r>
            <w:r>
              <w:t>ragina Komisiją ir valstybes nares apsvarstyti vadinamuosius paslėptus skurdo reiškinius, kovoti su skurde gyvenančių žmonių stigmatizacija ir kovos su skurdu strategijose laikytis lyčių ir tarpsektorinio požiūrio, pripažįstant, kad vyresnio amžiaus moterys, neįgalios moterys, nepilnos šeimos, kurias dažniausiai išlaiko moterys, rasinėms ir etninėms mažumoms priklausančios moterys, moterys migrantės, smurto dėl lyties aukos ir LGTBIQ+ asmenys yra grupės, kurios yra labiau pažeidžiamos skurdo ir socialinės atskirties požiūriu nei kiti;</w:t>
            </w:r>
          </w:p>
        </w:tc>
      </w:tr>
    </w:tbl>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ragina Komisiją nustatyti išskaidytą tikslą mažinti labiausiai marginalizuotų moterų skurdą, laikantis Europos socialinių teisių ramsčio ir DVT tikslų, ir stebėti pažangą, susijusią su tarpsektoriniais rodikliais;</w:t>
            </w:r>
          </w:p>
        </w:tc>
      </w:tr>
    </w:tbl>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13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atkreipia dėmesį į tai, kad moterų skurdas lemia vaikų skurdą ir kad kova su juo yra labai svarbi siekiant nutraukti skurdo iš kartos į kartą ciklą; ragina Komisiją ir valstybes nares skatinti įvesti arba stiprinti visuotines išmokas vaikams, nes tai yra vieną iš pagrindinių priemonių siekiant sumažinti vaikų skurdą, remti šeimas ir skatinti teisingesnį turto paskirstymą, kartu atsižvelgiant į nacionalinę kompetenciją ir socialinės apsaugos sistemas; ragina ES ir valstybes nares apsvarstyti galimybę sukurti specialų statusą nepilnoms šeimoms, kurioms neproporcingai vadovauja vienišos motinos, kurios dažnai pačios yra nepilnametės;</w:t>
            </w:r>
          </w:p>
        </w:tc>
      </w:tr>
    </w:tbl>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13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 xml:space="preserve">ragina Komisiją ir valstybes nares pirmenybę teikti vaikų skurdo mažinimui, atkreipiant dėmesį į tai, kad maždaug kas ketvirtam vaikui ES gresia skurdas ar socialinė atskirtis; </w:t>
            </w:r>
            <w:r>
              <w:t>pripažįsta, kad vaikų skurdas yra glaudžiai susijęs su jų motinų, kurios dažnai susiduria su didesne skurdo rizika dėl vyrų ir moterų darbo užmokesčio skirtumų, mažų garantijų darbu ir neproporcingai didelėmis priežiūros pareigomis, ekonomine padėtimi</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Eurostatas, „Statistics Explained“, „Vaikai, kuriems gresia skurdas ar socialinė atskirtis“,  Duomenys gauti 2025 m. gegužės 7 d., https://ec.europa.eu/eurostat/statistics-explained/index.php?title=Children_at_risk_of_poverty_or_social_exclusion.</w:t>
            </w:r>
          </w:p>
        </w:tc>
      </w:tr>
    </w:tbl>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13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13d.</w:t>
            </w:r>
            <w:r>
              <w:tab/>
            </w:r>
            <w:r>
              <w:rPr>
                <w:b/>
                <w:i/>
              </w:rPr>
              <w:t>pripažįsta ES atsakomybę už užduotį spręsti ir panaikinti prekybą žmonėmis, kuri turi tarpvalstybinį ir lyčių aspektą, nes skurstančioms moterims neproporcingai gresia seksualinio išnaudojimo ir išnaudojimo darbe rizika; kadangi išnaudojimas darbe gali būti susijęs su pernelyg ilgomis darbo valandomis, nesaugia ar nesveika darbo aplinka ir atsisakymu užtikrinti darbuotojų teises, pvz., laikinojo nedarbingumo atostogas ir teisę jungtis į organizacijas ar streikuoti, o tai daro neproporcingai didelį poveikį moterims, dirbančioms į eksportą orientuotuose sektoriuose;</w:t>
            </w:r>
          </w:p>
        </w:tc>
      </w:tr>
    </w:tbl>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13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13e.</w:t>
            </w:r>
            <w:r>
              <w:tab/>
            </w:r>
            <w:r>
              <w:rPr>
                <w:b/>
                <w:i/>
              </w:rPr>
              <w:t>pabrėžia, kad šiuo metu prieinamų saugių ir teisėtų migracijos maršrutų trūkumas, be vis griežtesnės migracijos politikos, kuria prisidedama prie Europos tvirtovės, yra migrantų, ypač moterų ir vaikų, marginalizacijos ir nesaugumo priežastis; ragina Komisiją ir valstybes nares užtikrinti saugius ir teisėtus migracijos maršrutus ir tinkamą socialinių paslaugų teikimą visiems žmonėms, įskaitant moteris ir vaikus, nepriklausomai nuo jų migracijos statuso;</w:t>
            </w:r>
          </w:p>
        </w:tc>
      </w:tr>
    </w:tbl>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rekomenduoja valstybėms narėms didinti paramą šeimoms ir pažeidžiamoje padėtyje esantiems asmenims teikiant psichikos sveikatos socialines paslaugas ir psichosocialinę paramą;</w:t>
            </w:r>
          </w:p>
        </w:tc>
        <w:tc>
          <w:tcPr>
            <w:tcW w:w="4876" w:type="dxa"/>
            <w:tcBorders>
              <w:top w:val="nil"/>
              <w:left w:val="nil"/>
              <w:bottom w:val="nil"/>
              <w:right w:val="nil"/>
            </w:tcBorders>
          </w:tcPr>
          <w:p>
            <w:pPr>
              <w:pStyle w:val="Normal6a"/>
            </w:pPr>
            <w:r>
              <w:t>14.</w:t>
            </w:r>
            <w:r>
              <w:tab/>
            </w:r>
            <w:r>
              <w:t>rekomenduoja valstybėms narėms didinti paramą šeimų, ypač vienišų motinų, ir pažeidžiamoje padėtyje esančių asmenų socialinei, ekonominei ir emocinei gerovei teikiant psichikos sveikatos ir psichosocialinės paramos paslaugas, sudarant galimybes dalyvauti sporto, kokybiškose švietimo ir mokymo programose, taip pat kultūrinėje ir rekreacinėje veikloje, užtikrinant, kad teikiant šias paslaugas būtų atsižvelgiama į lyčių aspektą;</w:t>
            </w:r>
          </w:p>
        </w:tc>
      </w:tr>
    </w:tbl>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ragina, kad konferencijoje būtų aiškiai nagrinėjami su lytimi susiję skurdo, įskaitant menstruacinių priemonių nepriteklių, aspektai;</w:t>
            </w:r>
          </w:p>
        </w:tc>
      </w:tr>
    </w:tbl>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 xml:space="preserve">ragina Komisiją įsteigti skurdą patiriančių asmenų komitetą, kurį sudarytų skurdą patiriantys asmenys, visų pirma moterys, LGBTQI+ asmenys ir kiti marginalizuoti asmenys, ir kuris būtų įgaliotas prisidėti prie strategijos rengimo, įgyvendinimo ir vertinimo; </w:t>
              <w:br/>
              <w:t xml:space="preserve"> pripažįsta, kad tiesiogiai nuo skurdo nukentėjusios bendruomenės gali geriausiai pagrįsti politiką, kuri daro poveikį jų kasdieniam gyvenimui;  </w:t>
              <w:br/>
              <w:t xml:space="preserve"> ragina Komisiją užtikrinti, kad skurdą patiriančių žmonių dalyvavimas būtų prasmingas, be kita ko, skiriant tinkamą finansinę kompensaciją ir teikiant būtinas paramos priemones, pvz., vertimą žodžiu ir prieinamus formatus;</w:t>
            </w:r>
          </w:p>
        </w:tc>
      </w:tr>
    </w:tbl>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ragina Komisiją sukurti specialią darbo grupę, kurią sudarytų skurdą patiriantys asmenys, mokslininkai, Eurostato, ES pagrindinių teisių agentūros, Europos lyčių lygybės instituto, valstybių narių statistikos tarnybų, politikos formuotojų ir pilietinės visuomenės organizacijų atstovai ir pagrindinių paslaugų srityje dirbantys specialistai;</w:t>
            </w:r>
          </w:p>
        </w:tc>
      </w:tr>
    </w:tbl>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17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primygtinai ragina Komisiją į strategiją įtraukti tikslinį skirsnį, kuriame valstybės narės būtų skatinamos panaikinti įstatymus ir administracines nuostatas, pagal kuriuos kriminalizuojama išgyvenimo veikla viešosiose erdvėse, įskaitant įstatymus, skirtus elgetavimui, nakvojimui gatvėse, neoficialiai ekonominei veiklai ir kitų formų pragyvenimui skirtam darbui;</w:t>
            </w:r>
          </w:p>
        </w:tc>
      </w:tr>
    </w:tbl>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ragina Europos lyčių lygybės institutą ir ES pagrindinių teisių agentūrą atlikti ES masto mokslinius tyrimus dėl tarpsektorinių skurdo aspektų;</w:t>
            </w:r>
          </w:p>
        </w:tc>
      </w:tr>
    </w:tbl>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ragina Komisiją parengti tarpsektorinę skurdo mažinimo poveikio stebėjimo metodiką ir nustatyti išskaidytus tikslus, siekiant sumažinti labiausiai marginalizuotų moterų skurdą, laikantis Europos socialinių teisių ramsčio ir darnaus vystymosi tikslų;</w:t>
            </w:r>
          </w:p>
        </w:tc>
      </w:tr>
    </w:tbl>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18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pabrėžia, kad norint veiksmingai įgyvendinti ir stebėti strategiją reikia sistemingai rinkti ir naudoti suskirstytus duomenis; ragina Komisiją iš naujo paskelbti duomenų apie lygybę rinkimo gaires, kad valstybės narės galėtų rinkti suskirstytus duomenis, be kita ko, pagal rasinę ar etninę kilmę, lytį, amžių, negalią ir migracijos statusą, visapusiškai laikantis pagrindinių teisių ir duomenų apsaugos standartų, tiksliai nustatyti ir šalinti skurdo ir atskirties židinius, atskleisti struktūrinę nelygybę ir informuoti apie įrodymais pagrįstą politinį atsaką visais valdymo lygmenimis;</w:t>
            </w:r>
          </w:p>
        </w:tc>
      </w:tr>
    </w:tbl>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ragina Komisiją į strategiją įtraukti horizontalųjį principą, pagal kurį būtų atsižvelgiama į sektorių politikos poveikį skurdui, įskaitant įpareigojimą atlikti privalomą ex ante poveikio vertinimą;</w:t>
            </w:r>
          </w:p>
        </w:tc>
        <w:tc>
          <w:tcPr>
            <w:tcW w:w="4876" w:type="dxa"/>
            <w:tcBorders>
              <w:top w:val="nil"/>
              <w:left w:val="nil"/>
              <w:bottom w:val="nil"/>
              <w:right w:val="nil"/>
            </w:tcBorders>
          </w:tcPr>
          <w:p>
            <w:pPr>
              <w:pStyle w:val="Normal6a"/>
            </w:pPr>
            <w:r>
              <w:t>20.</w:t>
            </w:r>
            <w:r>
              <w:tab/>
            </w:r>
            <w:r>
              <w:t>ragina Komisiją į strategiją įtraukti horizontalųjį principą, pagal kurį būtų atsižvelgiama į sektorių politikos poveikį skurdui, įskaitant įpareigojimą atlikti privalomą ex ante poveikio vertinimą, ypatingą dėmesį skiriant neproporcingam moterų pažeidžiamumui skurdo atžvilgiu ir regioniniams skirtumams;</w:t>
            </w:r>
          </w:p>
        </w:tc>
      </w:tr>
    </w:tbl>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ragina Komisiją įtraukti EIGE lyčių lygybės indeksą į socialinių rodiklių suvestinę;</w:t>
            </w:r>
          </w:p>
        </w:tc>
      </w:tr>
    </w:tbl>
    <w:p>
      <w:r>
        <w:rPr>
          <w:rStyle w:val="HideTWBExt"/>
        </w:rPr>
        <w:t>&lt;/Amend&gt;</w:t>
      </w:r>
    </w:p>
    <w:p>
      <w:pPr>
        <w:pStyle w:val="AmNumberTabs"/>
      </w:pPr>
      <w:r>
        <w:rPr>
          <w:rStyle w:val="HideTWBExt"/>
        </w:rPr>
        <w:t>&lt;Amend&gt;</w:t>
      </w:r>
      <w:r>
        <w:t>Pakeitimas</w:t>
      </w:r>
      <w:r>
        <w:tab/>
      </w:r>
      <w:r>
        <w:tab/>
      </w:r>
      <w:r>
        <w:rPr>
          <w:rStyle w:val="HideTWBExt"/>
        </w:rPr>
        <w:t>&lt;NumAm&gt;</w:t>
      </w:r>
      <w:r>
        <w:t>78</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ragina Komisiją daryti spaudimą valstybėms narėms, kad jos sukurtų sąžiningas, perskirstomas ir progresines apmokestinimo sistemas, užtikrinant, kad viešieji biudžetai būtų pakankami finansuoti skurdo panaikinimą ir nelygybės mažinimą, taip pat spręsti nevienodo turto ir išteklių paskirstymo problemą; pabrėžia, kad teisingumas mokesčių srityje yra labai svarbus siekiant užtikrinti socialinę sanglaudą ir Europos socialinių teisių ramsčio principus;</w:t>
            </w:r>
          </w:p>
        </w:tc>
      </w:tr>
    </w:tbl>
    <w:p>
      <w:r>
        <w:rPr>
          <w:rStyle w:val="HideTWBExt"/>
        </w:rPr>
        <w:t>&lt;/Amend&gt;</w:t>
      </w:r>
    </w:p>
    <w:p>
      <w:pPr>
        <w:pStyle w:val="AmNumberTabs"/>
      </w:pPr>
      <w:r>
        <w:rPr>
          <w:rStyle w:val="HideTWBExt"/>
        </w:rPr>
        <w:t>&lt;Amend&gt;</w:t>
      </w:r>
      <w:r>
        <w:t>Pakeitimas</w:t>
      </w:r>
      <w:r>
        <w:tab/>
      </w:r>
      <w:r>
        <w:tab/>
      </w:r>
      <w:r>
        <w:rPr>
          <w:rStyle w:val="HideTWBExt"/>
        </w:rPr>
        <w:t>&lt;NumAm&gt;</w:t>
      </w:r>
      <w:r>
        <w:t>79</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ragina Komisiją stiprinti Europos semestro procesą konkrečioms šalims skirtose rekomendacijose pateikiant patikimesnes ir lyčiai atžvalgesnes rekomendacijas, neapsiribojant šiuo metu ribotais socialinių rodiklių suvestinės duomenimis, kad būtų geriau atsižvelgiama į lyčių nelygybę ir sprendžiami skurdo ir smurto dėl lyties struktūrinių sąsajų klausimai;</w:t>
            </w:r>
          </w:p>
        </w:tc>
      </w:tr>
    </w:tbl>
    <w:p>
      <w:r>
        <w:rPr>
          <w:rStyle w:val="HideTWBExt"/>
        </w:rPr>
        <w:t>&lt;/Amend&gt;</w:t>
      </w:r>
    </w:p>
    <w:p>
      <w:pPr>
        <w:pStyle w:val="AmNumberTabs"/>
      </w:pPr>
      <w:r>
        <w:rPr>
          <w:rStyle w:val="HideTWBExt"/>
        </w:rPr>
        <w:t>&lt;Amend&gt;</w:t>
      </w:r>
      <w:r>
        <w:t>Pakeitimas</w:t>
      </w:r>
      <w:r>
        <w:tab/>
      </w:r>
      <w:r>
        <w:tab/>
      </w:r>
      <w:r>
        <w:rPr>
          <w:rStyle w:val="HideTWBExt"/>
        </w:rPr>
        <w:t>&lt;NumAm&gt;</w:t>
      </w:r>
      <w:r>
        <w:t>80</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ragina sustiprinti kitą daugiametę finansinę programą (DFP) ir geriau panaudoti ESF+, ERPF, EPLSAF ir PMIF lėšas, kad būtų sustiprinta politika, kuria prisidedama prie skurdo panaikinimo;</w:t>
            </w:r>
          </w:p>
        </w:tc>
        <w:tc>
          <w:tcPr>
            <w:tcW w:w="4876" w:type="dxa"/>
            <w:tcBorders>
              <w:top w:val="nil"/>
              <w:left w:val="nil"/>
              <w:bottom w:val="nil"/>
              <w:right w:val="nil"/>
            </w:tcBorders>
          </w:tcPr>
          <w:p>
            <w:pPr>
              <w:pStyle w:val="Normal6a"/>
            </w:pPr>
            <w:r>
              <w:t>22.</w:t>
            </w:r>
            <w:r>
              <w:tab/>
            </w:r>
            <w:r>
              <w:t>ragina sustiprinti kitą daugiametę finansinę programą (DFP) ir geriau panaudoti ESF+, ERPF, EPLSAF ir PMIF lėšas, kad būtų sustiprinta politika, kuria prisidedama prie skurdo panaikinimo;</w:t>
            </w:r>
            <w:r>
              <w:rPr>
                <w:b/>
                <w:i/>
              </w:rPr>
              <w:t xml:space="preserve"> pabrėžia, kad DFP po 2027 m. ESF+ turėtų būti išlaikytas kaip atskiras fondas, nes šis fondas yra labai svarbus siekiant gerinti prieinamas, įperkamas ir pritaikomas socialines paslaugas visoms pažeidžiamoms grupėms, ypač moterims ir mergaitėms su negalia;</w:t>
            </w:r>
          </w:p>
        </w:tc>
      </w:tr>
    </w:tbl>
    <w:p>
      <w:r>
        <w:rPr>
          <w:rStyle w:val="HideTWBExt"/>
        </w:rPr>
        <w:t>&lt;/Amend&gt;</w:t>
      </w:r>
    </w:p>
    <w:p>
      <w:pPr>
        <w:pStyle w:val="AmNumberTabs"/>
      </w:pPr>
      <w:r>
        <w:rPr>
          <w:rStyle w:val="HideTWBExt"/>
        </w:rPr>
        <w:t>&lt;Amend&gt;</w:t>
      </w:r>
      <w:r>
        <w:t>Pakeitimas</w:t>
      </w:r>
      <w:r>
        <w:tab/>
      </w:r>
      <w:r>
        <w:tab/>
      </w:r>
      <w:r>
        <w:rPr>
          <w:rStyle w:val="HideTWBExt"/>
        </w:rPr>
        <w:t>&lt;NumAm&gt;</w:t>
      </w:r>
      <w:r>
        <w:t>81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pabrėžia, kad kaip pareigą, kylančią iš JT neįgaliųjų teisių konvencijos, ES turi integruoti veiksmus, kuriais remiamos pažeidžiamos grupės, kurioms kyla didesnė skurdo rizika, pvz., neįgalieji, į visas DFP po 2027 m. programas; mano, jog itin svarbu užtikrinti, kad, vadovaujantis 2021–2030 m. neįgaliųjų teisių strategija, asmenys su negalia, ypač moterys ir mergaitės, turėtų vienodas galimybes naudotis visomis ES finansuojamomis programomis; primygtinai ragina Komisiją parengti išlaidų stebėjimo metodiką, kuri būtų naudinga asmenims su negalia, ypač moterims ir mergaitėms, ir patikrinti, ar visomis programomis ir ES finansuojamais projektais užtikrinamos lygios lyčių galimybės ir galimybės gauti ES finansavimą asmenims su negalia;</w:t>
            </w:r>
          </w:p>
        </w:tc>
      </w:tr>
    </w:tbl>
    <w:p>
      <w:r>
        <w:rPr>
          <w:rStyle w:val="HideTWBExt"/>
        </w:rPr>
        <w:t>&lt;/Amend&gt;</w:t>
      </w:r>
    </w:p>
    <w:p>
      <w:pPr>
        <w:pStyle w:val="AmNumberTabs"/>
      </w:pPr>
      <w:r>
        <w:rPr>
          <w:rStyle w:val="HideTWBExt"/>
        </w:rPr>
        <w:t>&lt;Amend&gt;</w:t>
      </w:r>
      <w:r>
        <w:t>Pakeitimas</w:t>
      </w:r>
      <w:r>
        <w:tab/>
      </w:r>
      <w:r>
        <w:tab/>
      </w:r>
      <w:r>
        <w:rPr>
          <w:rStyle w:val="HideTWBExt"/>
        </w:rPr>
        <w:t>&lt;NumAm&gt;</w:t>
      </w:r>
      <w:r>
        <w:t>82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22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pabrėžia, kad rengiant, įgyvendinant naująją ES kovos su skurdu strategiją ir vykdant tolesnę su ja susijusią veiklą reikia sudaryti biudžetą atsižvelgiant į lyčių aspektą ir pateikti pagal lytį suskirstytus duomenis; ragina Komisiją parengti konkrečius rodiklius, pagal kuriuos būtų galima stebėti prieigą prie menstruacinių priemonių ir lytinės ir reprodukcinės sveikatos bei teisių paslaugų, ir užtikrinti, kad ES lėšomis būtų akivaizdžiai sumažinti su lytimi susiję skurdo aspektai;</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PRIEDAS. GAUTOS INFORMACIJOS DEKLARACIJA</w:t>
      </w:r>
    </w:p>
    <w:p>
      <w:pPr>
        <w:pStyle w:val="Normal12a"/>
      </w:pPr>
      <w:r>
        <w:rPr>
          <w:rStyle w:val="HideTWBExt"/>
        </w:rPr>
        <w:t>&lt;FootprintIntro&gt;</w:t>
      </w:r>
      <w:r>
        <w:rPr>
          <w:rStyle w:val="HideTWBExt"/>
        </w:rPr>
        <w:t>&lt;/FootprintIntro&gt;</w:t>
      </w:r>
    </w:p>
    <w:p>
      <w:pPr>
        <w:pStyle w:val="Normal12a"/>
      </w:pPr>
      <w:r>
        <w:t>Pagal Darbo tvarkos taisyklių I priedo 8 straipsnį pranešėja pareiškia, kad į savo pranešimą įtraukė su dokumento dalyku susijusią informaciją, kurią, rengdama pranešimo projektą, gavo iš toliau nurodytų interesų grupių atstovų, kuriems taikomas Tarpinstitucinis susitarimas dėl privalomo skaidrumo registro</w:t>
      </w:r>
      <w:r>
        <w:rPr>
          <w:rStyle w:val="FootnoteReference"/>
        </w:rPr>
        <w:footnoteReference w:customMarkFollows="1" w:id="2"/>
        <w:t xml:space="preserve">1</w:t>
      </w:r>
      <w:r>
        <w:t>, arba trečiųjų šalių valdžios institucijų, įskaitant jų diplomatines atstovybes ir ambasadas, atstovų: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Interesų grupių atstovai, kuriems taikomas Tarpinstitucinis susitarimas dėl privalomo skaidrumo registro</w:t>
            </w:r>
          </w:p>
        </w:tc>
      </w:tr>
      <w:tr>
        <w:tblPrEx>
          <w:tblW w:w="0" w:type="auto"/>
          <w:tblLayout w:type="fixed"/>
          <w:tblCellMar>
            <w:left w:w="140" w:type="dxa"/>
            <w:right w:w="140" w:type="dxa"/>
          </w:tblCellMar>
        </w:tblPrEx>
        <w:tc>
          <w:tcPr>
            <w:tcW w:w="9080" w:type="dxa"/>
          </w:tcPr>
          <w:p>
            <w:r>
              <w:t>Make Mothers Matter (MMM)</w:t>
            </w:r>
          </w:p>
        </w:tc>
      </w:tr>
      <w:tr>
        <w:tblPrEx>
          <w:tblW w:w="0" w:type="auto"/>
          <w:tblLayout w:type="fixed"/>
          <w:tblCellMar>
            <w:left w:w="140" w:type="dxa"/>
            <w:right w:w="140" w:type="dxa"/>
          </w:tblCellMar>
        </w:tblPrEx>
        <w:tc>
          <w:tcPr>
            <w:tcW w:w="9080" w:type="dxa"/>
          </w:tcPr>
          <w:p>
            <w:r>
              <w:rPr>
                <w:b/>
              </w:rPr>
              <w:t>2. Trečiųjų šalių valdžios institucijų, įskaitant jų diplomatines atstovybes ir ambasadas, atstovai</w:t>
            </w:r>
          </w:p>
        </w:tc>
      </w:tr>
    </w:tbl>
    <w:p/>
    <w:p>
      <w:pPr>
        <w:pStyle w:val="Normal12a"/>
      </w:pPr>
      <w:r>
        <w:t>Šį sąrašą parengė ir visą atsakomybę už jį prisiima nuomonės referentė.</w:t>
      </w:r>
    </w:p>
    <w:p>
      <w:pPr>
        <w:pStyle w:val="Normal12a"/>
      </w:pPr>
      <w:r>
        <w:t>Jeigu sąraše esančių fizinių asmenų tapatybę galima nustatyti pagal jų vardą ir pavardę, jų pareigas arba pagal abu požymius, nuomonės referentė pareiškia, kad ji atitinkamiems fiziniams asmenims pateikė Europos Parlamento pranešimą dėl duomenų apsaugos Nr. 484 (</w:t>
      </w:r>
      <w:hyperlink r:id="rId9" w:tgtFrame="https://www.europarl.europa.eu/data-protect/index.do" w:history="1">
        <w:r>
          <w:rPr>
            <w:rStyle w:val="Hyperlink"/>
          </w:rPr>
          <w:t>https://www.europarl.europa.eu/data-protect/index.do</w:t>
        </w:r>
      </w:hyperlink>
      <w:r>
        <w:t>), kuriame išdėstytos jų asmens duomenų tvarkymui taikomos sąlygos ir su tuo tvarkymu susijusios teisės.</w:t>
      </w:r>
    </w:p>
    <w:p>
      <w:pPr>
        <w:sectPr>
          <w:footnotePr>
            <w:numRestart w:val="eachSect"/>
          </w:footnotePr>
          <w:type w:val="nextPage"/>
          <w:pgSz w:w="11909" w:h="16834"/>
          <w:pgMar w:top="1134" w:right="1417" w:bottom="1417" w:left="1417" w:header="1134" w:footer="567"/>
          <w:cols w:space="720"/>
        </w:sectPr>
      </w:pPr>
    </w:p>
    <w:p>
      <w:pPr>
        <w:pStyle w:val="PageHeading"/>
      </w:pPr>
      <w:r>
        <w:t>INFORMACIJA APIE PRIĖMIMĄ NUOMONĘ TEIKIANČIAME KOMITETE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Priėmimo data</w:t>
            </w:r>
          </w:p>
        </w:tc>
        <w:tc>
          <w:tcPr>
            <w:tcW w:w="6400" w:type="dxa"/>
            <w:tcBorders>
              <w:left w:val="dotted" w:sz="4" w:space="0" w:color="auto"/>
            </w:tcBorders>
          </w:tcPr>
          <w:p>
            <w:pPr>
              <w:pStyle w:val="ProcedureTable"/>
            </w:pPr>
            <w:r>
              <w:t>13.10.2025</w:t>
            </w:r>
          </w:p>
        </w:tc>
      </w:tr>
      <w:tr>
        <w:tblPrEx>
          <w:tblW w:w="0" w:type="auto"/>
          <w:tblLayout w:type="fixed"/>
          <w:tblCellMar>
            <w:left w:w="140" w:type="dxa"/>
            <w:right w:w="140" w:type="dxa"/>
          </w:tblCellMar>
        </w:tblPrEx>
        <w:tc>
          <w:tcPr>
            <w:tcW w:w="3600" w:type="dxa"/>
          </w:tcPr>
          <w:p>
            <w:pPr>
              <w:pStyle w:val="ProcedureTableBold"/>
            </w:pPr>
            <w:r>
              <w:t>Galutinio balsavimo rezultatai</w:t>
            </w:r>
          </w:p>
        </w:tc>
        <w:tc>
          <w:tcPr>
            <w:tcW w:w="6400" w:type="dxa"/>
            <w:tcBorders>
              <w:left w:val="dotted" w:sz="4" w:space="0" w:color="auto"/>
            </w:tcBorders>
          </w:tcPr>
          <w:p>
            <w:r>
              <w:t>+</w:t>
            </w:r>
            <w:r>
              <w:tab/>
            </w:r>
            <w:r>
              <w:t>:</w:t>
            </w:r>
            <w:r>
              <w:tab/>
            </w:r>
            <w:r>
              <w:t>26</w:t>
            </w:r>
          </w:p>
          <w:p>
            <w:r>
              <w:t>-</w:t>
            </w:r>
            <w:r>
              <w:tab/>
            </w:r>
            <w:r>
              <w:t>:</w:t>
            </w:r>
            <w:r>
              <w:tab/>
            </w:r>
            <w:r>
              <w:t>8</w:t>
            </w:r>
          </w:p>
          <w:p>
            <w:r>
              <w:t>0</w:t>
            </w:r>
            <w:r>
              <w:tab/>
            </w:r>
            <w:r>
              <w:t>:</w:t>
            </w:r>
            <w:r>
              <w:tab/>
            </w:r>
            <w:r>
              <w:t>0</w:t>
            </w:r>
          </w:p>
        </w:tc>
      </w:tr>
      <w:tr>
        <w:tblPrEx>
          <w:tblW w:w="0" w:type="auto"/>
          <w:tblLayout w:type="fixed"/>
          <w:tblCellMar>
            <w:left w:w="140" w:type="dxa"/>
            <w:right w:w="140" w:type="dxa"/>
          </w:tblCellMar>
        </w:tblPrEx>
        <w:tc>
          <w:tcPr>
            <w:tcW w:w="3600" w:type="dxa"/>
          </w:tcPr>
          <w:p>
            <w:pPr>
              <w:pStyle w:val="ProcedureTableBold"/>
            </w:pPr>
            <w:r>
              <w:t>Posėdyje per galutinį balsavimą dalyvavę nariai</w:t>
            </w:r>
          </w:p>
        </w:tc>
        <w:tc>
          <w:tcPr>
            <w:tcW w:w="6400" w:type="dxa"/>
            <w:tcBorders>
              <w:left w:val="dotted" w:sz="4" w:space="0" w:color="auto"/>
            </w:tcBorders>
          </w:tcPr>
          <w:p>
            <w:pPr>
              <w:pStyle w:val="ProcedureTable"/>
            </w:pPr>
            <w:r>
              <w:t>Margarita de la Pisa Carrión, Valérie Devaux, Heléne Fritzon, Lina Gálvez, Alexandra Geese, Chiara Gemma, Fernand Kartheiser, Arba Kokalari, Elena Kountoura, Sebastian Kruis, Judita Laššáková, Eleonora Meleti, Carolina Morace, Maria Noichl, Sirpa Pietikäinen, Giusi Princi, Emma Rafowicz, Joanna Scheuring-Wielgus, Benedetta Scuderi, Laurence Trochu, Marko Vešligaj, Maria Walsh, Lucia Yar</w:t>
            </w:r>
          </w:p>
        </w:tc>
      </w:tr>
      <w:tr>
        <w:tblPrEx>
          <w:tblW w:w="0" w:type="auto"/>
          <w:tblLayout w:type="fixed"/>
          <w:tblCellMar>
            <w:left w:w="140" w:type="dxa"/>
            <w:right w:w="140" w:type="dxa"/>
          </w:tblCellMar>
        </w:tblPrEx>
        <w:tc>
          <w:tcPr>
            <w:tcW w:w="3600" w:type="dxa"/>
          </w:tcPr>
          <w:p>
            <w:pPr>
              <w:pStyle w:val="ProcedureTableBold"/>
            </w:pPr>
            <w:r>
              <w:t>Posėdyje per galutinį balsavimą dalyvavę pavaduojantys nariai</w:t>
            </w:r>
          </w:p>
        </w:tc>
        <w:tc>
          <w:tcPr>
            <w:tcW w:w="6400" w:type="dxa"/>
            <w:tcBorders>
              <w:left w:val="dotted" w:sz="4" w:space="0" w:color="auto"/>
            </w:tcBorders>
          </w:tcPr>
          <w:p>
            <w:pPr>
              <w:pStyle w:val="ProcedureTable"/>
            </w:pPr>
            <w:r>
              <w:t>Christine Anderson, Veronika Cifrová Ostrihoňová, Paulo Do Nascimento Cabral, Elisabeth Grossmann, Billy Kelleher, Katrin Langensiepen, Manuela Ripa, Beatrice Timgren, Marianne Vind</w:t>
            </w:r>
          </w:p>
        </w:tc>
      </w:tr>
      <w:tr>
        <w:tblPrEx>
          <w:tblW w:w="0" w:type="auto"/>
          <w:tblLayout w:type="fixed"/>
          <w:tblCellMar>
            <w:left w:w="140" w:type="dxa"/>
            <w:right w:w="140" w:type="dxa"/>
          </w:tblCellMar>
        </w:tblPrEx>
        <w:tc>
          <w:tcPr>
            <w:tcW w:w="3600" w:type="dxa"/>
          </w:tcPr>
          <w:p>
            <w:pPr>
              <w:pStyle w:val="ProcedureTableBold"/>
            </w:pPr>
            <w:r>
              <w:t>Posėdyje per galutinį balsavimą pagal 216 straipsnio 7 dalį dalyvavę nariai</w:t>
            </w:r>
          </w:p>
        </w:tc>
        <w:tc>
          <w:tcPr>
            <w:tcW w:w="6400" w:type="dxa"/>
            <w:tcBorders>
              <w:left w:val="dotted" w:sz="4" w:space="0" w:color="auto"/>
            </w:tcBorders>
          </w:tcPr>
          <w:p>
            <w:pPr>
              <w:pStyle w:val="ProcedureTable"/>
            </w:pPr>
            <w:r>
              <w:t>Peter Agius, Daniel Caspary</w:t>
            </w:r>
          </w:p>
        </w:tc>
      </w:tr>
    </w:tbl>
    <w:p>
      <w:pPr>
        <w:sectPr>
          <w:type w:val="nextPage"/>
          <w:pgSz w:w="11909" w:h="16834"/>
          <w:pgMar w:top="1134" w:right="1417" w:bottom="1417" w:left="1417" w:header="1134" w:footer="567"/>
          <w:cols w:space="720"/>
        </w:sectPr>
      </w:pPr>
    </w:p>
    <w:p>
      <w:pPr>
        <w:pStyle w:val="PageHeading"/>
      </w:pPr>
      <w:r>
        <w:t>GALUTINIS VARDINIS BALSAVIMAS NUOMONĘ TEIKIANČIAME KOMITETE</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26</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Agius Peter, Caspary Daniel, Do Nascimento Cabral Paulo, Kokalari Arba, Meleti Eleonora, Pietikäinen Sirpa, Princi Giusi, Ripa Manuela, Walsh Maria</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Cifrová Ostrihonová Veronika, Devaux Valérie, Kelleher Billy, Yar Lucia</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Fritzon Heléne, Gálvez Lina, Grossmann Elisabeth, Noichl Maria, Rafowicz Emma, Scheuring-Wielgus Joanna, Vesligaj Marko, Vind Marianne</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Kountoura Elena, Morace Carolina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Geese Alexandra, Langensiepen Katrin, Scuderi Benedetta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8</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Gemma Chiara, Timgren Beatrice, Trochu Laurence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Anderson Christine</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Kartheiser Fernand, 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Kruis Sebastian, de la Pisa Carrión Margarita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0</w:t>
            </w:r>
          </w:p>
        </w:tc>
        <w:tc>
          <w:tcPr>
            <w:tcW w:w="7600" w:type="dxa"/>
            <w:shd w:val="clear" w:color="auto" w:fill="C0C0C0"/>
          </w:tcPr>
          <w:p>
            <w:pPr>
              <w:pStyle w:val="Arial14CentreBold"/>
            </w:pPr>
            <w:r>
              <w:t>0</w:t>
            </w:r>
          </w:p>
        </w:tc>
      </w:tr>
    </w:tbl>
    <w:p/>
    <w:p>
      <w:r>
        <w:t>Sutartiniai ženklai:</w:t>
      </w:r>
    </w:p>
    <w:p>
      <w:pPr>
        <w:pStyle w:val="NormalTab"/>
      </w:pPr>
      <w:r>
        <w:t>+</w:t>
      </w:r>
      <w:r>
        <w:t xml:space="preserve">  :  </w:t>
      </w:r>
      <w:r>
        <w:t>už</w:t>
      </w:r>
    </w:p>
    <w:p>
      <w:pPr>
        <w:pStyle w:val="NormalTab"/>
      </w:pPr>
      <w:r>
        <w:t>-</w:t>
      </w:r>
      <w:r>
        <w:t xml:space="preserve">  :  </w:t>
      </w:r>
      <w:r>
        <w:t>prieš</w:t>
      </w:r>
    </w:p>
    <w:p>
      <w:pPr>
        <w:pStyle w:val="NormalTab"/>
      </w:pPr>
      <w:r>
        <w:t>0</w:t>
      </w:r>
      <w:r>
        <w:t xml:space="preserve">  :  </w:t>
      </w:r>
      <w:r>
        <w:t>susilaikė</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774.456</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52</w:t>
    </w:r>
    <w:r>
      <w:fldChar w:fldCharType="end"/>
    </w:r>
    <w:r>
      <w:t>/</w:t>
    </w:r>
    <w:r>
      <w:fldChar w:fldCharType="begin"/>
    </w:r>
    <w:r>
      <w:instrText xml:space="preserve"> NUMPAGES </w:instrText>
    </w:r>
    <w:r>
      <w:fldChar w:fldCharType="separate"/>
    </w:r>
    <w:r>
      <w:t>53</w:t>
    </w:r>
    <w:r>
      <w:fldChar w:fldCharType="end"/>
    </w:r>
    <w:r>
      <w:tab/>
    </w:r>
    <w:r>
      <w:rPr>
        <w:rStyle w:val="HideTWBExt"/>
      </w:rPr>
      <w:t>&lt;PathFdR&gt;</w:t>
    </w:r>
    <w:r>
      <w:t>AD\1326834LT.docx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AD\1326834LT.docx</w:t>
    </w:r>
    <w:r>
      <w:rPr>
        <w:rStyle w:val="HideTWBExt"/>
      </w:rPr>
      <w:t>&lt;/PathFdR&gt;</w:t>
    </w:r>
    <w:r>
      <w:tab/>
    </w:r>
    <w:r>
      <w:fldChar w:fldCharType="begin"/>
    </w:r>
    <w:r>
      <w:instrText xml:space="preserve"> PAGE </w:instrText>
    </w:r>
    <w:r>
      <w:fldChar w:fldCharType="separate"/>
    </w:r>
    <w:r>
      <w:t>53</w:t>
    </w:r>
    <w:r>
      <w:fldChar w:fldCharType="end"/>
    </w:r>
    <w:r>
      <w:t>/</w:t>
    </w:r>
    <w:r>
      <w:fldChar w:fldCharType="begin"/>
    </w:r>
    <w:r>
      <w:instrText xml:space="preserve"> NUMPAGES </w:instrText>
    </w:r>
    <w:r>
      <w:fldChar w:fldCharType="separate"/>
    </w:r>
    <w:r>
      <w:t>53</w:t>
    </w:r>
    <w:r>
      <w:fldChar w:fldCharType="end"/>
    </w:r>
    <w:r>
      <w:tab/>
    </w:r>
    <w:r>
      <w:t>PE</w:t>
    </w:r>
    <w:r>
      <w:rPr>
        <w:rStyle w:val="HideTWBExt"/>
      </w:rPr>
      <w:t>&lt;NoPE&gt;</w:t>
    </w:r>
    <w:r>
      <w:t>774.456</w:t>
    </w:r>
    <w:r>
      <w:rPr>
        <w:rStyle w:val="HideTWBExt"/>
      </w:rPr>
      <w:t>&lt;/NoPE&gt;</w:t>
    </w:r>
    <w:r>
      <w:rPr>
        <w:rStyle w:val="HideTWBExt"/>
      </w:rPr>
      <w:t>&lt;Version&gt;</w:t>
    </w:r>
    <w:r>
      <w:t>v02-00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AD\1326834LT.docx</w:t>
    </w:r>
    <w:r>
      <w:rPr>
        <w:rStyle w:val="HideTWBExt"/>
      </w:rPr>
      <w:t>&lt;/PathFdR&gt;</w:t>
    </w:r>
    <w:r>
      <w:tab/>
    </w:r>
    <w:r>
      <w:tab/>
    </w:r>
    <w:r>
      <w:t>PE</w:t>
    </w:r>
    <w:r>
      <w:rPr>
        <w:rStyle w:val="HideTWBExt"/>
      </w:rPr>
      <w:t>&lt;NoPE&gt;</w:t>
    </w:r>
    <w:r>
      <w:t>774.456</w:t>
    </w:r>
    <w:r>
      <w:rPr>
        <w:rStyle w:val="HideTWBExt"/>
      </w:rPr>
      <w:t>&lt;/NoPE&gt;</w:t>
    </w:r>
    <w:r>
      <w:rPr>
        <w:rStyle w:val="HideTWBExt"/>
      </w:rPr>
      <w:t>&lt;Version&gt;</w:t>
    </w:r>
    <w:r>
      <w:t>v02-00</w:t>
    </w:r>
    <w:r>
      <w:rPr>
        <w:rStyle w:val="HideTWBExt"/>
      </w:rPr>
      <w:t>&lt;/Version&gt;</w:t>
    </w:r>
  </w:p>
  <w:p>
    <w:pPr>
      <w:pStyle w:val="EPFooter2"/>
    </w:pPr>
    <w:r>
      <w:t>LT</w:t>
    </w:r>
    <w:r>
      <w:tab/>
    </w:r>
    <w:r>
      <w:rPr>
        <w:rStyle w:val="EPFooter2Motto"/>
      </w:rPr>
      <w:t>Suvienijusi įvairovę</w:t>
    </w:r>
    <w:r>
      <w:tab/>
    </w:r>
    <w:r>
      <w:t>LT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2021 m. gegužės mėn. Europos Parlamento, Europos Sąjungos Tarybos ir Europos Komisijos tarpinstitucinis susitarimas dėl privalomo skaidrumo registro (OL L 207, 2021 6 11, p. 1, ELI: http://data.europa.eu/eli/agree_interinstit/2021/611/oj).</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NormalBold12b">
    <w:name w:val="NormalBold12b"/>
    <w:basedOn w:val="Normal"/>
    <w:pPr>
      <w:widowControl/>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53</Pages>
  <Words>8921</Words>
  <Characters>64585</Characters>
  <Application>Microsoft Office Word</Application>
  <DocSecurity>0</DocSecurity>
  <Lines>1</Lines>
  <Paragraphs>625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1326834</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276574</vt:lpwstr>
  </property>
  <property fmtid="{D5CDD505-2E9C-101B-9397-08002B2CF9AE}" pid="7" name="dmxml.render.traceId">
    <vt:lpwstr>6908815d62011334fecbb3f62bc67795</vt:lpwstr>
  </property>
  <property fmtid="{D5CDD505-2E9C-101B-9397-08002B2CF9AE}" pid="8" name="FooterPath">
    <vt:lpwstr>AD\1326834LT.doc</vt:lpwstr>
  </property>
  <property fmtid="{D5CDD505-2E9C-101B-9397-08002B2CF9AE}" pid="9" name="PE Number">
    <vt:lpwstr>774.456</vt:lpwstr>
  </property>
  <property fmtid="{D5CDD505-2E9C-101B-9397-08002B2CF9AE}" pid="10" name="UID">
    <vt:lpwstr>eu.europa.europarl-DIN1-2025-0000157637_01.08-lt-01.00_text-xml</vt:lpwstr>
  </property>
</Properties>
</file>