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Commissie vrouwenrechten en gendergelijkheid</w:t>
      </w:r>
      <w:r>
        <w:rPr>
          <w:rStyle w:val="HideTWBExt"/>
        </w:rPr>
        <w:t>&lt;/Commission&gt;</w:t>
      </w:r>
    </w:p>
    <w:p>
      <w:pPr>
        <w:pStyle w:val="LineBottom"/>
      </w:pPr>
      <w:r>
        <w:t xml:space="preserve"> </w:t>
      </w:r>
    </w:p>
    <w:p>
      <w:pPr>
        <w:pStyle w:val="CoverReference"/>
      </w:pPr>
      <w:r>
        <w:rPr>
          <w:rStyle w:val="HideTWBExt"/>
        </w:rPr>
        <w:t>&lt;RefProc&gt;</w:t>
      </w:r>
      <w:r>
        <w:t>2025/2095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{17/10/2025}</w:t>
      </w:r>
      <w:r>
        <w:t>17.10.2025</w:t>
      </w:r>
      <w:r>
        <w:rPr>
          <w:rStyle w:val="HideTWBExt"/>
        </w:rPr>
        <w:t>&lt;/Date&gt;</w:t>
      </w:r>
    </w:p>
    <w:p>
      <w:pPr>
        <w:pStyle w:val="CoverDocType24a"/>
      </w:pPr>
      <w:r>
        <w:rPr>
          <w:rStyle w:val="HideTWBExt"/>
        </w:rPr>
        <w:t>&lt;TitreType&gt;</w:t>
      </w:r>
      <w:r>
        <w:t>ADVIES</w:t>
      </w:r>
      <w:r>
        <w:rPr>
          <w:rStyle w:val="HideTWBExt"/>
        </w:rPr>
        <w:t>&lt;/TitreType&gt;</w:t>
      </w:r>
    </w:p>
    <w:p>
      <w:pPr>
        <w:pStyle w:val="CoverNormal24a"/>
      </w:pPr>
      <w:r>
        <w:rPr>
          <w:rStyle w:val="HideTWBExt"/>
        </w:rPr>
        <w:t>&lt;CommissionResp&gt;</w:t>
      </w:r>
      <w:r>
        <w:t>van de Commissie vrouwenrechten en gendergelijkheid</w:t>
      </w:r>
      <w:r>
        <w:rPr>
          <w:rStyle w:val="HideTWBExt"/>
        </w:rPr>
        <w:t>&lt;/CommissionResp&gt;</w:t>
      </w:r>
    </w:p>
    <w:p>
      <w:pPr>
        <w:pStyle w:val="CoverNormal24a"/>
      </w:pPr>
      <w:r>
        <w:rPr>
          <w:rStyle w:val="HideTWBExt"/>
        </w:rPr>
        <w:t>&lt;CommissionInt&gt;</w:t>
      </w:r>
      <w:r>
        <w:t>aan de Commissie werkgelegenheid en sociale zaken</w:t>
      </w:r>
      <w:r>
        <w:rPr>
          <w:rStyle w:val="HideTWBExt"/>
        </w:rPr>
        <w:t>&lt;/CommissionInt&gt;</w:t>
      </w:r>
    </w:p>
    <w:p>
      <w:pPr>
        <w:pStyle w:val="CoverNormal"/>
      </w:pPr>
      <w:r>
        <w:rPr>
          <w:rStyle w:val="HideTWBExt"/>
        </w:rPr>
        <w:t>&lt;Titre&gt;</w:t>
      </w:r>
      <w:r>
        <w:t>inzake de ontwikkeling van een nieuwe EU-strategie voor armoedebestrijding</w:t>
      </w:r>
      <w:r>
        <w:rPr>
          <w:rStyle w:val="HideTWBExt"/>
        </w:rPr>
        <w:t>&lt;/Titre&gt;</w:t>
      </w:r>
    </w:p>
    <w:p>
      <w:pPr>
        <w:pStyle w:val="CoverNormal24a"/>
      </w:pPr>
      <w:r>
        <w:rPr>
          <w:rStyle w:val="HideTWBExt"/>
        </w:rPr>
        <w:t>&lt;DocRef&gt;</w:t>
      </w:r>
      <w:r>
        <w:t>(2025/2095(INI))</w:t>
      </w:r>
      <w:r>
        <w:rPr>
          <w:rStyle w:val="HideTWBExt"/>
        </w:rPr>
        <w:t>&lt;/DocRef&gt;</w:t>
      </w:r>
    </w:p>
    <w:p>
      <w:pPr>
        <w:pStyle w:val="CoverNormal24a"/>
      </w:pPr>
      <w:r>
        <w:t>Rapporteur voor advies</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AMENDEMENTEN</w:t>
      </w:r>
    </w:p>
    <w:p>
      <w:pPr>
        <w:pStyle w:val="Normal12a"/>
      </w:pPr>
      <w:r>
        <w:t>De Commissie vrouwenrechten en gendergelijkheid</w:t>
      </w:r>
      <w:r>
        <w:t xml:space="preserve"> dient bij de bevoegde </w:t>
      </w:r>
      <w:r>
        <w:t>Commissie werkgelegenheid en sociale zaken</w:t>
      </w:r>
      <w:r>
        <w:t xml:space="preserve"> het volgende in</w:t>
      </w:r>
      <w:r>
        <w:t>:</w:t>
      </w:r>
    </w:p>
    <w:p>
      <w:pPr>
        <w:pStyle w:val="AmNumberTabs"/>
      </w:pP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artikel 2 en artikel 3, lid 3, van het Verdrag betreffende de Europese Unie,</w:t>
            </w:r>
          </w:p>
        </w:tc>
      </w:tr>
    </w:tbl>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artikelen 8, 9, 151, 153 en 157 van het Verdrag betreffende de werking van de Europese Unie,</w:t>
            </w:r>
          </w:p>
        </w:tc>
      </w:tr>
    </w:tbl>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Verdrag van de Verenigde Naties inzake de uitbanning van alle vormen van discriminatie van vrouwen, dat werd aangenomen in 1979,</w:t>
            </w:r>
          </w:p>
        </w:tc>
      </w:tr>
    </w:tbl>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Verdrag van de Raad van Europa inzake het voorkomen en bestrijden van geweld tegen vrouwen en huiselijk geweld (Verdrag van Istanbul), dat werd aangenomen in 2011,</w:t>
            </w:r>
          </w:p>
        </w:tc>
      </w:tr>
    </w:tbl>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Richtlijn 2000/43/EG van de Raad van 29 juni 2000 houdende toepassing van het beginsel van gelijke behandeling van personen ongeacht ras of etnische afstamming</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 xml:space="preserve">PB L 180 van 19.7.2000, blz. 22, ELI: </w:t>
            </w:r>
            <w:r>
              <w:rPr>
                <w:b/>
                <w:i/>
              </w:rPr>
              <w:t>http://data.europa.eu/eli/dir/2000/43/oj</w:t>
            </w:r>
            <w:r>
              <w:rPr>
                <w:b/>
                <w:i/>
              </w:rPr>
              <w:t>.</w:t>
            </w:r>
          </w:p>
        </w:tc>
      </w:tr>
    </w:tbl>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Richtlijn 2006/54/EG van het Europees Parlement en de Raad van 5 juli 2006 betreffende de toepassing van het beginsel van gelijke kansen en gelijke behandeling van mannen en vrouwen in arbeid en beroep</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 xml:space="preserve">PB L 204 van 26.7.2006, blz. 23, ELI: </w:t>
            </w:r>
            <w:r>
              <w:rPr>
                <w:b/>
                <w:i/>
              </w:rPr>
              <w:t>http://data.europa.eu/eli/dir/2006/54/oj</w:t>
            </w:r>
            <w:r>
              <w:rPr>
                <w:b/>
                <w:i/>
              </w:rPr>
              <w:t>.</w:t>
            </w:r>
          </w:p>
        </w:tc>
      </w:tr>
    </w:tbl>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10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 xml:space="preserve">PB L 132 van 17.5.2023, blz. 21, ELI: </w:t>
            </w:r>
            <w:r>
              <w:rPr>
                <w:b/>
                <w:i/>
              </w:rPr>
              <w:t>http://data.europa.eu/eli/dir/2023/970/oj</w:t>
            </w:r>
            <w:r>
              <w:rPr>
                <w:b/>
                <w:i/>
              </w:rPr>
              <w:t>.</w:t>
            </w:r>
          </w:p>
        </w:tc>
      </w:tr>
    </w:tbl>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10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Richtlijn (EU) 2024/1385 van het Europees Parlement en de Raad van 14 mei 2024 ter bestrijding van geweld tegen vrouwen en huiselijk geweld</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 xml:space="preserve">PB L, 2024/1385, 24.5.2024, ELI: </w:t>
            </w:r>
            <w:r>
              <w:rPr>
                <w:b/>
                <w:i/>
              </w:rPr>
              <w:t>http://data.europa.eu/eli/dir/2024/1385/oj</w:t>
            </w:r>
            <w:r>
              <w:rPr>
                <w:b/>
                <w:i/>
              </w:rPr>
              <w:t>.</w:t>
            </w:r>
          </w:p>
        </w:tc>
      </w:tr>
    </w:tbl>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Aanbeveling (EU) 2024/1238 van de Commissie van 23 april 2024 over de ontwikkeling en versterking van geïntegreerde systemen voor kinderbescherming in het belang van het kind</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 xml:space="preserve">PB L, 2024/1238, 14.5.2024, ELI: </w:t>
            </w:r>
            <w:r>
              <w:rPr>
                <w:b/>
                <w:i/>
              </w:rPr>
              <w:t>http://data.europa.eu/eli/reco/2024/1238/oj</w:t>
            </w:r>
            <w:r>
              <w:rPr>
                <w:b/>
                <w:i/>
              </w:rPr>
              <w:t>.</w:t>
            </w:r>
          </w:p>
        </w:tc>
      </w:tr>
    </w:tbl>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18 september 2020 getiteld “Een Unie van gelijkheid: EU-actieplan tegen racisme 2020-2025” (COM(2020)0565),</w:t>
            </w:r>
          </w:p>
        </w:tc>
      </w:tr>
    </w:tbl>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12 november 2020 getiteld “Een Unie van gelijkheid: strategie voor gelijkheid van lhbtiq’ers 2020‑2025” (</w:t>
            </w:r>
            <w:r>
              <w:rPr>
                <w:b/>
                <w:i/>
              </w:rPr>
              <w:t>COM(2020)0698</w:t>
            </w:r>
            <w:r>
              <w:rPr>
                <w:b/>
                <w:i/>
              </w:rPr>
              <w:t>),</w:t>
            </w:r>
          </w:p>
        </w:tc>
      </w:tr>
    </w:tbl>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30 januari 2020 over de loonkloof tussen mannen en vrouwen</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PB C 331 van 17.8.2021, blz. 5.</w:t>
            </w:r>
          </w:p>
        </w:tc>
      </w:tr>
    </w:tbl>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5 juli 2022 over armoede onder vrouwen in Europa</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PB C 47 van 7.2.2023, blz. 2.</w:t>
            </w:r>
          </w:p>
        </w:tc>
      </w:tr>
    </w:tbl>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7 maart 2025 getiteld “Een routekaart voor vrouwenrechten” (COM(2025)0097),</w:t>
            </w:r>
          </w:p>
        </w:tc>
      </w:tr>
    </w:tbl>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Visum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rapport van Make Mothers Matter getiteld “Mothers’ Poverty in the EU” (Armoede onder moeders in de EU), dat in september 2025 zal worden gepubliceerd,</w:t>
            </w:r>
          </w:p>
        </w:tc>
      </w:tr>
    </w:tbl>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vrouwen nog steeds in onevenredige mate vaker dan mannen worden getroffen door zowel absolute als relatieve armoede, alsook door het risico op sociale uitsluiting, als gevolg van structurele genderongelijkheden; overwegende dat armoede onder vrouwen, in al haar diversiteit, moet worden begrepen als een complex en multidimensionaal verschijnsel dat niet alleen sociale, politieke en culturele aspecten omvat, maar ook inkomen, huisvesting, gezondheid en toegang tot onderwijs en sociale diensten, en dat werkgelegenheid alleen niet volstaat om deze armoede uit te bannen, maar dat er een alomvattende, inclusieve aanpak nodig is waarin zowel armoedepreventie als armoedeverlichting een rol spelen; overwegende dat in 2024 in op twee na alle EU-landen meer vrouwen (6,6 %) dan mannen (6,2 %) leden onder ernstige materiële en sociale deprivatie</w:t>
            </w:r>
            <w:r>
              <w:rPr>
                <w:b/>
                <w:i/>
                <w:vertAlign w:val="superscript"/>
              </w:rPr>
              <w:t>1 bis.</w:t>
            </w:r>
            <w:r>
              <w:rPr>
                <w:b/>
                <w:i/>
              </w:rPr>
              <w:t xml:space="preserve"> en dat het percentage van de bevolking dat risico loopt op armoede of sociale uitsluiting in alle EU-landen hoger lag voor vrouwen (21,9 %) dan voor mannen (20 %)</w:t>
            </w:r>
            <w:r>
              <w:rPr>
                <w:b/>
                <w:i/>
                <w:vertAlign w:val="superscript"/>
              </w:rPr>
              <w:t>1 ter.</w:t>
            </w:r>
            <w:r>
              <w:rPr>
                <w:b/>
                <w:i/>
              </w:rPr>
              <w:t>;</w:t>
            </w:r>
            <w:r>
              <w:rPr>
                <w:b/>
                <w:i/>
              </w:rPr>
              <w:t xml:space="preserve"> overwegende dat in datzelfde jaar 23,7 % van de vrouwen en 22,7 % van de mannen in de EU zichzelf als arm beschouwde</w:t>
            </w:r>
            <w:r>
              <w:rPr>
                <w:b/>
                <w:i/>
                <w:vertAlign w:val="superscript"/>
              </w:rPr>
              <w:t>1 quater.</w:t>
            </w:r>
            <w:r>
              <w:rPr>
                <w:b/>
                <w:i/>
              </w:rPr>
              <w:t>, en dat in de groep vrouwen van 65 jaar en ouder 21,6 % risico liep op armoede, tegenover circa 16,5 % van de mannen in diezelfde leeftijdsgroep</w:t>
            </w:r>
            <w:r>
              <w:rPr>
                <w:b/>
                <w:i/>
                <w:vertAlign w:val="superscript"/>
              </w:rPr>
              <w:t>1 quinquies.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Data Browser, ‘Severe material and social deprivation rate by age and sex’, https://ec.europa.eu/eurostat/databrowser/view/ilc_mdsd11__custom_17284202/bookmark/table?lang=en&amp;&amp;bookmarkId=a0f88fa5-9110-4302-a67d-d58f889214d0&amp;&amp;page=time:2024.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Data Browser, ‘Persons at risk of poverty or social exclusion by age and sex’, https://ec.europa.eu/eurostat/databrowser/view/ilc_peps01n__custom_17280682/bookmark/table?lang=en&amp;&amp;bookmarkId=1136c1ef-3d9f-4fda-82fb-cf7423eac65e&amp;&amp;page=time:2024.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Eurostat, Data Browser, ‘Subjective poverty by age and sex’, https://ec.europa.eu/eurostat/databrowser/view/ilc_sbjp01__custom_17284289/bookmark/table?lang=en&amp;&amp;bookmarkId=7d0decb7-866a-4494-b901-58a61bebd575&amp;&amp;page=time:2024.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quinquies.</w:t>
            </w:r>
            <w:r>
              <w:t xml:space="preserve"> </w:t>
            </w:r>
            <w:r>
              <w:rPr>
                <w:b/>
                <w:i/>
              </w:rPr>
              <w:t>Eurostat, Data Browser, ‘Persons at risk of poverty or social exclusion by age and sex’, https://ec.europa.eu/eurostat/databrowser/view/ilc_peps01n__custom_17280682/bookmark/table?lang=en&amp;&amp;bookmarkId=1136c1ef-3d9f-4fda-82fb-cf7423eac65e&amp;&amp;page=time:2024.</w:t>
            </w:r>
          </w:p>
        </w:tc>
      </w:tr>
    </w:tbl>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armoede onder vrouwen zowel een oorzaak als een gevolg is van de intersectionele discriminatie waarmee vrouwen worden geconfronteerd, met name vrouwen die te maken hebben met specifieke vormen van marginalisering en structurele discriminatie op grond van geslacht, ras, etniciteit, handicap, leeftijd, migratiestatus, seksuele gerichtheid, genderidentiteit, godsdienst of overtuiging, alsook vrouwen uit kansarme sociaal-economische milieus en in het bijzonder trans- en interseksuele vrouwen; overwegende dat alleenstaande moeders en vrouwen die in de afgelegen, insulaire en ultraperifere gebieden van de EU wonen, worden geconfronteerd met specifieke uitdagingen en een verhoogd risico op armoede; overwegende dat een gebrek aan wettelijke erkenning van relaties tussen personen van hetzelfde geslacht en van genderidentiteit op het niveau van lidstaten ertoe leidt dat lhbtiq+-personen niet in aanmerking voor essentiële sociale diensten en gezinsgerelateerde uitkeringen, hetgeen de cyclussen van armoede en marginalisering versterkt; overwegende dat Roma-vrouwen in het bijzonder te maken krijgen met discriminatie op het gebied van onderwijs en fatsoenlijk werk; overwegende dat in 2022 slechts 28 % van de Romavrouwen in de leeftijdscategorie 20‑64 jaar een baan had, tegenover 58 % van de Roma-mannen in dezelfde leeftijdscategorie</w:t>
            </w:r>
            <w:r>
              <w:rPr>
                <w:b/>
                <w:i/>
                <w:vertAlign w:val="superscript"/>
              </w:rPr>
              <w:t>1 bis.</w:t>
            </w:r>
            <w:r>
              <w:rPr>
                <w:b/>
                <w:i/>
              </w:rPr>
              <w:t>;</w:t>
            </w:r>
            <w:r>
              <w:rPr>
                <w:b/>
                <w:i/>
              </w:rPr>
              <w:t xml:space="preserve"> overwegende dat vrouwen die zichtbaar religieuze kleding dragen vaak te maken krijgen met discriminatie op de arbeidsmarkt, waaronder, volgens het meest recente FRA-rapport, 45 % van de moslimvrouwen</w:t>
            </w:r>
            <w:r>
              <w:rPr>
                <w:b/>
                <w:i/>
                <w:vertAlign w:val="superscript"/>
              </w:rPr>
              <w:t>1 ter.</w:t>
            </w:r>
            <w:r>
              <w:rPr>
                <w:b/>
                <w:i/>
              </w:rPr>
              <w:t>;</w:t>
            </w:r>
            <w:r>
              <w:rPr>
                <w:b/>
                <w:i/>
              </w:rPr>
              <w:t xml:space="preserve"> overwegende dat vrouwelijke migranten, waaronder vluchtelingen en asielzoekers, te maken hebben met meerdere vormen van discriminatie wanneer zij formele werkgelegenheid en huisvesting zoeken; </w:t>
            </w:r>
            <w:r>
              <w:rPr>
                <w:b/>
                <w:i/>
              </w:rPr>
              <w:t>overwegende dat voor vrouwelijke migranten de armoede- en uitsluitingspercentages hoger liggen als gevolg van belemmeringen bij de toegang tot werkgelegenheid, erkenning van kwalificaties en kinderopvang</w:t>
            </w:r>
            <w:r>
              <w:rPr>
                <w:b/>
                <w:i/>
                <w:vertAlign w:val="superscript"/>
              </w:rPr>
              <w:t>1 quater.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Fundamental Rights Agency, ‘Roma in 10 European countries’, Publications Office of the European Union,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Fundamental Rights Agency, ‘Being Muslim in the EU’, Publications Office of the European Union, 2024, https://fra.europa.eu/sites/default/files/fra_uploads/fra-2024-being-muslim-in-the-eu_en.pdf.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Eurostat, Statistics Explained, ‘Migrant integration statistics - at risk of poverty and social exclusion’, Data extracted in 26 September 2024, https://ec.europa.eu/eurostat/statistics-explained/index.php?title=Migrant_integration_statistics_-_at_risk_of_poverty_and_social_exclusion.</w:t>
            </w:r>
          </w:p>
        </w:tc>
      </w:tr>
    </w:tbl>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 xml:space="preserve">overwegende dat er een sterke correlatie bestaat tussen armoede onder vrouwen en kinderarmoede; </w:t>
            </w:r>
            <w:r>
              <w:rPr>
                <w:b/>
                <w:i/>
              </w:rPr>
              <w:t>overwegende dat in 2024 over de hele EU genomen het percentage van de bevolking dat met armoede of sociale uitsluiting werd bedreigd (24,2 % van de bevolking jonger dan 18 jaar)</w:t>
            </w:r>
            <w:r>
              <w:rPr>
                <w:b/>
                <w:i/>
                <w:vertAlign w:val="superscript"/>
              </w:rPr>
              <w:t>1 bis.</w:t>
            </w:r>
            <w:r>
              <w:rPr>
                <w:b/>
                <w:i/>
              </w:rPr>
              <w:t xml:space="preserve"> en het percentage ernstige materiële en sociale deprivatie (7,9 % van de bevolking jonger dan 18 jaar)</w:t>
            </w:r>
            <w:r>
              <w:rPr>
                <w:b/>
                <w:i/>
                <w:vertAlign w:val="superscript"/>
              </w:rPr>
              <w:t>1 ter.</w:t>
            </w:r>
            <w:r>
              <w:rPr>
                <w:b/>
                <w:i/>
              </w:rPr>
              <w:t xml:space="preserve"> het hoogst waren bij kinderen;</w:t>
            </w:r>
            <w:r>
              <w:rPr>
                <w:b/>
                <w:i/>
              </w:rPr>
              <w:t xml:space="preserve"> </w:t>
            </w:r>
            <w:r>
              <w:rPr>
                <w:b/>
                <w:i/>
              </w:rPr>
              <w:t>overwegende dat in 2024 in de EU 26,1 % van de mensen jonger dan 18 jaar zichzelf als arm beschouwde</w:t>
            </w:r>
            <w:r>
              <w:rPr>
                <w:b/>
                <w:i/>
                <w:vertAlign w:val="superscript"/>
              </w:rPr>
              <w:t>1 quater.</w:t>
            </w:r>
            <w:r>
              <w:rPr>
                <w:b/>
                <w:i/>
              </w:rPr>
              <w:t>;</w:t>
            </w:r>
            <w:r>
              <w:rPr>
                <w:b/>
                <w:i/>
              </w:rPr>
              <w:t xml:space="preserve"> overwegende dat een op de vier kinderen in de EU met armoede of sociale uitsluiting wordt bedreigd</w:t>
            </w:r>
            <w:r>
              <w:rPr>
                <w:b/>
                <w:i/>
                <w:vertAlign w:val="superscript"/>
              </w:rPr>
              <w:t>1 quinquies.</w:t>
            </w:r>
            <w:r>
              <w:rPr>
                <w:b/>
                <w:i/>
              </w:rPr>
              <w:t>;</w:t>
            </w:r>
            <w:r>
              <w:rPr>
                <w:b/>
                <w:i/>
              </w:rPr>
              <w:t xml:space="preserve"> overwegende dat in 2024 in de EU 8 % van de kinderen jonger dan 17 jaar in een huishouden leefde waar sprake was van werkloosheid</w:t>
            </w:r>
            <w:r>
              <w:rPr>
                <w:b/>
                <w:i/>
                <w:vertAlign w:val="superscript"/>
              </w:rPr>
              <w:t>1 sexies.</w:t>
            </w:r>
            <w:r>
              <w:rPr>
                <w:b/>
                <w:i/>
              </w:rPr>
              <w:t>;</w:t>
            </w:r>
            <w:r>
              <w:rPr>
                <w:b/>
                <w:i/>
              </w:rPr>
              <w:t xml:space="preserve"> overwegende dat het versterken van de economische positie van moeders een direct en blijvend positief effect heeft op het welzijn van kinderen en van essentieel belang is om intergenerationele cycli van armoede te doorbreken en gelijke kansen voor kinderen te waarborgen;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Data Browser, ‘Persons at risk of poverty or social exclusion by age and sex’, https://ec.europa.eu/eurostat/databrowser/bookmark/1136c1ef-3d9f-4fda-82fb-cf7423eac65e?lang=en&amp;&amp;page=time:2024.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Data Browser, ‘Severe material and social deprivation rate by age and sex’, https://ec.europa.eu/eurostat/databrowser/view/ilc_mdsd11__custom_17284216/bookmark/table?lang=en&amp;&amp;bookmarkId=a3bbdd78-6da8-43f5-8b3b-b2eb4a3ddadc&amp;&amp;page=time:2024.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Eurostat, Data Browser, ‘Subjective poverty by age and sex’, https://ec.europa.eu/eurostat/databrowser/view/ilc_sbjp01__custom_17284300/bookmark/table?lang=en&amp;&amp;bookmarkId=a2e1c6ea-e1ca-43ca-a78c-5bb0645fdd77&amp;&amp;page=time:2024.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quinquies.</w:t>
            </w:r>
            <w:r>
              <w:t xml:space="preserve"> </w:t>
            </w:r>
            <w:r>
              <w:rPr>
                <w:b/>
                <w:i/>
              </w:rPr>
              <w:t>Eurostat, Data Browser, ‘Persons at risk of poverty or social exclusion by age and sex’, https://ec.europa.eu/eurostat/databrowser/view/ilc_peps01n__custom_17501965/default/table?lang=en.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sexies.</w:t>
            </w:r>
            <w:r>
              <w:t xml:space="preserve"> </w:t>
            </w:r>
            <w:r>
              <w:rPr>
                <w:b/>
                <w:i/>
              </w:rPr>
              <w:t>Eurostat, Statistics Explained, ‘Household composition statistics’, https://ec.europa.eu/eurostat/statistics-explained/index.php?title=Household_composition_statistics#Data_sources.</w:t>
            </w:r>
          </w:p>
        </w:tc>
      </w:tr>
    </w:tbl>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overwegende dat eenoudergezinnen meer risico op armoede en sociale uitsluiting lopen en dat bij deze gezinnen de kans groter is dat armoede gedurende meerdere generaties in stand blijft; overwegende dat ongeveer een op de zes kinderen in de EU (17 %)</w:t>
            </w:r>
            <w:r>
              <w:rPr>
                <w:b/>
                <w:i/>
                <w:vertAlign w:val="superscript"/>
              </w:rPr>
              <w:t>1 bis.</w:t>
            </w:r>
            <w:r>
              <w:rPr>
                <w:b/>
                <w:i/>
              </w:rPr>
              <w:t xml:space="preserve"> opgroeit in eenoudergezinnen;</w:t>
            </w:r>
            <w:r>
              <w:rPr>
                <w:b/>
                <w:i/>
              </w:rPr>
              <w:t xml:space="preserve"> </w:t>
            </w:r>
            <w:r>
              <w:rPr>
                <w:b/>
                <w:i/>
              </w:rPr>
              <w:t>overwegende dat in de meeste eenoudergezinnen een vrouw aan het hoofd staat</w:t>
            </w:r>
            <w:r>
              <w:rPr>
                <w:b/>
                <w:i/>
                <w:vertAlign w:val="superscript"/>
              </w:rPr>
              <w:t>1 ter.</w:t>
            </w:r>
            <w:r>
              <w:rPr>
                <w:b/>
                <w:i/>
              </w:rPr>
              <w:t>;</w:t>
            </w:r>
            <w:r>
              <w:rPr>
                <w:b/>
                <w:i/>
              </w:rPr>
              <w:t xml:space="preserve"> overwegende dat eenoudergezinnen, met name die met een vrouw aan het hoofd, een onevenredig armoederisico lopen (meer dan 32 %), tegenover slechts 11,2 % onder tweeoudergezinnen</w:t>
            </w:r>
            <w:r>
              <w:rPr>
                <w:b/>
                <w:i/>
                <w:vertAlign w:val="superscript"/>
              </w:rPr>
              <w:t>1 quater.</w:t>
            </w:r>
            <w:r>
              <w:rPr>
                <w:b/>
                <w:i/>
              </w:rPr>
              <w:t>;</w:t>
            </w:r>
            <w:r>
              <w:rPr>
                <w:b/>
                <w:i/>
              </w:rPr>
              <w:t xml:space="preserve"> overwegende dat armoede een van de factoren is die eraan bijdragen dat gezinnen in de EU uiteenvallen; overwegende dat bijna 20 miljoen kinderen (een op de vier), in de EU risico lopen op armoede of sociale uitsluiting</w:t>
            </w:r>
            <w:r>
              <w:rPr>
                <w:b/>
                <w:i/>
                <w:vertAlign w:val="superscript"/>
              </w:rPr>
              <w:t>1 quinquies.</w:t>
            </w:r>
            <w:r>
              <w:rPr>
                <w:b/>
                <w:i/>
              </w:rPr>
              <w:t>, en overwegende dat de huidige trend niet zal leiden tot het behalen van de doelstelling om het aantal kinderen in armoede tegen 2030 met ten minste 5 miljoen te verminderen</w:t>
            </w:r>
            <w:r>
              <w:rPr>
                <w:b/>
                <w:i/>
                <w:vertAlign w:val="superscript"/>
              </w:rPr>
              <w:t>1 sexies.</w:t>
            </w:r>
            <w:r>
              <w:rPr>
                <w:b/>
                <w:i/>
              </w:rPr>
              <w:t>;</w:t>
            </w:r>
            <w:r>
              <w:rPr>
                <w:b/>
                <w:i/>
              </w:rPr>
              <w:t xml:space="preserve"> overwegende dat kinderarmoede een van de meest dringende en moeilijkst uit te roeien vormen van armoede is, met langdurige gevolgen voor de ontwikkeling en kansen in het leven van kinderen en voor de toekomst van onze samenlevingen; </w:t>
            </w:r>
            <w:r>
              <w:rPr>
                <w:b/>
                <w:i/>
              </w:rPr>
              <w:t>overwegende dat er aanzienlijke verschillen blijken te bestaan onder kinderen met een etnische of migratieachtergrond en kinderen met een handicap</w:t>
            </w:r>
            <w:r>
              <w:rPr>
                <w:b/>
                <w:i/>
                <w:vertAlign w:val="superscript"/>
              </w:rPr>
              <w:t>1 septies.</w:t>
            </w:r>
            <w:r>
              <w:rPr>
                <w:b/>
                <w:i/>
              </w:rPr>
              <w:t>;</w:t>
            </w:r>
            <w:r>
              <w:rPr>
                <w:b/>
                <w:i/>
              </w:rPr>
              <w:t xml:space="preserve"> overwegende dat het krijgen van kinderen het risico op armoede voor alleenstaande volwassenen verder vergroot, een risico dat vrouwen onevenredig treft, aangezien zij het vaakst verantwoordelijk zijn voor de zorg voor het kind en bijna twee keer zo vaak dan alleenstaande vaders geen werk hebben, terwijl meer dan een derde van de alleenstaande moeders met een baan slechts deeltijds werkt</w:t>
            </w:r>
            <w:r>
              <w:rPr>
                <w:b/>
                <w:i/>
                <w:vertAlign w:val="superscript"/>
              </w:rPr>
              <w:t>1 octies.</w:t>
            </w:r>
            <w:r>
              <w:rPr>
                <w:b/>
                <w:i/>
              </w:rPr>
              <w:t>; overwegende dat het helpen van moeders om meer te verdienen en financiële stabiliteit te bewerkstelligen een krachtige en doeltreffende hefboomwerking heeft op het terugdringen van kinderarmoede;</w:t>
            </w:r>
            <w:r>
              <w:rPr>
                <w:b/>
                <w:i/>
              </w:rPr>
              <w:t xml:space="preserve"> overwegende dat sommige gemeenten in de lidstaten de specifieke uitdagingen waarmee alleenstaande moeders worden geconfronteerd erkennen en hiervoor gericht beleid en ondersteunende maatregelen hebben ingevoerd;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‘Young people – family and society’; https://ec.europa.eu/eurostat/statistics-explained/index.php?title=Young_people_-_family_and_society.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Statistics Explained, ‘Household composition statistics’, accessed 23 June 2025, https://ec.europa.eu/eurostat/statistics-explained/index.php?title=Household_composition_statistics#Data_sources.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Eurostat, At-risk-of-poverty rate by poverty threshold and household type, https://ec.europa.eu/eurostat/databrowser/view/ilc_li03/default/table?lang=en.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quinquies.</w:t>
            </w:r>
            <w:r>
              <w:t xml:space="preserve"> </w:t>
            </w:r>
            <w:r>
              <w:rPr>
                <w:b/>
                <w:i/>
              </w:rPr>
              <w:t>Eurostat, Statistics Explained, ‘Children at risk of poverty or social exclusion’, https://ec.europa.eu/eurostat/statistics-explained/index.php?title=Children_at_risk_of_poverty_or_social_exclusion.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sexies.</w:t>
            </w:r>
            <w:r>
              <w:t xml:space="preserve"> </w:t>
            </w:r>
            <w:r>
              <w:rPr>
                <w:b/>
                <w:i/>
              </w:rPr>
              <w:t>Commission communication of 4 March 2021 entitled ‘The European Pillar of Social Rights Action Plan’ (COM(2021)0102).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septies.</w:t>
            </w:r>
            <w:r>
              <w:t xml:space="preserve"> </w:t>
            </w:r>
            <w:r>
              <w:rPr>
                <w:b/>
                <w:i/>
              </w:rPr>
              <w:t>UNICEF, ‘Child Poverty Policy Brief’, 2024, https://www.unicef.org/eu/documents/policy-brief-child-poverty.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octies.</w:t>
            </w:r>
            <w:r>
              <w:t xml:space="preserve"> </w:t>
            </w:r>
            <w:r>
              <w:rPr>
                <w:b/>
                <w:i/>
              </w:rPr>
              <w:t>Europees Instituut voor gendergelijkheid (EIGE), Beijing + 25</w:t>
            </w:r>
            <w:r>
              <w:rPr>
                <w:b/>
                <w:i/>
              </w:rPr>
              <w:t xml:space="preserve">: </w:t>
            </w:r>
            <w:r>
              <w:rPr>
                <w:b/>
                <w:i/>
              </w:rPr>
              <w:t>the fifth review of the implementation of the Beijing Platform for Action in the EU Member States, https://eige.europa.eu/sites/default/files/documents/20190441_mh0119039enn_pdf.pdf.</w:t>
            </w:r>
          </w:p>
        </w:tc>
      </w:tr>
    </w:tbl>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 xml:space="preserve">overwegende dat er een sterke correlatie bestaat tussen armoede en gendergerelateerd geweld en overwegende dat armoede de gevolgen van gendergerelateerd geweld verergert, met name voor vrouwen in gemarginaliseerde situaties, zoals lhbtiq+-personen; </w:t>
            </w:r>
            <w:r>
              <w:rPr>
                <w:b/>
                <w:i/>
              </w:rPr>
              <w:t>overwegende dat vrouwen die in armoede leven een groter risico lopen op geweld, met inbegrip van intiem partnergeweld en huiselijk geweld, als gevolg van factoren zoals financiële afhankelijkheid, onzekere huisvesting en beperkte toegang tot ondersteunende diensten</w:t>
            </w:r>
            <w:r>
              <w:rPr>
                <w:b/>
                <w:i/>
                <w:vertAlign w:val="superscript"/>
              </w:rPr>
              <w:t>1 bis.</w:t>
            </w:r>
            <w:r>
              <w:rPr>
                <w:b/>
                <w:i/>
              </w:rPr>
              <w:t>; overwegende dat in de EU27 30,7 % van de vrouwen tijdens hun leven te maken krijgt met fysiek geweld of bedreigingen en/of seksueel geweld, ongeacht het soort dader</w:t>
            </w:r>
            <w:r>
              <w:rPr>
                <w:b/>
                <w:i/>
                <w:vertAlign w:val="superscript"/>
              </w:rPr>
              <w:t>1 ter.</w:t>
            </w:r>
            <w:r>
              <w:rPr>
                <w:b/>
                <w:i/>
              </w:rPr>
              <w:t>;</w:t>
            </w:r>
            <w:r>
              <w:rPr>
                <w:b/>
                <w:i/>
              </w:rPr>
              <w:t xml:space="preserve"> overwegende dat armoede het risico vergroot dat vrouwen het slachtoffer van mensenhandel en seksuele uitbuiting worden;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EIGE, https://eige.europa.eu/sites/default/files/documents/financial-independence-and-gender-equality.pdf.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EIGE, ‘Gender-based violence survey’, https://eige.europa.eu/newsroom/eu-gender-based-violence-survey?language_content_entity=en.</w:t>
            </w:r>
          </w:p>
        </w:tc>
      </w:tr>
    </w:tbl>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overwegende dat dakloze vrouwen vaak onzichtbaar zijn in de statistieken en dat het traject dat zij afleggen voordat zij dakloos worden gendergerelateerd is; overwegende dat bij normatieve definities van dakloosheid vaak geen rekening wordt gehouden met de realiteit waarmee vrouwen worden geconfronteerd, die anders is dan die van mannen, aangezien zij minder geneigd zijn op straat te leven en eerder hun toevlucht zoeken tot informele of tijdelijke huisvestingssituaties waarbij zij risico lopen op gendergerelateerd geweld en verlies van ouderlijk gezag over hun kinderen; overwegende dat lhbtiq+-personen, met name transgenders en daklozen, een verhoogd risico op armoede en sociale uitsluiting lopen als gevolg van structurele discriminatie op het gebied van werkgelegenheid, huisvesting, gezondheidszorg en toegang tot socialebeschermingsstelsels;</w:t>
            </w:r>
          </w:p>
        </w:tc>
      </w:tr>
    </w:tbl>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overwegende dat onbetaalde en onderbetaalde zorgtaken, die onevenredig vaak door vrouwen worden verricht, nog steeds een belangrijke oorzaak zijn van genderongelijkheid op het gebied van inkomen, loopbaanontwikkeling en pensioenen, hetgeen resulteert in een lager inkomenstotaal aan het einde van het werkzame leven en een aanzienlijke genderkloof op het gebied van pensioenen; overwegende dat vrouwen over het algemeen langer leven en daardoor vaker langdurige zorg nodig hebben naarmate zij ouder worden</w:t>
            </w:r>
            <w:r>
              <w:rPr>
                <w:b/>
                <w:i/>
                <w:vertAlign w:val="superscript"/>
              </w:rPr>
              <w:t>1 bis.</w:t>
            </w:r>
            <w:r>
              <w:rPr>
                <w:b/>
                <w:i/>
              </w:rPr>
              <w:t>;</w:t>
            </w:r>
            <w:r>
              <w:rPr>
                <w:b/>
                <w:i/>
              </w:rPr>
              <w:t xml:space="preserve"> overwegende dat de meerderheid van de werknemers in de langdurige zorg ook vrouwen zijn, waaronder veel migranten</w:t>
            </w:r>
            <w:r>
              <w:rPr>
                <w:b/>
                <w:i/>
                <w:vertAlign w:val="superscript"/>
              </w:rPr>
              <w:t>1 ter.</w:t>
            </w:r>
            <w:r>
              <w:rPr>
                <w:b/>
                <w:i/>
              </w:rPr>
              <w:t>;</w:t>
            </w:r>
            <w:r>
              <w:rPr>
                <w:b/>
                <w:i/>
              </w:rPr>
              <w:t xml:space="preserve"> overwegende dat de lonen in de sector langdurige zorg en andere sociale diensten in 2021 21 % onder het gemiddelde loon lagen</w:t>
            </w:r>
            <w:r>
              <w:rPr>
                <w:b/>
                <w:i/>
                <w:vertAlign w:val="superscript"/>
              </w:rPr>
              <w:t>1 quater.</w:t>
            </w:r>
            <w:r>
              <w:rPr>
                <w:b/>
                <w:i/>
              </w:rPr>
              <w:t>;</w:t>
            </w:r>
            <w:r>
              <w:rPr>
                <w:b/>
                <w:i/>
              </w:rPr>
              <w:t xml:space="preserve"> overwegende dat gendergerelateerde horizontale segregatie op de arbeidsmarkt bijdraagt tot hardnekkige loonongelijkheid;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United Nations Department of Economic and Social Affairs (UNDESA), ‘The growing need for long-term care’, https://www.un.org/esa/socdev/ageing/documents/un-ageing_briefing-paper_Long-term-care.pdf.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EIGE, ‘Gender inequalities in care and consequences for the labour market’, Publications Office of the European Union, 2021, https://eige.europa.eu/sites/default/files/documents/20204948_mh0220888enn_pdf.pdf.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Eurofound, ‘Wages in long-term care and other social services 21 % below average’, 2021, https://www.eurofound.europa.eu/en/resources/article/2021/wages-long-term-care-and-other-social-services-21-below-average.</w:t>
            </w:r>
          </w:p>
        </w:tc>
      </w:tr>
    </w:tbl>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nonies.</w:t>
            </w:r>
            <w:r>
              <w:tab/>
            </w:r>
            <w:r>
              <w:rPr>
                <w:b/>
                <w:i/>
              </w:rPr>
              <w:t>overwegende dat economische inactiviteit en werkloosheid het risico op armoede en sociale uitsluiting voor zowel vrouwen als mannen aanzienlijk vergroten; overwegende dat in 2024 de arbeidsparticipatiekloof tussen mannen en vrouwen in de EU 10,0 procentpunten bedroeg, wat betekent dat bij mannen in de werkende leeftijd het aandeel personen met een baan 10,0 procentpunten hoger lag dan bij vrouwen</w:t>
            </w:r>
            <w:r>
              <w:rPr>
                <w:b/>
                <w:i/>
                <w:vertAlign w:val="superscript"/>
              </w:rPr>
              <w:t>1 bis.</w:t>
            </w:r>
            <w:r>
              <w:rPr>
                <w:b/>
                <w:i/>
              </w:rPr>
              <w:t>;</w:t>
            </w:r>
            <w:r>
              <w:rPr>
                <w:b/>
                <w:i/>
              </w:rPr>
              <w:t xml:space="preserve"> overwegende dat de arbeidsparticipatie van Roma-vrouwen nog lager is, namelijk 28 %</w:t>
            </w:r>
            <w:r>
              <w:rPr>
                <w:b/>
                <w:i/>
                <w:vertAlign w:val="superscript"/>
              </w:rPr>
              <w:t>1 ter.</w:t>
            </w:r>
            <w:r>
              <w:rPr>
                <w:b/>
                <w:i/>
              </w:rPr>
              <w:t>;</w:t>
            </w:r>
            <w:r>
              <w:rPr>
                <w:b/>
                <w:i/>
              </w:rPr>
              <w:t xml:space="preserve"> overwegende dat de loonkloof tussen mannen en vrouwen in de EU in 2023 12 % bedroeg</w:t>
            </w:r>
            <w:r>
              <w:rPr>
                <w:b/>
                <w:i/>
                <w:vertAlign w:val="superscript"/>
              </w:rPr>
              <w:t>1 quater.</w:t>
            </w:r>
            <w:r>
              <w:rPr>
                <w:b/>
                <w:i/>
              </w:rPr>
              <w:t xml:space="preserve"> en dat vrouwen onevenredig sterk vertegenwoordigd zijn in laagbetaalde, onzekere banen en in flexibele vormen van werk, met atypische en flexibele arbeidsovereenkomsten (deeltijdwerk, tijdelijk werk enz.);</w:t>
            </w:r>
            <w:r>
              <w:rPr>
                <w:b/>
                <w:i/>
              </w:rPr>
              <w:t xml:space="preserve"> overwegende dat in sectoren waar vrouwen de overgrote meerderheid vormen werk van essentieel belang en van hoge sociaal-economische waarde wordt verricht, maar dat de banen in deze sectoren vaak ondergewaardeerd worden en minder goed betaald werden dan in sectoren waar mannen de meerderheid vormen; overwegende dat het dringend noodzakelijk is te herbeoordelen of de lonen in sectoren waar vrouwen de meerderheid vormen adequaat zijn op grond van de sociaal-economische waarde van deze sectoren en vooruitgang te boeken op het vlak van minimumlonen, minimuminkomen en loontransparantie in EU-regelgeving; overwegende dat vrouwen te maken krijgen met zwangerschaps- en moederschapsdiscriminatie en soms vervroegd de arbeidsmarkt moeten verlaten vanwege zorgtaken en de effecten die aan de menopauze gerelateerde aandoeningen hebben op hun gezondheid of sociale omstandigheden; overwegende dat slechts 20,7 % van de vrouwen met een handicap een voltijdsbaan heeft</w:t>
            </w:r>
            <w:r>
              <w:rPr>
                <w:b/>
                <w:i/>
                <w:vertAlign w:val="superscript"/>
              </w:rPr>
              <w:t>1 quinquies.</w:t>
            </w:r>
            <w:r>
              <w:rPr>
                <w:b/>
                <w:i/>
              </w:rPr>
              <w:t>;</w:t>
            </w:r>
            <w:r>
              <w:rPr>
                <w:b/>
                <w:i/>
              </w:rPr>
              <w:t xml:space="preserve"> overwegende dat voor transvrouwen de kans dat zij werkloos zijn bijna drie keer zo hoog is als voor de bevolking als geheel</w:t>
            </w:r>
            <w:r>
              <w:rPr>
                <w:b/>
                <w:i/>
                <w:vertAlign w:val="superscript"/>
              </w:rPr>
              <w:t>1 sexies.</w:t>
            </w:r>
            <w:r>
              <w:rPr>
                <w:b/>
                <w:i/>
              </w:rPr>
              <w:t>;</w:t>
            </w:r>
            <w:r>
              <w:rPr>
                <w:b/>
                <w:i/>
              </w:rPr>
              <w:t xml:space="preserve"> overwegende dat vrouwelijke migranten, waaronder vluchtelingen, te maken hebben met meerdere vormen van discriminatie op het vlak van formele werkgelegenheid en huisvesting; overwegende dat het bestaan van een hardnekkige loonkloof tussen mannen en vrouwen bijdraagt tot levenslange economische ongelijkheid, met inbegrip van verschillen in pensioenen en een groter risico op armoede onder oudere vrouwen, waardoor het concurrentievermogen in de EU wordt belemmerd; overwegende dat deze loonkloof wordt veroorzaakt door factoren zoals gendersegregatie op de arbeidsmarkt, verschillen op het gebied van het aantal uren dat gewerkt wordt en ongelijke vertegenwoordiging in hogere functies, en dat de combinatie van deze factoren de economische onafhankelijkheid en sociale zekerheid van vrouwen belemmert; overwegende dat het aanpakken van de loonkloof tussen mannen en vrouwen van essentieel belang is om eerlijke arbeidsmarkten tot stand te brengen en gendergerelateerde armoede in alle leeftijdsgroepen terug te dringen; overwegende dat vrouwen in de EU in 2024 gemiddeld 26,1 % minder pensioen ontvingen dan mannen, en dat 5,3 % van de vrouwen helemaal geen pensioen ontvingen</w:t>
            </w:r>
            <w:r>
              <w:rPr>
                <w:b/>
                <w:i/>
                <w:vertAlign w:val="superscript"/>
              </w:rPr>
              <w:t>1 septies.</w:t>
            </w:r>
            <w:r>
              <w:rPr>
                <w:b/>
                <w:i/>
              </w:rPr>
              <w:t>;</w:t>
            </w:r>
            <w:r>
              <w:rPr>
                <w:b/>
                <w:i/>
              </w:rPr>
              <w:t xml:space="preserve"> overwegende dat dit het gevolg is van de onevenwichtigheden die worden veroorzaakt door aanhoudende ongelijkheden gedurende de gehele levensloop; overwegende dat vrouwen door deze pensioenkloof vaker onder de armoedegrens terechtkomen naarmate zij ouder worden, waarbij niet vergeten mag worden dat de levensverwachting van vrouwen hoger is dan die van mannen, waardoor de gevolgen van armoede en sociale uitsluiting nog groter zijn; overwegende dat inkomensongelijkheid overal in de EU een groot probleem vormt; overwegende dat, ondanks de algemene economische groei, met name degenen met de hoogste lonen hun inkomen hebben zien stijgen, terwijl voor huishoudens met een laag en middeninkomen de verbeteringen slechts gering waren; overwegende dat de ginicoëfficiënt voor het gestandaardiseerd besteedbaar inkomen in de EU in 2023 29,6 % bedroeg, hetgeen wijst op aanhoudende verschillen in inkomensverdeling</w:t>
            </w:r>
            <w:r>
              <w:rPr>
                <w:b/>
                <w:i/>
                <w:vertAlign w:val="superscript"/>
              </w:rPr>
              <w:t>1 octies.</w:t>
            </w:r>
            <w:r>
              <w:rPr>
                <w:b/>
                <w:i/>
              </w:rPr>
              <w:t>;</w:t>
            </w:r>
            <w:r>
              <w:rPr>
                <w:b/>
                <w:i/>
              </w:rPr>
              <w:t xml:space="preserve"> overwegende dat de armoedekloof tussen vrouwen en mannen naar verwachting tegen 2030 zal toenemen, aangezien vrouwen nog steeds de meerderheid zullen uitmaken onder de allerarmsten in de wereld en de kloof mogelijk verder zal groeien naarmate de digitalisering op onze arbeidsmarkten toeneemt wanneer we bedenken dat er in het onderwijs sprake is van een genderkloof op het gebied van wetenschap, technologie, engineering en wiskunde en gezien de huidige kloof in bepaalde arbeidssectoren, zoals defensie en lucht- en ruimtevaart, informatie- en communicatietechnologie en energie;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Statistics Explained, ‘Gender statistics’, accessed 23 June 2025, https://ec.europa.eu/eurostat/statistics-explained/index.php?title=Gender_statistics.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Fundamental Rights Agency, ‘Roma in 10 European countries’, 2022, https://fra.europa.eu/sites/default/files/fra_uploads/fra-2022-roma-survey-2021-main-results2_en.pdf.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Eurostat, Statistics Explained, ‘Gender pay gap statistics’, Data extracted in March 2025, https://ec.europa.eu/eurostat/statistics-explained/index.php?title=Gender_pay_gap_statistics.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quinquies.</w:t>
            </w:r>
            <w:r>
              <w:t xml:space="preserve"> </w:t>
            </w:r>
            <w:r>
              <w:rPr>
                <w:b/>
                <w:i/>
              </w:rPr>
              <w:t>European Disability Forum, ‘2023 EU Gender Equality Index: Women with disabilities still left behind’, 2023, https://www.edf-feph.org/2023-eu-gender-equality-index-women-with-disabilities-still-left-behind/#:~:text=22%25%20of%20women%20with%20disabilities,15%25%20of%20men%20without%20disabilities.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sexies.</w:t>
            </w:r>
            <w:r>
              <w:t xml:space="preserve"> </w:t>
            </w:r>
            <w:r>
              <w:rPr>
                <w:b/>
                <w:i/>
              </w:rPr>
              <w:t>European Commission, Directorate for Justice and Consumers, ‘Legal gender recognition in the EU’, Publications Office of the European Union, 2020, https://commission.europa.eu/system/files/2020-09/legal_gender_recognition_in_the_eu_the_journeys_of_trans_people_towards_full_equality_sept_en.pdf.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septies.</w:t>
            </w:r>
            <w:r>
              <w:t xml:space="preserve"> </w:t>
            </w:r>
            <w:r>
              <w:rPr>
                <w:b/>
                <w:i/>
              </w:rPr>
              <w:t>European Commission, Directorate-General for Employment, Social Affairs and Inclusion and Social Protection Committee, ‘The 2024 pension adequacy report’, Publications Office of the European Union, 2024, https://employment-social-affairs.ec.europa.eu/pension-adequacy-report-current-and-future-income-adequacy-old-age-eu_en.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octies.</w:t>
            </w:r>
            <w:r>
              <w:t xml:space="preserve"> </w:t>
            </w:r>
            <w:r>
              <w:rPr>
                <w:b/>
                <w:i/>
              </w:rPr>
              <w:t>Eurostat, Data Browser, ‘Living conditions in Europe – income distribution and income inequality’, https://ec.europa.eu/eurostat/statistics-explained/index.php?title=Living_conditions_in_Europe_-_income_distribution_and_income_inequality.</w:t>
            </w:r>
          </w:p>
        </w:tc>
      </w:tr>
    </w:tbl>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decies.</w:t>
            </w:r>
            <w:r>
              <w:tab/>
            </w:r>
            <w:r>
              <w:rPr>
                <w:b/>
                <w:i/>
              </w:rPr>
              <w:t>overwegende dat vrouwen in de EU in 2024 gemiddeld 26,1 % minder pensioen ontvingen dan mannen, en dat 5,3 % van de vrouwen helemaal geen pensioen ontving</w:t>
            </w:r>
            <w:r>
              <w:rPr>
                <w:b/>
                <w:i/>
                <w:vertAlign w:val="superscript"/>
              </w:rPr>
              <w:t>1 bis.</w:t>
            </w:r>
            <w:r>
              <w:rPr>
                <w:b/>
                <w:i/>
              </w:rPr>
              <w:t>;</w:t>
            </w:r>
            <w:r>
              <w:rPr>
                <w:b/>
                <w:i/>
              </w:rPr>
              <w:t xml:space="preserve"> overwegende dat dit het gevolg is van de onevenwichtigheden die worden veroorzaakt door aanhoudende ongelijkheden gedurende de gehele levensloop; overwegende dat vrouwen door deze pensioenkloof vaker onder de armoedegrens terechtkomen naarmate zij ouder worden, waarbij niet vergeten mag worden dat de levensverwachting van vrouwen hoger is dan die van mannen, waardoor de gevolgen van armoede en sociale uitsluiting nog groter zijn; overwegende dat een betere arbeidsintegratie in alle fasen van het leven van een persoon ertoe zal bijdragen dat de genderkloof op het gebied van pensioenen steeds kleiner wordt;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Europese Commissie, Directoraat-generaal Werkgelegenheid, Sociale Zaken en Inclusie en Comité voor sociale bescherming, “The 2024 pension adequacy report”, Bureau voor publicaties van de Europese Unie, 2024.</w:t>
            </w:r>
          </w:p>
        </w:tc>
      </w:tr>
    </w:tbl>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undecies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undecies.</w:t>
            </w:r>
            <w:r>
              <w:tab/>
            </w:r>
            <w:r>
              <w:rPr>
                <w:b/>
                <w:i/>
              </w:rPr>
              <w:t>overwegende dat “tijdarmoede” moet worden opgevat als het ontbreken van beschikbare tijd na aftrek van de tijd die nodig is voor betaald werk en onbetaald werk (waaronder zorgtaken), studie of andere basisbehoeften van het leven, zoals geestelijke en lichamelijke zelfzorg; overwegende dat vrouwen als gevolg van tijdarmoede niet de nodige tijd of autonomie hebben om zich te verzekeren van fatsoenlijke arbeidsomstandigheden, financiële autonomie, opleiding of toegang tot de basismiddelen en minimale diensten die nodig zijn om te kunnen rekenen op een gezond leven en in staat te zijn ten volle te participeren in hun gemeenschap en samenleving; overwegende dat tijdarmoede de kansen van vrouwen beperkt om langdurig voltijds te werken, waardoor zij minder kunnen verdienen, vaker op laagbetaalde of deeltijdse banen aangewezen zijn, minder tot hun pensioen bijdragen en op latere leeftijd financieel afhankelijker zijn; overwegende dat deze overlappende nadelen aantonen dat gendergelijkheid dringend moet worden gekoppeld aan inkomenszekerheid en alomvattende hervormingen van het zorgbeleid; overwegende dat het aanpakken van tijdarmoede een fundamentele heroverweging vereist van de manier waarop zorg en huishoudelijk werk in de samenleving worden georganiseerd, gewaardeerd en verdeeld; overwegende dat het zorgrecht dringend aan economische rechtvaardigheid moet worden gekoppeld en dat de systemen die arbeid als handelswaar beschouwen en tegelijkertijd waarde ontlenen aan het onbetaalde en onzichtbare werk dat voornamelijk door vrouwen wordt verricht, moeten worden aangevochten;</w:t>
            </w:r>
          </w:p>
        </w:tc>
      </w:tr>
    </w:tbl>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duodecies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duodecies.</w:t>
            </w:r>
            <w:r>
              <w:tab/>
            </w:r>
            <w:r>
              <w:rPr>
                <w:b/>
                <w:i/>
              </w:rPr>
              <w:t>overwegende dat vrouwen oververtegenwoordigd zijn onder mensen die in energiearmoede verkeren, meer afhankelijk zijn van natuurlijke hulpbronnen en minder activa of middelen hebben om zich aan te passen aan de effecten van klimaatverandering; overwegende dat de energiecrises en de stijgende kosten van levensonderhoud, met name wat huisvesting betreft, vrouwen minder financiële armslag geven om een autonoom bestaan op te bouwen, waardoor het voor vrouwen zonder inkomen of met een laag inkomen moeilijker wordt om aan huiselijk geweld te ontsnappen;</w:t>
            </w:r>
          </w:p>
        </w:tc>
      </w:tr>
    </w:tbl>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terdecies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terdecies.</w:t>
            </w:r>
            <w:r>
              <w:tab/>
            </w:r>
            <w:r>
              <w:rPr>
                <w:b/>
                <w:i/>
              </w:rPr>
              <w:t>overwegende dat menstruatiearmoede, oftewel het gebrek aan adequate toegang tot menstruatiehygiëneproducten en ‑voorzieningen, naar schatting 10 % van de menstruerende bevolking in de EU treft, met name gemarginaliseerde en kwetsbare groepen onevenredig raakt en hun deelname aan het sociale leven, het onderwijs en de arbeidsmarkt beperkt; overwegende dat menstruatiearmoede een hardnekkige belemmering blijft voor gendergelijkheid in de EU, waarbij vrouwen en meisjes met een laag inkomen vaak gedwongen zijn te kiezen tussen menstruatieproducten en andere basisbehoeften;</w:t>
            </w:r>
          </w:p>
        </w:tc>
      </w:tr>
    </w:tbl>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quaterdecies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quaterdecies.</w:t>
            </w:r>
            <w:r>
              <w:tab/>
            </w:r>
            <w:r>
              <w:rPr>
                <w:b/>
                <w:i/>
              </w:rPr>
              <w:t xml:space="preserve">overwegende dat mensen van Afrikaanse afkomst een groter risico lopen op armoede, sociale uitsluiting en energiearmoede dan de algemene bevolking in de EU; overwegende dat 33 % van de mensen van Afrikaanse afkomst moeite heeft om rond te komen; overwegende dat een op de vier mensen van Afrikaanse afkomst op grond van hun ras of etnische afkomst als huurder wordt geweigerd; </w:t>
            </w:r>
            <w:r>
              <w:t>overwegende dat 45 % van de mensen van Afrikaanse afkomst in overvolle woningen woont</w:t>
            </w:r>
            <w:r>
              <w:rPr>
                <w:vertAlign w:val="superscript"/>
              </w:rPr>
              <w:t>1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Bureau van de Europese Unie voor de grondrechten, “Being Black in the EU”, Bureau voor publicaties van de Europese Unie, 2024, https://fra.europa.eu/sites/default/files/fra_uploads/fra-2023-being-black_in_the_eu_en.pdf.</w:t>
            </w:r>
          </w:p>
        </w:tc>
      </w:tr>
    </w:tbl>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Overweging A quindecies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quindecies.</w:t>
            </w:r>
            <w:r>
              <w:tab/>
            </w:r>
            <w:r>
              <w:t>overwegende dat er in de EU een arbeidsparticipatiekloof van 24 procentpunten bestaat tussen personen met en zonder handicap, en een nog grotere kloof voor vrouwen en jongeren met een handicap</w:t>
            </w:r>
            <w:r>
              <w:rPr>
                <w:vertAlign w:val="superscript"/>
              </w:rPr>
              <w:t>1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Europees Gehandicaptenforum, “EDF 7th Human Rights Report. The Right to work: The employment situation of persons with disabilities in Europe”, 2023, https://www.edf-feph.org/publications/human-rights-report-2023-the-right-to-work/.</w:t>
            </w:r>
          </w:p>
        </w:tc>
      </w:tr>
    </w:tbl>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een omvattende en integrale benadering van het beleid en de maatregelen voor armoedebestrijding en de doelstelling van de uitbanning van armoede als transversaal criterium in het sectoraal beleid;</w:t>
            </w:r>
          </w:p>
        </w:tc>
        <w:tc>
          <w:tcPr>
            <w:tcW w:w="4876" w:type="dxa"/>
            <w:tcBorders>
              <w:top w:val="nil"/>
              <w:left w:val="nil"/>
              <w:bottom w:val="nil"/>
              <w:right w:val="nil"/>
            </w:tcBorders>
          </w:tcPr>
          <w:p>
            <w:pPr>
              <w:pStyle w:val="Normal6a"/>
            </w:pPr>
            <w:r>
              <w:t>d)</w:t>
            </w:r>
            <w:r>
              <w:tab/>
            </w:r>
            <w:r>
              <w:t>een omvattende en integrale benadering van het beleid en de maatregelen voor armoedebestrijding en de doelstelling van de uitbanning van armoede als transversaal criterium in het sectoraal beleid</w:t>
            </w:r>
            <w:r>
              <w:rPr>
                <w:b/>
                <w:i/>
              </w:rPr>
              <w:t>, waarbij met name rekening wordt gehouden met de EU-beleidsterreinen gelijkheid, inclusie en sociaal beleid</w:t>
            </w:r>
            <w:r>
              <w:t>;</w:t>
            </w:r>
          </w:p>
        </w:tc>
      </w:tr>
    </w:tbl>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verzoekt de Commissie een genderresponsieve strategie te ontwikkelen waarin begrip wordt opgebracht voor de genderdimensies van armoede, sterk de nadruk ligt op structurele armoede, die met name vrouwen en meisjes treft, en een intersectionele benadering wordt gehanteerd die met name is toegespitst op eenoudergezinnen (met meestal een vrouw aan het hoofd), moeders met een laag inkomen, vrouwen met een handicap, vrouwen uit gemarginaliseerde raciale, etnische en sociaal-economische groepen, waaronder Roma-vrouwen, migrantenvrouwen en oudere vrouwen, slachtoffers van gendergerelateerd geweld en lhbtiq+-personen;</w:t>
            </w:r>
          </w:p>
        </w:tc>
      </w:tr>
    </w:tbl>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wijst erop dat het meest duurzame beleid voor armoedebestrijding er een is dat in de eerste plaats voorkomt dat armoede ontstaat; onderstreept dat de armoedebestrijdingsstrategie de diepere oorzaken van armoede onder vrouwen moet aanpakken en structurele veranderingen moet teweegbrengen voor vrouwen en mensen die het meeste risico lopen, waarbij de nadruk moet liggen op sociale investeringen in toegankelijke en hoogwaardige gezondheidszorg, kinderopvang, inclusief onderwijs, fatsoenlijke en betaalbare huisvesting, adequate socialebeschermingsstelsels en gerichte maatregelen om het onbenut laten van uitkeringen aan te pakken; verzoekt de Commissie met klem de gendergerelateerde en intersectionele risico’s van armoede, met inbegrip van armoede onder werkenden en pensioenarmoede, aan te pakken door middel van toereikende minimumlonen, een minimuminkomen, sociale bescherming en collectieve onderhandelingen; verzoekt de lidstaten en de Commissie het potentieel van basisinkomensregelingen verder te onderzoeken als onderdeel van bredere armoedebestrijdingsstrategieën waarin rekening wordt gehouden met de specifieke sociaal-economische kwetsbaarheden van vrouwen, en ervoor te zorgen dat de EU-kaders en de instrumenten voor gegevensverzameling (bv. Eurostat, nationale bureaus voor de statistiek) genderaspecten van armoede en de onderliggende oorzaken daarvan beter in kaart brengen;</w:t>
            </w:r>
          </w:p>
        </w:tc>
      </w:tr>
    </w:tbl>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verzoekt de Commissie de structurele verbanden tussen armoede en gendergerelateerd geweld te erkennen en gendergerelateerd geweld aan te pakken als een belangrijke strategie voor het uitbannen van armoede, en dan met name armoede onder vrouwen en kinderen, waarbij wordt erkend dat het uitbannen van alle vormen van geweld van essentieel belang is voor de mogelijkheid voor vrouwen om ten volle deel te nemen aan hun gemeenschappen en de economie, toegang te krijgen tot onderwijs, werkgelegenheid en sociale diensten, en zo financiële onafhankelijkheid te bereiken; dringt er bij de Commissie en de lidstaten op aan overheidsinvesteringen in beleid ter bestrijding van gendergerelateerd geweld te stimuleren; is ingenomen met de ratificatie van het Verdrag van Istanbul door de EU en dringt er bij Bulgarije, Hongarije, Litouwen, Slowakije en Tsjechië op aan hun ratificatieprocessen onverwijld af te ronden; verzoekt de Commissie te zorgen voor een doeltreffende uitvoering van de richtlijn ter bestrijding van geweld tegen vrouwen en huiselijk geweld, door te waarborgen dat vrouwen die met armoede en andere vormen van geweld kampen adequate en onvoorwaardelijke toegang hebben tot opvangcentra, diensten voor ondersteuning van overlevenden van geweld, rechtsbijstand en sociale bijstand, ongeacht hun verblijfs- of migratiestatus;</w:t>
            </w:r>
          </w:p>
        </w:tc>
      </w:tr>
    </w:tbl>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verzoekt de Commissie en de lidstaten beleid te voeren om arbeidsrechten te beschermen en te stimuleren en de arbeidskwaliteit te verhogen, onder meer met stabiele arbeidsverhoudingen</w:t>
            </w:r>
            <w:r>
              <w:rPr>
                <w:b/>
                <w:i/>
              </w:rPr>
              <w:t>,</w:t>
            </w:r>
            <w:r>
              <w:t xml:space="preserve"> eerlijke lonen, fatsoenlijke en veilige arbeidsomstandigheden en toegang tot sociale bescherming;</w:t>
            </w:r>
          </w:p>
        </w:tc>
        <w:tc>
          <w:tcPr>
            <w:tcW w:w="4876" w:type="dxa"/>
            <w:tcBorders>
              <w:top w:val="nil"/>
              <w:left w:val="nil"/>
              <w:bottom w:val="nil"/>
              <w:right w:val="nil"/>
            </w:tcBorders>
          </w:tcPr>
          <w:p>
            <w:pPr>
              <w:pStyle w:val="Normal6a"/>
            </w:pPr>
            <w:r>
              <w:t>3.</w:t>
            </w:r>
            <w:r>
              <w:tab/>
            </w:r>
            <w:r>
              <w:t xml:space="preserve">verzoekt de Commissie en de lidstaten beleid te voeren om arbeidsrechten te beschermen en te stimuleren en de arbeidskwaliteit te verhogen, </w:t>
            </w:r>
            <w:r>
              <w:rPr>
                <w:b/>
                <w:i/>
              </w:rPr>
              <w:t>met bijzondere aandacht voor vrouwen op de arbeidsmarkt,</w:t>
            </w:r>
            <w:r>
              <w:t xml:space="preserve"> onder meer met stabiele arbeidsverhoudingen </w:t>
            </w:r>
            <w:r>
              <w:rPr>
                <w:b/>
                <w:i/>
              </w:rPr>
              <w:t>en</w:t>
            </w:r>
            <w:r>
              <w:t xml:space="preserve"> eerlijke </w:t>
            </w:r>
            <w:r>
              <w:rPr>
                <w:b/>
                <w:i/>
              </w:rPr>
              <w:t>en transparante</w:t>
            </w:r>
            <w:r>
              <w:t xml:space="preserve"> lonen </w:t>
            </w:r>
            <w:r>
              <w:rPr>
                <w:b/>
                <w:i/>
              </w:rPr>
              <w:t>in alle sectoren – met inbegrip van door vrouwen gedomineerde sectoren zoals de sociale, zorg-, gezondheids- en onderwijssector – teneinde gelijk loon voor gelijkwaardige arbeid</w:t>
            </w:r>
            <w:r>
              <w:t xml:space="preserve">, fatsoenlijke en veilige arbeidsomstandigheden en toegang tot sociale bescherming </w:t>
            </w:r>
            <w:r>
              <w:rPr>
                <w:b/>
                <w:i/>
              </w:rPr>
              <w:t>te waarborgen;</w:t>
            </w:r>
            <w:r>
              <w:rPr>
                <w:b/>
                <w:i/>
              </w:rPr>
              <w:t xml:space="preserve"> verzoekt de Commissie en de lidstaten zich met name te richten op het verkleinen van de arbeidsparticipatiekloof tussen mannen en vrouwen, de loon- en pensioenkloof en armoede onder werkende vrouwen door te voorzien in flexibele werkregelingen en toegankelijke en betaalbare zorgdiensten om de toegang van vrouwen tot hoogwaardige banen te vergemakkelijken; dringt er bij de Commissie op aan opdracht te geven tot de invoering van werkplekbeleid ter ondersteuning van de menstruele gezondheid – met inbegrip van de mogelijkheid van menstruatieverlof, en voorzieningen voor werkneemsters met specifieke vrouwenkwalen, zoals de menopauze, migraine en endometriose – en betaald verlof voor regelmatige borstkankerscreening, teneinde de gezondheid en het welzijn van vrouwen in alle levensfasen te bevorderen;</w:t>
            </w:r>
          </w:p>
        </w:tc>
      </w:tr>
    </w:tbl>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wijst erop dat armoede nog steeds wordt gemeten aan de hand van het totale inkomen van een huishouden, ook al verdienen niet alle leden van het huishouden evenveel of worden de middelen niet gelijk verdeeld; dringt aan op geïndividualiseerde rechten en berekeningen aan de hand van het individuele inkomen om de werkelijke omvang van armoede onder vrouwen te bestrijden, en pleit ervoor om tijdarmoede als maatstaf op te nemen;</w:t>
            </w:r>
          </w:p>
        </w:tc>
      </w:tr>
    </w:tbl>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benadrukt hoe belangrijk het is kansen op (zelfstandig) ondernemerschap voor vrouwen te ondersteunen, met name in plattelandsgebieden, op eilanden en in andere geografisch afgelegen gebieden, als middel om betere economische inclusie en gendergelijkheid te bewerkstelligen, armoede te bestrijden, lokale werkgelegenheid te scheppen en inclusieve economische ontwikkeling te bevorderen; verzoekt de Commissie en de lidstaten te zorgen voor gerichte steun voor vrouwelijke ondernemers door middel van betere toegang tot financiering, bedrijfsopleidingen, digitale hulpmiddelen en markten; verzoekt de Commissie beleid te ontwikkelen dat de toegang van vrouwen tot hoogwaardige banen en ondernemerstrajecten vergemakkelijkt door bedrijven te stimuleren vrouwen, met name alleenstaande moeders, in dienst te nemen en te bevorderen, en flexibele werkregelingen aan te bieden;</w:t>
            </w:r>
          </w:p>
        </w:tc>
      </w:tr>
    </w:tbl>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verzoekt de Commissie onderwijs, opleiding en een leven lang leren in de strategie voor armoedebestrijding te integreren, met bijzondere aandacht voor inclusief onderwijs en de re-integratie van voortijdige schoolverlaters; beveelt aan programma’s voor digitale geletterdheid en mediawijsheid uit te breiden en in tweedekansonderwijs te investeren; benadrukt dat de strategie voor armoedebestrijding aan inclusieve onderwijs-, bij- en omscholingsprogramma’s alsook aan maatschappelijke betrokkenheid moet worden gekoppeld, met bijzondere aandacht voor kwetsbare groepen, vrouwen en meisjes, langdurig werklozen, alleenstaande ouders en voortijdige schoolverlaters; verzoekt de Commissie en de lidstaten de digitale kloof voor vrouwen en meisjes in armoede te overbruggen door te zorgen voor betaalbare internettoegang, opleiding in digitale vaardigheden en toegang tot onlineoverheidsdiensten, met bijzondere aandacht voor plattelands- en gemarginaliseerde gemeenschappen;</w:t>
            </w:r>
          </w:p>
        </w:tc>
      </w:tr>
    </w:tbl>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benadrukt dat de klimaatverandering onevenredig grote gevolgen heeft voor mensen die in armoede leven, waardoor zij kwetsbaarder worden voor gezondheidsproblemen, energiearmoede, onzekere huisvesting en gedwongen ontheemding; wijst erop dat er dringend genderresponsieve klimaatactie nodig is om te voorkomen dat vrouwen en meisjes dieper in armoede vervallen; verzoekt de Commissie en de lidstaten ervoor te zorgen dat strategieën voor aanpassing aan de klimaatverandering en rampenrisicovermindering en andere activiteiten om rampenparaatheid te integreren inclusief zijn en rekening houden met de specifieke kwetsbaarheden en capaciteiten van vrouwen en meisjes, onder meer door middel van investeringen in genderresponsief onderwijs, toegang tot gezondheidszorg en economische veerkracht; verzoekt de Commissie ervoor te zorgen dat de strategie voor armoedebestrijding bijdraagt tot het aanpakken van de onevenredige gevolgen van de klimaatverandering voor mensen die in armoede leven, en hun inclusie in de groene transitie te waarborgen; verzoekt de Commissie te zorgen voor voldoende financiering om klimaatarmoede aan te pakken, met bijzondere aandacht voor energie-efficiëntie en renovatie van woningen in het meerjarig financieel kader voor de periode na 2027, om ervoor te zorgen dat mensen die in armoede leven voldoende steun krijgen tijdens de groene transitie;</w:t>
            </w:r>
          </w:p>
        </w:tc>
      </w:tr>
    </w:tbl>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spoort de Commissie en de lidstaten ertoe aan armoede te bestrijden door beleid te voeren waarmee het ondeelbare en universele karakter van politieke, economische, sociale en culturele rechten wordt gewaarborgd;</w:t>
            </w:r>
          </w:p>
        </w:tc>
        <w:tc>
          <w:tcPr>
            <w:tcW w:w="4876" w:type="dxa"/>
            <w:tcBorders>
              <w:top w:val="nil"/>
              <w:left w:val="nil"/>
              <w:bottom w:val="nil"/>
              <w:right w:val="nil"/>
            </w:tcBorders>
          </w:tcPr>
          <w:p>
            <w:pPr>
              <w:pStyle w:val="Normal6a"/>
            </w:pPr>
            <w:r>
              <w:t>6.</w:t>
            </w:r>
            <w:r>
              <w:tab/>
            </w:r>
            <w:r>
              <w:t xml:space="preserve">spoort de Commissie en de lidstaten ertoe aan armoede te bestrijden door beleid te voeren waarmee het ondeelbare en universele karakter van </w:t>
            </w:r>
            <w:r>
              <w:rPr>
                <w:b/>
                <w:i/>
              </w:rPr>
              <w:t>burgerlijke,</w:t>
            </w:r>
            <w:r>
              <w:t xml:space="preserve"> politieke, economische, sociale en culturele rechten wordt gewaarborgd;</w:t>
            </w:r>
            <w:r>
              <w:rPr>
                <w:b/>
                <w:i/>
              </w:rPr>
              <w:t> verzoekt de lidstaten methoden te ontwikkelen voor de beoordeling van structurele of systemische belemmeringen voor het overwinnen van armoede en sociale uitsluiting en voor volledige deelname aan de samenleving, of deze belemmeringen nu te vinden zijn in hun rechtsstelsels of overheidsbeleid dan wel in de uitvoering ervan op territoriaal niveau;</w:t>
            </w:r>
          </w:p>
        </w:tc>
      </w:tr>
    </w:tbl>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dringt er bij de Commissie en de lidstaten op aan de overheidsinvesteringen in beleid waarmee universele, </w:t>
            </w:r>
            <w:r>
              <w:rPr>
                <w:b/>
                <w:i/>
              </w:rPr>
              <w:t>gratis</w:t>
            </w:r>
            <w:r>
              <w:t xml:space="preserve"> en hoogwaardige openbaredienstverlening wordt gewaarborgd, aanzienlijk op te trekken, aangezien deze helpt de armoedecyclus te doorbreken, met name op het gebied van </w:t>
            </w:r>
            <w:r>
              <w:rPr>
                <w:b/>
                <w:i/>
              </w:rPr>
              <w:t>onderwijs</w:t>
            </w:r>
            <w:r>
              <w:t>, gezondheidszorg, sociale bescherming</w:t>
            </w:r>
            <w:r>
              <w:rPr>
                <w:b/>
                <w:i/>
              </w:rPr>
              <w:t>, de</w:t>
            </w:r>
            <w:r>
              <w:t xml:space="preserve"> universele toegang tot fatsoenlijke huisvesting, water en sanitaire voorzieningen, energie, vervoer, </w:t>
            </w:r>
            <w:r>
              <w:rPr>
                <w:b/>
                <w:i/>
              </w:rPr>
              <w:t>culturele</w:t>
            </w:r>
            <w:r>
              <w:t xml:space="preserve"> activiteiten en </w:t>
            </w:r>
            <w:r>
              <w:rPr>
                <w:b/>
                <w:i/>
              </w:rPr>
              <w:t>vrijetijdsbestedingen</w:t>
            </w:r>
            <w:r>
              <w:t>;</w:t>
            </w:r>
          </w:p>
        </w:tc>
        <w:tc>
          <w:tcPr>
            <w:tcW w:w="4876" w:type="dxa"/>
            <w:tcBorders>
              <w:top w:val="nil"/>
              <w:left w:val="nil"/>
              <w:bottom w:val="nil"/>
              <w:right w:val="nil"/>
            </w:tcBorders>
          </w:tcPr>
          <w:p>
            <w:pPr>
              <w:pStyle w:val="Normal6a"/>
            </w:pPr>
            <w:r>
              <w:t>7.</w:t>
            </w:r>
            <w:r>
              <w:tab/>
            </w:r>
            <w:r>
              <w:t xml:space="preserve">dringt er bij de Commissie en de lidstaten op aan de overheidsinvesteringen in beleid waarmee universele, </w:t>
            </w:r>
            <w:r>
              <w:rPr>
                <w:b/>
                <w:i/>
              </w:rPr>
              <w:t>betaalbare</w:t>
            </w:r>
            <w:r>
              <w:t xml:space="preserve"> en hoogwaardige openbaredienstverlening wordt gewaarborgd, aanzienlijk op te trekken, aangezien deze helpt de armoedecyclus te doorbreken </w:t>
            </w:r>
            <w:r>
              <w:rPr>
                <w:b/>
                <w:i/>
              </w:rPr>
              <w:t>en de genderkloof te verkleinen</w:t>
            </w:r>
            <w:r>
              <w:t xml:space="preserve">, met name op het gebied van </w:t>
            </w:r>
            <w:r>
              <w:rPr>
                <w:b/>
                <w:i/>
              </w:rPr>
              <w:t>voor- en vroegschoolse educatie met gepersonaliseerde educatieve steunplannen voor jonge ouders (met name moeders), hoogwaardige, toegankelijke en betaalbare kinderopvang en langdurige zorg (vooral voor personen met een handicap)</w:t>
            </w:r>
            <w:r>
              <w:t xml:space="preserve">, gezondheidszorg </w:t>
            </w:r>
            <w:r>
              <w:rPr>
                <w:b/>
                <w:i/>
              </w:rPr>
              <w:t>(met inbegrip van gratis geneesmiddelen voor kinderen, betaalbare tandheelkundige zorg, toegankelijke ondersteuning op het gebied van geestelijke gezondheid en toegang tot seksuele en reproductieve gezondheid en rechten, waaronder toegang tot voorlichtingsdiensten op het gebied van gezinsplanning, betaalbare moderne anticonceptiemiddelen en veilige en legale abortuszorg)</w:t>
            </w:r>
            <w:r>
              <w:t xml:space="preserve">, sociale bescherming </w:t>
            </w:r>
            <w:r>
              <w:rPr>
                <w:b/>
                <w:i/>
              </w:rPr>
              <w:t>en</w:t>
            </w:r>
            <w:r>
              <w:t xml:space="preserve"> universele toegang tot fatsoenlijke </w:t>
            </w:r>
            <w:r>
              <w:rPr>
                <w:b/>
                <w:i/>
              </w:rPr>
              <w:t>en betaalbare</w:t>
            </w:r>
            <w:r>
              <w:t xml:space="preserve"> huisvesting, water en sanitaire voorzieningen, energie, vervoer, </w:t>
            </w:r>
            <w:r>
              <w:rPr>
                <w:b/>
                <w:i/>
              </w:rPr>
              <w:t>recreatieve en sociale</w:t>
            </w:r>
            <w:r>
              <w:t xml:space="preserve"> activiteiten</w:t>
            </w:r>
            <w:r>
              <w:rPr>
                <w:b/>
                <w:i/>
              </w:rPr>
              <w:t>,</w:t>
            </w:r>
            <w:r>
              <w:t xml:space="preserve"> en </w:t>
            </w:r>
            <w:r>
              <w:rPr>
                <w:b/>
                <w:i/>
              </w:rPr>
              <w:t>digitale toegang om werken op afstand te vergemakkelijken, bijvoorbeeld voor vrouwen met zorgtaken;</w:t>
            </w:r>
            <w:r>
              <w:rPr>
                <w:b/>
                <w:i/>
              </w:rPr>
              <w:t xml:space="preserve"> verzoekt de lidstaten voldoende middelen te investeren in voor- en vroegschoolse educatie en opvang en ervoor te zorgen dat nationale onderwijsstelsels gendergelijk onderwijs van hoge kwaliteit bieden teneinde onderwijsarmoede aan te pakken, die vaak van invloed is op de mogelijkheden van vrouwen en hun vermogen om hun sociaal welzijn en economische onafhankelijkheid te verbeteren, onder meer door middel van geletterdheid op financieel en bancair gebied; </w:t>
            </w:r>
            <w:r>
              <w:rPr>
                <w:b/>
                <w:i/>
              </w:rPr>
              <w:t>roept ertoe op nieuwe inspanningen te leveren om de arbeidsparticipatiekloof tussen mannen en vrouwen en de genderkloof op het gebied van pensioenen sneller te dichten en meer te investeren in openbare diensten en sociale infrastructuur, die essentieel zijn voor zowel gezinssteun als de economische onafhankelijkheid van vrouwen, en dringt aan op een verbintenis om toe te werken naar zorgmaatschappijen</w:t>
            </w:r>
            <w:r>
              <w:t>;</w:t>
            </w:r>
          </w:p>
        </w:tc>
      </w:tr>
    </w:tbl>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beveelt aan dat de lidstaten voor de verlening van essentiële, betaalbare en inclusieve diensten voor iedereen zorgen, met bijzondere aandacht voor de bescherming en de behoeften van vrouwen en kwetsbare groepen;</w:t>
            </w:r>
          </w:p>
        </w:tc>
      </w:tr>
    </w:tbl>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benadrukt dat de gezondheidszorgstelsels moeten worden versterkt en toegankelijk, betaalbaar en inclusief moeten worden gemaakt, rekening houdend met de specifieke gezondheidsbehoeften van vrouwen; verzoekt de Commissie en de lidstaten te waarborgen dat alle jongeren (met name meisjes en lhbtiq+-jongeren en vooral jongeren in plattelandsgebieden, jongeren met een laag inkomen of om andere redenen gemarginaliseerde jongeren) toegang hebben tot jeugdvriendelijke diensten en informatie op het gebied van seksuele en reproductieve gezondheid en rechten (SRGR) (met inbegrip van op de leeftijd afgestemde uitgebreide voorlichting over seksualiteit en relaties, informatie over gezinsplanning, en adviesdiensten in school- en gemeenschapsgerichte omgevingen), betaalbare anticonceptie en menstruatieproducten en veilige en legale abortuszorg, als onderdeel van een inclusieve en genderbewuste strategie voor armoedebestrijding;</w:t>
            </w:r>
          </w:p>
        </w:tc>
      </w:tr>
    </w:tbl>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bevestigt nogmaals dat alomvattende SRGR, met inbegrip van toegang tot anticonceptie, prenatale/kraamzorg, veilige abortus, vruchtbaarheidsdiensten en op leeftijd afgestemde seksuele voorlichting, essentiële aspecten zijn van gendergelijkheid en armoedebestrijding; verzoekt de Commissie en de lidstaten om SRGR als kernpijler op te nemen in alle strategieën die gericht zijn op de bestrijding van armoede onder vrouwen en meisjes;</w:t>
            </w:r>
          </w:p>
        </w:tc>
      </w:tr>
    </w:tbl>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quinquies.</w:t>
            </w:r>
            <w:r>
              <w:tab/>
            </w:r>
            <w:r>
              <w:rPr>
                <w:b/>
                <w:i/>
              </w:rPr>
              <w:t>pleit voor de bevordering van zorgverlening in gemeenschapsverband die op inspraak berust, lokaal verankerd is en is opgezet met directe inbreng van mensen die met armoede te kampen hebben, om ervoor te zorgen dat diensten, ruimten en ondersteuningsmechanismen beantwoorden aan de daadwerkelijke behoeften en levensomstandigheden van de mensen voor wie zij bestemd zijn; benadrukt hoe belangrijk het is vrouwen en gemarginaliseerde gemeenschappen te betrekken bij de planning en het ontwerp van dergelijke ruimten, om ervoor te zorgen dat zij veilig en inclusief zijn en op genderspecifieke behoeften inspelen;</w:t>
            </w:r>
          </w:p>
        </w:tc>
      </w:tr>
    </w:tbl>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7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sexies.</w:t>
            </w:r>
            <w:r>
              <w:tab/>
            </w:r>
            <w:r>
              <w:rPr>
                <w:b/>
                <w:i/>
              </w:rPr>
              <w:t>verzoekt de Commissie en de lidstaten iedereen, met name personen in kwetsbare situaties, het recht te waarborgen om naar behoren te worden geïnformeerd over het volledige scala aan openbare diensten en sociale steun waarover zij kunnen beschikken, onder meer op het gebied van huisvesting, gezondheidszorg, onderwijs, werkgelegenheid en bescherming tegen gendergerelateerd geweld; wijst erop dat informatie duidelijk en qua taal en cultuur passend moet zijn en proactief moet worden verspreid;</w:t>
            </w:r>
          </w:p>
        </w:tc>
      </w:tr>
    </w:tbl>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verzoekt de Commissie iets te doen aan de specifieke uitdagingen en kwetsbaarheden waarmee dakloze vrouwen worden geconfronteerd, in het besef dat dakloze vrouwen dakloosheid vaak anders ervaren dan mannen en zij een groter risico lopen op geweld, aanranding en mensenhandel, alsook op specifieke gezondheidsproblemen in verband met reproductieve gezondheid en hygiëne; beklemtoont dat fatsoenlijke en betaalbare huisvesting een grondrecht is en een voorwaarde om andere grondrechten te kunnen uitoefenen; wijst erop dat de strategie voor armoedebestrijding een specifiek hoofdstuk moet bevatten over de bestrijding van dakloosheid, die moet worden erkend als een van de ernstigste en meest zichtbare vormen van armoede en sociale uitsluiting, met bijzondere aandacht voor de genderdimensie ervan; verzoekt de Commissie het Europees platform voor de bestrijding van dakloosheid verder te ontwikkelen door de financiering voor zowel activiteiten als governance te verhogen en de drie werkstromen ervan (monitoring, wederzijds leren en toegang tot EU-middelen) uit te breiden, met bijzondere aandacht voor dakloze vrouwen; verzoekt de Commissie de lidstaten aan te moedigen in nationale dakloosheidsstrategieën genderresponsieve modellen op te nemen waarbij huisvesting op de eerste plaats komt, en daarbij prioriteit te geven aan vrouwen die op de vlucht zijn voor gendergerelateerd geweld, vrouwelijke migranten, vrouwen met een bepaalde etnische herkomst, alleenstaande moeders, vrouwen met een handicap en vrouwen in plattelandsgebieden, alsook lhbtiq+-personen, in overeenstemming met het Europees platform voor de bestrijding van dakloosheid; dringt aan op inclusieve toegang tot essentiële diensten, sociale bescherming en huisvesting voor vrouwen in al hun diversiteit, ongeacht hun juridische status; benadrukt dat er cultuurgevoelige en meertalige ondersteunende diensten nodig zijn, met name in stedelijke gebieden en grensregio’s; verzoekt de Commissie in het meerjarig financieel kader voor de periode na 2027 EU-middelen (bijvoorbeeld uit het ESF+, het EFRO en InvestEU) beschikbaar te stellen om ernstige materiële ontberingen te bestrijden en betaalbare huisvesting te ondersteunen, met name voor vrouwen die dakloos zijn, als convergentiemaatregel met de Europese zorgstrategie en de Europese kindergarantie;</w:t>
            </w:r>
          </w:p>
        </w:tc>
      </w:tr>
    </w:tbl>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erkent de kwetsbaarheid van mensen zonder adequate huisvesting, overlevenden van mensenhandel en drugsgebruikers, die vaak te kampen hebben met diverse, elkaar overlappende vormen van discriminatie en uitsluiting, die voortvloeien uit armoede en deze tegelijk versterken; benadrukt dat vrouwen en genderminderheden binnen deze groepen onevenredig worden blootgesteld aan gendergerelateerd geweld, uitbuiting, stigmatisering en belemmeringen bij de toegang tot essentiële diensten, waardoor hun sociaal-economische marginalisering verder wordt vergroot;</w:t>
            </w:r>
          </w:p>
        </w:tc>
      </w:tr>
    </w:tbl>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8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quater.</w:t>
            </w:r>
            <w:r>
              <w:tab/>
            </w:r>
            <w:r>
              <w:rPr>
                <w:b/>
                <w:i/>
              </w:rPr>
              <w:t>verzoekt de Commissie en de lidstaten gerichte, doeltreffende en efficiënte maatregelen te nemen om de belemmeringen voor de toegang tot diensten van algemeen belang in kwetsbare gebieden – met name voor vrouwen en meisjes in al hun diversiteit in plattelandsgebieden en afgelegen gebieden, met inbegrip van ultraperifere gebieden – weg te nemen omdat deze belemmeringen belangrijke oorzaken zijn van armoede en sociale uitsluiting; roept ertoe op in deze gebieden de toegang tot hoogwaardige openbare diensten te waarborgen, onder meer op het gebied van zorg, onderwijs, gezondheidszorg, huisvesting en energie, met bijzondere aandacht voor gebieden die met ontvolking worden bedreigd;</w:t>
            </w:r>
          </w:p>
        </w:tc>
      </w:tr>
    </w:tbl>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8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quinquies.</w:t>
            </w:r>
            <w:r>
              <w:tab/>
            </w:r>
            <w:r>
              <w:rPr>
                <w:b/>
                <w:i/>
              </w:rPr>
              <w:t>dringt aan op de vaststelling en uitvoering van bindende wettelijke maatregelen ter voorkoming van financiële discriminatie van personen met een ziektegeschiedenis – met inbegrip van voormalige kankerpatiënten en personen met geestelijke gezondheidsproblemen – met bijzondere aandacht voor vrouwen, die vaak te maken hebben met intersectionele sociaal-economische kwetsbaarheid; wijst in dit verband op het belang van het recht op vergetelheid, met name waar het gaat om de toegang tot financiële diensten, zoals verzekeringen en krediet, en tot huisvesting, zonder te worden benadeeld vanwege medische aandoeningen in het verleden, teneinde sociaal-economische re-integratie te waarborgen en het risico op armoede te verminderen; benadrukt dat persoonsgebonden budgetteringsbenaderingen, waarbij personen rechtstreeks financiële middelen ontvangen om deze volgens hun eigen behoeften te besteden, mogelijkheden bieden om hun autonomie en waardigheid te bevorderen en de steun beter af te stemmen bij inspanningen ter bestrijding van armoede;</w:t>
            </w:r>
          </w:p>
        </w:tc>
      </w:tr>
    </w:tbl>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verzoekt alle lidstaten de richtlijn beloningstransparantie snel en volledig ten uitvoer te leggen om essentiële aspecten van de loonkloof tussen mannen en vrouwen in sectoren aan te pakken, en bedrijven te verplichten analyses van de loonkloof tussen mannen en vrouwen te publiceren en voorlichtings- en opleidingscampagnes te voeren over onbewuste vooroordelen en stereotypen; verzoekt de Commissie en de lidstaten rekening te houden met regionale verschillen en ervoor te zorgen dat dergelijke maatregelen zijn toegesneden op de specifieke behoeften van regio’s waar de genderkloof en de ongelijkheid op de arbeidsmarkt het grootst zijn; verzoekt de Commissie daarnaast het probleem van de structurele onderwaardering van werk in door vrouwen gedomineerde sectoren aan te pakken en te zorgen voor gelijk loon voor gelijkwaardig werk door de waarde van werk in doorgaans door vrouwen gedomineerde sectoren zoals sociale, zorg- en gezondheidsdiensten en onderwijs opnieuw te beoordelen door middel van genderneutrale instrumenten voor functiebeoordeling die worden ontwikkeld en toegepast om een betere en eerlijkere beloningsregeling tot stand te brengen;</w:t>
            </w:r>
          </w:p>
        </w:tc>
      </w:tr>
    </w:tbl>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roept ertoe op meer inspanningen te leveren om sneller werk te maken van het dichten van de arbeidsparticipatiekloof tussen mannen en vrouwen en de genderkloof op het gebied van pensioenen en om de investeringen in openbare diensten en sociale infrastructuur op te voeren, en is van mening dat gestreefd moet worden naar de verwezenlijking van zorgmaatschappijen;</w:t>
            </w:r>
          </w:p>
        </w:tc>
      </w:tr>
    </w:tbl>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9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verzoekt de Commissie in het kader van de strategie rekening te houden met de specifieke uitdagingen waarmee oudere vrouwen die in armoede leven worden geconfronteerd; verzoekt de Commissie de lidstaten aan te moedigen gerichte maatregelen te ontwikkelen om toereikende pensioenen te waarborgen, waarbij de pensioenen automatisch worden aangepast aan de inflatie;</w:t>
            </w:r>
          </w:p>
        </w:tc>
      </w:tr>
    </w:tbl>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dringt er bij de lidstaten op aan beleid uit te werken om moederschaps-, vaderschaps- en ouderschapsrechten te versterken en daarbij het evenwicht tussen werk en privéleven te bevorderen, de terugkeer van vrouwen naar de arbeidswereld na hun zwangerschap en moederschapsverlof te vergemakkelijken en te zorgen voor de juiste omstandigheden </w:t>
            </w:r>
            <w:r>
              <w:t>zodat ze op het werk</w:t>
            </w:r>
            <w:r>
              <w:t xml:space="preserve"> borstvoeding </w:t>
            </w:r>
            <w:r>
              <w:t>kunnen geven</w:t>
            </w:r>
            <w:r>
              <w:t>;</w:t>
            </w:r>
          </w:p>
        </w:tc>
        <w:tc>
          <w:tcPr>
            <w:tcW w:w="4876" w:type="dxa"/>
            <w:tcBorders>
              <w:top w:val="nil"/>
              <w:left w:val="nil"/>
              <w:bottom w:val="nil"/>
              <w:right w:val="nil"/>
            </w:tcBorders>
          </w:tcPr>
          <w:p>
            <w:pPr>
              <w:pStyle w:val="Normal6a"/>
            </w:pPr>
            <w:r>
              <w:t>10.</w:t>
            </w:r>
            <w:r>
              <w:tab/>
            </w:r>
            <w:r>
              <w:rPr>
                <w:b/>
                <w:i/>
              </w:rPr>
              <w:t xml:space="preserve">benadrukt dat de meeste onbetaalde zorgtaken nog steeds uitsluitend door vrouwen worden verricht en dat dit negatieve gevolgen heeft voor de genderkloof op het gebied van werk en voor de economische onafhankelijkheid van vrouwen; is van mening dat de complexe oorzaken van armoede onder vrouwen moeten worden aangepakt door vrouwen en mannen aan te moedigen om onbetaalde zorg- en huishoudelijke taken eerlijker te verdelen en door de integratie en re-integratie van vrouwen op de arbeidsmarkt te vergemakkelijken, zodat een maatschappij ontstaat waarin mannen en vrouwen evenveel verdienen en in gelijke mate zorgtaken op zich nemen; </w:t>
            </w:r>
            <w:r>
              <w:t xml:space="preserve">dringt er bij de lidstaten op aan beleid uit te werken om moederschaps-, vaderschaps- en ouderschapsrechten te versterken en daarbij het evenwicht tussen werk en privéleven </w:t>
            </w:r>
            <w:r>
              <w:t>en flexibele arbeidsregelingen, waaronder het recht om op afstand te werken,</w:t>
            </w:r>
            <w:r>
              <w:t xml:space="preserve"> te bevorderen, de terugkeer van vrouwen naar de arbeidswereld na hun zwangerschap en moederschapsverlof te vergemakkelijken</w:t>
            </w:r>
            <w:r>
              <w:t>, onder meer door hoogwaardige, toegankelijke en betaalbare kinderopvang te bieden,</w:t>
            </w:r>
            <w:r>
              <w:t xml:space="preserve"> en te zorgen voor de juiste omstandigheden </w:t>
            </w:r>
            <w:r>
              <w:t>voor het geven van</w:t>
            </w:r>
            <w:r>
              <w:t xml:space="preserve"> borstvoeding </w:t>
            </w:r>
            <w:r>
              <w:t>en voor kinderopvang op de werkplek</w:t>
            </w:r>
            <w:r>
              <w:t>;</w:t>
            </w:r>
            <w:r>
              <w:rPr>
                <w:b/>
                <w:i/>
              </w:rPr>
              <w:t xml:space="preserve"> roept de lidstaten op om regelingen voor vaderschapsverlof in te voeren en te bevorderen die algemeen toegankelijk zijn en een adequate vergoeding bieden, onder meer door het wettelijk vaderschapsverlof en de ouderschapsuitkeringen voor vaders te verhogen en niet-overdraagbaar verlof voor vaders of de andere ouder aan te bieden, om zo een echte verdeling van de zorgverantwoordelijkheden te bevorderen, de positie van vrouwen op de arbeidsmarkt te versterken en de andere ouder in staat te stellen een sterke band met zijn of haar kinderen op te bouwen en de nodige vrije tijd te nemen om de ontwikkeling van jonge kinderen en het welzijn van het gezin te ondersteunen, en zo bij te dragen tot het verminderen van de “tijdarmoede” van vrouwen; roept de Commissie en de lidstaten ertoe op toe te zien op de volledige tenuitvoerlegging van de richtlijn betreffende het evenwicht tussen werk en privéleven;</w:t>
            </w:r>
          </w:p>
        </w:tc>
      </w:tr>
    </w:tbl>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dringt er bij de Commissie op aan om in sectoren waar vrouwen de meerderheid vormen, zoals de sociale sector, de gezondheidszorg, de zorg en het onderwijs en de systematische onderwaardering van werk, die tot armoede onder werkenden leidt, tegen te gaan en om samen met de lidstaten en de sociale partners te werken aan de ontwikkeling van genderneutrale arbeidsevaluatie-instrumenten en criteria die een EU-brede definitie en vergelijking van “de waarde van werk” mogelijk maken, met het oog op een eerlijkere waardering en beloning van werk dat wordt verricht in sectoren waar vrouwen de meerderheid vormen;</w:t>
            </w:r>
          </w:p>
        </w:tc>
      </w:tr>
    </w:tbl>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verzoekt de Commissie de lidstaten aan te moedigen om eerlijke en doeltreffende nationale stelsels voor vermogensbelasting te ontwikkelen, met als doel de ongelijkheid te verminderen en ervoor te zorgen dat degenen met het grootste vermogen een billijke bijdrage leveren aan de financiering van collectieve goederen; herinnert eraan dat internationale instellingen zoals het Internationaal Monetair Fonds en de Organisatie voor Economische Samenwerking en Ontwikkeling vermogensbelasting hebben aangemerkt als een nuttig instrument om de toenemende ongelijkheid aan te pakken en de overheidsfinanciën te versterken;</w:t>
            </w:r>
          </w:p>
        </w:tc>
      </w:tr>
    </w:tbl>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quater.</w:t>
            </w:r>
            <w:r>
              <w:tab/>
            </w:r>
            <w:r>
              <w:rPr>
                <w:b/>
                <w:i/>
              </w:rPr>
              <w:t>verzoekt de Commissie een uitgebreide studie naar de effecten van arbeidstijdverkorting uit te voeren, met onder meer aandacht voor ervaringen met proefprojecten zoals de vierdaagse werkweek in het Verenigd Koninkrijk, die positieve resultaten heeft opgeleverd voor de gezondheid en het welzijn van werknemers, het evenwicht tussen werk en privéleven en de productiviteit, het succes te erkennen van verschillende landen die arbeidstijdverkorting hebben uitgeprobeerd en de lidstaten aan te moedigen tot het onderzoeken en ondersteunen van initiatieven die gericht zijn op het verminderen van de arbeidstijd zonder loonverlies, als middel om armoede terug te dringen, de democratie te versterken en hoogwaardige werkgelegenheid, gendergelijkheid en een betere geestelijke en lichamelijke gezondheid te bevorderen;</w:t>
            </w:r>
          </w:p>
        </w:tc>
      </w:tr>
    </w:tbl>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quinquies.</w:t>
            </w:r>
            <w:r>
              <w:tab/>
            </w:r>
            <w:r>
              <w:rPr>
                <w:b/>
                <w:i/>
              </w:rPr>
              <w:t>benadrukt de negatieve economische prikkels voor het moederschap waar veel vrouwen in de hele EU mee te maken hebben; dringt aan op alomvattend gezinsbeleid ter ondersteuning van het krijgen van kinderen zonder financiële nadelen op lange termijn, met name met betrekking tot loopbaanonderbrekingen en pensioenkloven;</w:t>
            </w:r>
          </w:p>
        </w:tc>
      </w:tr>
    </w:tbl>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sexies.</w:t>
            </w:r>
            <w:r>
              <w:tab/>
            </w:r>
            <w:r>
              <w:rPr>
                <w:b/>
                <w:i/>
              </w:rPr>
              <w:t>verzoekt de Commissie en de lidstaten een specifiek Europees actieplan voor oudere vrouwen te ontwikkelen, met inbegrip van maatregelen voor het aanpakken van de genderkloof op het gebied van pensioenen, prioritaire toegang tot sociale zorg en thuiszorg, mogelijkheden voor voortgezette opleiding en regelingen voor deeltijdwerk om de isolatie en armoede onder ouderen te bestrijden;</w:t>
            </w:r>
          </w:p>
        </w:tc>
      </w:tr>
    </w:tbl>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10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septies.</w:t>
            </w:r>
            <w:r>
              <w:tab/>
            </w:r>
            <w:r>
              <w:rPr>
                <w:b/>
                <w:i/>
              </w:rPr>
              <w:t>dringt bij de Commissie aan op het ontwikkelen en uitvoeren van een EU-brede strategie voor menstruele gezondheid om menstruatiearmoede te bestrijden; is van mening dat menstruele gezondheid en hygiëne expliciet in beleidsmaatregelen voor volksgezondheid en armoedebestrijding op nationaal en EU-niveau moeten worden geïntegreerd; dringt er bij de Commissie op aan de lidstaten te ondersteunen bij de opneming van voorlichting over menstruatie en de verstrekking van hygiënische producten in het kader van een holistisch en genderresponsief gezondheids- en sociaal beleid, met name voor vrouwen die met dakloosheid te maken hebben, slachtoffers van gendergerelateerd geweld en vrouwen uit kwetsbare groepen zoals vrouwen met een migratieachtergrond en asielzoekers; dringt er bij de Commissie en de lidstaten op aan om de verstrekking van gratis menstruatieproducten verplicht te stellen in openbare scholen en universiteiten, overheidsgebouwen, opvangcentra, openbare instellingen en centra die gemarginaliseerde vrouwen en meisjes ondersteunen, met het oog op de bestrijding van menstruatiearmoede; verzoekt de lidstaten voorts om de btw en andere indirecte belastingen op menstruatieproducten af te schaffen overeenkomstig de doelstellingen inzake gendergelijkheid;</w:t>
            </w:r>
          </w:p>
        </w:tc>
      </w:tr>
    </w:tbl>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spoort de lidstaten aan universele toegang tot betaalbare, hoogwaardige maternale, postnatale en pediatrische openbare gezondheidszorg te waarborgen;</w:t>
            </w:r>
          </w:p>
        </w:tc>
        <w:tc>
          <w:tcPr>
            <w:tcW w:w="4876" w:type="dxa"/>
            <w:tcBorders>
              <w:top w:val="nil"/>
              <w:left w:val="nil"/>
              <w:bottom w:val="nil"/>
              <w:right w:val="nil"/>
            </w:tcBorders>
          </w:tcPr>
          <w:p>
            <w:pPr>
              <w:pStyle w:val="Normal6a"/>
            </w:pPr>
            <w:r>
              <w:t>11.</w:t>
            </w:r>
            <w:r>
              <w:tab/>
            </w:r>
            <w:r>
              <w:t>spoort de lidstaten aan universele toegang tot betaalbare, hoogwaardige maternale, postnatale en pediatrische openbare gezondheidszorg te waarborgen</w:t>
            </w:r>
            <w:r>
              <w:rPr>
                <w:b/>
                <w:i/>
              </w:rPr>
              <w:t>, alsook tot ouderenzorg en zorg voor personen met een handicap, ter vermindering van het aantal vrouwen dat onevenredig veel onbetaalde zorgtaken op zich neemt, wat hun vermogen om deel te nemen aan de arbeidsmarkt en een inkomen te verdienen beperkt</w:t>
            </w:r>
            <w:r>
              <w:t>;</w:t>
            </w:r>
          </w:p>
        </w:tc>
      </w:tr>
    </w:tbl>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verzoekt de Commissie een aanbeveling uit te vaardigen waarin de lidstaten worden aangemoedigd bindende wettelijke maatregelen te nemen om de armoedebestrijding te bevorderen door financiële discriminatie aan te pakken waarmee vrouwen met een ziekteverleden, waaronder overlevenden van kanker en vrouwen met psychische aandoeningen, worden geconfronteerd, op basis van het beginsel van het recht om te worden vergeten, om hun herintreding op de arbeidsmarkt en in de samenleving te waarborgen en hun risico op armoede te verminderen, waarbij bijzondere aandacht wordt besteed aan vrouwen die te maken hebben met intersectionele sociaaleconomische discriminatie;</w:t>
            </w:r>
          </w:p>
        </w:tc>
      </w:tr>
    </w:tbl>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dringt er bij de Commissie en de lidstaten op aan aandacht te hebben voor de “verborgen verschijnselen” van armoede, de stigmatisering van mensen in armoede en </w:t>
            </w:r>
            <w:r>
              <w:rPr>
                <w:b/>
                <w:i/>
              </w:rPr>
              <w:t>het onbenut laten van de beschikbare sociale uitkeringen tegen te gaan, en ermee rekening te houden</w:t>
            </w:r>
            <w:r>
              <w:t xml:space="preserve"> dat </w:t>
            </w:r>
            <w:r>
              <w:rPr>
                <w:b/>
                <w:i/>
              </w:rPr>
              <w:t>ouderen</w:t>
            </w:r>
            <w:r>
              <w:t xml:space="preserve">, </w:t>
            </w:r>
            <w:r>
              <w:rPr>
                <w:b/>
                <w:i/>
              </w:rPr>
              <w:t>personen</w:t>
            </w:r>
            <w:r>
              <w:t xml:space="preserve"> met een handicap, eenoudergezinnen, etnische minderheden en </w:t>
            </w:r>
            <w:r>
              <w:rPr>
                <w:b/>
                <w:i/>
              </w:rPr>
              <w:t>migranten gevoeliger</w:t>
            </w:r>
            <w:r>
              <w:t xml:space="preserve"> zijn voor armoede en sociale uitsluiting;</w:t>
            </w:r>
          </w:p>
        </w:tc>
        <w:tc>
          <w:tcPr>
            <w:tcW w:w="4876" w:type="dxa"/>
            <w:tcBorders>
              <w:top w:val="nil"/>
              <w:left w:val="nil"/>
              <w:bottom w:val="nil"/>
              <w:right w:val="nil"/>
            </w:tcBorders>
          </w:tcPr>
          <w:p>
            <w:pPr>
              <w:pStyle w:val="Normal6a"/>
            </w:pPr>
            <w:r>
              <w:t>13.</w:t>
            </w:r>
            <w:r>
              <w:tab/>
            </w:r>
            <w:r>
              <w:t xml:space="preserve">dringt er bij de Commissie en de lidstaten op aan aandacht te hebben voor de “verborgen verschijnselen” van armoede, de stigmatisering van mensen in armoede en </w:t>
            </w:r>
            <w:r>
              <w:rPr>
                <w:b/>
                <w:i/>
              </w:rPr>
              <w:t>een gendergerichte en intersectionele benadering te hanteren in strategieën ter bestrijding van armoede, waarbij wordt onderkend</w:t>
            </w:r>
            <w:r>
              <w:t xml:space="preserve"> dat </w:t>
            </w:r>
            <w:r>
              <w:rPr>
                <w:b/>
                <w:i/>
              </w:rPr>
              <w:t>oudere vrouwen</w:t>
            </w:r>
            <w:r>
              <w:t xml:space="preserve">, </w:t>
            </w:r>
            <w:r>
              <w:rPr>
                <w:b/>
                <w:i/>
              </w:rPr>
              <w:t>vrouwen</w:t>
            </w:r>
            <w:r>
              <w:t xml:space="preserve"> met een handicap, eenoudergezinnen, </w:t>
            </w:r>
            <w:r>
              <w:rPr>
                <w:b/>
                <w:i/>
              </w:rPr>
              <w:t>die meestal door vrouwen worden geleid, vrouwen uit raciale en</w:t>
            </w:r>
            <w:r>
              <w:t xml:space="preserve"> etnische minderheden</w:t>
            </w:r>
            <w:r>
              <w:rPr>
                <w:b/>
                <w:i/>
              </w:rPr>
              <w:t>, migrantenvrouwen, slachtoffers van gendergerelateerd geweld</w:t>
            </w:r>
            <w:r>
              <w:t xml:space="preserve"> en </w:t>
            </w:r>
            <w:r>
              <w:rPr>
                <w:b/>
                <w:i/>
              </w:rPr>
              <w:t>lhbtqi+-personen groepen zijn die kwetsbaarder</w:t>
            </w:r>
            <w:r>
              <w:t xml:space="preserve"> zijn voor armoede en sociale uitsluiting </w:t>
            </w:r>
            <w:r>
              <w:rPr>
                <w:b/>
                <w:i/>
              </w:rPr>
              <w:t>dan andere</w:t>
            </w:r>
            <w:r>
              <w:t>;</w:t>
            </w:r>
          </w:p>
        </w:tc>
      </w:tr>
    </w:tbl>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verzoekt de Commissie afzonderlijke streefdoelen vast te stellen om de armoede onder de meest gemarginaliseerde vrouwen terug te dringen, overeenkomstig de Europese pijler van sociale rechten en de duurzameontwikkelingsdoelstellingen, en de vooruitgang met behulp van intersectionele indicatoren te volgen;</w:t>
            </w:r>
          </w:p>
        </w:tc>
      </w:tr>
    </w:tbl>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wijst erop dat armoede onder vrouwen leidt tot armoede onder kinderen en dat het aanpakken daarvan van cruciaal belang is om de intergenerationele armoedecyclus te doorbreken; verzoekt de Commissie en de lidstaten om de invoering of versterking van universele kinderbijslag te bevorderen als een belangrijk instrument voor de terugdringing van kinderarmoede, de ondersteuning van gezinnen en de bevordering van een eerlijkere verdeling van de welvaart, met inachtneming van nationale bevoegdheden en socialebeschermingsstelsels; verzoekt de EU en de lidstaten de ontwikkeling van een specifieke status te overwegen voor eenoudergezinnen, waar onevenredig vaak alleenstaande moeders aan het hoofd staan, die dikwijls zelf nog minderjarig zijn;</w:t>
            </w:r>
          </w:p>
        </w:tc>
      </w:tr>
    </w:tbl>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quater.</w:t>
            </w:r>
            <w:r>
              <w:tab/>
            </w:r>
            <w:r>
              <w:rPr>
                <w:b/>
                <w:i/>
              </w:rPr>
              <w:t xml:space="preserve">verzoekt de Commissie en de lidstaten prioriteit te geven aan het terugdringen van kinderarmoede, waarbij moet worden opgemerkt dat ongeveer een op de vier kinderen in de EU het risico loopt op armoede of sociale uitsluiting; </w:t>
            </w:r>
            <w:r>
              <w:rPr>
                <w:b/>
                <w:i/>
              </w:rPr>
              <w:t>wijst erop dat kinderarmoede nauw verband houdt met de economische situatie van de moeder, die vaak meer risico loopt op armoede als gevolg van loonverschillen tussen mannen en vrouwen, onzeker werk en onevenredige zorgtaken</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Eurostat, Statistics Explained, 'Children at risk of poverty or social exclusion'. Gegevens van 7 mei 2025, https://ec.europa.eu/eurostat/statistics-explained/index.php?title=Children_at_risk_of_poverty_or_social_exclusion</w:t>
            </w:r>
          </w:p>
        </w:tc>
      </w:tr>
    </w:tbl>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quinquies.</w:t>
            </w:r>
            <w:r>
              <w:tab/>
            </w:r>
            <w:r>
              <w:rPr>
                <w:b/>
                <w:i/>
              </w:rPr>
              <w:t>wijst op de verantwoordelijkheid van de EU voor het aanpakken en uitbannen van mensenhandel, die een grensoverschrijdende en gendergerelateerde dimensie heeft, omdat vrouwen in armoede onevenredig vaak worden blootgesteld aan het risico van seksuele uitbuiting en arbeidsuitbuiting; wijst erop dat arbeidsuitbuiting kan inhouden dat werknemers buitensporig lange werkdagen moeten maken, in onveilige of ongezonde werkomstandigheden moeten werken en arbeidsrechten zoals ziekteverlof en het recht om zich te organiseren of te staken worden ontzegd, wat onevenredig vaak gevolgen heeft voor vrouwelijke werknemers in op uitvoer gerichte sectoren;</w:t>
            </w:r>
          </w:p>
        </w:tc>
      </w:tr>
    </w:tbl>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13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sexies.</w:t>
            </w:r>
            <w:r>
              <w:tab/>
            </w:r>
            <w:r>
              <w:rPr>
                <w:b/>
                <w:i/>
              </w:rPr>
              <w:t>benadrukt dat het gebrek aan veilige en legale migratieroutes die momenteel beschikbaar zijn, naast het steeds strengere migratiebeleid dat bijdraagt aan vesting Europa, een oorzaak is van marginalisering en onzekerheid onder migranten, met name vrouwen en kinderen; verzoekt de Commissie en de lidstaten te zorgen voor veilige en legale migratieroutes en een behoorlijke verlening van sociale diensten aan alle mensen, met inbegrip van vrouwen en kinderen, ongeacht hun migrantenstatus;</w:t>
            </w:r>
          </w:p>
        </w:tc>
      </w:tr>
    </w:tbl>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beveelt de lidstaten aan de steun voor gezinnen en personen in een kwetsbare situatie op te trekken door middel van sociale diensten voor geestelijke gezondheid en psychosociale ondersteuning;</w:t>
            </w:r>
          </w:p>
        </w:tc>
        <w:tc>
          <w:tcPr>
            <w:tcW w:w="4876" w:type="dxa"/>
            <w:tcBorders>
              <w:top w:val="nil"/>
              <w:left w:val="nil"/>
              <w:bottom w:val="nil"/>
              <w:right w:val="nil"/>
            </w:tcBorders>
          </w:tcPr>
          <w:p>
            <w:pPr>
              <w:pStyle w:val="Normal6a"/>
            </w:pPr>
            <w:r>
              <w:t>14.</w:t>
            </w:r>
            <w:r>
              <w:tab/>
            </w:r>
            <w:r>
              <w:t xml:space="preserve">beveelt de lidstaten aan de steun voor </w:t>
            </w:r>
            <w:r>
              <w:rPr>
                <w:b/>
                <w:i/>
              </w:rPr>
              <w:t>het sociaaleconomische en emotionele welzijn van</w:t>
            </w:r>
            <w:r>
              <w:t xml:space="preserve"> gezinnen</w:t>
            </w:r>
            <w:r>
              <w:rPr>
                <w:b/>
                <w:i/>
              </w:rPr>
              <w:t>, met name alleenstaande moeders,</w:t>
            </w:r>
            <w:r>
              <w:t xml:space="preserve"> en personen in een kwetsbare situatie op te trekken door middel van sociale diensten voor geestelijke gezondheid en psychosociale ondersteuning </w:t>
            </w:r>
            <w:r>
              <w:rPr>
                <w:b/>
                <w:i/>
              </w:rPr>
              <w:t>en het bieden van mogelijkheden voor deelname aan sport, hoogwaardige onderwijs- en opleidingsprogramma’s en culturele en recreatieve activiteiten, waarbij ervoor wordt gezorgd dat deze diensten op genderbewuste wijze worden geleverd</w:t>
            </w:r>
            <w:r>
              <w:t>;</w:t>
            </w:r>
          </w:p>
        </w:tc>
      </w:tr>
    </w:tbl>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ziet graag dat op de conferentie uitdrukkelijk aandacht wordt besteedt aan genderdimensies van armoede, waaronder menstruatiearmoede;</w:t>
            </w:r>
          </w:p>
        </w:tc>
      </w:tr>
    </w:tbl>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roept de Commissie op tot het oprichten van een comité van mensen die in armoede leven, bestaande uit mensen die in armoede leven, met name vrouwen, lhbtqi+-personen en andere gemarginaliseerde personen, dat tot taak heeft bij te dragen aan het ontwerp, de uitvoering en de evaluatie van de strategie; is van mening dat gemeenschappen die rechtstreeks door armoede worden getroffen, in de beste positie verkeren voor het onderbouwen van beleid dat van invloed is op hun dagelijks leven; verzoekt de Commissie ervoor te zorgen dat de participatie van mensen die in armoede leven zinvol is, onder meer door het verstrekken van passende financiële vergoeding en van de nodige ondersteunende instrumenten zoals vertolking en toegankelijke formaten;</w:t>
            </w:r>
          </w:p>
        </w:tc>
      </w:tr>
    </w:tbl>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verzoekt de Commissie een speciale werkgroep op te richten bestaande uit mensen die in armoede leven, academici, vertegenwoordigers van Eurostat, het Bureau van de Europese Unie voor de grondrechten, het Europees Instituut voor gendergelijkheid, de bureaus voor de statistiek van de lidstaten, beleidsmakers, maatschappelijke organisaties en beroepsbeoefenaars die essentiële diensten verlenen;</w:t>
            </w:r>
          </w:p>
        </w:tc>
      </w:tr>
    </w:tbl>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quater.</w:t>
            </w:r>
            <w:r>
              <w:tab/>
            </w:r>
            <w:r>
              <w:rPr>
                <w:b/>
                <w:i/>
              </w:rPr>
              <w:t>dringt er bij de Commissie op aan in de strategie een specifiek onderdeel op te nemen waarin de lidstaten worden aangemoedigd tot het intrekken van wetten en administratieve bepalingen die overlevingsactiviteiten in openbare ruimten strafbaar stellen, met inbegrip van wetten die gericht zijn op bedelarij, het op straat leven, informele economische activiteiten en andere vormen van levensonderhoud;</w:t>
            </w:r>
          </w:p>
        </w:tc>
      </w:tr>
    </w:tbl>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verzoekt het Europees Instituut voor gendergelijkheid en het Bureau van de Europese Unie voor de grondrechten EU-breed onderzoek naar de intersectionele aspecten van armoede te verrichten;</w:t>
            </w:r>
          </w:p>
        </w:tc>
      </w:tr>
    </w:tbl>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verzoekt de Commissie een intersectionele monitoringmethode voor de effecten van armoedebestrijding te ontwikkelen en afzonderlijke streefdoelen vast te stellen met als doel de armoede onder de meest gemarginaliseerde vrouwen terug te dringen, in overeenstemming met de Europese pijler van sociale rechten en de duurzameontwikkelingsdoelstellingen;</w:t>
            </w:r>
          </w:p>
        </w:tc>
      </w:tr>
    </w:tbl>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18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wijst erop dat het voor een doeltreffende uitvoering en monitoring van de strategie nodig is systematisch gedesaggregeerde gegevens te verzamelen en te gebruiken; verzoekt de Commissie opnieuw richtsnoeren voor het verzamelen van gegevens over gelijkheid uit te vaardigen om de lidstaten in staat te stellen gedesaggregeerde gegevens te verzamelen, onder meer naar ras of etnische afkomst, geslacht, leeftijd, handicap en migrantenstatus, met volledige inachtneming van de grondrechten en gegevensbeschermingsnormen, voor het nauwkeurig vaststellen en aanpakken van kernen van armoede en uitsluiting, het aan het licht brengen van structurele ongelijkheden en het empirisch onderbouwen van beleidsmaatregelen op alle bestuursniveaus;</w:t>
            </w:r>
          </w:p>
        </w:tc>
      </w:tr>
    </w:tbl>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dringt er bij de Commissie op aan een horizontaal beginsel in de strategie op te nemen waarbij rekening wordt gehouden met de gevolgen van het sectoraal beleid voor armoede en op grond waarvan het verplicht is om vooraf een effectbeoordeling uit te voeren;</w:t>
            </w:r>
          </w:p>
        </w:tc>
        <w:tc>
          <w:tcPr>
            <w:tcW w:w="4876" w:type="dxa"/>
            <w:tcBorders>
              <w:top w:val="nil"/>
              <w:left w:val="nil"/>
              <w:bottom w:val="nil"/>
              <w:right w:val="nil"/>
            </w:tcBorders>
          </w:tcPr>
          <w:p>
            <w:pPr>
              <w:pStyle w:val="Normal6a"/>
            </w:pPr>
            <w:r>
              <w:t>20.</w:t>
            </w:r>
            <w:r>
              <w:tab/>
            </w:r>
            <w:r>
              <w:t>dringt er bij de Commissie op aan een horizontaal beginsel in de strategie op te nemen waarbij rekening wordt gehouden met de gevolgen van het sectoraal beleid voor armoede en op grond waarvan het verplicht is om vooraf een effectbeoordeling uit te voeren</w:t>
            </w:r>
            <w:r>
              <w:rPr>
                <w:b/>
                <w:i/>
              </w:rPr>
              <w:t>, met bijzondere aandacht voor de onevenredige kwetsbaarheid van vrouwen voor armoede en regionale verschillen</w:t>
            </w:r>
            <w:r>
              <w:t>;</w:t>
            </w:r>
          </w:p>
        </w:tc>
      </w:tr>
    </w:tbl>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verzoekt de Commissie de gendergelijkheidsindex van het Europees Instituut voor gendergelijkheid op te nemen in het sociaal scorebord;</w:t>
            </w:r>
          </w:p>
        </w:tc>
      </w:tr>
    </w:tbl>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verzoekt de Commissie de lidstaten ertoe aan te zetten eerlijke, herverdelende en progressieve belastingstelsels tot stand te brengen en ervoor te zorgen dat de overheidsbegrotingen voldoende zijn toegerust om het uitbannen van armoede en het verminderen van ongelijkheid te financieren en de ongelijke verdeling van rijkdom en middelen aan te pakken; benadrukt dat fiscale rechtvaardigheid essentieel is voor sociale cohesie en de beginselen van de Europese pijler van sociale rechten;</w:t>
            </w:r>
          </w:p>
        </w:tc>
      </w:tr>
    </w:tbl>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verzoekt de Commissie het proces van het Europees Semester te versterken door robuustere en genderresponsieve aanbevelingen in landspecifieke aanbevelingen op te nemen, naast de momenteel beperkte indicatoren van het sociaal scorebord, om genderongelijkheden beter in kaart te brengen en de structurele verbanden tussen armoede en gendergerelateerd geweld aan te pakken;</w:t>
            </w:r>
          </w:p>
        </w:tc>
      </w:tr>
    </w:tbl>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dringt erop aan het volgende meerjarig financieel kader (MFK) te versterken en beter gebruik te maken van het ESF+, het EFRO, het FEAD en het AMIF om beleid dat bedoeld is armoede uit te bannen, te versterken;</w:t>
            </w:r>
          </w:p>
        </w:tc>
        <w:tc>
          <w:tcPr>
            <w:tcW w:w="4876" w:type="dxa"/>
            <w:tcBorders>
              <w:top w:val="nil"/>
              <w:left w:val="nil"/>
              <w:bottom w:val="nil"/>
              <w:right w:val="nil"/>
            </w:tcBorders>
          </w:tcPr>
          <w:p>
            <w:pPr>
              <w:pStyle w:val="Normal6a"/>
            </w:pPr>
            <w:r>
              <w:t>22.</w:t>
            </w:r>
            <w:r>
              <w:tab/>
            </w:r>
            <w:r>
              <w:t>dringt erop aan het volgende meerjarig financieel kader (MFK) te versterken en beter gebruik te maken van het ESF+, het EFRO, het FEAD en het AMIF om beleid dat bedoeld is armoede uit te bannen, te versterken;</w:t>
            </w:r>
            <w:r>
              <w:rPr>
                <w:b/>
                <w:i/>
              </w:rPr>
              <w:t xml:space="preserve"> wijst erop dat het ESF+ in het MFK voor de periode na 2027 als een afzonderlijk fonds moet worden gehandhaafd, aangezien het Fonds van cruciaal belang is voor de verbetering van toegankelijke, betaalbare en flexibele sociale diensten voor alle kwetsbare groepen, met name vrouwen en meisjes met een handicap;</w:t>
            </w:r>
          </w:p>
        </w:tc>
      </w:tr>
    </w:tbl>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benadrukt dat de Unie, als verplichting die voortvloeit uit het VN-Verdrag inzake de rechten van personen met een handicap, maatregelen ter ondersteuning van kwetsbare groepen met een hoger risico op armoede, zoals personen met een handicap, moet integreren in alle programma’s in het MFK na 2027; is van mening dat het van essentieel belang is om ervoor te zorgen dat personen met een handicap, vooral vrouwen en meisjes, gelijke toegang hebben tot alle door de EU gefinancierde programma’s, overeenkomstig de strategie inzake de rechten van personen met een handicap 2021-2030; dringt er bij de Commissie op aan een methode te ontwikkelen voor het traceren van uitgaven die ten goede komen aan personen met een handicap, met name vrouwen en meisjes, en te verifiëren of alle programma’s en door de EU gefinancierde projecten gendergelijkheid en toegang tot EU-financiering voor personen met een handicap waarborgen;</w:t>
            </w:r>
          </w:p>
        </w:tc>
      </w:tr>
    </w:tbl>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12b"/>
      </w:pPr>
      <w:r>
        <w:rPr>
          <w:rStyle w:val="HideTWBExt"/>
        </w:rPr>
        <w:t>&lt;DocAmend&gt;</w:t>
      </w:r>
      <w:r>
        <w:t>Ontwerpresolutie</w:t>
      </w:r>
      <w:r>
        <w:rPr>
          <w:rStyle w:val="HideTWBExt"/>
        </w:rPr>
        <w:t>&lt;/DocAmend&gt;</w:t>
      </w:r>
    </w:p>
    <w:p>
      <w:pPr>
        <w:pStyle w:val="NormalBold"/>
      </w:pPr>
      <w:r>
        <w:rPr>
          <w:rStyle w:val="HideTWBExt"/>
        </w:rPr>
        <w:t>&lt;Article&gt;</w:t>
      </w:r>
      <w:r>
        <w:t>Paragraaf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benadrukt de noodzaak van genderbudgettering en naar gender uitgesplitste gegevens bij het ontwerp, de uitvoering en de follow-up van de nieuwe EU-strategie voor armoedebestrijding; verzoekt de Commissie specifieke indicatoren te ontwikkelen om de toegang tot menstruatieproducten en diensten op het gebied van SRGR te monitoren en ervoor te zorgen dat EU-middelen de gendergerelateerde verschillen op het gebied van armoede aantoonbaar verkleinen;</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BIJLAGE: BEKENDMAKING VAN INPUT</w:t>
      </w:r>
    </w:p>
    <w:p>
      <w:pPr>
        <w:pStyle w:val="Normal12a"/>
      </w:pPr>
      <w:r>
        <w:rPr>
          <w:rStyle w:val="HideTWBExt"/>
        </w:rPr>
        <w:t>&lt;FootprintIntro&gt;</w:t>
      </w:r>
      <w:r>
        <w:rPr>
          <w:rStyle w:val="HideTWBExt"/>
        </w:rPr>
        <w:t>&lt;/FootprintIntro&gt;</w:t>
      </w:r>
    </w:p>
    <w:p>
      <w:pPr>
        <w:pStyle w:val="Normal12a"/>
      </w:pPr>
      <w:r>
        <w:t>Overeenkomstig artikel 8 van bijlage I bij het Reglement verklaart de rapporteur in het verslag input te hebben opgenomen over aangelegenheden in verband met het onderwerp van het dossier die in het kader van de opstelling van het ontwerpverslag door haar is ontvangen van de volgende belangenvertegenwoordigers die binnen het toepassingsgebied van het Interinstitutioneel Akkoord over een verplicht transparantieregister</w:t>
      </w:r>
      <w:r>
        <w:rPr>
          <w:rStyle w:val="FootnoteReference"/>
        </w:rPr>
        <w:footnoteReference w:customMarkFollows="1" w:id="2"/>
        <w:t xml:space="preserve">1</w:t>
      </w:r>
      <w:r>
        <w:t xml:space="preserve"> vallen, of van de volgende vertegenwoordigers van overheidsinstanties van derde landen, met inbegrip van hun diplomatieke vertegenwoordigingen en ambassades: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Belangenvertegenwoordigers die binnen het toepassingsgebied van het Interinstitutioneel Akkoord over een verplicht transparantieregister vallen</w:t>
            </w:r>
          </w:p>
        </w:tc>
      </w:tr>
      <w:tr>
        <w:tblPrEx>
          <w:tblW w:w="0" w:type="auto"/>
          <w:tblLayout w:type="fixed"/>
          <w:tblCellMar>
            <w:left w:w="140" w:type="dxa"/>
            <w:right w:w="140" w:type="dxa"/>
          </w:tblCellMar>
        </w:tblPrEx>
        <w:tc>
          <w:tcPr>
            <w:tcW w:w="9080" w:type="dxa"/>
          </w:tcPr>
          <w:p>
            <w:r>
              <w:t>Make Mothers Matter (MMM)</w:t>
            </w:r>
          </w:p>
        </w:tc>
      </w:tr>
      <w:tr>
        <w:tblPrEx>
          <w:tblW w:w="0" w:type="auto"/>
          <w:tblLayout w:type="fixed"/>
          <w:tblCellMar>
            <w:left w:w="140" w:type="dxa"/>
            <w:right w:w="140" w:type="dxa"/>
          </w:tblCellMar>
        </w:tblPrEx>
        <w:tc>
          <w:tcPr>
            <w:tcW w:w="9080" w:type="dxa"/>
          </w:tcPr>
          <w:p>
            <w:r>
              <w:rPr>
                <w:b/>
              </w:rPr>
              <w:t>2. Vertegenwoordigers van overheidsinstanties van derde landen, met inbegrip van hun diplomatieke vertegenwoordigingen en ambassades</w:t>
            </w:r>
          </w:p>
        </w:tc>
      </w:tr>
    </w:tbl>
    <w:p/>
    <w:p>
      <w:pPr>
        <w:pStyle w:val="Normal12a"/>
      </w:pPr>
      <w:r>
        <w:t>De bovenstaande lijst is opgesteld onder de exclusieve verantwoordelijkheid van de rapporteur voor advies.</w:t>
      </w:r>
    </w:p>
    <w:p>
      <w:pPr>
        <w:pStyle w:val="Normal12a"/>
      </w:pPr>
      <w:r>
        <w:t>De rapporteur verklaart dat aan natuurlijke personen die met hun naam en/of functie in de lijst worden vermeld privacyverklaring nr. 484 van het Europees Parlement (</w:t>
      </w:r>
      <w:hyperlink r:id="rId9" w:tgtFrame="https://www.europarl.europa.eu/data-protect/index.do" w:history="1">
        <w:r>
          <w:rPr>
            <w:rStyle w:val="Hyperlink"/>
          </w:rPr>
          <w:t>https://www.europarl.europa.eu/data-protect/index.do</w:t>
        </w:r>
      </w:hyperlink>
      <w:r>
        <w:t>) is verstrekt, waarin de voorwaarden voor de verwerking van hun persoonsgegevens en de rechten in verband met die verwerking worden toegelicht.</w:t>
      </w:r>
    </w:p>
    <w:p>
      <w:pPr>
        <w:sectPr>
          <w:footnotePr>
            <w:numRestart w:val="eachSect"/>
          </w:footnotePr>
          <w:type w:val="nextPage"/>
          <w:pgSz w:w="11909" w:h="16834"/>
          <w:pgMar w:top="1134" w:right="1417" w:bottom="1417" w:left="1417" w:header="1134" w:footer="567"/>
          <w:cols w:space="720"/>
        </w:sectPr>
      </w:pPr>
    </w:p>
    <w:p>
      <w:pPr>
        <w:pStyle w:val="PageHeading"/>
      </w:pPr>
      <w:r>
        <w:t>INFORMATIE OVER DE GOEDKEURING IN DE ADVISERENDE COMMISSIE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goedkeuring</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Uitslag eindstemming</w:t>
            </w:r>
          </w:p>
        </w:tc>
        <w:tc>
          <w:tcPr>
            <w:tcW w:w="6400" w:type="dxa"/>
            <w:tcBorders>
              <w:left w:val="dotted" w:sz="4" w:space="0" w:color="auto"/>
            </w:tcBorders>
          </w:tcPr>
          <w:p>
            <w:r>
              <w:t>+</w:t>
            </w:r>
            <w:r>
              <w:tab/>
            </w:r>
            <w:r>
              <w:t>:</w:t>
            </w:r>
            <w:r>
              <w:tab/>
            </w:r>
            <w:r>
              <w:t>26</w:t>
            </w:r>
          </w:p>
          <w:p>
            <w:r>
              <w:t>-</w:t>
            </w:r>
            <w:r>
              <w:tab/>
            </w:r>
            <w:r>
              <w:t>:</w:t>
            </w:r>
            <w:r>
              <w:tab/>
            </w:r>
            <w:r>
              <w:t>8</w:t>
            </w:r>
          </w:p>
          <w:p>
            <w:r>
              <w:t>0</w:t>
            </w:r>
            <w:r>
              <w:tab/>
            </w:r>
            <w:r>
              <w:t>:</w:t>
            </w:r>
            <w:r>
              <w:tab/>
            </w:r>
            <w:r>
              <w:t>0</w:t>
            </w:r>
          </w:p>
        </w:tc>
      </w:tr>
      <w:tr>
        <w:tblPrEx>
          <w:tblW w:w="0" w:type="auto"/>
          <w:tblLayout w:type="fixed"/>
          <w:tblCellMar>
            <w:left w:w="140" w:type="dxa"/>
            <w:right w:w="140" w:type="dxa"/>
          </w:tblCellMar>
        </w:tblPrEx>
        <w:tc>
          <w:tcPr>
            <w:tcW w:w="3600" w:type="dxa"/>
          </w:tcPr>
          <w:p>
            <w:pPr>
              <w:pStyle w:val="ProcedureTableBold"/>
            </w:pPr>
            <w:r>
              <w:t>Bij de eindstemming aanwezige leden</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Bij de eindstemming aanwezige vaste plaatsvervangers</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Bij de eindstemming aanwezige leden als bedoeld in art. 216, lid 7, van het Reglement</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HOOFDELIJKE EINDSTEMMING</w:t>
        <w:br/>
        <w:t>IN DE ADVISERENDE COMMISSIE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 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0</w:t>
            </w:r>
          </w:p>
        </w:tc>
      </w:tr>
    </w:tbl>
    <w:p/>
    <w:p>
      <w:r>
        <w:t>Verklaring van de gebruikte tekens:</w:t>
      </w:r>
    </w:p>
    <w:p>
      <w:pPr>
        <w:pStyle w:val="NormalTab"/>
      </w:pPr>
      <w:r>
        <w:t>+</w:t>
      </w:r>
      <w:r>
        <w:t xml:space="preserve">  :  </w:t>
      </w:r>
      <w:r>
        <w:t>voor</w:t>
      </w:r>
    </w:p>
    <w:p>
      <w:pPr>
        <w:pStyle w:val="NormalTab"/>
      </w:pPr>
      <w:r>
        <w:t>-</w:t>
      </w:r>
      <w:r>
        <w:t xml:space="preserve">  :  </w:t>
      </w:r>
      <w:r>
        <w:t>tegen</w:t>
      </w:r>
    </w:p>
    <w:p>
      <w:pPr>
        <w:pStyle w:val="NormalTab"/>
      </w:pPr>
      <w:r>
        <w:t>0</w:t>
      </w:r>
      <w:r>
        <w:t xml:space="preserve">  :  </w:t>
      </w:r>
      <w:r>
        <w:t>onthouding(en)</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774.456</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58</w:t>
    </w:r>
    <w:r>
      <w:fldChar w:fldCharType="end"/>
    </w:r>
    <w:r>
      <w:t>/</w:t>
    </w:r>
    <w:r>
      <w:fldChar w:fldCharType="begin"/>
    </w:r>
    <w:r>
      <w:instrText xml:space="preserve"> NUMPAGES </w:instrText>
    </w:r>
    <w:r>
      <w:fldChar w:fldCharType="separate"/>
    </w:r>
    <w:r>
      <w:t>58</w:t>
    </w:r>
    <w:r>
      <w:fldChar w:fldCharType="end"/>
    </w:r>
    <w:r>
      <w:tab/>
    </w:r>
    <w:r>
      <w:rPr>
        <w:rStyle w:val="HideTWBExt"/>
      </w:rPr>
      <w:t>&lt;PathFdR&gt;</w:t>
    </w:r>
    <w:r>
      <w:t>AD\1326834NL.docx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AD\1326834NL.docx</w:t>
    </w:r>
    <w:r>
      <w:rPr>
        <w:rStyle w:val="HideTWBExt"/>
      </w:rPr>
      <w:t>&lt;/PathFdR&gt;</w:t>
    </w:r>
    <w:r>
      <w:tab/>
    </w:r>
    <w:r>
      <w:fldChar w:fldCharType="begin"/>
    </w:r>
    <w:r>
      <w:instrText xml:space="preserve"> PAGE </w:instrText>
    </w:r>
    <w:r>
      <w:fldChar w:fldCharType="separate"/>
    </w:r>
    <w:r>
      <w:t>57</w:t>
    </w:r>
    <w:r>
      <w:fldChar w:fldCharType="end"/>
    </w:r>
    <w:r>
      <w:t>/</w:t>
    </w:r>
    <w:r>
      <w:fldChar w:fldCharType="begin"/>
    </w:r>
    <w:r>
      <w:instrText xml:space="preserve"> NUMPAGES </w:instrText>
    </w:r>
    <w:r>
      <w:fldChar w:fldCharType="separate"/>
    </w:r>
    <w:r>
      <w:t>58</w:t>
    </w:r>
    <w:r>
      <w:fldChar w:fldCharType="end"/>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AD\1326834NL.docx</w:t>
    </w:r>
    <w:r>
      <w:rPr>
        <w:rStyle w:val="HideTWBExt"/>
      </w:rPr>
      <w:t>&lt;/PathFdR&gt;</w:t>
    </w:r>
    <w:r>
      <w:tab/>
    </w:r>
    <w:r>
      <w:tab/>
    </w:r>
    <w:r>
      <w:t>PE</w:t>
    </w:r>
    <w:r>
      <w:rPr>
        <w:rStyle w:val="HideTWBExt"/>
      </w:rPr>
      <w:t>&lt;NoPE&gt;</w:t>
    </w:r>
    <w:r>
      <w:t>774.456</w:t>
    </w:r>
    <w:r>
      <w:rPr>
        <w:rStyle w:val="HideTWBExt"/>
      </w:rPr>
      <w:t>&lt;/NoPE&gt;</w:t>
    </w:r>
    <w:r>
      <w:rPr>
        <w:rStyle w:val="HideTWBExt"/>
      </w:rPr>
      <w:t>&lt;Version&gt;</w:t>
    </w:r>
    <w:r>
      <w:t>v02-00</w:t>
    </w:r>
    <w:r>
      <w:rPr>
        <w:rStyle w:val="HideTWBExt"/>
      </w:rPr>
      <w:t>&lt;/Version&gt;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Interinstitutioneel Akkoord van 20 mei 2021 tussen het Europees Parlement, de Raad van de Europese Unie en de Europese Commissie over een verplicht transparantieregister (PB L 207 van 11.6.2021, blz.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58</Pages>
  <Words>10513</Words>
  <Characters>69389</Characters>
  <Application>Microsoft Office Word</Application>
  <DocSecurity>0</DocSecurity>
  <Lines>1</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1326834</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276857</vt:lpwstr>
  </property>
  <property fmtid="{D5CDD505-2E9C-101B-9397-08002B2CF9AE}" pid="7" name="dmxml.render.traceId">
    <vt:lpwstr>69089ee80bbdded88d460ddd8edcd58e</vt:lpwstr>
  </property>
  <property fmtid="{D5CDD505-2E9C-101B-9397-08002B2CF9AE}" pid="8" name="FooterPath">
    <vt:lpwstr>AD\1326834NL.doc</vt:lpwstr>
  </property>
  <property fmtid="{D5CDD505-2E9C-101B-9397-08002B2CF9AE}" pid="9" name="PE Number">
    <vt:lpwstr>774.456</vt:lpwstr>
  </property>
  <property fmtid="{D5CDD505-2E9C-101B-9397-08002B2CF9AE}" pid="10" name="UID">
    <vt:lpwstr>eu.europa.europarl-DIN1-2025-0000157637_01.08-nl-01.00_text-xml</vt:lpwstr>
  </property>
</Properties>
</file>