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Euroopan parlamentti</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{FEMM}</w:t>
      </w:r>
      <w:r>
        <w:t>Naisten oikeuksien ja sukupuolten tasa-arvon valiokunta</w:t>
      </w:r>
      <w:r>
        <w:rPr>
          <w:rStyle w:val="HideTWBExt"/>
        </w:rPr>
        <w:t>&lt;/Commission&gt;</w:t>
      </w:r>
    </w:p>
    <w:p>
      <w:pPr>
        <w:pStyle w:val="LineBottom"/>
      </w:pPr>
      <w:r>
        <w:t xml:space="preserve"> </w:t>
      </w:r>
    </w:p>
    <w:p>
      <w:pPr>
        <w:pStyle w:val="CoverReference"/>
      </w:pPr>
      <w:r>
        <w:rPr>
          <w:rStyle w:val="HideTWBExt"/>
        </w:rPr>
        <w:t>&lt;RefProc&gt;</w:t>
      </w:r>
      <w:r>
        <w:t>2025/2085</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{20/10/2025}</w:t>
      </w:r>
      <w:r>
        <w:t>20.10.2025</w:t>
      </w:r>
      <w:r>
        <w:rPr>
          <w:rStyle w:val="HideTWBExt"/>
        </w:rPr>
        <w:t>&lt;/Date&gt;</w:t>
      </w:r>
    </w:p>
    <w:p>
      <w:pPr>
        <w:pStyle w:val="CoverDocType24a"/>
      </w:pPr>
      <w:r>
        <w:rPr>
          <w:rStyle w:val="HideTWBExt"/>
        </w:rPr>
        <w:t>&lt;TitreType&gt;</w:t>
      </w:r>
      <w:r>
        <w:t>LAUSUNTO</w:t>
      </w:r>
      <w:r>
        <w:rPr>
          <w:rStyle w:val="HideTWBExt"/>
        </w:rPr>
        <w:t>&lt;/TitreType&gt;</w:t>
      </w:r>
    </w:p>
    <w:p>
      <w:pPr>
        <w:pStyle w:val="CoverNormal24a"/>
      </w:pPr>
      <w:r>
        <w:rPr>
          <w:rStyle w:val="HideTWBExt"/>
        </w:rPr>
        <w:t>&lt;CommissionResp&gt;</w:t>
      </w:r>
      <w:r>
        <w:t>naisten oikeuksien ja sukupuolten tasa-arvon valiokunnalta</w:t>
      </w:r>
      <w:r>
        <w:rPr>
          <w:rStyle w:val="HideTWBExt"/>
        </w:rPr>
        <w:t>&lt;/CommissionResp&gt;</w:t>
      </w:r>
    </w:p>
    <w:p>
      <w:pPr>
        <w:pStyle w:val="CoverNormal24a"/>
      </w:pPr>
      <w:r>
        <w:rPr>
          <w:rStyle w:val="HideTWBExt"/>
        </w:rPr>
        <w:t>&lt;CommissionInt&gt;</w:t>
      </w:r>
      <w:r>
        <w:t>kehitysvaliokunnalle</w:t>
      </w:r>
      <w:r>
        <w:rPr>
          <w:rStyle w:val="HideTWBExt"/>
        </w:rPr>
        <w:t>&lt;/CommissionInt&gt;</w:t>
      </w:r>
    </w:p>
    <w:p>
      <w:pPr>
        <w:pStyle w:val="CoverNormal"/>
      </w:pPr>
      <w:r>
        <w:rPr>
          <w:rStyle w:val="HideTWBExt"/>
        </w:rPr>
        <w:t>&lt;Titre&gt;</w:t>
      </w:r>
      <w:r>
        <w:t>humanitaarisesta avusta monikriisin aikana – tehokkaampi ja kunnianhimoisempi reagointi humanitaarisiin kriiseihin periaatteidemme mukaisesti</w:t>
      </w:r>
      <w:r>
        <w:rPr>
          <w:rStyle w:val="HideTWBExt"/>
        </w:rPr>
        <w:t>&lt;/Titre&gt;</w:t>
      </w:r>
    </w:p>
    <w:p>
      <w:pPr>
        <w:pStyle w:val="CoverNormal24a"/>
      </w:pPr>
      <w:r>
        <w:rPr>
          <w:rStyle w:val="HideTWBExt"/>
        </w:rPr>
        <w:t>&lt;DocRef&gt;</w:t>
      </w:r>
      <w:r>
        <w:t>(2025/2085(INI))</w:t>
      </w:r>
      <w:r>
        <w:rPr>
          <w:rStyle w:val="HideTWBExt"/>
        </w:rPr>
        <w:t>&lt;/DocRef&gt;</w:t>
      </w:r>
    </w:p>
    <w:p>
      <w:pPr>
        <w:pStyle w:val="CoverNormal24a"/>
      </w:pPr>
      <w:r>
        <w:t>Valmistelija</w:t>
      </w:r>
      <w:r>
        <w:t xml:space="preserve">: </w:t>
      </w:r>
      <w:r>
        <w:rPr>
          <w:rStyle w:val="HideTWBExt"/>
        </w:rPr>
        <w:t>&lt;Depute&gt;</w:t>
      </w:r>
      <w:r>
        <w:t>Lina Gálvez</w:t>
      </w:r>
      <w:r>
        <w:rPr>
          <w:rStyle w:val="HideTWBExt"/>
        </w:rPr>
        <w:t>&lt;/Depute&gt;</w:t>
      </w:r>
    </w:p>
    <w:p>
      <w:r>
        <w:br w:type="page"/>
      </w:r>
      <w:r>
        <w:t>PA_NonLeg</w:t>
      </w:r>
    </w:p>
    <w:p>
      <w:pPr>
        <w:sectPr>
          <w:footerReference w:type="even" r:id="rId6"/>
          <w:footerReference w:type="default" r:id="rId7"/>
          <w:footerReference w:type="first" r:id="rId8"/>
          <w:footnotePr>
            <w:numRestart w:val="eachSect"/>
          </w:footnotePr>
          <w:pgSz w:w="11909" w:h="16834"/>
          <w:pgMar w:top="1134" w:right="1417" w:bottom="1417" w:left="1417" w:header="1134" w:footer="567"/>
          <w:cols w:space="720"/>
          <w:titlePg/>
        </w:sectPr>
      </w:pPr>
    </w:p>
    <w:p>
      <w:pPr>
        <w:pStyle w:val="PageHeadingNotTOC"/>
      </w:pPr>
      <w:r>
        <w:t>TARKISTUKSET</w:t>
      </w:r>
    </w:p>
    <w:p>
      <w:pPr>
        <w:pStyle w:val="Normal12a"/>
      </w:pPr>
      <w:r>
        <w:t>Naisten oikeuksien ja sukupuolten tasa-arvon valiokunta</w:t>
      </w:r>
      <w:r>
        <w:t xml:space="preserve"> </w:t>
      </w:r>
      <w:r>
        <w:t>esittää asiasta vastaavalle kehitysvaliokunnalle seuraavaa</w:t>
      </w:r>
      <w:r>
        <w:t>:</w:t>
      </w:r>
    </w:p>
    <w:p>
      <w:pPr>
        <w:pStyle w:val="AmNumberTabs"/>
      </w:pPr>
      <w:r>
        <w:rPr>
          <w:rStyle w:val="HideTWBExt"/>
        </w:rPr>
        <w:t>&lt;RepeatBlock-Amend&gt;</w:t>
      </w:r>
      <w:r>
        <w:rPr>
          <w:rStyle w:val="HideTWBExt"/>
        </w:rPr>
        <w:t>&lt;Amend&gt;</w:t>
      </w:r>
      <w:r>
        <w:t>Tarkistus</w:t>
      </w:r>
      <w:r>
        <w:tab/>
      </w:r>
      <w:r>
        <w:tab/>
      </w:r>
      <w:r>
        <w:rPr>
          <w:rStyle w:val="HideTWBExt"/>
        </w:rPr>
        <w:t>&lt;NumAm&gt;</w:t>
      </w:r>
      <w:r>
        <w:t>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2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vammaisten henkilöiden oikeuksia koskevan YK:n yleissopimuksen, jonka Euroopan unioni ja kaikki sen jäsenvaltiot ovat ratifioineet,</w:t>
            </w:r>
          </w:p>
        </w:tc>
      </w:tr>
    </w:tbl>
    <w:p>
      <w:r>
        <w:rPr>
          <w:rStyle w:val="HideTWBExt"/>
        </w:rPr>
        <w:t>&lt;/Amend&gt;</w:t>
      </w:r>
    </w:p>
    <w:p>
      <w:pPr>
        <w:pStyle w:val="AmNumberTabs"/>
      </w:pPr>
      <w:r>
        <w:rPr>
          <w:rStyle w:val="HideTWBExt"/>
        </w:rPr>
        <w:t>&lt;Amend&gt;</w:t>
      </w:r>
      <w:r>
        <w:t>Tarkistus</w:t>
      </w:r>
      <w:r>
        <w:tab/>
      </w:r>
      <w:r>
        <w:tab/>
      </w:r>
      <w:r>
        <w:rPr>
          <w:rStyle w:val="HideTWBExt"/>
        </w:rPr>
        <w:t>&lt;NumAm&gt;</w:t>
      </w:r>
      <w:r>
        <w:t>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5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sukupuolten tasa-arvon edistämistä koskevan kolmannen EU:n toimintasuunnitelman 2021–2025 (GAP III -suunnitelma),</w:t>
            </w:r>
          </w:p>
        </w:tc>
      </w:tr>
    </w:tbl>
    <w:p>
      <w:r>
        <w:rPr>
          <w:rStyle w:val="HideTWBExt"/>
        </w:rPr>
        <w:t>&lt;/Amend&gt;</w:t>
      </w:r>
    </w:p>
    <w:p>
      <w:pPr>
        <w:pStyle w:val="AmNumberTabs"/>
      </w:pPr>
      <w:r>
        <w:rPr>
          <w:rStyle w:val="HideTWBExt"/>
        </w:rPr>
        <w:t>&lt;Amend&gt;</w:t>
      </w:r>
      <w:r>
        <w:t>Tarkistus</w:t>
      </w:r>
      <w:r>
        <w:tab/>
      </w:r>
      <w:r>
        <w:tab/>
      </w:r>
      <w:r>
        <w:rPr>
          <w:rStyle w:val="HideTWBExt"/>
        </w:rPr>
        <w:t>&lt;NumAm&gt;</w:t>
      </w:r>
      <w:r>
        <w:t>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6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naisia, rauhaa ja turvallisuutta koskevan EU:n strategisen toimintamallin,</w:t>
            </w:r>
          </w:p>
        </w:tc>
      </w:tr>
    </w:tbl>
    <w:p>
      <w:r>
        <w:rPr>
          <w:rStyle w:val="HideTWBExt"/>
        </w:rPr>
        <w:t>&lt;/Amend&gt;</w:t>
      </w:r>
    </w:p>
    <w:p>
      <w:pPr>
        <w:pStyle w:val="AmNumberTabs"/>
      </w:pPr>
      <w:r>
        <w:rPr>
          <w:rStyle w:val="HideTWBExt"/>
        </w:rPr>
        <w:t>&lt;Amend&gt;</w:t>
      </w:r>
      <w:r>
        <w:t>Tarkistus</w:t>
      </w:r>
      <w:r>
        <w:tab/>
      </w:r>
      <w:r>
        <w:tab/>
      </w:r>
      <w:r>
        <w:rPr>
          <w:rStyle w:val="HideTWBExt"/>
        </w:rPr>
        <w:t>&lt;NumAm&gt;</w:t>
      </w:r>
      <w:r>
        <w:t>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6 b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Kairossa vuonna 1994 pidetyn kansainvälisen väestö- ja kehityskonferenssin (ICPD), sen toimintaohjelman sekä siihen liittyvien tarkistuskonferenssien tulokset,</w:t>
            </w:r>
          </w:p>
        </w:tc>
      </w:tr>
    </w:tbl>
    <w:p>
      <w:r>
        <w:rPr>
          <w:rStyle w:val="HideTWBExt"/>
        </w:rPr>
        <w:t>&lt;/Amend&gt;</w:t>
      </w:r>
    </w:p>
    <w:p>
      <w:pPr>
        <w:pStyle w:val="AmNumberTabs"/>
      </w:pPr>
      <w:r>
        <w:rPr>
          <w:rStyle w:val="HideTWBExt"/>
        </w:rPr>
        <w:t>&lt;Amend&gt;</w:t>
      </w:r>
      <w:r>
        <w:t>Tarkistus</w:t>
      </w:r>
      <w:r>
        <w:tab/>
      </w:r>
      <w:r>
        <w:tab/>
      </w:r>
      <w:r>
        <w:rPr>
          <w:rStyle w:val="HideTWBExt"/>
        </w:rPr>
        <w:t>&lt;NumAm&gt;</w:t>
      </w:r>
      <w:r>
        <w:t>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6 c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Pekingin toimintaohjelman ja siihen liittyvien tarkistuskonferenssien tulokset,</w:t>
            </w:r>
          </w:p>
        </w:tc>
      </w:tr>
    </w:tbl>
    <w:p>
      <w:r>
        <w:rPr>
          <w:rStyle w:val="HideTWBExt"/>
        </w:rPr>
        <w:t>&lt;/Amend&gt;</w:t>
      </w:r>
    </w:p>
    <w:p>
      <w:pPr>
        <w:pStyle w:val="AmNumberTabs"/>
      </w:pPr>
      <w:r>
        <w:rPr>
          <w:rStyle w:val="HideTWBExt"/>
        </w:rPr>
        <w:t>&lt;Amend&gt;</w:t>
      </w:r>
      <w:r>
        <w:t>Tarkistus</w:t>
      </w:r>
      <w:r>
        <w:tab/>
      </w:r>
      <w:r>
        <w:tab/>
      </w:r>
      <w:r>
        <w:rPr>
          <w:rStyle w:val="HideTWBExt"/>
        </w:rPr>
        <w:t>&lt;NumAm&gt;</w:t>
      </w:r>
      <w:r>
        <w:t>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6 d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10. joulukuuta 2018 annetut neuvoston päätelmät naisista, rauhasta ja turvallisuudesta,</w:t>
            </w:r>
          </w:p>
        </w:tc>
      </w:tr>
    </w:tbl>
    <w:p>
      <w:r>
        <w:rPr>
          <w:rStyle w:val="HideTWBExt"/>
        </w:rPr>
        <w:t>&lt;/Amend&gt;</w:t>
      </w:r>
    </w:p>
    <w:p>
      <w:pPr>
        <w:pStyle w:val="AmNumberTabs"/>
      </w:pPr>
      <w:r>
        <w:rPr>
          <w:rStyle w:val="HideTWBExt"/>
        </w:rPr>
        <w:t>&lt;Amend&gt;</w:t>
      </w:r>
      <w:r>
        <w:t>Tarkistus</w:t>
      </w:r>
      <w:r>
        <w:tab/>
      </w:r>
      <w:r>
        <w:tab/>
      </w:r>
      <w:r>
        <w:rPr>
          <w:rStyle w:val="HideTWBExt"/>
        </w:rPr>
        <w:t>&lt;NumAm&gt;</w:t>
      </w:r>
      <w:r>
        <w:t>7</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7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24. kesäkuuta 2021 antamansa päätöslauselman seksuaali- ja lisääntymisterveyden ja -oikeuksien tilanteesta EU:ssa naisten terveyden osalta</w:t>
            </w:r>
            <w:r>
              <w:rPr>
                <w:b/>
                <w:i/>
                <w:vertAlign w:val="superscript"/>
              </w:rPr>
              <w:t>1 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EUVL C 81, 18.2.2022, s. 43.</w:t>
            </w:r>
          </w:p>
        </w:tc>
      </w:tr>
    </w:tbl>
    <w:p>
      <w:r>
        <w:rPr>
          <w:rStyle w:val="HideTWBExt"/>
        </w:rPr>
        <w:t>&lt;/Amend&gt;</w:t>
      </w:r>
    </w:p>
    <w:p>
      <w:pPr>
        <w:pStyle w:val="AmNumberTabs"/>
      </w:pPr>
      <w:r>
        <w:rPr>
          <w:rStyle w:val="HideTWBExt"/>
        </w:rPr>
        <w:t>&lt;Amend&gt;</w:t>
      </w:r>
      <w:r>
        <w:t>Tarkistus</w:t>
      </w:r>
      <w:r>
        <w:tab/>
      </w:r>
      <w:r>
        <w:tab/>
      </w:r>
      <w:r>
        <w:rPr>
          <w:rStyle w:val="HideTWBExt"/>
        </w:rPr>
        <w:t>&lt;NumAm&gt;</w:t>
      </w:r>
      <w:r>
        <w:t>8</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9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YK:n turvallisuusneuvoston päätöslauselman 1325 naisista, rauhasta ja turvallisuudesta,</w:t>
            </w:r>
          </w:p>
        </w:tc>
      </w:tr>
    </w:tbl>
    <w:p>
      <w:r>
        <w:rPr>
          <w:rStyle w:val="HideTWBExt"/>
        </w:rPr>
        <w:t>&lt;/Amend&gt;</w:t>
      </w:r>
    </w:p>
    <w:p>
      <w:pPr>
        <w:pStyle w:val="AmNumberTabs"/>
      </w:pPr>
      <w:r>
        <w:rPr>
          <w:rStyle w:val="HideTWBExt"/>
        </w:rPr>
        <w:t>&lt;Amend&gt;</w:t>
      </w:r>
      <w:r>
        <w:t>Tarkistus</w:t>
      </w:r>
      <w:r>
        <w:tab/>
      </w:r>
      <w:r>
        <w:tab/>
      </w:r>
      <w:r>
        <w:rPr>
          <w:rStyle w:val="HideTWBExt"/>
        </w:rPr>
        <w:t>&lt;NumAm&gt;</w:t>
      </w:r>
      <w:r>
        <w:t>9</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19 a viite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ottaa huomioon 29. marraskuuta 2018 antamansa päätöslauselman vammaisten naisten tilanteesta</w:t>
            </w:r>
            <w:r>
              <w:rPr>
                <w:b/>
                <w:i/>
                <w:vertAlign w:val="superscript"/>
              </w:rPr>
              <w:t>1 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EUVL C 363, 28.10.2020, s. 164.</w:t>
            </w:r>
          </w:p>
        </w:tc>
      </w:tr>
    </w:tbl>
    <w:p>
      <w:r>
        <w:rPr>
          <w:rStyle w:val="HideTWBExt"/>
        </w:rPr>
        <w:t>&lt;/Amend&gt;</w:t>
      </w:r>
    </w:p>
    <w:p>
      <w:pPr>
        <w:pStyle w:val="AmNumberTabs"/>
      </w:pPr>
      <w:r>
        <w:rPr>
          <w:rStyle w:val="HideTWBExt"/>
        </w:rPr>
        <w:t>&lt;Amend&gt;</w:t>
      </w:r>
      <w:r>
        <w:t>Tarkistus</w:t>
      </w:r>
      <w:r>
        <w:tab/>
      </w:r>
      <w:r>
        <w:tab/>
      </w:r>
      <w:r>
        <w:rPr>
          <w:rStyle w:val="HideTWBExt"/>
        </w:rPr>
        <w:t>&lt;NumAm&gt;</w:t>
      </w:r>
      <w:r>
        <w:t>10</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ottaa huomioon, että yhteiskunnat, joissa sukupuolten tasa-arvo toteutuu, ovat kaikille terveellisempiä, turvallisempia, oikeudenmukaisempia ja vauraampia; ottaa huomioon, että sukupuolten tasa-arvo ja naisten yhtäläisten oikeuksien saavuttaminen ovat demokratian ja oikeusvaltioperiaatteen ylläpitämisen edellytyksiä;</w:t>
            </w:r>
          </w:p>
        </w:tc>
      </w:tr>
    </w:tbl>
    <w:p>
      <w:r>
        <w:rPr>
          <w:rStyle w:val="HideTWBExt"/>
        </w:rPr>
        <w:t>&lt;/Amend&gt;</w:t>
      </w:r>
    </w:p>
    <w:p>
      <w:pPr>
        <w:pStyle w:val="AmNumberTabs"/>
      </w:pPr>
      <w:r>
        <w:rPr>
          <w:rStyle w:val="HideTWBExt"/>
        </w:rPr>
        <w:t>&lt;Amend&gt;</w:t>
      </w:r>
      <w:r>
        <w:t>Tarkistus</w:t>
      </w:r>
      <w:r>
        <w:tab/>
      </w:r>
      <w:r>
        <w:tab/>
      </w:r>
      <w:r>
        <w:rPr>
          <w:rStyle w:val="HideTWBExt"/>
        </w:rPr>
        <w:t>&lt;NumAm&gt;</w:t>
      </w:r>
      <w:r>
        <w:t>11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A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a.</w:t>
            </w:r>
            <w:r>
              <w:tab/>
            </w:r>
            <w:r>
              <w:rPr>
                <w:b/>
                <w:i/>
              </w:rPr>
              <w:t>ottaa huomioon, että humanitaarisissa kriisitilanteissa elävät naiset ja tytöt kohtaavat vaikeaa sukupuolten epätasa-arvoa, johon liittyy resurssien, kuten ruoan, rajallinen saatavuus ja koulutuksen, työn ja terveyspalvelujen puute, mukaan lukien toteutumatta jäävät seksuaali- ja lisääntymisterveysoikeudet, ja heihin kohdistuu kasvanut sukupuolistuneen ja lisääntymiseen liittyvän väkivallan uhka; toteaa, että tällaisissa olosuhteissa eläminen lisää myös lasten haavoittuvuutta; ottaa huomioon, että humanitaarisissa kriisitilanteissa vammaisiin naisiin kohdistuu suurempi syrjäytymisen, syrjinnän ja väkivallan riski;</w:t>
            </w:r>
          </w:p>
        </w:tc>
      </w:tr>
    </w:tbl>
    <w:p>
      <w:r>
        <w:rPr>
          <w:rStyle w:val="HideTWBExt"/>
        </w:rPr>
        <w:t>&lt;/Amend&gt;</w:t>
      </w:r>
    </w:p>
    <w:p>
      <w:pPr>
        <w:pStyle w:val="AmNumberTabs"/>
      </w:pPr>
      <w:r>
        <w:rPr>
          <w:rStyle w:val="HideTWBExt"/>
        </w:rPr>
        <w:t>&lt;Amend&gt;</w:t>
      </w:r>
      <w:r>
        <w:t>Tarkistus</w:t>
      </w:r>
      <w:r>
        <w:tab/>
      </w:r>
      <w:r>
        <w:tab/>
      </w:r>
      <w:r>
        <w:rPr>
          <w:rStyle w:val="HideTWBExt"/>
        </w:rPr>
        <w:t>&lt;NumAm&gt;</w:t>
      </w:r>
      <w:r>
        <w:t>12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A b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w:t>
            </w:r>
            <w:r>
              <w:tab/>
            </w:r>
            <w:r>
              <w:rPr>
                <w:b/>
                <w:i/>
              </w:rPr>
              <w:t>ottaa huomioon, että Afganistanin jo ennestään äärirajoilla oleviin humanitaarisiin resursseihin kohdistuu nykytilanteessa lisäpainetta, joka vaikeuttaa miljoonien selviytymiskamppailua käyvien ihmisten heidän joukossaan myös naisten ja tyttöjen, ahdinkoa;</w:t>
            </w:r>
          </w:p>
        </w:tc>
      </w:tr>
    </w:tbl>
    <w:p>
      <w:r>
        <w:rPr>
          <w:rStyle w:val="HideTWBExt"/>
        </w:rPr>
        <w:t>&lt;/Amend&gt;</w:t>
      </w:r>
    </w:p>
    <w:p>
      <w:pPr>
        <w:pStyle w:val="AmNumberTabs"/>
      </w:pPr>
      <w:r>
        <w:rPr>
          <w:rStyle w:val="HideTWBExt"/>
        </w:rPr>
        <w:t>&lt;Amend&gt;</w:t>
      </w:r>
      <w:r>
        <w:t>Tarkistus</w:t>
      </w:r>
      <w:r>
        <w:tab/>
      </w:r>
      <w:r>
        <w:tab/>
      </w:r>
      <w:r>
        <w:rPr>
          <w:rStyle w:val="HideTWBExt"/>
        </w:rPr>
        <w:t>&lt;NumAm&gt;</w:t>
      </w:r>
      <w:r>
        <w:t>13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B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ottaa huomioon, että humanitaarinen järjestelmä kärsii mittavasta rahoituskriisistä; ottaa huomioon, että Yhdysvaltain kansainvälisen kehitysyhteistyöviraston (USAID) ohjelmien</w:t>
            </w:r>
            <w:r>
              <w:rPr>
                <w:vertAlign w:val="superscript"/>
              </w:rPr>
              <w:t>6</w:t>
            </w:r>
            <w:r>
              <w:t xml:space="preserve"> lakkauttaminen ja muiden keskeisten avunantajien, kuten useiden EU:n jäsenvaltioiden, ulkomaanapuun tekemät leikkaukset ovat johtaneet humanitaaristen sekä </w:t>
            </w:r>
            <w:r>
              <w:t>terveys- ja ilmastoaloitteiden</w:t>
            </w:r>
            <w:r>
              <w:t xml:space="preserve"> saaman kokonaisrahoituksen vähenemiseen ennennäkemättömässä mittakaavassa; toteaa, että näillä leikkauksilla on tuhoisa vaikutus terveystilanteeseen kaikkialla maailmassa, koska ne lisäävät entisestään tartuntatautiepidemioiden riskiä, ja </w:t>
            </w:r>
            <w:r>
              <w:rPr>
                <w:b/>
                <w:i/>
              </w:rPr>
              <w:t>ruokaturvaan</w:t>
            </w:r>
            <w:r>
              <w:t>; ottaa huomioon, että nämä leikkaukset vaikuttavat suhteettoman paljon naisiin ja tyttöihin ja lisäävät pakolaisten turvallisuuteen ja hyvinvointiin kohdistuvia riskejä;</w:t>
            </w:r>
          </w:p>
        </w:tc>
        <w:tc>
          <w:tcPr>
            <w:tcW w:w="4876" w:type="dxa"/>
            <w:tcBorders>
              <w:top w:val="nil"/>
              <w:left w:val="nil"/>
              <w:bottom w:val="nil"/>
              <w:right w:val="nil"/>
            </w:tcBorders>
          </w:tcPr>
          <w:p>
            <w:pPr>
              <w:pStyle w:val="Normal6a"/>
            </w:pPr>
            <w:r>
              <w:t>B.</w:t>
            </w:r>
            <w:r>
              <w:tab/>
            </w:r>
            <w:r>
              <w:t>ottaa huomioon, että humanitaarinen järjestelmä kärsii mittavasta rahoituskriisistä; ottaa huomioon, että Yhdysvaltain kansainvälisen kehitysyhteistyöviraston (USAID) ohjelmien</w:t>
            </w:r>
            <w:r>
              <w:rPr>
                <w:vertAlign w:val="superscript"/>
              </w:rPr>
              <w:t>6</w:t>
            </w:r>
            <w:r>
              <w:t xml:space="preserve"> lakkauttaminen ja muiden keskeisten avunantajien, kuten useiden EU:n jäsenvaltioiden, ulkomaanapuun tekemät leikkaukset ovat johtaneet humanitaaristen sekä </w:t>
            </w:r>
            <w:r>
              <w:rPr>
                <w:b/>
                <w:i/>
              </w:rPr>
              <w:t xml:space="preserve">terveyttä, </w:t>
            </w:r>
            <w:r>
              <w:rPr>
                <w:b/>
                <w:i/>
              </w:rPr>
              <w:t>sukupuolten tasa-arvoa ja ilmastoa koskevien aloitteiden</w:t>
            </w:r>
            <w:r>
              <w:t xml:space="preserve"> saaman kokonaisrahoituksen vähenemiseen ennennäkemättömässä mittakaavassa;</w:t>
            </w:r>
            <w:r>
              <w:rPr>
                <w:b/>
                <w:i/>
              </w:rPr>
              <w:t xml:space="preserve"> </w:t>
            </w:r>
            <w:r>
              <w:t>toteaa, että</w:t>
            </w:r>
            <w:r>
              <w:rPr>
                <w:b/>
                <w:i/>
              </w:rPr>
              <w:t xml:space="preserve"> humanitaarisen avun leikkaukset vain pahentavat humanitaarisia kriisejä;</w:t>
            </w:r>
            <w:r>
              <w:t xml:space="preserve"> </w:t>
            </w:r>
            <w:r>
              <w:rPr>
                <w:b/>
                <w:i/>
              </w:rPr>
              <w:t>toteaa, että</w:t>
            </w:r>
            <w:r>
              <w:t xml:space="preserve"> näillä leikkauksilla on tuhoisa vaikutus terveystilanteeseen </w:t>
            </w:r>
            <w:r>
              <w:rPr>
                <w:b/>
                <w:i/>
              </w:rPr>
              <w:t xml:space="preserve">ja </w:t>
            </w:r>
            <w:r>
              <w:rPr>
                <w:b/>
                <w:i/>
              </w:rPr>
              <w:t>ruokaturvaan</w:t>
            </w:r>
            <w:r>
              <w:t xml:space="preserve"> kaikkialla maailmassa, koska ne lisäävät entisestään tartuntatautiepidemioiden riskiä, </w:t>
            </w:r>
            <w:r>
              <w:rPr>
                <w:b/>
                <w:i/>
              </w:rPr>
              <w:t>ei-toivottuja</w:t>
            </w:r>
            <w:r>
              <w:t xml:space="preserve"> ja </w:t>
            </w:r>
            <w:r>
              <w:rPr>
                <w:b/>
                <w:i/>
              </w:rPr>
              <w:t>alaikäisten raskauksia, äitiyskuolemia ja äitien sairastavuutta</w:t>
            </w:r>
            <w:r>
              <w:t xml:space="preserve">; ottaa huomioon, että nämä leikkaukset vaikuttavat suhteettoman paljon naisiin ja tyttöihin </w:t>
            </w:r>
            <w:r>
              <w:rPr>
                <w:b/>
                <w:i/>
              </w:rPr>
              <w:t>sekä hlbtiq+ -henkilöihin</w:t>
            </w:r>
            <w:r>
              <w:t xml:space="preserve"> ja lisäävät pakolaisten turvallisuuteen ja hyvinvointiin kohdistuvia riskejä;</w:t>
            </w:r>
            <w:r>
              <w:rPr>
                <w:b/>
                <w:i/>
              </w:rPr>
              <w:t xml:space="preserve"> ottaa huomioon, että Yhdysvaltojen rahoituksen jäädyttäminen on häirinnyt vakavasti humanitaarista toimintaa, estänyt hankkeiden täytäntöönpanoa, henkilöstön palkkausta ja mahdollisuuksia tukea naisia ja tyttöjä ja vaikuttanut erityisen kielteisesti naisten osallistumiseen humanitaariseen toimintaan; ottaa huomioon, että investoinnit sukupuolten tasa-arvoon pelastavat henkiä humanitaarisissa kriisitilanteissa; </w:t>
            </w:r>
            <w:r>
              <w:rPr>
                <w:b/>
                <w:i/>
              </w:rPr>
              <w:t>toteaa, että on olemassa näyttöä siitä, että sukupuoliresponsiivinen humanitaarisen avun ohjelmasuunnittelu on kannattavaa, koska jokainen investoitu Yhdysvaltain dollari tuottaa kahdeksan dollaria</w:t>
            </w:r>
            <w:r>
              <w:rPr>
                <w:b/>
                <w:i/>
                <w:vertAlign w:val="superscript"/>
              </w:rPr>
              <w:t>6 a</w:t>
            </w:r>
            <w:r>
              <w:rPr>
                <w:b/>
                <w:i/>
              </w:rPr>
              <w:t>;</w:t>
            </w:r>
            <w:r>
              <w:rPr>
                <w:b/>
                <w:i/>
              </w:rPr>
              <w:t xml:space="preserve"> ottaa huomioon, että komission vuonna 2022 hyväksymässä uudessa EU:n globaalissa terveysstrategiassa globaali terveys on EU:n ulkopolitiikan keskeinen pilari ja Global Gateway ‑strategian investointiprioriteetti;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Valkoinen talo, ”Reevaluating and Realigning United States Foreign Aid”, 20. tammikuuta 2025.</w:t>
            </w:r>
          </w:p>
        </w:tc>
        <w:tc>
          <w:tcPr>
            <w:tcW w:w="4876" w:type="dxa"/>
            <w:tcBorders>
              <w:top w:val="nil"/>
              <w:left w:val="nil"/>
              <w:bottom w:val="nil"/>
              <w:right w:val="nil"/>
            </w:tcBorders>
          </w:tcPr>
          <w:p>
            <w:pPr>
              <w:pStyle w:val="Normal6a"/>
            </w:pPr>
            <w:r>
              <w:rPr>
                <w:vertAlign w:val="superscript"/>
              </w:rPr>
              <w:t>6</w:t>
            </w:r>
            <w:r>
              <w:t xml:space="preserve"> </w:t>
            </w:r>
            <w:r>
              <w:t>Valkoinen talo, ”Reevaluating and Realigning United States Foreign Aid”, 20. tammikuuta 2025.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6 a</w:t>
            </w:r>
            <w:r>
              <w:t xml:space="preserve"> </w:t>
            </w:r>
            <w:r>
              <w:rPr>
                <w:b/>
                <w:i/>
              </w:rPr>
              <w:t>https://www.unwomen.org/en/articles/facts-and-figures/facts-and-figures-humanitarian-action.</w:t>
            </w:r>
          </w:p>
        </w:tc>
      </w:tr>
    </w:tbl>
    <w:p>
      <w:r>
        <w:rPr>
          <w:rStyle w:val="HideTWBExt"/>
        </w:rPr>
        <w:t>&lt;/Amend&gt;</w:t>
      </w:r>
    </w:p>
    <w:p>
      <w:pPr>
        <w:pStyle w:val="AmNumberTabs"/>
      </w:pPr>
      <w:r>
        <w:rPr>
          <w:rStyle w:val="HideTWBExt"/>
        </w:rPr>
        <w:t>&lt;Amend&gt;</w:t>
      </w:r>
      <w:r>
        <w:t>Tarkistus</w:t>
      </w:r>
      <w:r>
        <w:tab/>
      </w:r>
      <w:r>
        <w:tab/>
      </w:r>
      <w:r>
        <w:rPr>
          <w:rStyle w:val="HideTWBExt"/>
        </w:rPr>
        <w:t>&lt;NumAm&gt;</w:t>
      </w:r>
      <w:r>
        <w:t>14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B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a.</w:t>
            </w:r>
            <w:r>
              <w:tab/>
            </w:r>
            <w:r>
              <w:rPr>
                <w:b/>
                <w:i/>
              </w:rPr>
              <w:t>toteaa, että humanitaarisen avun toimittamiseen on kattavia järjestelmiä EU:n ja kansainvälisellä tasolla; ottaa huomioon, että käytössä olevasta sukupuoliresponsiivisesta humanitaarisesta avusta huolimatta priorisointiin liittyy silti monia kasvavia haasteita; toteaa, että monikriisillä tarkoitetaan monimutkaisia ja yhtäaikaisia toisiinsa liittyviä kriisejä</w:t>
            </w:r>
            <w:r>
              <w:rPr>
                <w:b/>
                <w:i/>
                <w:vertAlign w:val="superscript"/>
              </w:rPr>
              <w:t>1 a</w:t>
            </w:r>
            <w:r>
              <w:rPr>
                <w:b/>
                <w:i/>
              </w:rPr>
              <w:t>;</w:t>
            </w:r>
            <w:r>
              <w:rPr>
                <w:b/>
                <w:i/>
              </w:rPr>
              <w:t xml:space="preserve"> ottaa huomioon, että naiset, tytöt ja hlbtiq+ -henkilöt kaikkialla maailmassa sekä erityisissä yhteyksissä myös muuttajat ja pakolaiset kärsivät suhteettoman paljon seurauksista, joita aiheuttavat köyhyys, humanitaariset kriisit, ilmastonmuutos, konfliktit, sodat, ääriliikkeet, terrorismi ja konflikteihin liittyvä seksuaalinen väkivalta, mukaan lukien raiskaukset sodankäynnin välineenä, sekä seksuaalinen hyväksikäyttö, sukupuolitaudit, ei-toivotut raskaudet ja kriittisten resurssien – esimerkiksi turvallisen majoituksen, ravinnon ja veden – rajattu saatavuus, ja he joutuvat myös todennäköisemmin kohtaamaan ihmisoikeusloukkauksia, joista ei kansalaisjärjestöjen raporttien mukaan välttämättä edes seuraa rangaistuksia; toteaa, että naisten sukuelinten silpomista koskeva käytäntö on edelleen vakava huolenaihe erityisesti monikriisin yhteydessä, koska se vahvistaa naisten ja tyttöjen haavoittuvuuksia, ja siihen on vastattava osoittamalla uhreille horjumatonta solidaarisuutta; katsoo, että monikriisin aikana on tärkeää tarjota kohdennettua humanitaarista apua naisille ja tytöille, suojella heitä ja varmistaa heidän selviytymisensä, mihin sisältyvät suojelu sukupuolistuneelta väkivallalta, yleinen riskien pienentäminen, terveydenhuollon, palvelujen ja toimeentulon tuen saatavuuden varmistaminen ja osallistuminen sosiaaliseen elämään ja päätöksentekoon;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https://policy-lab.ec.europa.eu/news/unraveling-polycrisis-foresight-and-innovation-2025-03-26_en.</w:t>
            </w:r>
          </w:p>
        </w:tc>
      </w:tr>
    </w:tbl>
    <w:p>
      <w:r>
        <w:rPr>
          <w:rStyle w:val="HideTWBExt"/>
        </w:rPr>
        <w:t>&lt;/Amend&gt;</w:t>
      </w:r>
    </w:p>
    <w:p>
      <w:pPr>
        <w:pStyle w:val="AmNumberTabs"/>
      </w:pPr>
      <w:r>
        <w:rPr>
          <w:rStyle w:val="HideTWBExt"/>
        </w:rPr>
        <w:t>&lt;Amend&gt;</w:t>
      </w:r>
      <w:r>
        <w:t>Tarkistus</w:t>
      </w:r>
      <w:r>
        <w:tab/>
      </w:r>
      <w:r>
        <w:tab/>
      </w:r>
      <w:r>
        <w:rPr>
          <w:rStyle w:val="HideTWBExt"/>
        </w:rPr>
        <w:t>&lt;NumAm&gt;</w:t>
      </w:r>
      <w:r>
        <w:t>15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B b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w:t>
            </w:r>
            <w:r>
              <w:tab/>
            </w:r>
            <w:r>
              <w:rPr>
                <w:b/>
                <w:i/>
              </w:rPr>
              <w:t>ottaa huomioon, että ulkomaanavun ja humanitaarisen avun leikkauksilla on tuhoisia vaikutuksia maailmanlaajuiseen terveyteen, sukupuolten tasa-arvoon ja ihmisoikeuksiin; ottaa huomioon, että paikalliset ja kansalliset naisjohtoiset ja naisten oikeuksia edistävät järjestöt kärsivät seurauksista vakavimmin, koska ne ovat keskeisiä toimijoita kriisitilanteissa ja niihin kohdistuu tukahduttamistoimia, väkivaltaa ja lisääntyviä rajoituksia eri puolilla maailmaa; ottaa huomioon, että samaan aikaan nämä leikkaukset vaikuttavat suhteettoman paljon naisiin, tyttöihin, vammaisiin henkilöihin sekä maaseutualueiden ja syrjäisten alueiden asukkaisiin, mikä syventää nykyistä eriarvoisuutta entisestään ja vaikeuttaa heidän pääsyään terveyspalvelujen, turvallisen majoituksen ja perusinfrastruktuurin piiriin; toteaa, että nämä leikkaukset kohdistuvat pääasiassa seksuaaliterveyteen liittyviin hankkeisiin ja vaikuttavat näin suhteettomasti syrjäytyneisiin ryhmiin, erityisesti naisiin ja tyttöihin, ja lisäävät näin muun muassa riskiä tartuntatautiepidemioiden puhkeamisesta, joista merkittävin on maailmanlaajuisen HIV-kriisin uusiutumisen uhka; ottaa huomioon, että Yhdysvalloissa on otettu uudelleen käyttöön Mexico City Policy -sääntö eli niin kutsuttu suukapulasääntö, mikä heikentää merkittävästi seksuaali- ja lisääntymisterveyttä ja -oikeuksia eri puolilla maailmaa ja vaikuttaa miljooniin ihmisiin, erityisesti syrjäytyneessä asemassa oleviin; ottaa huomioon, että edellisen voimassaolokautensa aikana (vuosina 2017–2021) suukapulasäännöstä seurasi noin 108 000 äitiys- ja lapsikuolemaa ja 360 000 uutta HIV-tartuntaa</w:t>
            </w:r>
            <w:r>
              <w:rPr>
                <w:b/>
                <w:i/>
                <w:vertAlign w:val="superscript"/>
              </w:rPr>
              <w:t>1 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https://www.pnas.org/doi/full/10.1073/pnas.2123177119.</w:t>
            </w:r>
          </w:p>
        </w:tc>
      </w:tr>
    </w:tbl>
    <w:p>
      <w:r>
        <w:rPr>
          <w:rStyle w:val="HideTWBExt"/>
        </w:rPr>
        <w:t>&lt;/Amend&gt;</w:t>
      </w:r>
    </w:p>
    <w:p>
      <w:pPr>
        <w:pStyle w:val="AmNumberTabs"/>
      </w:pPr>
      <w:r>
        <w:rPr>
          <w:rStyle w:val="HideTWBExt"/>
        </w:rPr>
        <w:t>&lt;Amend&gt;</w:t>
      </w:r>
      <w:r>
        <w:t>Tarkistus</w:t>
      </w:r>
      <w:r>
        <w:tab/>
      </w:r>
      <w:r>
        <w:tab/>
      </w:r>
      <w:r>
        <w:rPr>
          <w:rStyle w:val="HideTWBExt"/>
        </w:rPr>
        <w:t>&lt;NumAm&gt;</w:t>
      </w:r>
      <w:r>
        <w:t>16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B c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c.</w:t>
            </w:r>
            <w:r>
              <w:tab/>
            </w:r>
            <w:r>
              <w:rPr>
                <w:b/>
                <w:i/>
              </w:rPr>
              <w:t>ottaa huomioon, että naisiin kohdistuva väkivalta on kaikissa muodoissaan (fyysinen, seksuaalinen, psykologinen, taloudellinen tai verkkoväkivalta) ihmisoikeusloukkaus, naisiin kohdistuvan syrjinnän äärimmäinen muoto ja yksi pääasiallisista esteistä sukupuolten tasa-arvon saavuttamiselle;</w:t>
            </w:r>
          </w:p>
        </w:tc>
      </w:tr>
    </w:tbl>
    <w:p>
      <w:r>
        <w:rPr>
          <w:rStyle w:val="HideTWBExt"/>
        </w:rPr>
        <w:t>&lt;/Amend&gt;</w:t>
      </w:r>
    </w:p>
    <w:p>
      <w:pPr>
        <w:pStyle w:val="AmNumberTabs"/>
      </w:pPr>
      <w:r>
        <w:rPr>
          <w:rStyle w:val="HideTWBExt"/>
        </w:rPr>
        <w:t>&lt;Amend&gt;</w:t>
      </w:r>
      <w:r>
        <w:t>Tarkistus</w:t>
      </w:r>
      <w:r>
        <w:tab/>
      </w:r>
      <w:r>
        <w:tab/>
      </w:r>
      <w:r>
        <w:rPr>
          <w:rStyle w:val="HideTWBExt"/>
        </w:rPr>
        <w:t>&lt;NumAm&gt;</w:t>
      </w:r>
      <w:r>
        <w:t>17</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B d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d.</w:t>
            </w:r>
            <w:r>
              <w:tab/>
            </w:r>
            <w:r>
              <w:rPr>
                <w:b/>
                <w:i/>
              </w:rPr>
              <w:t>katsoo, että naiset ja hlbtiq+ -henkilöt, jotka kohtaavat moninkertaista ja päällekkäisiä syrjintää rodun, vammaisuuden, muuttaja-aseman, sukupuoli-identiteetin, seksuaalisen suuntautumisen tai sosiaalisen ja taloudellisen taustansa perusteella, jäävät usein huomiotta humanitaarisissa toimissa ja ovat alttiimpia väkivallalle ja syrjäytymiselle;</w:t>
            </w:r>
          </w:p>
        </w:tc>
      </w:tr>
    </w:tbl>
    <w:p>
      <w:r>
        <w:rPr>
          <w:rStyle w:val="HideTWBExt"/>
        </w:rPr>
        <w:t>&lt;/Amend&gt;</w:t>
      </w:r>
    </w:p>
    <w:p>
      <w:pPr>
        <w:pStyle w:val="AmNumberTabs"/>
      </w:pPr>
      <w:r>
        <w:rPr>
          <w:rStyle w:val="HideTWBExt"/>
        </w:rPr>
        <w:t>&lt;Amend&gt;</w:t>
      </w:r>
      <w:r>
        <w:t>Tarkistus</w:t>
      </w:r>
      <w:r>
        <w:tab/>
      </w:r>
      <w:r>
        <w:tab/>
      </w:r>
      <w:r>
        <w:rPr>
          <w:rStyle w:val="HideTWBExt"/>
        </w:rPr>
        <w:t>&lt;NumAm&gt;</w:t>
      </w:r>
      <w:r>
        <w:t>18</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B e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e.</w:t>
            </w:r>
            <w:r>
              <w:tab/>
            </w:r>
            <w:r>
              <w:rPr>
                <w:b/>
                <w:i/>
              </w:rPr>
              <w:t>ottaa huomioon, että sukupuolten tasa-arvoa vastustavat liikkeet hyödyntävät yhä useammin humanitaarisia kriisejä heikentääkseen sukupuolten tasa-arvoa ja horjuttaakseen naisjärjestöjen laillista asemaa, myös EU:n kumppanimaissa;</w:t>
            </w:r>
          </w:p>
        </w:tc>
      </w:tr>
    </w:tbl>
    <w:p>
      <w:r>
        <w:rPr>
          <w:rStyle w:val="HideTWBExt"/>
        </w:rPr>
        <w:t>&lt;/Amend&gt;</w:t>
      </w:r>
    </w:p>
    <w:p>
      <w:pPr>
        <w:pStyle w:val="AmNumberTabs"/>
      </w:pPr>
      <w:r>
        <w:rPr>
          <w:rStyle w:val="HideTWBExt"/>
        </w:rPr>
        <w:t>&lt;Amend&gt;</w:t>
      </w:r>
      <w:r>
        <w:t>Tarkistus</w:t>
      </w:r>
      <w:r>
        <w:tab/>
      </w:r>
      <w:r>
        <w:tab/>
      </w:r>
      <w:r>
        <w:rPr>
          <w:rStyle w:val="HideTWBExt"/>
        </w:rPr>
        <w:t>&lt;NumAm&gt;</w:t>
      </w:r>
      <w:r>
        <w:t>19</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B f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f.</w:t>
            </w:r>
            <w:r>
              <w:tab/>
            </w:r>
            <w:r>
              <w:rPr>
                <w:b/>
                <w:i/>
              </w:rPr>
              <w:t>toteaa, että YK:n mukaan vuonna 2023 yli 600 miljoonaa naista ja tyttöä asui 50 kilometrin säteellä konfliktialueesta ja että tämä luku on yli 50 prosenttia suurempi kuin vuosikymmen aikaisemmin;</w:t>
            </w:r>
          </w:p>
        </w:tc>
      </w:tr>
    </w:tbl>
    <w:p>
      <w:r>
        <w:rPr>
          <w:rStyle w:val="HideTWBExt"/>
        </w:rPr>
        <w:t>&lt;/Amend&gt;</w:t>
      </w:r>
    </w:p>
    <w:p>
      <w:pPr>
        <w:pStyle w:val="AmNumberTabs"/>
      </w:pPr>
      <w:r>
        <w:rPr>
          <w:rStyle w:val="HideTWBExt"/>
        </w:rPr>
        <w:t>&lt;Amend&gt;</w:t>
      </w:r>
      <w:r>
        <w:t>Tarkistus</w:t>
      </w:r>
      <w:r>
        <w:tab/>
      </w:r>
      <w:r>
        <w:tab/>
      </w:r>
      <w:r>
        <w:rPr>
          <w:rStyle w:val="HideTWBExt"/>
        </w:rPr>
        <w:t>&lt;NumAm&gt;</w:t>
      </w:r>
      <w:r>
        <w:t>20</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B g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g.</w:t>
            </w:r>
            <w:r>
              <w:tab/>
            </w:r>
            <w:r>
              <w:rPr>
                <w:b/>
                <w:i/>
              </w:rPr>
              <w:t>ottaa huomioon, että fyysinen esteellisyys, kuten turvallisten kuljetusten ja infrastruktuurin puute, rajoittaa merkittävästi naisten ja tyttöjen mahdollisuuksia saada humanitaarista apua, terveydenhuoltoa ja suojelua;</w:t>
            </w:r>
          </w:p>
        </w:tc>
      </w:tr>
    </w:tbl>
    <w:p>
      <w:r>
        <w:rPr>
          <w:rStyle w:val="HideTWBExt"/>
        </w:rPr>
        <w:t>&lt;/Amend&gt;</w:t>
      </w:r>
    </w:p>
    <w:p>
      <w:pPr>
        <w:pStyle w:val="AmNumberTabs"/>
      </w:pPr>
      <w:r>
        <w:rPr>
          <w:rStyle w:val="HideTWBExt"/>
        </w:rPr>
        <w:t>&lt;Amend&gt;</w:t>
      </w:r>
      <w:r>
        <w:t>Tarkistus</w:t>
      </w:r>
      <w:r>
        <w:tab/>
      </w:r>
      <w:r>
        <w:tab/>
      </w:r>
      <w:r>
        <w:rPr>
          <w:rStyle w:val="HideTWBExt"/>
        </w:rPr>
        <w:t>&lt;NumAm&gt;</w:t>
      </w:r>
      <w:r>
        <w:t>21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C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ottaa huomioon, että humanitaarisia tarpeita ovat kasvattaneet ennen kaikkea konfliktit ja ilmastonmuutos, jotka kummatkin ovat ihmisen toiminnan aiheuttamia ja pysäytettävissä yhtenäisillä ja yhteisillä toimilla; ottaa huomioon, että ilmastonmuutos ja ympäristön tilan heikkeneminen lisäävät epävakautta ja konflikteja, ilmastoon liittyviä uhkia, luonnonkatastrofeja, maan sisäistä pakolaisuutta ja pakkomuuttoa sekä pahentavat resurssien niukkuutta, kuten vesi- ja ruokaturvattomuutta;</w:t>
            </w:r>
          </w:p>
        </w:tc>
        <w:tc>
          <w:tcPr>
            <w:tcW w:w="4876" w:type="dxa"/>
            <w:tcBorders>
              <w:top w:val="nil"/>
              <w:left w:val="nil"/>
              <w:bottom w:val="nil"/>
              <w:right w:val="nil"/>
            </w:tcBorders>
          </w:tcPr>
          <w:p>
            <w:pPr>
              <w:pStyle w:val="Normal6a"/>
            </w:pPr>
            <w:r>
              <w:t>C.</w:t>
            </w:r>
            <w:r>
              <w:tab/>
            </w:r>
            <w:r>
              <w:t xml:space="preserve">ottaa huomioon, että humanitaarisia tarpeita ovat kasvattaneet ennen kaikkea konfliktit ja ilmastonmuutos, jotka kummatkin ovat ihmisen toiminnan aiheuttamia ja pysäytettävissä yhtenäisillä ja yhteisillä toimilla, </w:t>
            </w:r>
            <w:r>
              <w:rPr>
                <w:b/>
                <w:i/>
              </w:rPr>
              <w:t>ja niillä on suurempi vaikutus köyhimpiin maihin ja väestöryhmiin</w:t>
            </w:r>
            <w:r>
              <w:t>; ottaa huomioon, että ilmastonmuutos</w:t>
            </w:r>
            <w:r>
              <w:rPr>
                <w:b/>
                <w:i/>
              </w:rPr>
              <w:t>, biodiversiteetin köyhtyminen</w:t>
            </w:r>
            <w:r>
              <w:t xml:space="preserve"> ja ympäristön tilan heikkeneminen lisäävät epävakautta ja konflikteja, ilmastoon liittyviä uhkia, luonnonkatastrofeja, maan sisäistä pakolaisuutta ja pakkomuuttoa sekä pahentavat resurssien niukkuutta, kuten vesi- ja ruokaturvattomuutta</w:t>
            </w:r>
            <w:r>
              <w:t>,</w:t>
            </w:r>
            <w:r>
              <w:t xml:space="preserve"> </w:t>
            </w:r>
            <w:r>
              <w:rPr>
                <w:b/>
                <w:i/>
              </w:rPr>
              <w:t>ja vaikuttavat näin suhteettomasti naisiin ja haavoittuviin ryhmiin</w:t>
            </w:r>
            <w:r>
              <w:t>;</w:t>
            </w:r>
          </w:p>
        </w:tc>
      </w:tr>
    </w:tbl>
    <w:p>
      <w:r>
        <w:rPr>
          <w:rStyle w:val="HideTWBExt"/>
        </w:rPr>
        <w:t>&lt;/Amend&gt;</w:t>
      </w:r>
    </w:p>
    <w:p>
      <w:pPr>
        <w:pStyle w:val="AmNumberTabs"/>
      </w:pPr>
      <w:r>
        <w:rPr>
          <w:rStyle w:val="HideTWBExt"/>
        </w:rPr>
        <w:t>&lt;Amend&gt;</w:t>
      </w:r>
      <w:r>
        <w:t>Tarkistus</w:t>
      </w:r>
      <w:r>
        <w:tab/>
      </w:r>
      <w:r>
        <w:tab/>
      </w:r>
      <w:r>
        <w:rPr>
          <w:rStyle w:val="HideTWBExt"/>
        </w:rPr>
        <w:t>&lt;NumAm&gt;</w:t>
      </w:r>
      <w:r>
        <w:t>22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C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a.</w:t>
            </w:r>
            <w:r>
              <w:tab/>
            </w:r>
            <w:r>
              <w:rPr>
                <w:b/>
                <w:i/>
              </w:rPr>
              <w:t>toteaa, että Sudanin humanitaarinen tilanne on paitsi katastrofi maan omalle kansalle se kertoo myös täydellisestä toiminnan ja vastuuvelvollisuuden puutteesta ja humanitaarisen avun epäonnistumisesta, ja toteaa, että kyse on merkittävissä osin naisten ja tyttöjen murhenäytelmästä;</w:t>
            </w:r>
          </w:p>
        </w:tc>
      </w:tr>
    </w:tbl>
    <w:p>
      <w:r>
        <w:rPr>
          <w:rStyle w:val="HideTWBExt"/>
        </w:rPr>
        <w:t>&lt;/Amend&gt;</w:t>
      </w:r>
    </w:p>
    <w:p>
      <w:pPr>
        <w:pStyle w:val="AmNumberTabs"/>
      </w:pPr>
      <w:r>
        <w:rPr>
          <w:rStyle w:val="HideTWBExt"/>
        </w:rPr>
        <w:t>&lt;Amend&gt;</w:t>
      </w:r>
      <w:r>
        <w:t>Tarkistus</w:t>
      </w:r>
      <w:r>
        <w:tab/>
      </w:r>
      <w:r>
        <w:tab/>
      </w:r>
      <w:r>
        <w:rPr>
          <w:rStyle w:val="HideTWBExt"/>
        </w:rPr>
        <w:t>&lt;NumAm&gt;</w:t>
      </w:r>
      <w:r>
        <w:t>23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D kappale</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ottaa huomioon, että </w:t>
            </w:r>
            <w:r>
              <w:t>monissa tilanteissa</w:t>
            </w:r>
            <w:r>
              <w:t xml:space="preserve"> humanitaarinen apu pääsee perille hälyttävän huonosti ja että tätä pahentaa vaarallisten ja vahingollisten suuntausten lisääntyminen kansainvälisen humanitaarisen oikeuden tulkinnassa;</w:t>
            </w:r>
          </w:p>
        </w:tc>
        <w:tc>
          <w:tcPr>
            <w:tcW w:w="4876" w:type="dxa"/>
            <w:tcBorders>
              <w:top w:val="nil"/>
              <w:left w:val="nil"/>
              <w:bottom w:val="nil"/>
              <w:right w:val="nil"/>
            </w:tcBorders>
          </w:tcPr>
          <w:p>
            <w:pPr>
              <w:pStyle w:val="Normal6a"/>
            </w:pPr>
            <w:r>
              <w:t>D.</w:t>
            </w:r>
            <w:r>
              <w:tab/>
            </w:r>
            <w:r>
              <w:t xml:space="preserve">ottaa huomioon, että humanitaarinen apu pääsee </w:t>
            </w:r>
            <w:r>
              <w:rPr>
                <w:b/>
                <w:i/>
              </w:rPr>
              <w:t>esteettä</w:t>
            </w:r>
            <w:r>
              <w:t xml:space="preserve"> perille hälyttävän huonosti </w:t>
            </w:r>
            <w:r>
              <w:rPr>
                <w:b/>
                <w:i/>
              </w:rPr>
              <w:t>sitä tarvitseville ihmisille</w:t>
            </w:r>
            <w:r>
              <w:rPr>
                <w:b/>
                <w:i/>
              </w:rPr>
              <w:t xml:space="preserve"> esimerkiksi konflikteissa, luonnonkatastrofeissa, ilmastoilmiöiden seurausten yhteydessä ja terveysuhkan leviämistilanteissa sekä muuttajien reittien varrella,</w:t>
            </w:r>
            <w:r>
              <w:t xml:space="preserve"> ja että tätä pahentaa vaarallisten ja vahingollisten suuntausten lisääntyminen </w:t>
            </w:r>
            <w:r>
              <w:rPr>
                <w:b/>
                <w:i/>
              </w:rPr>
              <w:t>ihmisoikeuksia koskevan</w:t>
            </w:r>
            <w:r>
              <w:t xml:space="preserve"> kansainvälisen </w:t>
            </w:r>
            <w:r>
              <w:rPr>
                <w:b/>
                <w:i/>
              </w:rPr>
              <w:t>oikeuden,</w:t>
            </w:r>
            <w:r>
              <w:t xml:space="preserve"> humanitaarisen oikeuden </w:t>
            </w:r>
            <w:r>
              <w:rPr>
                <w:b/>
                <w:i/>
              </w:rPr>
              <w:t>ja humanitaaristen periaatteiden</w:t>
            </w:r>
            <w:r>
              <w:t xml:space="preserve"> tulkinnassa;</w:t>
            </w:r>
            <w:r>
              <w:rPr>
                <w:b/>
                <w:i/>
              </w:rPr>
              <w:t xml:space="preserve"> ottaa huomioon, että YK:n ihmisoikeustyöntekijät ovat nostaneet esiin, että kansainvälinen yhteisö ei ole tehnyt asialle mitään; toteaa, että humanitaarisen avun työntekijöihin ja siviileihin samoin kuin siviili-infrastruktuuriin on kohdistunut kriisien ja konfliktien yhteydessä ennätyksellisen paljon iskuja; </w:t>
            </w:r>
            <w:r>
              <w:rPr>
                <w:b/>
                <w:i/>
              </w:rPr>
              <w:t>ottaa huomioon, että monet humanitaariset kriisit eri puolilla maailmaa</w:t>
            </w:r>
            <w:r>
              <w:rPr>
                <w:b/>
                <w:i/>
              </w:rPr>
              <w:t xml:space="preserve"> vaikuttavat suhteettoman paljon naisiin, tyttöihin, hlbtiq+ -henkilöihin, muuttajiin ja pakolaisiin</w:t>
            </w:r>
            <w:r>
              <w:rPr>
                <w:b/>
                <w:i/>
                <w:vertAlign w:val="superscript"/>
              </w:rPr>
              <w:t>1 a</w:t>
            </w:r>
            <w:r>
              <w:t>, mistä ovat esimerkkeinä maailman suurin humanitaarinen, pakkomuutto- ja nälkäkriisi Sudanissa, meneillään oleva konflikti ja pakkomuutto Gazassa, Myanmarin maanjäristyksen seuraukset, Kongon demokraattisen tasavallan koleraepidemia, vakava elintarvike- ja vesipula Afrikan sarvessa, pitkittyneet konfliktit Syyriassa ja Jemenissä sekä Etelä-Sudanin pakolaiskriisi;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https://www.oxfam.org.uk/documents/715/Rights_Resilience_Response.pdf.</w:t>
            </w:r>
          </w:p>
        </w:tc>
      </w:tr>
    </w:tbl>
    <w:p>
      <w:r>
        <w:rPr>
          <w:rStyle w:val="HideTWBExt"/>
        </w:rPr>
        <w:t>&lt;/Amend&gt;</w:t>
      </w:r>
    </w:p>
    <w:p>
      <w:pPr>
        <w:pStyle w:val="AmNumberTabs"/>
      </w:pPr>
      <w:r>
        <w:rPr>
          <w:rStyle w:val="HideTWBExt"/>
        </w:rPr>
        <w:t>&lt;Amend&gt;</w:t>
      </w:r>
      <w:r>
        <w:t>Tarkistus</w:t>
      </w:r>
      <w:r>
        <w:tab/>
      </w:r>
      <w:r>
        <w:tab/>
      </w:r>
      <w:r>
        <w:rPr>
          <w:rStyle w:val="HideTWBExt"/>
        </w:rPr>
        <w:t>&lt;NumAm&gt;</w:t>
      </w:r>
      <w:r>
        <w:t>24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D a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a.</w:t>
            </w:r>
            <w:r>
              <w:tab/>
            </w:r>
            <w:r>
              <w:rPr>
                <w:b/>
                <w:i/>
              </w:rPr>
              <w:t>ottaa huomioon, että yli 18 prosentilla afganistanilaisnaisista ja -tytöistä ei ole lainkaan mahdollisuutta olla yhteydessä naispuolisiin avustustyöntekijöihin tai mahdollisuudet ovat vain rajalliset; ottaa huomioon, että vain naispuoliset avustustyöntekijät saavat keskustella naisten ja tyttöjen kanssa arvioidakseen näiden tarpeita ja toimittaakseen apua;</w:t>
            </w:r>
          </w:p>
        </w:tc>
      </w:tr>
    </w:tbl>
    <w:p>
      <w:r>
        <w:rPr>
          <w:rStyle w:val="HideTWBExt"/>
        </w:rPr>
        <w:t>&lt;/Amend&gt;</w:t>
      </w:r>
    </w:p>
    <w:p>
      <w:pPr>
        <w:pStyle w:val="AmNumberTabs"/>
      </w:pPr>
      <w:r>
        <w:rPr>
          <w:rStyle w:val="HideTWBExt"/>
        </w:rPr>
        <w:t>&lt;Amend&gt;</w:t>
      </w:r>
      <w:r>
        <w:t>Tarkistus</w:t>
      </w:r>
      <w:r>
        <w:tab/>
      </w:r>
      <w:r>
        <w:tab/>
      </w:r>
      <w:r>
        <w:rPr>
          <w:rStyle w:val="HideTWBExt"/>
        </w:rPr>
        <w:t>&lt;NumAm&gt;</w:t>
      </w:r>
      <w:r>
        <w:t>25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Johdanto-osan D b kappale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w:t>
            </w:r>
            <w:r>
              <w:tab/>
            </w:r>
            <w:r>
              <w:rPr>
                <w:b/>
                <w:i/>
              </w:rPr>
              <w:t>toteaa, että EU:n humanitaarisen avun olisi edelleen oltava sukupuoli- ja ikäsensitiivistä ja lisäksi sen olisi pyrittävä olemaan sukupuoli- ja ikäresponsiivista ja siinä olisi otettava huomioon kaikkien erityistarpeet, haavoittuvuudet ja valmiudet;</w:t>
            </w:r>
          </w:p>
        </w:tc>
      </w:tr>
    </w:tbl>
    <w:p>
      <w:r>
        <w:rPr>
          <w:rStyle w:val="HideTWBExt"/>
        </w:rPr>
        <w:t>&lt;/Amend&gt;</w:t>
      </w:r>
    </w:p>
    <w:p>
      <w:pPr>
        <w:pStyle w:val="AmNumberTabs"/>
      </w:pPr>
      <w:r>
        <w:rPr>
          <w:rStyle w:val="HideTWBExt"/>
        </w:rPr>
        <w:t>&lt;Amend&gt;</w:t>
      </w:r>
      <w:r>
        <w:t>Tarkistus</w:t>
      </w:r>
      <w:r>
        <w:tab/>
      </w:r>
      <w:r>
        <w:tab/>
      </w:r>
      <w:r>
        <w:rPr>
          <w:rStyle w:val="HideTWBExt"/>
        </w:rPr>
        <w:t>&lt;NumAm&gt;</w:t>
      </w:r>
      <w:r>
        <w:t>26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 vaatii, että kaikkien konfliktissa osapuolena olevien on kunnioitettava kansainvälistä humanitaarista oikeutta ja ihmisoikeuksia koskevaa kansainvälistä oikeutta ja varmistettava niiden noudattaminen; vaatii vahvistamaan humanitaaristen periaatteiden asemaa EU:n ulkoisen toiminnan keskiössä;</w:t>
            </w:r>
          </w:p>
        </w:tc>
        <w:tc>
          <w:tcPr>
            <w:tcW w:w="4876" w:type="dxa"/>
            <w:tcBorders>
              <w:top w:val="nil"/>
              <w:left w:val="nil"/>
              <w:bottom w:val="nil"/>
              <w:right w:val="nil"/>
            </w:tcBorders>
          </w:tcPr>
          <w:p>
            <w:pPr>
              <w:pStyle w:val="Normal6a"/>
            </w:pPr>
            <w:r>
              <w:t xml:space="preserve">1. vaatii, että kaikkien konfliktissa osapuolena olevien on kunnioitettava kansainvälistä humanitaarista oikeutta ja ihmisoikeuksia koskevaa kansainvälistä oikeutta ja varmistettava niiden noudattaminen; </w:t>
            </w:r>
            <w:r>
              <w:rPr>
                <w:b/>
                <w:i/>
              </w:rPr>
              <w:t xml:space="preserve">toteaa, että raiskauksia ja muita seksuaalisen väkivallan muotoja käytetään sodankäynnin välineinä ja ne ovat sotarikoksia, rikoksia ihmisyyttä vastaan ja kansanmurhaa edistäviä tekoja; korostaa naisten oikeuksia edistävien järjestöjen roolia oikeus- ja tukipalvelujen tarjoamisessa uhreille; </w:t>
            </w:r>
            <w:r>
              <w:t xml:space="preserve">vaatii vahvistamaan </w:t>
            </w:r>
            <w:r>
              <w:rPr>
                <w:b/>
                <w:i/>
              </w:rPr>
              <w:t>voimakkaasti</w:t>
            </w:r>
            <w:r>
              <w:t xml:space="preserve"> humanitaaristen periaatteiden asemaa EU:n ulkoisen toiminnan keskiössä;</w:t>
            </w:r>
            <w:r>
              <w:br/>
            </w:r>
          </w:p>
        </w:tc>
      </w:tr>
    </w:tbl>
    <w:p>
      <w:r>
        <w:rPr>
          <w:rStyle w:val="HideTWBExt"/>
        </w:rPr>
        <w:t>&lt;/Amend&gt;</w:t>
      </w:r>
    </w:p>
    <w:p>
      <w:pPr>
        <w:pStyle w:val="AmNumberTabs"/>
      </w:pPr>
      <w:r>
        <w:rPr>
          <w:rStyle w:val="HideTWBExt"/>
        </w:rPr>
        <w:t>&lt;Amend&gt;</w:t>
      </w:r>
      <w:r>
        <w:t>Tarkistus</w:t>
      </w:r>
      <w:r>
        <w:tab/>
      </w:r>
      <w:r>
        <w:tab/>
      </w:r>
      <w:r>
        <w:rPr>
          <w:rStyle w:val="HideTWBExt"/>
        </w:rPr>
        <w:t>&lt;NumAm&gt;</w:t>
      </w:r>
      <w:r>
        <w:t>27</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a.</w:t>
            </w:r>
            <w:r>
              <w:tab/>
            </w:r>
            <w:r>
              <w:rPr>
                <w:b/>
                <w:i/>
              </w:rPr>
              <w:t>muistuttaa, että EU on arvoihin perustuva unioni ja että sukupuolten tasa-arvo on yksi sen keskeisistä periaatteista, kuten SEU-sopimuksen 2 artiklassa vahvistetaan; korostaa lisäksi, että SEUT-sopimuksen 8 artiklassa vahvistetaan EU:n vastuu sukupuolten tasa-arvon edistämisestä kaikissa sen toimissa;</w:t>
            </w:r>
          </w:p>
        </w:tc>
      </w:tr>
    </w:tbl>
    <w:p>
      <w:r>
        <w:rPr>
          <w:rStyle w:val="HideTWBExt"/>
        </w:rPr>
        <w:t>&lt;/Amend&gt;</w:t>
      </w:r>
    </w:p>
    <w:p>
      <w:pPr>
        <w:pStyle w:val="AmNumberTabs"/>
      </w:pPr>
      <w:r>
        <w:rPr>
          <w:rStyle w:val="HideTWBExt"/>
        </w:rPr>
        <w:t>&lt;Amend&gt;</w:t>
      </w:r>
      <w:r>
        <w:t>Tarkistus</w:t>
      </w:r>
      <w:r>
        <w:tab/>
      </w:r>
      <w:r>
        <w:tab/>
      </w:r>
      <w:r>
        <w:rPr>
          <w:rStyle w:val="HideTWBExt"/>
        </w:rPr>
        <w:t>&lt;NumAm&gt;</w:t>
      </w:r>
      <w:r>
        <w:t>28</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w:t>
            </w:r>
            <w:r>
              <w:tab/>
            </w:r>
            <w:r>
              <w:rPr>
                <w:b/>
                <w:i/>
              </w:rPr>
              <w:t>korostaa, että on tärkeää edistää seksuaali- ja lisääntymisterveyteen ja -oikeuksiin liittyvien palvelujen saatavuutta maailmanlaajuisesti ja että EU on sitoutunut varmistamaan lisääntymis- ja äitiysterveyspalvelujen saatavuuden, mukaan lukien hätäehkäisy, altistuksen jälkeinen estolääkitys, sukupuoliteitse tarttuvien infektioiden hoito ja mahdollisuus turvalliseen ja lailliseen aborttiin kaikille, myös raiskauksista selvinneille osana heidän suojattua oikeuttaan välttämättömään sairaanhoitoon ja yhdenvertaista integraatiotaan perus- ja erikoissairaanhoitoon, sekä raiskauksen jälkeisen kliinisen hoidon humanitaarisista kriiseistä kärsiville naisille ja tytöille sekä muille haavoittuvassa asemassa oleville väestöryhmille, myös risteävän syrjinnän kohteeksi joutuville; kehottaa EU:ta ja sen humanitaarisia kumppaneita sisällyttämään turvalliset abortit niiden vähimmäisperuspalveluihin ja takaamaan tämän palvelun tarjoamisen;</w:t>
            </w:r>
          </w:p>
        </w:tc>
      </w:tr>
    </w:tbl>
    <w:p>
      <w:r>
        <w:rPr>
          <w:rStyle w:val="HideTWBExt"/>
        </w:rPr>
        <w:t>&lt;/Amend&gt;</w:t>
      </w:r>
    </w:p>
    <w:p>
      <w:pPr>
        <w:pStyle w:val="AmNumberTabs"/>
      </w:pPr>
      <w:r>
        <w:rPr>
          <w:rStyle w:val="HideTWBExt"/>
        </w:rPr>
        <w:t>&lt;Amend&gt;</w:t>
      </w:r>
      <w:r>
        <w:t>Tarkistus</w:t>
      </w:r>
      <w:r>
        <w:tab/>
      </w:r>
      <w:r>
        <w:tab/>
      </w:r>
      <w:r>
        <w:rPr>
          <w:rStyle w:val="HideTWBExt"/>
        </w:rPr>
        <w:t>&lt;NumAm&gt;</w:t>
      </w:r>
      <w:r>
        <w:t>29</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c.</w:t>
            </w:r>
            <w:r>
              <w:tab/>
            </w:r>
            <w:r>
              <w:rPr>
                <w:b/>
                <w:i/>
              </w:rPr>
              <w:t>korostaa, että on tärkeää varmistaa sukupuoliresponsiivinen näkökulma keskeisenä osana kaikkia EU:n humanitaarisen avun ja kriisinhallinnan toimia, myös ulkopolitiikkaa; muistuttaa, että EU on sitoutunut kestävän kehityksen tavoitteisiin, jotka ovat välttämättömiä rakentaessa häiriönsietokykyisiä ja inklusiivisia yhteiskuntia, ja erityisesti sukupuolten tasa-arvoa ja naisten ja tyttöjen oikeuksien ja mahdollisuuksien lisäämistä koskevaan tavoitteeseen 5; korostaa, että kestävän kehityksen tavoitteen 5 saavuttaminen on ratkaisevan tärkeää kaikkien muiden kestävän kehityksen tavoitteiden kannalta, joten se on myös olennaista Agenda 2030 -toimintaohjelmassa esitettyjen tulosten saavuttamiseksi;</w:t>
            </w:r>
          </w:p>
        </w:tc>
      </w:tr>
    </w:tbl>
    <w:p>
      <w:r>
        <w:rPr>
          <w:rStyle w:val="HideTWBExt"/>
        </w:rPr>
        <w:t>&lt;/Amend&gt;</w:t>
      </w:r>
    </w:p>
    <w:p>
      <w:pPr>
        <w:pStyle w:val="AmNumberTabs"/>
      </w:pPr>
      <w:r>
        <w:rPr>
          <w:rStyle w:val="HideTWBExt"/>
        </w:rPr>
        <w:t>&lt;Amend&gt;</w:t>
      </w:r>
      <w:r>
        <w:t>Tarkistus</w:t>
      </w:r>
      <w:r>
        <w:tab/>
      </w:r>
      <w:r>
        <w:tab/>
      </w:r>
      <w:r>
        <w:rPr>
          <w:rStyle w:val="HideTWBExt"/>
        </w:rPr>
        <w:t>&lt;NumAm&gt;</w:t>
      </w:r>
      <w:r>
        <w:t>30</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d.</w:t>
            </w:r>
            <w:r>
              <w:tab/>
            </w:r>
            <w:r>
              <w:rPr>
                <w:b/>
                <w:i/>
              </w:rPr>
              <w:t>on huolissaan heikennyksistä sukupuolten tasa-arvossa ja kansainvälisessä ihmisoikeuskehyksessä, jolla suojellaan haavoittuvassa tai syrjäytyneessä asemassa olevia naisia ja tyttöjä, myös hlbtiq+ -henkilöitä, maailmanlaajuisesti; kehottaa EU:ta ja kaikkia jäsenvaltioita tehostamaan toimiaan EU:n perusarvojen suojelemiseksi ja vahvistaakseen ihmisoikeuksien ja kansainvälisen oikeuden kunnioittamista;</w:t>
            </w:r>
          </w:p>
        </w:tc>
      </w:tr>
    </w:tbl>
    <w:p>
      <w:r>
        <w:rPr>
          <w:rStyle w:val="HideTWBExt"/>
        </w:rPr>
        <w:t>&lt;/Amend&gt;</w:t>
      </w:r>
    </w:p>
    <w:p>
      <w:pPr>
        <w:pStyle w:val="AmNumberTabs"/>
      </w:pPr>
      <w:r>
        <w:rPr>
          <w:rStyle w:val="HideTWBExt"/>
        </w:rPr>
        <w:t>&lt;Amend&gt;</w:t>
      </w:r>
      <w:r>
        <w:t>Tarkistus</w:t>
      </w:r>
      <w:r>
        <w:tab/>
      </w:r>
      <w:r>
        <w:tab/>
      </w:r>
      <w:r>
        <w:rPr>
          <w:rStyle w:val="HideTWBExt"/>
        </w:rPr>
        <w:t>&lt;NumAm&gt;</w:t>
      </w:r>
      <w:r>
        <w:t>31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 e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e.</w:t>
            </w:r>
            <w:r>
              <w:tab/>
            </w:r>
            <w:r>
              <w:rPr>
                <w:b/>
                <w:i/>
              </w:rPr>
              <w:t>huomauttaa, että usein humanitaariset kriisit syventävät olemassa olevaa sukupuolten eriarvoisuutta ja syrjiviä sosiaalisia normeja, mikä rajoittaa entistä enemmän naisten ja tyttöjen pääsyä peruspalvelujen piiriin, mahdollisuutta nauttia oikeuksistaan ja henkilökohtaista itsemääräämisoikeutta;</w:t>
            </w:r>
          </w:p>
        </w:tc>
      </w:tr>
    </w:tbl>
    <w:p>
      <w:r>
        <w:rPr>
          <w:rStyle w:val="HideTWBExt"/>
        </w:rPr>
        <w:t>&lt;/Amend&gt;</w:t>
      </w:r>
    </w:p>
    <w:p>
      <w:pPr>
        <w:pStyle w:val="AmNumberTabs"/>
      </w:pPr>
      <w:r>
        <w:rPr>
          <w:rStyle w:val="HideTWBExt"/>
        </w:rPr>
        <w:t>&lt;Amend&gt;</w:t>
      </w:r>
      <w:r>
        <w:t>Tarkistus</w:t>
      </w:r>
      <w:r>
        <w:tab/>
      </w:r>
      <w:r>
        <w:tab/>
      </w:r>
      <w:r>
        <w:rPr>
          <w:rStyle w:val="HideTWBExt"/>
        </w:rPr>
        <w:t>&lt;NumAm&gt;</w:t>
      </w:r>
      <w:r>
        <w:t>32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 f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f.</w:t>
            </w:r>
            <w:r>
              <w:tab/>
            </w:r>
            <w:r>
              <w:rPr>
                <w:b/>
                <w:i/>
              </w:rPr>
              <w:t>on huolissaan ihmisoikeusloukkauksista ja sukupuolistuneesta väkivallasta, jotka ovat edelleen yleisiä konfliktitilanteissa, ja toteaa, että ennaltaehkäisyyn ja selviytyjien tukemiseen sekä oikeussuojan saatavuuteen tähtäävät toimet ovat edelleen riittämättömiä; on huolissaan siitä, että palvelujen heikentyessä naisjohtoiset ja naisten oikeuksia edistävät järjestöt pelkäävät sukupuolistuneen väkivallan jäävän vaille huomiota tai pahenevan;</w:t>
            </w:r>
          </w:p>
        </w:tc>
      </w:tr>
    </w:tbl>
    <w:p>
      <w:r>
        <w:rPr>
          <w:rStyle w:val="HideTWBExt"/>
        </w:rPr>
        <w:t>&lt;/Amend&gt;</w:t>
      </w:r>
    </w:p>
    <w:p>
      <w:pPr>
        <w:pStyle w:val="AmNumberTabs"/>
      </w:pPr>
      <w:r>
        <w:rPr>
          <w:rStyle w:val="HideTWBExt"/>
        </w:rPr>
        <w:t>&lt;Amend&gt;</w:t>
      </w:r>
      <w:r>
        <w:t>Tarkistus</w:t>
      </w:r>
      <w:r>
        <w:tab/>
      </w:r>
      <w:r>
        <w:tab/>
      </w:r>
      <w:r>
        <w:rPr>
          <w:rStyle w:val="HideTWBExt"/>
        </w:rPr>
        <w:t>&lt;NumAm&gt;</w:t>
      </w:r>
      <w:r>
        <w:t>33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 g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g.</w:t>
            </w:r>
            <w:r>
              <w:tab/>
            </w:r>
            <w:r>
              <w:rPr>
                <w:b/>
                <w:i/>
              </w:rPr>
              <w:t>ilmaisee syvän huolensa terveysinfrastruktuurin tuhoutumisesta ja humanitaarisen avun järjestelmällisestä saarrosta Gazassa;  kehottaa EU:ta ja jäsenvaltioita takaamaan kaikille konfliktin seurauksista kärsiville naisille ja tytöille rajoittamattoman pääsyn seksuaali-, lisääntymis- ja äitiysterveyspalvelujen piiriin;</w:t>
            </w:r>
          </w:p>
        </w:tc>
      </w:tr>
    </w:tbl>
    <w:p>
      <w:r>
        <w:rPr>
          <w:rStyle w:val="HideTWBExt"/>
        </w:rPr>
        <w:t>&lt;/Amend&gt;</w:t>
      </w:r>
    </w:p>
    <w:p>
      <w:pPr>
        <w:pStyle w:val="AmNumberTabs"/>
      </w:pPr>
      <w:r>
        <w:rPr>
          <w:rStyle w:val="HideTWBExt"/>
        </w:rPr>
        <w:t>&lt;Amend&gt;</w:t>
      </w:r>
      <w:r>
        <w:t>Tarkistus</w:t>
      </w:r>
      <w:r>
        <w:tab/>
      </w:r>
      <w:r>
        <w:tab/>
      </w:r>
      <w:r>
        <w:rPr>
          <w:rStyle w:val="HideTWBExt"/>
        </w:rPr>
        <w:t>&lt;NumAm&gt;</w:t>
      </w:r>
      <w:r>
        <w:t>34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on huolissaan kansainvälisen humanitaarisen oikeuden loukkausten lisääntymisestä viime vuosina erityisesti Sudanissa, Gazassa, Kongon demokraattisessa tasavallassa, Ukrainassa ja Haitissa ja toteaa, että osan näistä tapauksista on ilmoitettu olevan strategisen sodankäynnin menetelmiä; </w:t>
            </w:r>
            <w:r>
              <w:rPr>
                <w:b/>
                <w:i/>
              </w:rPr>
              <w:t>peräänkuuluttaa välittömiä kansainvälisiä</w:t>
            </w:r>
            <w:r>
              <w:t xml:space="preserve"> toimia </w:t>
            </w:r>
            <w:r>
              <w:rPr>
                <w:b/>
                <w:i/>
              </w:rPr>
              <w:t>Gazan kestämättömän</w:t>
            </w:r>
            <w:r>
              <w:t xml:space="preserve"> humanitaarisen </w:t>
            </w:r>
            <w:r>
              <w:rPr>
                <w:b/>
                <w:i/>
              </w:rPr>
              <w:t>kriisin lopettamiseksi tilanteessa</w:t>
            </w:r>
            <w:r>
              <w:t xml:space="preserve">, </w:t>
            </w:r>
            <w:r>
              <w:rPr>
                <w:b/>
                <w:i/>
              </w:rPr>
              <w:t>jossa Israelin hallitus</w:t>
            </w:r>
            <w:r>
              <w:t xml:space="preserve"> on </w:t>
            </w:r>
            <w:r>
              <w:rPr>
                <w:b/>
                <w:i/>
              </w:rPr>
              <w:t>määrännyt</w:t>
            </w:r>
            <w:r>
              <w:t xml:space="preserve"> alueelle </w:t>
            </w:r>
            <w:r>
              <w:rPr>
                <w:b/>
                <w:i/>
              </w:rPr>
              <w:t>saarron</w:t>
            </w:r>
            <w:r>
              <w:t>;</w:t>
            </w:r>
          </w:p>
        </w:tc>
        <w:tc>
          <w:tcPr>
            <w:tcW w:w="4876" w:type="dxa"/>
            <w:tcBorders>
              <w:top w:val="nil"/>
              <w:left w:val="nil"/>
              <w:bottom w:val="nil"/>
              <w:right w:val="nil"/>
            </w:tcBorders>
          </w:tcPr>
          <w:p>
            <w:pPr>
              <w:pStyle w:val="Normal6a"/>
            </w:pPr>
            <w:r>
              <w:t>2.</w:t>
            </w:r>
            <w:r>
              <w:tab/>
            </w:r>
            <w:r>
              <w:t xml:space="preserve">on huolissaan kansainvälisen humanitaarisen oikeuden loukkausten lisääntymisestä viime vuosina erityisesti Sudanissa, Gazassa, Kongon demokraattisessa tasavallassa, Ukrainassa ja Haitissa ja toteaa, että osan näistä tapauksista on ilmoitettu olevan strategisen sodankäynnin menetelmiä; </w:t>
            </w:r>
            <w:r>
              <w:rPr>
                <w:b/>
                <w:i/>
              </w:rPr>
              <w:t xml:space="preserve">korostaa, että Gazan humanitaarinen kriisi on poikkeuksellisen vakava, erityisesti naisten, lasten ja muiden haavoittuvassa asemassa olevien ryhmien kohdalla, mikä johtuu saarron pitkittymisestä ja Israelin hallituksen toistuvista laajoista hyökkäyksistä siviilejä, sairaaloita, kouluja ja humanitaarista infrastruktuuria kohtaan; on erittäin huolestunut Gazan alueen katastrofaalisesta humanitaarisesta tilanteesta, etenkin naisten ja tyttöjen kohdalla, erityisesti ruokapulasta ja laajasti esiintyvästä aliravitsemuksesta, jotka ovat seurausta puutteista humanitaarisen avun saatavuudessa; </w:t>
            </w:r>
            <w:r>
              <w:rPr>
                <w:b/>
                <w:i/>
              </w:rPr>
              <w:t>muistuttaa, että jakelupaikkoja, siviilejä, humanitaarisia avustustyöntekijöitä ja lääkintähenkilöstöä on suojeltava eikä näihin paikkoihin tai ihmisryhmiin saa kohdistaa sotilaallisia</w:t>
            </w:r>
            <w:r>
              <w:t xml:space="preserve"> toimia</w:t>
            </w:r>
            <w:r>
              <w:rPr>
                <w:b/>
                <w:i/>
              </w:rPr>
              <w:t>;</w:t>
            </w:r>
            <w:r>
              <w:rPr>
                <w:b/>
                <w:i/>
              </w:rPr>
              <w:t xml:space="preserve"> </w:t>
            </w:r>
            <w:r>
              <w:rPr>
                <w:b/>
                <w:i/>
              </w:rPr>
              <w:t>korostaa, että kaikkien kokeneiden kansainvälisten humanitaaristen toimijoiden antamalle humanitaariselle avulle on kansainvälisen oikeuden mukaisesti annettava kiireellisesti täysi, nopea, turvallinen ja esteetön pääsy Gazaan ja koko sen alueelle, erityisesti välttämättömyystarvikkeiden, kuten elintarvikkeiden, veden, lääkintätarvikkeiden ja suojien toimittamiseksi, ja vaatii korjaamaan kriittisen infrastruktuurin välittömästi;</w:t>
            </w:r>
            <w:r>
              <w:rPr>
                <w:b/>
                <w:i/>
              </w:rPr>
              <w:t xml:space="preserve"> </w:t>
            </w:r>
            <w:r>
              <w:rPr>
                <w:b/>
                <w:i/>
              </w:rPr>
              <w:t>korostaa kansainvälisen</w:t>
            </w:r>
            <w:r>
              <w:t xml:space="preserve"> humanitaarisen </w:t>
            </w:r>
            <w:r>
              <w:rPr>
                <w:b/>
                <w:i/>
              </w:rPr>
              <w:t>oikeuden mukaisia konfliktin osapuolten velvoitteita</w:t>
            </w:r>
            <w:r>
              <w:t xml:space="preserve">, </w:t>
            </w:r>
            <w:r>
              <w:rPr>
                <w:b/>
                <w:i/>
              </w:rPr>
              <w:t>jotka koskevat humanitaarisen avun toimittamista;</w:t>
            </w:r>
            <w:r>
              <w:rPr>
                <w:b/>
                <w:i/>
              </w:rPr>
              <w:t xml:space="preserve"> painottaa, että EU:n selkeänä tavoitteena on välitön ja pysyvä tulitauko; </w:t>
            </w:r>
            <w:r>
              <w:rPr>
                <w:b/>
                <w:i/>
              </w:rPr>
              <w:t>kehottaa vapauttamaan välittömästi ja ehdoitta kaikki Gazassa vangittuna olevat israelilaiset panttivangit ja palauttamaan heistä sekä elossa olevat että kuolleet;</w:t>
            </w:r>
            <w:r>
              <w:rPr>
                <w:b/>
                <w:i/>
              </w:rPr>
              <w:t xml:space="preserve"> </w:t>
            </w:r>
            <w:r>
              <w:rPr>
                <w:b/>
                <w:i/>
              </w:rPr>
              <w:t>toteaa kuitenkin, että jatkuvat siviilikuolemat eivät ole hyväksyttäviä ja että</w:t>
            </w:r>
            <w:r>
              <w:t xml:space="preserve"> alueelle </w:t>
            </w:r>
            <w:r>
              <w:rPr>
                <w:b/>
                <w:i/>
              </w:rPr>
              <w:t>on päästettävä elintärkeää apua, johon kuuluu erityisesti naisille ja tytöille tarkoitettu apu</w:t>
            </w:r>
            <w:r>
              <w:t>;</w:t>
            </w:r>
          </w:p>
        </w:tc>
      </w:tr>
    </w:tbl>
    <w:p>
      <w:r>
        <w:rPr>
          <w:rStyle w:val="HideTWBExt"/>
        </w:rPr>
        <w:t>&lt;/Amend&gt;</w:t>
      </w:r>
    </w:p>
    <w:p>
      <w:pPr>
        <w:pStyle w:val="AmNumberTabs"/>
      </w:pPr>
      <w:r>
        <w:rPr>
          <w:rStyle w:val="HideTWBExt"/>
        </w:rPr>
        <w:t>&lt;Amend&gt;</w:t>
      </w:r>
      <w:r>
        <w:t>Tarkistus</w:t>
      </w:r>
      <w:r>
        <w:tab/>
      </w:r>
      <w:r>
        <w:tab/>
      </w:r>
      <w:r>
        <w:rPr>
          <w:rStyle w:val="HideTWBExt"/>
        </w:rPr>
        <w:t>&lt;NumAm&gt;</w:t>
      </w:r>
      <w:r>
        <w:t>35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a.</w:t>
            </w:r>
            <w:r>
              <w:tab/>
            </w:r>
            <w:r>
              <w:rPr>
                <w:b/>
                <w:i/>
              </w:rPr>
              <w:t>toteaa, että humanitaarisen avun tarve on merkittävässä nousussa seurauksena elintarvikkeiden, energian ja lannoitteiden hintojen noususta, mikä johtuu Gazan sodasta, Venäjän hyökkäyssodasta Ukrainaa vastaan ja muista konflikteista; korostaa, että monimutkaiset geopoliittiset kriisit vaikuttavat suoraan välttämättömien hyödykkeiden saatavuuteen maailmanmarkkinoilla ja tällä on seurauksia erityisesti haavoittuvimmassa asemassa oleviin väestöryhmiin, myös lapsiin ja naisiin;</w:t>
            </w:r>
          </w:p>
        </w:tc>
      </w:tr>
    </w:tbl>
    <w:p>
      <w:r>
        <w:rPr>
          <w:rStyle w:val="HideTWBExt"/>
        </w:rPr>
        <w:t>&lt;/Amend&gt;</w:t>
      </w:r>
    </w:p>
    <w:p>
      <w:pPr>
        <w:pStyle w:val="AmNumberTabs"/>
      </w:pPr>
      <w:r>
        <w:rPr>
          <w:rStyle w:val="HideTWBExt"/>
        </w:rPr>
        <w:t>&lt;Amend&gt;</w:t>
      </w:r>
      <w:r>
        <w:t>Tarkistus</w:t>
      </w:r>
      <w:r>
        <w:tab/>
      </w:r>
      <w:r>
        <w:tab/>
      </w:r>
      <w:r>
        <w:rPr>
          <w:rStyle w:val="HideTWBExt"/>
        </w:rPr>
        <w:t>&lt;NumAm&gt;</w:t>
      </w:r>
      <w:r>
        <w:t>36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w:t>
            </w:r>
            <w:r>
              <w:tab/>
            </w:r>
            <w:r>
              <w:rPr>
                <w:b/>
                <w:i/>
              </w:rPr>
              <w:t>kehottaa myös jatkamaan ja tehostamaan EU:n humanitaarista apua siviiliväestölle, joka kärsii Venäjän Ukrainaan kohdistaman hyökkäyssodan seurauksista, ja kiinnittämään erityistä huomiota maan sisällä siirtymään joutuneiden, pakolaisten, ikääntyneiden ja lasten tarpeisiin, mukaan lukien pakkosiirtojen uhrit, jotka on siirretty Venäjän federaation alueelle ja miehitetyille alueille;</w:t>
            </w:r>
          </w:p>
        </w:tc>
      </w:tr>
    </w:tbl>
    <w:p>
      <w:r>
        <w:rPr>
          <w:rStyle w:val="HideTWBExt"/>
        </w:rPr>
        <w:t>&lt;/Amend&gt;</w:t>
      </w:r>
    </w:p>
    <w:p>
      <w:pPr>
        <w:pStyle w:val="AmNumberTabs"/>
      </w:pPr>
      <w:r>
        <w:rPr>
          <w:rStyle w:val="HideTWBExt"/>
        </w:rPr>
        <w:t>&lt;Amend&gt;</w:t>
      </w:r>
      <w:r>
        <w:t>Tarkistus</w:t>
      </w:r>
      <w:r>
        <w:tab/>
      </w:r>
      <w:r>
        <w:tab/>
      </w:r>
      <w:r>
        <w:rPr>
          <w:rStyle w:val="HideTWBExt"/>
        </w:rPr>
        <w:t>&lt;NumAm&gt;</w:t>
      </w:r>
      <w:r>
        <w:t>37</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c.</w:t>
            </w:r>
            <w:r>
              <w:tab/>
            </w:r>
            <w:r>
              <w:rPr>
                <w:b/>
                <w:i/>
              </w:rPr>
              <w:t>pitää valitettavana sitä, miten vähän Afrikan ja muiden kehittyvien maiden kriiseihin kohdistetaan kansainvälistä huomiota ja kansainvälisiä toimia, minkä seurauksena 6,7 miljoonaa ihmistä Sudanissa on vaarassa joutua sukupuolistuneen väkivallan kohteeksi; kehottaakin maailmanlaajuisia toimijoita varmistamaan, että ruokaa, puhdasta vettä ja sairaanhoitoa sekä psykologista tukea on paremmin saatavilla, erityisesti naisille ja lapsille; korostaa, että on tärkeää edistää naisten oikeuksia sekä sukupuolten tasa-arvoa kaikkialla maailmassa, sillä ne ovat ratkaisevan tärkeitä ihmisoikeuksien toteutumisen kannalta; korostaa, että naiset ja tytöt kärsivät edelleen syrjinnästä ja sukupuolistuneesta väkivallasta, vaikka jonkinlaista edistystä on saavutettu;</w:t>
            </w:r>
          </w:p>
        </w:tc>
      </w:tr>
    </w:tbl>
    <w:p>
      <w:r>
        <w:rPr>
          <w:rStyle w:val="HideTWBExt"/>
        </w:rPr>
        <w:t>&lt;/Amend&gt;</w:t>
      </w:r>
    </w:p>
    <w:p>
      <w:pPr>
        <w:pStyle w:val="AmNumberTabs"/>
      </w:pPr>
      <w:r>
        <w:rPr>
          <w:rStyle w:val="HideTWBExt"/>
        </w:rPr>
        <w:t>&lt;Amend&gt;</w:t>
      </w:r>
      <w:r>
        <w:t>Tarkistus</w:t>
      </w:r>
      <w:r>
        <w:tab/>
      </w:r>
      <w:r>
        <w:tab/>
      </w:r>
      <w:r>
        <w:rPr>
          <w:rStyle w:val="HideTWBExt"/>
        </w:rPr>
        <w:t>&lt;NumAm&gt;</w:t>
      </w:r>
      <w:r>
        <w:t>38</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d.</w:t>
            </w:r>
            <w:r>
              <w:tab/>
            </w:r>
            <w:r>
              <w:rPr>
                <w:b/>
                <w:i/>
              </w:rPr>
              <w:t>pitää valitettavana, että monissa maissa apu on välineellistetty, mikä vahingoittaa naisia ja tyttöjä suhteettoman paljon; huomauttaa, että kansainvälisenä yhteisönä EU:n velvollisuuksiin kuuluu ylläpitää kansainvälistä humanitaarista oikeutta, joka kiistatta kyseenalaistetaan joillakin alueilla näin pahentaen entisestään naisten ja syrjäytyneiden väestöryhmien haavoittuvuutta;</w:t>
            </w:r>
          </w:p>
        </w:tc>
      </w:tr>
    </w:tbl>
    <w:p>
      <w:r>
        <w:rPr>
          <w:rStyle w:val="HideTWBExt"/>
        </w:rPr>
        <w:t>&lt;/Amend&gt;</w:t>
      </w:r>
    </w:p>
    <w:p>
      <w:pPr>
        <w:pStyle w:val="AmNumberTabs"/>
      </w:pPr>
      <w:r>
        <w:rPr>
          <w:rStyle w:val="HideTWBExt"/>
        </w:rPr>
        <w:t>&lt;Amend&gt;</w:t>
      </w:r>
      <w:r>
        <w:t>Tarkistus</w:t>
      </w:r>
      <w:r>
        <w:tab/>
      </w:r>
      <w:r>
        <w:tab/>
      </w:r>
      <w:r>
        <w:rPr>
          <w:rStyle w:val="HideTWBExt"/>
        </w:rPr>
        <w:t>&lt;NumAm&gt;</w:t>
      </w:r>
      <w:r>
        <w:t>39</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pitää valitettavana humanitaarisen työn toimintatilan kaventumista ja humanitaaristen periaatteiden rapautumista, </w:t>
            </w:r>
            <w:r>
              <w:rPr>
                <w:b/>
                <w:i/>
              </w:rPr>
              <w:t>jotka</w:t>
            </w:r>
            <w:r>
              <w:t xml:space="preserve"> </w:t>
            </w:r>
            <w:r>
              <w:t>vaikeuttavat</w:t>
            </w:r>
            <w:r>
              <w:t xml:space="preserve"> merkittävästi ihmishenkiä pelastavan avun toimittamista useissa konfliktiympäristöissä; tuomitsee jyrkästi siviiliväestöön ja sen selviytymiselle välttämättömään infrastruktuuriin sekä humanitaarisen avun työntekijöihin kohdistuvien hyökkäysten hälyttävän lisääntymisen; vaatii asettamaan iskujen tekijät vastuuseen;</w:t>
            </w:r>
          </w:p>
        </w:tc>
        <w:tc>
          <w:tcPr>
            <w:tcW w:w="4876" w:type="dxa"/>
            <w:tcBorders>
              <w:top w:val="nil"/>
              <w:left w:val="nil"/>
              <w:bottom w:val="nil"/>
              <w:right w:val="nil"/>
            </w:tcBorders>
          </w:tcPr>
          <w:p>
            <w:pPr>
              <w:pStyle w:val="Normal6a"/>
            </w:pPr>
            <w:r>
              <w:t>3.</w:t>
            </w:r>
            <w:r>
              <w:tab/>
            </w:r>
            <w:r>
              <w:t xml:space="preserve">pitää valitettavana humanitaarisen työn toimintatilan kaventumista ja humanitaaristen periaatteiden rapautumista </w:t>
            </w:r>
            <w:r>
              <w:rPr>
                <w:b/>
                <w:i/>
              </w:rPr>
              <w:t xml:space="preserve">samoin kuin sitä, ettei kansainvälisiä instituutioita </w:t>
            </w:r>
            <w:r>
              <w:rPr>
                <w:b/>
                <w:i/>
              </w:rPr>
              <w:t>kunnioiteta</w:t>
            </w:r>
            <w:r>
              <w:rPr>
                <w:b/>
                <w:i/>
              </w:rPr>
              <w:t xml:space="preserve"> ja kansainvälisen rikostuomioistuimen pidätysmääräyksiä noudateta, sillä tämä</w:t>
            </w:r>
            <w:r>
              <w:t xml:space="preserve"> </w:t>
            </w:r>
            <w:r>
              <w:t>vaikeuttaa</w:t>
            </w:r>
            <w:r>
              <w:t xml:space="preserve"> merkittävästi ihmishenkiä pelastavan avun toimittamista useissa konfliktiympäristöissä; tuomitsee jyrkästi siviiliväestöön ja sen selviytymiselle välttämättömään infrastruktuuriin sekä humanitaarisen avun työntekijöihin kohdistuvien hyökkäysten hälyttävän lisääntymisen; vaatii asettamaan iskujen tekijät vastuuseen;</w:t>
            </w:r>
          </w:p>
        </w:tc>
      </w:tr>
    </w:tbl>
    <w:p>
      <w:r>
        <w:rPr>
          <w:rStyle w:val="HideTWBExt"/>
        </w:rPr>
        <w:t>&lt;/Amend&gt;</w:t>
      </w:r>
    </w:p>
    <w:p>
      <w:pPr>
        <w:pStyle w:val="AmNumberTabs"/>
      </w:pPr>
      <w:r>
        <w:rPr>
          <w:rStyle w:val="HideTWBExt"/>
        </w:rPr>
        <w:t>&lt;Amend&gt;</w:t>
      </w:r>
      <w:r>
        <w:t>Tarkistus</w:t>
      </w:r>
      <w:r>
        <w:tab/>
      </w:r>
      <w:r>
        <w:tab/>
      </w:r>
      <w:r>
        <w:rPr>
          <w:rStyle w:val="HideTWBExt"/>
        </w:rPr>
        <w:t>&lt;NumAm&gt;</w:t>
      </w:r>
      <w:r>
        <w:t>40</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pitää erittäin valitettavana </w:t>
            </w:r>
            <w:r>
              <w:rPr>
                <w:b/>
                <w:i/>
              </w:rPr>
              <w:t>joidenkin</w:t>
            </w:r>
            <w:r>
              <w:t xml:space="preserve"> EU:n </w:t>
            </w:r>
            <w:r>
              <w:rPr>
                <w:b/>
                <w:i/>
              </w:rPr>
              <w:t>jäsenvaltioiden</w:t>
            </w:r>
            <w:r>
              <w:t xml:space="preserve"> aikomusta</w:t>
            </w:r>
            <w:r>
              <w:t xml:space="preserve"> vetäytyä vuoden 1997 Ottawan yleissopimuksesta ja vuoden 2008 Oslon yleissopimuksesta;</w:t>
            </w:r>
          </w:p>
        </w:tc>
        <w:tc>
          <w:tcPr>
            <w:tcW w:w="4876" w:type="dxa"/>
            <w:tcBorders>
              <w:top w:val="nil"/>
              <w:left w:val="nil"/>
              <w:bottom w:val="nil"/>
              <w:right w:val="nil"/>
            </w:tcBorders>
          </w:tcPr>
          <w:p>
            <w:pPr>
              <w:pStyle w:val="Normal6a"/>
            </w:pPr>
            <w:r>
              <w:t>4.</w:t>
            </w:r>
            <w:r>
              <w:tab/>
            </w:r>
            <w:r>
              <w:t>pitää erittäin valitettavana</w:t>
            </w:r>
            <w:r>
              <w:rPr>
                <w:b/>
                <w:i/>
              </w:rPr>
              <w:t>, että jotkin</w:t>
            </w:r>
            <w:r>
              <w:t xml:space="preserve"> EU:n </w:t>
            </w:r>
            <w:r>
              <w:rPr>
                <w:b/>
                <w:i/>
              </w:rPr>
              <w:t>jäsenvaltiot pitävät humanitaarista apua ja erityisesti naisille ja tytöille osoitettavaa apua vähemmän tärkeänä ja aikovat</w:t>
            </w:r>
            <w:r>
              <w:t xml:space="preserve"> vetäytyä vuoden 1997 Ottawan yleissopimuksesta ja vuoden 2008 Oslon yleissopimuksesta;</w:t>
            </w:r>
          </w:p>
        </w:tc>
      </w:tr>
    </w:tbl>
    <w:p>
      <w:r>
        <w:rPr>
          <w:rStyle w:val="HideTWBExt"/>
        </w:rPr>
        <w:t>&lt;/Amend&gt;</w:t>
      </w:r>
    </w:p>
    <w:p>
      <w:pPr>
        <w:pStyle w:val="AmNumberTabs"/>
      </w:pPr>
      <w:r>
        <w:rPr>
          <w:rStyle w:val="HideTWBExt"/>
        </w:rPr>
        <w:t>&lt;Amend&gt;</w:t>
      </w:r>
      <w:r>
        <w:t>Tarkistus</w:t>
      </w:r>
      <w:r>
        <w:tab/>
      </w:r>
      <w:r>
        <w:tab/>
      </w:r>
      <w:r>
        <w:rPr>
          <w:rStyle w:val="HideTWBExt"/>
        </w:rPr>
        <w:t>&lt;NumAm&gt;</w:t>
      </w:r>
      <w:r>
        <w:t>41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kehottaa komissiota tehostamaan toimia, joilla ehkäistään kansainvälisen humanitaarisen oikeuden loukkauksia, ja paikkaamaan näiden loukkausten seurannassa olevat puutteet tiedonkeruun ja tehokkaamman näyttöön perustuvan vaikuttamisen avulla;</w:t>
            </w:r>
          </w:p>
        </w:tc>
        <w:tc>
          <w:tcPr>
            <w:tcW w:w="4876" w:type="dxa"/>
            <w:tcBorders>
              <w:top w:val="nil"/>
              <w:left w:val="nil"/>
              <w:bottom w:val="nil"/>
              <w:right w:val="nil"/>
            </w:tcBorders>
          </w:tcPr>
          <w:p>
            <w:pPr>
              <w:pStyle w:val="Normal6a"/>
            </w:pPr>
            <w:r>
              <w:t>5.</w:t>
            </w:r>
            <w:r>
              <w:tab/>
            </w:r>
            <w:r>
              <w:t xml:space="preserve">kehottaa komissiota </w:t>
            </w:r>
            <w:r>
              <w:rPr>
                <w:b/>
                <w:i/>
              </w:rPr>
              <w:t>ja Euroopan ulkosuhdehallintoa (EUH)</w:t>
            </w:r>
            <w:r>
              <w:t xml:space="preserve"> tehostamaan toimia, joilla ehkäistään kansainvälisen humanitaarisen oikeuden loukkauksia, ja paikkaamaan näiden loukkausten seurannassa olevat puutteet tiedonkeruun ja tehokkaamman näyttöön perustuvan vaikuttamisen avulla;</w:t>
            </w:r>
            <w:r>
              <w:rPr>
                <w:b/>
                <w:i/>
              </w:rPr>
              <w:t xml:space="preserve"> muistuttaa, että unionin on oltava johtavassa asemassa monenvälisellä tasolla naisten oikeuksien edistämisessä ulko- ja humanitaarisessa politiikassa; kehottaa EU:ta, sen jäsenvaltioita, komissiota ja EUH:ta sitoutumaan etenemiseen kohti sellaista kehitys- ja humanitaarista politiikkaa, johon sisältyy sukupuoliresponsiivinen ja intersektionaalinen näkemys, sekä edelleen edistämään sukupuolen tasa-arvoa ulkoisissa toimissaan; pitää tähän liittyen myönteisenä, että tasa-arvoasioiden yhteyshenkilöiden määrä on noussut ja asema virallistunut ja että 99 prosentissa EU:n edustoista ja 87 prosentissa päätoimipaikkojen yksiköistä on tasa-arvoasioiden yhteyshenkilö; huomauttaa, että sukupuoleen ja ikään liittyvien tasa-arvoasioiden humanitaariset yhteyshenkilöt auttavat pitämään huomion sukupuolistuneen väkivallan ehkäisemisessä ja siihen reagoimisessa;</w:t>
            </w:r>
          </w:p>
        </w:tc>
      </w:tr>
    </w:tbl>
    <w:p>
      <w:r>
        <w:rPr>
          <w:rStyle w:val="HideTWBExt"/>
        </w:rPr>
        <w:t>&lt;/Amend&gt;</w:t>
      </w:r>
    </w:p>
    <w:p>
      <w:pPr>
        <w:pStyle w:val="AmNumberTabs"/>
      </w:pPr>
      <w:r>
        <w:rPr>
          <w:rStyle w:val="HideTWBExt"/>
        </w:rPr>
        <w:t>&lt;Amend&gt;</w:t>
      </w:r>
      <w:r>
        <w:t>Tarkistus</w:t>
      </w:r>
      <w:r>
        <w:tab/>
      </w:r>
      <w:r>
        <w:tab/>
      </w:r>
      <w:r>
        <w:rPr>
          <w:rStyle w:val="HideTWBExt"/>
        </w:rPr>
        <w:t>&lt;NumAm&gt;</w:t>
      </w:r>
      <w:r>
        <w:t>42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kehottaa jälleen komissiota kehittämään yhdessä jäsenvaltioiden ja Euroopan ulkosuhdehallinnon (EUH) kanssa EU:n humanitaarisen diplomatian strategian, jotta voidaan tehostaa toimia ja varmistaa järjestelmällisempi ja koordinoidumpi lähestymistapa humanitaariseen diplomatiaan;</w:t>
            </w:r>
          </w:p>
        </w:tc>
        <w:tc>
          <w:tcPr>
            <w:tcW w:w="4876" w:type="dxa"/>
            <w:tcBorders>
              <w:top w:val="nil"/>
              <w:left w:val="nil"/>
              <w:bottom w:val="nil"/>
              <w:right w:val="nil"/>
            </w:tcBorders>
          </w:tcPr>
          <w:p>
            <w:pPr>
              <w:pStyle w:val="Normal6a"/>
            </w:pPr>
            <w:r>
              <w:t>6.</w:t>
            </w:r>
            <w:r>
              <w:tab/>
            </w:r>
            <w:r>
              <w:t xml:space="preserve">kehottaa jälleen </w:t>
            </w:r>
            <w:r>
              <w:rPr>
                <w:b/>
                <w:i/>
              </w:rPr>
              <w:t>painokkaasti</w:t>
            </w:r>
            <w:r>
              <w:t xml:space="preserve"> komissiota kehittämään yhdessä jäsenvaltioiden ja Euroopan ulkosuhdehallinnon (EUH) kanssa EU:n humanitaarisen diplomatian strategian, jotta voidaan tehostaa toimia ja varmistaa järjestelmällisempi ja koordinoidumpi lähestymistapa humanitaariseen diplomatiaan;</w:t>
            </w:r>
          </w:p>
        </w:tc>
      </w:tr>
    </w:tbl>
    <w:p>
      <w:r>
        <w:rPr>
          <w:rStyle w:val="HideTWBExt"/>
        </w:rPr>
        <w:t>&lt;/Amend&gt;</w:t>
      </w:r>
    </w:p>
    <w:p>
      <w:pPr>
        <w:pStyle w:val="AmNumberTabs"/>
      </w:pPr>
      <w:r>
        <w:rPr>
          <w:rStyle w:val="HideTWBExt"/>
        </w:rPr>
        <w:t>&lt;Amend&gt;</w:t>
      </w:r>
      <w:r>
        <w:t>Tarkistus</w:t>
      </w:r>
      <w:r>
        <w:tab/>
      </w:r>
      <w:r>
        <w:tab/>
      </w:r>
      <w:r>
        <w:rPr>
          <w:rStyle w:val="HideTWBExt"/>
        </w:rPr>
        <w:t>&lt;NumAm&gt;</w:t>
      </w:r>
      <w:r>
        <w:t>43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a.</w:t>
            </w:r>
            <w:r>
              <w:tab/>
            </w:r>
            <w:r>
              <w:rPr>
                <w:b/>
                <w:i/>
              </w:rPr>
              <w:t>korostaa, että riippumattomien humanitaaristen toimijoiden on päästävä kaikkiin muuttoliikkeeseen liittyviin tiloihin, kuten säilöönottokeskuksiin, ensivastaanottotiloihin ja epävirallisille raja-alueille, joissa naisiin ja hlbtiq+ -henkilöihin kohdistuu kohonnut väkivallan, hyväksikäytön ja välttämättömien palvelujen, myös seksuaali- ja lisääntymisterveydenhuollon palvelujen, epäämisen uhka; kehottaa perustamaan läpinäkyviä seuranta- ja vastuuvelvollisuusmekanismeja tällaisiin paikkoihin;</w:t>
            </w:r>
          </w:p>
        </w:tc>
      </w:tr>
    </w:tbl>
    <w:p>
      <w:r>
        <w:rPr>
          <w:rStyle w:val="HideTWBExt"/>
        </w:rPr>
        <w:t>&lt;/Amend&gt;</w:t>
      </w:r>
    </w:p>
    <w:p>
      <w:pPr>
        <w:pStyle w:val="AmNumberTabs"/>
      </w:pPr>
      <w:r>
        <w:rPr>
          <w:rStyle w:val="HideTWBExt"/>
        </w:rPr>
        <w:t>&lt;Amend&gt;</w:t>
      </w:r>
      <w:r>
        <w:t>Tarkistus</w:t>
      </w:r>
      <w:r>
        <w:tab/>
      </w:r>
      <w:r>
        <w:tab/>
      </w:r>
      <w:r>
        <w:rPr>
          <w:rStyle w:val="HideTWBExt"/>
        </w:rPr>
        <w:t>&lt;NumAm&gt;</w:t>
      </w:r>
      <w:r>
        <w:t>44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6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w:t>
            </w:r>
            <w:r>
              <w:tab/>
            </w:r>
            <w:r>
              <w:rPr>
                <w:b/>
                <w:i/>
              </w:rPr>
              <w:t>kehottaa komissiota ja jäsenvaltioita kehittämään korvausjärjestelmiä, joihin kuuluu symbolisia, aineellisia ja psykososiaalisia toimenpiteitä ja jotka on tarkoitettu humanitaarisissa kriisitilanteissa tapahtuneista seksuaali- ja lisääntymisoikeuksien loukkauksista selviytyneille kansainvälisten ihmisoikeusvelvoitteiden mukaisesti; korostaa tarvetta ottaa asianomaiset yhteisöt ja erityisesti naiset ja työt mukaan tällaisten mekanismien suunnitteluun;</w:t>
            </w:r>
          </w:p>
        </w:tc>
      </w:tr>
    </w:tbl>
    <w:p>
      <w:r>
        <w:rPr>
          <w:rStyle w:val="HideTWBExt"/>
        </w:rPr>
        <w:t>&lt;/Amend&gt;</w:t>
      </w:r>
    </w:p>
    <w:p>
      <w:pPr>
        <w:pStyle w:val="AmNumberTabs"/>
      </w:pPr>
      <w:r>
        <w:rPr>
          <w:rStyle w:val="HideTWBExt"/>
        </w:rPr>
        <w:t>&lt;Amend&gt;</w:t>
      </w:r>
      <w:r>
        <w:t>Tarkistus</w:t>
      </w:r>
      <w:r>
        <w:tab/>
      </w:r>
      <w:r>
        <w:tab/>
      </w:r>
      <w:r>
        <w:rPr>
          <w:rStyle w:val="HideTWBExt"/>
        </w:rPr>
        <w:t>&lt;NumAm&gt;</w:t>
      </w:r>
      <w:r>
        <w:t>45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7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kehottaa komissiota ja jäsenvaltioita lisäämään merkittävästi humanitaarisen avun </w:t>
            </w:r>
            <w:r>
              <w:rPr>
                <w:b/>
                <w:i/>
              </w:rPr>
              <w:t>rahoitusta</w:t>
            </w:r>
            <w:r>
              <w:t xml:space="preserve"> seuraavassa monivuotisessa rahoituskehyksessä, varsinkin kun otetaan huomioon humanitaaristen tarpeiden kasvava rahoitusvaje;</w:t>
            </w:r>
          </w:p>
        </w:tc>
        <w:tc>
          <w:tcPr>
            <w:tcW w:w="4876" w:type="dxa"/>
            <w:tcBorders>
              <w:top w:val="nil"/>
              <w:left w:val="nil"/>
              <w:bottom w:val="nil"/>
              <w:right w:val="nil"/>
            </w:tcBorders>
          </w:tcPr>
          <w:p>
            <w:pPr>
              <w:pStyle w:val="Normal6a"/>
            </w:pPr>
            <w:r>
              <w:t>7.</w:t>
            </w:r>
            <w:r>
              <w:tab/>
            </w:r>
            <w:r>
              <w:t xml:space="preserve">kehottaa komissiota ja jäsenvaltioita lisäämään merkittävästi humanitaarisen avun </w:t>
            </w:r>
            <w:r>
              <w:rPr>
                <w:b/>
                <w:i/>
              </w:rPr>
              <w:t>rahoitustaan muun muassa</w:t>
            </w:r>
            <w:r>
              <w:t xml:space="preserve"> seuraavassa monivuotisessa rahoituskehyksessä, varsinkin kun otetaan huomioon humanitaaristen tarpeiden kasvava rahoitusvaje</w:t>
            </w:r>
            <w:r>
              <w:rPr>
                <w:b/>
                <w:i/>
              </w:rPr>
              <w:t>, ja kehottaa osoittamaan erityistä, kestävää, joustavaa ja monivuotista rahoitusta sen varmistamiseksi, että naisten ja tyttöjen oikeudet, mukaan lukien heidän seksuaali- ja lisääntymisterveyden tarpeensa, toteutuvat humanitaarisissa toimissa, mihin kuuluu rahoitus naisten oikeuksia edistäville järjestöille, joilla on parhaat yhteydet kriisien koettelemiin yhteisöihin</w:t>
            </w:r>
            <w:r>
              <w:t>;</w:t>
            </w:r>
          </w:p>
        </w:tc>
      </w:tr>
    </w:tbl>
    <w:p>
      <w:r>
        <w:rPr>
          <w:rStyle w:val="HideTWBExt"/>
        </w:rPr>
        <w:t>&lt;/Amend&gt;</w:t>
      </w:r>
    </w:p>
    <w:p>
      <w:pPr>
        <w:pStyle w:val="AmNumberTabs"/>
      </w:pPr>
      <w:r>
        <w:rPr>
          <w:rStyle w:val="HideTWBExt"/>
        </w:rPr>
        <w:t>&lt;Amend&gt;</w:t>
      </w:r>
      <w:r>
        <w:t>Tarkistus</w:t>
      </w:r>
      <w:r>
        <w:tab/>
      </w:r>
      <w:r>
        <w:tab/>
      </w:r>
      <w:r>
        <w:rPr>
          <w:rStyle w:val="HideTWBExt"/>
        </w:rPr>
        <w:t>&lt;NumAm&gt;</w:t>
      </w:r>
      <w:r>
        <w:t>46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7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a.</w:t>
            </w:r>
            <w:r>
              <w:tab/>
            </w:r>
            <w:r>
              <w:rPr>
                <w:b/>
                <w:i/>
              </w:rPr>
              <w:t>kehottaa komissiota varmistamaan, että humanitaarisessa avussa asetetaan etusijalle hankkeet ja organisaatiot, jotka tukevat konfliktien ja ilmastonmuutoksen seurauksista kärsiviä naisia ja tyttöjä, pakolaisia ja henkilöitä, joilla on humanitaarisia tarpeita ja joilta rahoitusta leikataan kaikkein todennäköisemmin</w:t>
            </w:r>
            <w:r>
              <w:rPr>
                <w:b/>
                <w:i/>
                <w:vertAlign w:val="superscript"/>
              </w:rPr>
              <w:t>1 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UN Women, huhtikuu 2025,”At a breaking point: The impact of foreign aid cuts on women’s organizations in humanitarian crises worldwide”.</w:t>
            </w:r>
          </w:p>
        </w:tc>
      </w:tr>
    </w:tbl>
    <w:p>
      <w:r>
        <w:rPr>
          <w:rStyle w:val="HideTWBExt"/>
        </w:rPr>
        <w:t>&lt;/Amend&gt;</w:t>
      </w:r>
    </w:p>
    <w:p>
      <w:pPr>
        <w:pStyle w:val="AmNumberTabs"/>
      </w:pPr>
      <w:r>
        <w:rPr>
          <w:rStyle w:val="HideTWBExt"/>
        </w:rPr>
        <w:t>&lt;Amend&gt;</w:t>
      </w:r>
      <w:r>
        <w:t>Tarkistus</w:t>
      </w:r>
      <w:r>
        <w:tab/>
      </w:r>
      <w:r>
        <w:tab/>
      </w:r>
      <w:r>
        <w:rPr>
          <w:rStyle w:val="HideTWBExt"/>
        </w:rPr>
        <w:t>&lt;NumAm&gt;</w:t>
      </w:r>
      <w:r>
        <w:t>47</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7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w:t>
            </w:r>
            <w:r>
              <w:tab/>
            </w:r>
            <w:r>
              <w:rPr>
                <w:b/>
                <w:i/>
              </w:rPr>
              <w:t>kehottaa sisällyttämään kaikkiin EU:n rahoittamiin humanitaarisiin hankkeisiin sukupuoliresponsiivisia indikaattoreita ja seurantamekanismeja, joilla varmistetaan, että apu tavoittaa naiset ja tytöt tehokkaasti, vastaa heidän erityistarpeisiinsa ja edistää sukupuolten tasa-arvoa; korostaa, että on tärkeää kehittää räätälöityjä humanitaarisia toimia, joissa otetaan huomioon monista kriiseistä kärsivillä maaseutualueilla asuvien naisten tarpeet ja realiteetit;</w:t>
            </w:r>
          </w:p>
        </w:tc>
      </w:tr>
    </w:tbl>
    <w:p>
      <w:r>
        <w:rPr>
          <w:rStyle w:val="HideTWBExt"/>
        </w:rPr>
        <w:t>&lt;/Amend&gt;</w:t>
      </w:r>
    </w:p>
    <w:p>
      <w:pPr>
        <w:pStyle w:val="AmNumberTabs"/>
      </w:pPr>
      <w:r>
        <w:rPr>
          <w:rStyle w:val="HideTWBExt"/>
        </w:rPr>
        <w:t>&lt;Amend&gt;</w:t>
      </w:r>
      <w:r>
        <w:t>Tarkistus</w:t>
      </w:r>
      <w:r>
        <w:tab/>
      </w:r>
      <w:r>
        <w:tab/>
      </w:r>
      <w:r>
        <w:rPr>
          <w:rStyle w:val="HideTWBExt"/>
        </w:rPr>
        <w:t>&lt;NumAm&gt;</w:t>
      </w:r>
      <w:r>
        <w:t>48</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7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c.</w:t>
            </w:r>
            <w:r>
              <w:tab/>
            </w:r>
            <w:r>
              <w:rPr>
                <w:b/>
                <w:i/>
              </w:rPr>
              <w:t>korostaa, että on tärkeää, että humanitaarista rahoitusta koskevien innovatiivisten ratkaisujen tukemisessa otetaan erityisesti huomioon toimet, joilla parannetaan naisten ja tyttöjen taloudellisia ja sosiaalisia toimintamahdollisuuksia; korostaa avoimen raportoinnin ja riippumattomien arviointien merkitystä arvioitaessa EU:n rahoittamien humanitaaristen toimien sukupuolivaikutuksia;</w:t>
            </w:r>
          </w:p>
        </w:tc>
      </w:tr>
    </w:tbl>
    <w:p>
      <w:r>
        <w:rPr>
          <w:rStyle w:val="HideTWBExt"/>
        </w:rPr>
        <w:t>&lt;/Amend&gt;</w:t>
      </w:r>
    </w:p>
    <w:p>
      <w:pPr>
        <w:pStyle w:val="AmNumberTabs"/>
      </w:pPr>
      <w:r>
        <w:rPr>
          <w:rStyle w:val="HideTWBExt"/>
        </w:rPr>
        <w:t>&lt;Amend&gt;</w:t>
      </w:r>
      <w:r>
        <w:t>Tarkistus</w:t>
      </w:r>
      <w:r>
        <w:tab/>
      </w:r>
      <w:r>
        <w:tab/>
      </w:r>
      <w:r>
        <w:rPr>
          <w:rStyle w:val="HideTWBExt"/>
        </w:rPr>
        <w:t>&lt;NumAm&gt;</w:t>
      </w:r>
      <w:r>
        <w:t>49</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7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d.</w:t>
            </w:r>
            <w:r>
              <w:tab/>
            </w:r>
            <w:r>
              <w:rPr>
                <w:b/>
                <w:i/>
              </w:rPr>
              <w:t>kehottaa komissiota torjumaan nousussa olevan kehityssuunnan, jossa humanitaarisen avun rahoitusta vähennetään, ja korostaa, että tuessa ei ole kyse valmiuksista vaan poliittisesta tahdosta ja moraalisesta vastuusta; vaatii, että komission ja EU:n laajemminkin on näytettävä esimerkkiä ja varmistettava kunnollinen ja kestävä rahoitus humanitaarisille avustustoimille;</w:t>
            </w:r>
          </w:p>
        </w:tc>
      </w:tr>
    </w:tbl>
    <w:p>
      <w:r>
        <w:rPr>
          <w:rStyle w:val="HideTWBExt"/>
        </w:rPr>
        <w:t>&lt;/Amend&gt;</w:t>
      </w:r>
    </w:p>
    <w:p>
      <w:pPr>
        <w:pStyle w:val="AmNumberTabs"/>
      </w:pPr>
      <w:r>
        <w:rPr>
          <w:rStyle w:val="HideTWBExt"/>
        </w:rPr>
        <w:t>&lt;Amend&gt;</w:t>
      </w:r>
      <w:r>
        <w:t>Tarkistus</w:t>
      </w:r>
      <w:r>
        <w:tab/>
      </w:r>
      <w:r>
        <w:tab/>
      </w:r>
      <w:r>
        <w:rPr>
          <w:rStyle w:val="HideTWBExt"/>
        </w:rPr>
        <w:t>&lt;NumAm&gt;</w:t>
      </w:r>
      <w:r>
        <w:t>50</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7 e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e.</w:t>
            </w:r>
            <w:r>
              <w:tab/>
            </w:r>
            <w:r>
              <w:rPr>
                <w:b/>
                <w:i/>
              </w:rPr>
              <w:t>pitää valitettavana, että taantumukselliset liikkeet ja nationalistiset puolueet Euroopan parlamentissa välineellistävät ja arvostelevat kehitysapua ja humanitaarista apua, jota EU antaa määrärahoina yleishyödyllisiksi tunnustetuille kansalaisjärjestöille;</w:t>
            </w:r>
          </w:p>
        </w:tc>
      </w:tr>
    </w:tbl>
    <w:p>
      <w:r>
        <w:rPr>
          <w:rStyle w:val="HideTWBExt"/>
        </w:rPr>
        <w:t>&lt;/Amend&gt;</w:t>
      </w:r>
    </w:p>
    <w:p>
      <w:pPr>
        <w:pStyle w:val="AmNumberTabs"/>
      </w:pPr>
      <w:r>
        <w:rPr>
          <w:rStyle w:val="HideTWBExt"/>
        </w:rPr>
        <w:t>&lt;Amend&gt;</w:t>
      </w:r>
      <w:r>
        <w:t>Tarkistus</w:t>
      </w:r>
      <w:r>
        <w:tab/>
      </w:r>
      <w:r>
        <w:tab/>
      </w:r>
      <w:r>
        <w:rPr>
          <w:rStyle w:val="HideTWBExt"/>
        </w:rPr>
        <w:t>&lt;NumAm&gt;</w:t>
      </w:r>
      <w:r>
        <w:t>51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7 f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f.</w:t>
            </w:r>
            <w:r>
              <w:tab/>
            </w:r>
            <w:r>
              <w:rPr>
                <w:b/>
                <w:i/>
              </w:rPr>
              <w:t>korostaa, että puolustusmenoja ei saa lisätä humanitaarisen avun kustannuksella etenkään maailmanlaajuisissa kriiseissä, jotka vaikuttavat suhteettomasti naisiin ja tyttöihin; korostaa, että leikkaukset humanitaarisen avun rahoitukseen uhkaavat syventää sukupuolten eriarvoisuutta sekä heikentää naisten terveyden, turvallisuuden ja toimeentulon kannalta elintärkeää tukea konflikti- ja katastrofitilanteissa;</w:t>
            </w:r>
          </w:p>
        </w:tc>
      </w:tr>
    </w:tbl>
    <w:p>
      <w:r>
        <w:rPr>
          <w:rStyle w:val="HideTWBExt"/>
        </w:rPr>
        <w:t>&lt;/Amend&gt;</w:t>
      </w:r>
    </w:p>
    <w:p>
      <w:pPr>
        <w:pStyle w:val="AmNumberTabs"/>
      </w:pPr>
      <w:r>
        <w:rPr>
          <w:rStyle w:val="HideTWBExt"/>
        </w:rPr>
        <w:t>&lt;Amend&gt;</w:t>
      </w:r>
      <w:r>
        <w:t>Tarkistus</w:t>
      </w:r>
      <w:r>
        <w:tab/>
      </w:r>
      <w:r>
        <w:tab/>
      </w:r>
      <w:r>
        <w:rPr>
          <w:rStyle w:val="HideTWBExt"/>
        </w:rPr>
        <w:t>&lt;NumAm&gt;</w:t>
      </w:r>
      <w:r>
        <w:t>52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kehottaa jäsenvaltioita täyttämään yhteisen sitoumuksensa antaa vähintään 0,7 prosenttia bruttokansantulosta (bktl) virallisena kehitysapuna ja osoittamaan 10 prosenttia virallisesta kehitysavustaan humanitaarisiin toimiin;</w:t>
            </w:r>
          </w:p>
        </w:tc>
        <w:tc>
          <w:tcPr>
            <w:tcW w:w="4876" w:type="dxa"/>
            <w:tcBorders>
              <w:top w:val="nil"/>
              <w:left w:val="nil"/>
              <w:bottom w:val="nil"/>
              <w:right w:val="nil"/>
            </w:tcBorders>
          </w:tcPr>
          <w:p>
            <w:pPr>
              <w:pStyle w:val="Normal6a"/>
            </w:pPr>
            <w:r>
              <w:t>11.</w:t>
            </w:r>
            <w:r>
              <w:tab/>
            </w:r>
            <w:r>
              <w:t>kehottaa jäsenvaltioita täyttämään yhteisen sitoumuksensa antaa vähintään 0,7 prosenttia bruttokansantulosta (bktl) virallisena kehitysapuna ja osoittamaan 10 prosenttia virallisesta kehitysavustaan humanitaarisiin toimiin;</w:t>
            </w:r>
            <w:r>
              <w:rPr>
                <w:b/>
                <w:i/>
              </w:rPr>
              <w:t xml:space="preserve"> kehottaa komissiota varmistamaan säännöllisen, riittävän ja kestävän rahoituksen; peräänkuuluttaa humanitaarisen avun rahoittamista ensisijaisesti julkisista varoista, mukaan lukien järjestöt, jotka edistävät sukupuolten tasa-arvoa ja naisten oikeuksia, koska avun vähentäminen vaarantaa vakavasti naisjohtoisten ja naisten oikeuksia edistävien järjestöjen tarjoamien elintärkeiden palvelujen saatavuuden; muistuttaa, että naisiin ja tyttöihin investoiminen on tärkeä strateginen investointi, jolla on pitkän aikavälin myönteisiä vaikutuksia koko yhteiskuntaan sekä tulevien sukupolvien sosiaaliseen ja taloudelliseen hyvinvointiin; pitää valitettavana USAIDin rahoituksen lakkauttamista ja toteaa sillä olevan tuhoisa vaikutus maailmanlaajuisen yhteisön pyrkimykseen saavuttaa sukupuolten tasa-arvo ja parantaa kaikkien naisten ja tyttöjen toimintamahdollisuuksia; pitää valitettavana, että tällä on haitallinen vaikutus äitiyskuolleisuuteen, koska seksuaalikasvatuksen ja lisääntymisterveydenhuollon saatavuus heikkenevät; korostaa, että investoinneilla sukupuolten tasa-arvoon pelastetaan henkiä humanitaarisissa kriisitilanteissa; kehottaa komissiota ja jäsenvaltioita puuttumaan kiireellisesti Yhdysvaltojen jälkeensä jättämiin vajeisiin muun muassa lisäämällä EU:n panostusta tukiorganisaatioille, jotka tarjoavat keskeisiä ihmishenkiä pelastavia palveluja humanitaarisissa yhteyksissä, myös seksuaali- ja lisääntymisterveyden ja -oikeuksien alalla;</w:t>
            </w:r>
          </w:p>
        </w:tc>
      </w:tr>
    </w:tbl>
    <w:p>
      <w:r>
        <w:rPr>
          <w:rStyle w:val="HideTWBExt"/>
        </w:rPr>
        <w:t>&lt;/Amend&gt;</w:t>
      </w:r>
    </w:p>
    <w:p>
      <w:pPr>
        <w:pStyle w:val="AmNumberTabs"/>
      </w:pPr>
      <w:r>
        <w:rPr>
          <w:rStyle w:val="HideTWBExt"/>
        </w:rPr>
        <w:t>&lt;Amend&gt;</w:t>
      </w:r>
      <w:r>
        <w:t>Tarkistus</w:t>
      </w:r>
      <w:r>
        <w:tab/>
      </w:r>
      <w:r>
        <w:tab/>
      </w:r>
      <w:r>
        <w:rPr>
          <w:rStyle w:val="HideTWBExt"/>
        </w:rPr>
        <w:t>&lt;NumAm&gt;</w:t>
      </w:r>
      <w:r>
        <w:t>53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a.</w:t>
            </w:r>
            <w:r>
              <w:tab/>
            </w:r>
            <w:r>
              <w:rPr>
                <w:b/>
                <w:i/>
              </w:rPr>
              <w:t>pitää hälyttävänä, että naisten oikeuksien rahoitus katsotaan yhä useammin vähemmän tärkeäksi ja että ruohonjuuritason liikkeet sekä naisten oikeuksia edistävät järjestöt ovat jatkuvasti ja järjestelmällisesti alirahoitettuja ja saavat alle prosentin maailmanlaajuisesta virallisesta kehitysavusta</w:t>
            </w:r>
            <w:r>
              <w:rPr>
                <w:b/>
                <w:i/>
                <w:vertAlign w:val="superscript"/>
              </w:rPr>
              <w:t>1 a</w:t>
            </w:r>
            <w:r>
              <w:rPr>
                <w:b/>
                <w:i/>
              </w:rPr>
              <w:t>;</w:t>
            </w:r>
            <w:r>
              <w:rPr>
                <w:b/>
                <w:i/>
              </w:rPr>
              <w:t xml:space="preserve"> korostaa, että samaan aikaan sellaisten sukupuolten tasa-arvoa vastustavien ryhmien rahoitus kasvaa huolestuttavasti, jotka pyrkivät torjumaan naisten ja hlbtiq+-henkilöiden oikeuksissa viime vuosikymmeninä saavutettua edistystä; kehottaa komissiota sitoutumaan siihen, että seuraavassa monivuotisessa rahoituskehyksessä 85 prosenttia virallisen kehitysavun rahoituksesta suunnataan hankkeille, joissa sukupuoli on merkittävä tai ensisijainen tavoite, ja vähintään 20 prosenttia hankkeille, joiden ensisijainen tavoite on tukea sukupuolten tasa-arvoa sekä naisten ja tyttöjen oikeuksia ja toimintamahdollisuuksia; vaatii EU:ta perustamaan erityisiä suojelu- ja siirtämismekanismeja naisten oikeuksien puolustajille ja feministijärjestöille, jotka ovat hyökkäysten kohteena sen vuoksi, että ne tekevät työtä seksuaali- ja lisääntymisoikeuksien ja sukupuolten tasa-arvon aloilla, etenkin autoritaarisissa, konflikti- ja miehitystilanteissa;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ODI:n toimintapoliittinen katsaus ”Where next for feminist foreign policy – on funding feminist movements?”, https://media.odi.org/documents/ODI-ET-FundingMovements-PB-EN-May24-Final.pdf.</w:t>
            </w:r>
          </w:p>
        </w:tc>
      </w:tr>
    </w:tbl>
    <w:p>
      <w:r>
        <w:rPr>
          <w:rStyle w:val="HideTWBExt"/>
        </w:rPr>
        <w:t>&lt;/Amend&gt;</w:t>
      </w:r>
    </w:p>
    <w:p>
      <w:pPr>
        <w:pStyle w:val="AmNumberTabs"/>
      </w:pPr>
      <w:r>
        <w:rPr>
          <w:rStyle w:val="HideTWBExt"/>
        </w:rPr>
        <w:t>&lt;Amend&gt;</w:t>
      </w:r>
      <w:r>
        <w:t>Tarkistus</w:t>
      </w:r>
      <w:r>
        <w:tab/>
      </w:r>
      <w:r>
        <w:tab/>
      </w:r>
      <w:r>
        <w:rPr>
          <w:rStyle w:val="HideTWBExt"/>
        </w:rPr>
        <w:t>&lt;NumAm&gt;</w:t>
      </w:r>
      <w:r>
        <w:t>54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 korostaa, että hauraiden ympäristöjen moninaisuus edellyttää räätälöityjä lähestymistapoja ja erityisiä rahoitusvälineitä, joilla edistetään humanitaaristen, kehitystyön ja rauhantyön toimijoiden yhtenäistä toimintaa keskittyen erityisesti paikallisten toimijoiden osallistamiseen ja heidän vaikutusmahdollisuuksiensa lisäämiseen;</w:t>
            </w:r>
          </w:p>
        </w:tc>
        <w:tc>
          <w:tcPr>
            <w:tcW w:w="4876" w:type="dxa"/>
            <w:tcBorders>
              <w:top w:val="nil"/>
              <w:left w:val="nil"/>
              <w:bottom w:val="nil"/>
              <w:right w:val="nil"/>
            </w:tcBorders>
          </w:tcPr>
          <w:p>
            <w:pPr>
              <w:pStyle w:val="Normal6a"/>
            </w:pPr>
            <w:r>
              <w:t xml:space="preserve">12. </w:t>
            </w:r>
            <w:r>
              <w:rPr>
                <w:b/>
                <w:i/>
              </w:rPr>
              <w:t xml:space="preserve">korostaa aseellisten konfliktien sekä humanitaaristen ja ilmastokriisien välistä vahvaa yhteyttä sekä pakkomuuton, ihmiskaupan ja hyväksikäytön riskin kasvua ja niiden suhteetonta vaikutusta naisiin ja tyttöihin; korostaa, että on vahvistettava toimenpiteitä uhrien syntymisen ehkäisemiseksi, tunnistamiseksi, suojelemiseksi ja tukemiseksi varmistaen, että kaikkiin humanitaarisiin toimiin sisältyy sukupuolinäkökulma ja että niissä edistetään heikoimmassa asemassa olevien oikeuksia EU:n toimielinten, jäsenvaltioiden ja kansainvälisten järjestöjen tehokkaan koordinoinnin avulla; ilmaisee huolensa ihmiskaupan kasvaneesta riskistä humanitaarisissa yhteyksissä, joissa ihmiskauppiaat käyttävät hyväkseen siirtymään joutuneen väestön, erityisesti naisten ja tyttöjen, haavoittuvia ja epätoivoisia olosuhteita; korostaa, että tarvitaan sukupuoliresponsiivisia suojelutoimia, myös turvallisia raportointimekanismeja, keskeisten palvelujen saatavuutta ja ihmiskaupan vastaisten toimien sisällyttämistä humanitaarisen toiminnan kaikkiin vaiheisiin; </w:t>
            </w:r>
            <w:r>
              <w:t>korostaa, että hauraiden ympäristöjen moninaisuus edellyttää räätälöityjä lähestymistapoja ja erityisiä rahoitusvälineitä, joilla edistetään humanitaaristen, kehitystyön ja rauhantyön toimijoiden yhtenäistä toimintaa keskittyen erityisesti paikallisten toimijoiden osallistamiseen ja heidän vaikutusmahdollisuuksiensa lisäämiseen;</w:t>
            </w:r>
            <w:r>
              <w:rPr>
                <w:b/>
                <w:i/>
              </w:rPr>
              <w:t xml:space="preserve"> korostaa, että peruspalvelujen romahtaminen vaikuttaa naisiin ja tyttöihin suhteettoman paljon humanitaarisissa kriiseissä ja että heidän perustarpeensa jäävät usein ensimmäisinä täyttämättä, vaikka heidän itsensä odotetaan paikkaavan palveluiden aukkoja esimerkiksi ottamalla vastuuta lisääntyvistä hoivatehtävistä ja varmistamalla ruoan ja veden saannin; korostaa, että humanitaarisissa strategioissa on otettava huomioon sekä nuorten että ikääntyneiden naisten erityistarpeet, sillä heihin kohdistuu usein erilaisia haavoittuvuuksia, joita ovat muun muassa suunnitteluprosessien ulkopuolelle jättäminen, räätälöityjen palvelujen rajallinen saatavuus ja kasvanut hyväksikäytön tai laiminlyönnin riski; kehottaa toteuttamaan nuorille, erityisesti naisille ja tytöille, tarkoitettuja ohjelmia, joilla taataan heille mahdollisuus koulutukseen, kuukautisterveyteen, seksuaali- ja lisääntymisterveyteen ja psykososiaaliseen tukeen;</w:t>
            </w:r>
            <w:r>
              <w:br/>
            </w:r>
          </w:p>
        </w:tc>
      </w:tr>
    </w:tbl>
    <w:p>
      <w:r>
        <w:rPr>
          <w:rStyle w:val="HideTWBExt"/>
        </w:rPr>
        <w:t>&lt;/Amend&gt;</w:t>
      </w:r>
    </w:p>
    <w:p>
      <w:pPr>
        <w:pStyle w:val="AmNumberTabs"/>
      </w:pPr>
      <w:r>
        <w:rPr>
          <w:rStyle w:val="HideTWBExt"/>
        </w:rPr>
        <w:t>&lt;Amend&gt;</w:t>
      </w:r>
      <w:r>
        <w:t>Tarkistus</w:t>
      </w:r>
      <w:r>
        <w:tab/>
      </w:r>
      <w:r>
        <w:tab/>
      </w:r>
      <w:r>
        <w:rPr>
          <w:rStyle w:val="HideTWBExt"/>
        </w:rPr>
        <w:t>&lt;NumAm&gt;</w:t>
      </w:r>
      <w:r>
        <w:t>55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12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a.</w:t>
            </w:r>
            <w:r>
              <w:tab/>
            </w:r>
            <w:r>
              <w:rPr>
                <w:b/>
                <w:i/>
              </w:rPr>
              <w:t>kehottaa varmistamaan naisten ja tyttöjen taloudelliset toimintamahdollisuudet ja sen, että heillä on pysyvästi mahdollisuus tuloihin, koulutukseen, ravintoon ja turvallisiin tiloihin, ja kehottaa ymmärtämään, että näiden perusasioiden puute lisää merkittävästi sukupuolistuneen taloudellisen väkivallan, hyväksikäytön ja vahingollisten käytäntöjen uhkaa, kuten varhaisten avioliittojen, seksuaalisen hyväksikäytön ja turvattomia reittejä kulkevan muuttoliikkeen riskiä;</w:t>
            </w:r>
          </w:p>
        </w:tc>
      </w:tr>
    </w:tbl>
    <w:p>
      <w:r>
        <w:rPr>
          <w:rStyle w:val="HideTWBExt"/>
        </w:rPr>
        <w:t>&lt;/Amend&gt;</w:t>
      </w:r>
    </w:p>
    <w:p>
      <w:pPr>
        <w:pStyle w:val="AmNumberTabs"/>
      </w:pPr>
      <w:r>
        <w:rPr>
          <w:rStyle w:val="HideTWBExt"/>
        </w:rPr>
        <w:t>&lt;Amend&gt;</w:t>
      </w:r>
      <w:r>
        <w:t>Tarkistus</w:t>
      </w:r>
      <w:r>
        <w:tab/>
      </w:r>
      <w:r>
        <w:tab/>
      </w:r>
      <w:r>
        <w:rPr>
          <w:rStyle w:val="HideTWBExt"/>
        </w:rPr>
        <w:t>&lt;NumAm&gt;</w:t>
      </w:r>
      <w:r>
        <w:t>56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12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w:t>
            </w:r>
            <w:r>
              <w:tab/>
            </w:r>
            <w:r>
              <w:rPr>
                <w:b/>
                <w:i/>
              </w:rPr>
              <w:t>korostaa erityisesti Afganistanin tilannetta, sillä maassa vallitsee vakava ja monimutkainen humanitaarinen kriisi ja yli 23,7 miljoonaa ihmistä on avun tarpeessa; toteaa, että tilanne todennäköisesti pahenee entisestään Pakistanista ja Iranista karkotettavien pakolaisten ja jatkuvan alueellisen epävakauden vuoksi; suhtautuu myönteisesti EU:n 266 miljoonan euron tukisitoumukseen ja kehottaa kohdennettuihin paikallisiin toimiin naisten ja tyttöjen auttamiseksi;</w:t>
            </w:r>
          </w:p>
        </w:tc>
      </w:tr>
    </w:tbl>
    <w:p>
      <w:r>
        <w:rPr>
          <w:rStyle w:val="HideTWBExt"/>
        </w:rPr>
        <w:t>&lt;/Amend&gt;</w:t>
      </w:r>
    </w:p>
    <w:p>
      <w:pPr>
        <w:pStyle w:val="AmNumberTabs"/>
      </w:pPr>
      <w:r>
        <w:rPr>
          <w:rStyle w:val="HideTWBExt"/>
        </w:rPr>
        <w:t>&lt;Amend&gt;</w:t>
      </w:r>
      <w:r>
        <w:t>Tarkistus</w:t>
      </w:r>
      <w:r>
        <w:tab/>
      </w:r>
      <w:r>
        <w:tab/>
      </w:r>
      <w:r>
        <w:rPr>
          <w:rStyle w:val="HideTWBExt"/>
        </w:rPr>
        <w:t>&lt;NumAm&gt;</w:t>
      </w:r>
      <w:r>
        <w:t>57</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kehottaa komissiota esittämään viipymättä </w:t>
            </w:r>
            <w:r>
              <w:rPr>
                <w:b/>
                <w:i/>
              </w:rPr>
              <w:t>hauraisiin ympäristöihin sovellettavan kunnianhimoisen ja yhdennetyn lähestymistavan</w:t>
            </w:r>
            <w:r>
              <w:t xml:space="preserve"> ja kuulemaan parlamenttia tämän </w:t>
            </w:r>
            <w:r>
              <w:rPr>
                <w:b/>
                <w:i/>
              </w:rPr>
              <w:t>lähestymistavan</w:t>
            </w:r>
            <w:r>
              <w:t xml:space="preserve"> valmistelusta ja täytäntöönpanosta;</w:t>
            </w:r>
          </w:p>
        </w:tc>
        <w:tc>
          <w:tcPr>
            <w:tcW w:w="4876" w:type="dxa"/>
            <w:tcBorders>
              <w:top w:val="nil"/>
              <w:left w:val="nil"/>
              <w:bottom w:val="nil"/>
              <w:right w:val="nil"/>
            </w:tcBorders>
          </w:tcPr>
          <w:p>
            <w:pPr>
              <w:pStyle w:val="Normal6a"/>
            </w:pPr>
            <w:r>
              <w:t>13.</w:t>
            </w:r>
            <w:r>
              <w:tab/>
            </w:r>
            <w:r>
              <w:t xml:space="preserve">kehottaa komissiota </w:t>
            </w:r>
            <w:r>
              <w:rPr>
                <w:b/>
                <w:i/>
              </w:rPr>
              <w:t>ja EUH:ta</w:t>
            </w:r>
            <w:r>
              <w:t xml:space="preserve"> esittämään viipymättä </w:t>
            </w:r>
            <w:r>
              <w:rPr>
                <w:b/>
                <w:i/>
              </w:rPr>
              <w:t>yhdennettyä haurausstrategiaa, jossa otetaan huomioon sukupuoliulottuvuus,</w:t>
            </w:r>
            <w:r>
              <w:t xml:space="preserve"> ja kuulemaan parlamenttia tämän </w:t>
            </w:r>
            <w:r>
              <w:rPr>
                <w:b/>
                <w:i/>
              </w:rPr>
              <w:t>strategian</w:t>
            </w:r>
            <w:r>
              <w:t xml:space="preserve"> valmistelusta ja täytäntöönpanosta;</w:t>
            </w:r>
            <w:r>
              <w:rPr>
                <w:b/>
                <w:i/>
              </w:rPr>
              <w:t xml:space="preserve"> korostaa, että humanitaarisissa yhteyksissä naiset olisi nähtävä paitsi uhreina myös muutosvoimana, jotka edistävät aktiivisesti myönteistä muutosta ja vaikuttavat omaan kohtaloonsa; </w:t>
            </w:r>
            <w:r>
              <w:rPr>
                <w:b/>
                <w:i/>
              </w:rPr>
              <w:t>korostaa, että naisten potentiaali, tietämys ja valmiudet on otettava kokonaisuudessaan mielekkäästi huomioon humanitaaristen ja turvallisuuspolitiikkojen sekä -käytäntöjen uudistuksessa, jotta toimista saadaan osallistavampia, tehokkaampia ja kestävämpiä;</w:t>
            </w:r>
          </w:p>
        </w:tc>
      </w:tr>
    </w:tbl>
    <w:p>
      <w:r>
        <w:rPr>
          <w:rStyle w:val="HideTWBExt"/>
        </w:rPr>
        <w:t>&lt;/Amend&gt;</w:t>
      </w:r>
    </w:p>
    <w:p>
      <w:pPr>
        <w:pStyle w:val="AmNumberTabs"/>
      </w:pPr>
      <w:r>
        <w:rPr>
          <w:rStyle w:val="HideTWBExt"/>
        </w:rPr>
        <w:t>&lt;Amend&gt;</w:t>
      </w:r>
      <w:r>
        <w:t>Tarkistus</w:t>
      </w:r>
      <w:r>
        <w:tab/>
      </w:r>
      <w:r>
        <w:tab/>
      </w:r>
      <w:r>
        <w:rPr>
          <w:rStyle w:val="HideTWBExt"/>
        </w:rPr>
        <w:t>&lt;NumAm&gt;</w:t>
      </w:r>
      <w:r>
        <w:t>58</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a.</w:t>
            </w:r>
            <w:r>
              <w:tab/>
            </w:r>
            <w:r>
              <w:rPr>
                <w:b/>
                <w:i/>
              </w:rPr>
              <w:t>painottaa, että on kiireellisesti sisällytettävä sukupuoliresponsiivinen ja inklusiivinen suunnittelu kaikkiin humanitaarisiin suunnitelmiin ja keskityttävä erityisesti naisten ja tyttöjen erityistarpeisiin, myös raskaana olevien naisten ja syrjäytyneiden ryhmien, kuten hlbtiq+ -henkilöiden, vammaisten ja risteävän syrjinnän kohteeksi joutuvien henkilöiden, ja on varmistettava heidän merkityksellinen osallistumisensa humanitaariseen päätöksentekoon; korostaa, että humanitaarisissa toimissa on asetettava etusijalle naisten ja muiden haavoittuvassa asemassa olevien, kriisitilanteissa usein vähälle huomiolle jäävien ryhmien turvallisuus, ihmisarvo ja pääsy palveluihin; katsoo tähän liittyen, että iän, sukupuolen ja vammaisuuden mukaan eriteltyjen tietojen kerääminen on keskeistä tehokkaiden humanitaaristen toimien suunnittelussa ja arvioinnissa;</w:t>
            </w:r>
          </w:p>
        </w:tc>
      </w:tr>
    </w:tbl>
    <w:p>
      <w:r>
        <w:rPr>
          <w:rStyle w:val="HideTWBExt"/>
        </w:rPr>
        <w:t>&lt;/Amend&gt;</w:t>
      </w:r>
    </w:p>
    <w:p>
      <w:pPr>
        <w:pStyle w:val="AmNumberTabs"/>
      </w:pPr>
      <w:r>
        <w:rPr>
          <w:rStyle w:val="HideTWBExt"/>
        </w:rPr>
        <w:t>&lt;Amend&gt;</w:t>
      </w:r>
      <w:r>
        <w:t>Tarkistus</w:t>
      </w:r>
      <w:r>
        <w:tab/>
      </w:r>
      <w:r>
        <w:tab/>
      </w:r>
      <w:r>
        <w:rPr>
          <w:rStyle w:val="HideTWBExt"/>
        </w:rPr>
        <w:t>&lt;NumAm&gt;</w:t>
      </w:r>
      <w:r>
        <w:t>59</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13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w:t>
            </w:r>
            <w:r>
              <w:tab/>
            </w:r>
            <w:r>
              <w:rPr>
                <w:b/>
                <w:i/>
              </w:rPr>
              <w:t>palauttaa mieliin komission humanitaarisen toiminnan sukupuoli–ikä-indikaattorin ja korostaa, että on tärkeää ohjeistaa, miten sukupuoli- ja ikänäkökohdat sisällytetään humanitaariseen toimintaan ja miten indikaattoria sovelletaan humanitaarisiin hankkeisiin;</w:t>
            </w:r>
          </w:p>
        </w:tc>
      </w:tr>
    </w:tbl>
    <w:p>
      <w:r>
        <w:rPr>
          <w:rStyle w:val="HideTWBExt"/>
        </w:rPr>
        <w:t>&lt;/Amend&gt;</w:t>
      </w:r>
    </w:p>
    <w:p>
      <w:pPr>
        <w:pStyle w:val="AmNumberTabs"/>
      </w:pPr>
      <w:r>
        <w:rPr>
          <w:rStyle w:val="HideTWBExt"/>
        </w:rPr>
        <w:t>&lt;Amend&gt;</w:t>
      </w:r>
      <w:r>
        <w:t>Tarkistus</w:t>
      </w:r>
      <w:r>
        <w:tab/>
      </w:r>
      <w:r>
        <w:tab/>
      </w:r>
      <w:r>
        <w:rPr>
          <w:rStyle w:val="HideTWBExt"/>
        </w:rPr>
        <w:t>&lt;NumAm&gt;</w:t>
      </w:r>
      <w:r>
        <w:t>60</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13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c.</w:t>
            </w:r>
            <w:r>
              <w:tab/>
            </w:r>
            <w:r>
              <w:rPr>
                <w:b/>
                <w:i/>
              </w:rPr>
              <w:t>korostaa, että on tärkeää, että EU jatkaa politiikkojen ja suuntaviivojen laatimista asiaankuuluvilla humanitaarisen avun osa-alueilla niiden vaikutusten pohjalta, joita sen alakohtaisilla toimintapolitiikoilla on ollut esimerkiksi suojelun, sukupuolinäkökohtien, vammaisuuden, ruoan, ravitsemuksen, terveyden – mukaan lukien mielenterveyden ja psykososiaalisen tuen –, majoituksen, veden, sanitaation ja hygienian, hätätilanteissa annettavan koulutuksen, ympäristön ja avun toimitusmenetelmien osalta; kehottaa lisäämään investointeja naisten, tyttöjen ja hlbtiq+ ‑henkilöiden mielenterveyden tukemiseen humanitaarisissa yhteyksissä, myös traumatietoiseen hoitoon, sekä tiedostamaan aseellisten konfliktien, pakkosiirtojen ja sukupuolistuneen väkivallan pitkäaikaiset psykologiset seuraukset;</w:t>
            </w:r>
          </w:p>
        </w:tc>
      </w:tr>
    </w:tbl>
    <w:p>
      <w:r>
        <w:rPr>
          <w:rStyle w:val="HideTWBExt"/>
        </w:rPr>
        <w:t>&lt;/Amend&gt;</w:t>
      </w:r>
    </w:p>
    <w:p>
      <w:pPr>
        <w:pStyle w:val="AmNumberTabs"/>
      </w:pPr>
      <w:r>
        <w:rPr>
          <w:rStyle w:val="HideTWBExt"/>
        </w:rPr>
        <w:t>&lt;Amend&gt;</w:t>
      </w:r>
      <w:r>
        <w:t>Tarkistus</w:t>
      </w:r>
      <w:r>
        <w:tab/>
      </w:r>
      <w:r>
        <w:tab/>
      </w:r>
      <w:r>
        <w:rPr>
          <w:rStyle w:val="HideTWBExt"/>
        </w:rPr>
        <w:t>&lt;NumAm&gt;</w:t>
      </w:r>
      <w:r>
        <w:t>61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13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d.</w:t>
            </w:r>
            <w:r>
              <w:tab/>
            </w:r>
            <w:r>
              <w:rPr>
                <w:b/>
                <w:i/>
              </w:rPr>
              <w:t>kannustaa komissiota antamaan suuntaviivoja, joissa kehotetaan tarjoamaan ja rahoittamaan seksuaali- ja lisääntymisterveyteen liittyviä tarvikkeita ja palveluja kuten seksuaali- ja lisääntymisterveyttä kriisitilanteissa koskevassa alustavassa minimipalvelupaketissa esitetään, ja sisällyttämään tämän järjestelmällisesti humanitaarisiin avustustoimiin, mukaan lukien HIV/AIDS-tartuntojen ehkäisyn, lisääntymis-, äitiys- ja imeväisterveyden ja perhesuunnittelun ottaen huomioon erityiset ravitsemustarpeet ja haavoittuvuudet;</w:t>
            </w:r>
          </w:p>
        </w:tc>
      </w:tr>
    </w:tbl>
    <w:p>
      <w:r>
        <w:rPr>
          <w:rStyle w:val="HideTWBExt"/>
        </w:rPr>
        <w:t>&lt;/Amend&gt;</w:t>
      </w:r>
    </w:p>
    <w:p>
      <w:pPr>
        <w:pStyle w:val="AmNumberTabs"/>
      </w:pPr>
      <w:r>
        <w:rPr>
          <w:rStyle w:val="HideTWBExt"/>
        </w:rPr>
        <w:t>&lt;Amend&gt;</w:t>
      </w:r>
      <w:r>
        <w:t>Tarkistus</w:t>
      </w:r>
      <w:r>
        <w:tab/>
      </w:r>
      <w:r>
        <w:tab/>
      </w:r>
      <w:r>
        <w:rPr>
          <w:rStyle w:val="HideTWBExt"/>
        </w:rPr>
        <w:t>&lt;NumAm&gt;</w:t>
      </w:r>
      <w:r>
        <w:t>62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13 e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e.</w:t>
            </w:r>
            <w:r>
              <w:tab/>
            </w:r>
            <w:r>
              <w:rPr>
                <w:b/>
                <w:i/>
              </w:rPr>
              <w:t>kehottaa komissiota ja EUH:ta edelleen asettamaan sukupuolten tasa-arvon ja naisten oikeuksien edistämisen ja vaikutusmahdollisuuksien lisäämisen, myös kestävän kehityksen tavoitteen 5 täytäntöönpanon, painopisteeksi kaikissa EU:n ulkoisia toimia koskevissa aloitteissa ja hyödyntämään lisäksi diplomatiaa ja strategisia kumppanuuksia sukupuolten tasa-arvon edistämiseksi maailmanlaajuisessa poliittisessa ohjelmassa ja hyväksymään sukupuolten tasa-arvon edistämistä koskeva EU:n toimintasuunnitelma IV;</w:t>
            </w:r>
          </w:p>
        </w:tc>
      </w:tr>
    </w:tbl>
    <w:p>
      <w:r>
        <w:rPr>
          <w:rStyle w:val="HideTWBExt"/>
        </w:rPr>
        <w:t>&lt;/Amend&gt;</w:t>
      </w:r>
    </w:p>
    <w:p>
      <w:pPr>
        <w:pStyle w:val="AmNumberTabs"/>
      </w:pPr>
      <w:r>
        <w:rPr>
          <w:rStyle w:val="HideTWBExt"/>
        </w:rPr>
        <w:t>&lt;Amend&gt;</w:t>
      </w:r>
      <w:r>
        <w:t>Tarkistus</w:t>
      </w:r>
      <w:r>
        <w:tab/>
      </w:r>
      <w:r>
        <w:tab/>
      </w:r>
      <w:r>
        <w:rPr>
          <w:rStyle w:val="HideTWBExt"/>
        </w:rPr>
        <w:t>&lt;NumAm&gt;</w:t>
      </w:r>
      <w:r>
        <w:t>63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14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kehottaa EU:ta etenemään humanitaarisen avun, kehitysyhteistyön ja rauhantyön muodostaman kokonaisuuden toteuttamisessa tukemalla paikallisia järjestöjä ja varmistamalla, että ne otetaan kaikilta osin mukaan humanitaarisen avun ohjelmasykliin;</w:t>
            </w:r>
          </w:p>
        </w:tc>
        <w:tc>
          <w:tcPr>
            <w:tcW w:w="4876" w:type="dxa"/>
            <w:tcBorders>
              <w:top w:val="nil"/>
              <w:left w:val="nil"/>
              <w:bottom w:val="nil"/>
              <w:right w:val="nil"/>
            </w:tcBorders>
          </w:tcPr>
          <w:p>
            <w:pPr>
              <w:pStyle w:val="Normal6a"/>
            </w:pPr>
            <w:r>
              <w:t>14.</w:t>
            </w:r>
            <w:r>
              <w:tab/>
            </w:r>
            <w:r>
              <w:t>kehottaa EU:ta etenemään humanitaarisen avun, kehitysyhteistyön ja rauhantyön muodostaman kokonaisuuden toteuttamisessa tukemalla paikallisia järjestöjä ja varmistamalla, että ne otetaan kaikilta osin mukaan humanitaarisen avun ohjelmasykliin;</w:t>
            </w:r>
            <w:r>
              <w:rPr>
                <w:b/>
                <w:i/>
              </w:rPr>
              <w:t xml:space="preserve"> kehottaa komissiota ottamaan naiset mukaan kaikkeen päätöksentekoon, erityisesti paikallistasolla; kehottaa komissiota ylläpitämään olemassa olevia kumppanuuksia paikallistason naisjohtoisten ja naisten oikeuksia edistävien järjestöjen kanssa ja muutosten ollessa väistämättömiä varmistamaan oikea-aikaisen ja avoimen viestinnän, joka tukee arvokasta, haittoja pienentävää siirtymää ja palvelujen jatkuvuutta; vastustaa ankarasti humanitaarisen avun käyttämistä turvallisuuden tai muuttoliikkeen hallinnan tarkoituksiin, kuten ulkorajojen valvonnan ulkoistamiseen; korostaa, että tällaiset käytännöt heikentävät humanitaaristen toimien periaatteita ja aiheuttavat kohtuutonta haittaa naisille, tytöille, hlbtiq+ -henkilöille ja siirtymään joutuneille yhteisöille; muistuttaa, että pushback-käytäntö ja turvapaikanhakijoiden ja suojelua tarvitsevien muuttajien pysäyttäminen EU:n ulkorajoilla tai ennen rajalle saapumista heikentävät EU:n perussopimuksissa vahvistettuja unionin arvoja ja rikkovat kansainvälistä ja EU:n humanitaarista lainsäädäntöä ja ihmisoikeuksia koskevaa lainsäädäntöä;</w:t>
            </w:r>
          </w:p>
        </w:tc>
      </w:tr>
    </w:tbl>
    <w:p>
      <w:r>
        <w:rPr>
          <w:rStyle w:val="HideTWBExt"/>
        </w:rPr>
        <w:t>&lt;/Amend&gt;</w:t>
      </w:r>
    </w:p>
    <w:p>
      <w:pPr>
        <w:pStyle w:val="AmNumberTabs"/>
      </w:pPr>
      <w:r>
        <w:rPr>
          <w:rStyle w:val="HideTWBExt"/>
        </w:rPr>
        <w:t>&lt;Amend&gt;</w:t>
      </w:r>
      <w:r>
        <w:t>Tarkistus</w:t>
      </w:r>
      <w:r>
        <w:tab/>
      </w:r>
      <w:r>
        <w:tab/>
      </w:r>
      <w:r>
        <w:rPr>
          <w:rStyle w:val="HideTWBExt"/>
        </w:rPr>
        <w:t>&lt;NumAm&gt;</w:t>
      </w:r>
      <w:r>
        <w:t>64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15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kehottaa komissiota täyttämään sitoumuksensa kanavoida vähintään 25 prosenttia humanitaarisesta rahoituksestaan paikallisille toimijoille vuoteen 2027 mennessä;</w:t>
            </w:r>
          </w:p>
        </w:tc>
        <w:tc>
          <w:tcPr>
            <w:tcW w:w="4876" w:type="dxa"/>
            <w:tcBorders>
              <w:top w:val="nil"/>
              <w:left w:val="nil"/>
              <w:bottom w:val="nil"/>
              <w:right w:val="nil"/>
            </w:tcBorders>
          </w:tcPr>
          <w:p>
            <w:pPr>
              <w:pStyle w:val="Normal6a"/>
            </w:pPr>
            <w:r>
              <w:t>15.</w:t>
            </w:r>
            <w:r>
              <w:tab/>
            </w:r>
            <w:r>
              <w:t xml:space="preserve">kehottaa komissiota täyttämään sitoumuksensa kanavoida vähintään 25 prosenttia humanitaarisesta rahoituksestaan paikallisille toimijoille vuoteen 2027 mennessä </w:t>
            </w:r>
            <w:r>
              <w:rPr>
                <w:b/>
                <w:i/>
              </w:rPr>
              <w:t>niin suoraan kuin mahdollista ja keskittyen erityisesti paikallisiin naisten oikeuksia edistäviin järjestöihin;</w:t>
            </w:r>
            <w:r>
              <w:rPr>
                <w:b/>
                <w:i/>
              </w:rPr>
              <w:t xml:space="preserve"> </w:t>
            </w:r>
            <w:r>
              <w:rPr>
                <w:b/>
                <w:i/>
              </w:rPr>
              <w:t>kehottaa komissiota helpottamaan, yksinkertaistamaan ja yhdenmukaistamaan varojen saatavuutta paikallisille ja kansallisille toimijoille nk. uusi diili -sopimuksen sitoumusten mukaisesti</w:t>
            </w:r>
            <w:r>
              <w:t>;</w:t>
            </w:r>
          </w:p>
        </w:tc>
      </w:tr>
    </w:tbl>
    <w:p>
      <w:r>
        <w:rPr>
          <w:rStyle w:val="HideTWBExt"/>
        </w:rPr>
        <w:t>&lt;/Amend&gt;</w:t>
      </w:r>
    </w:p>
    <w:p>
      <w:pPr>
        <w:pStyle w:val="AmNumberTabs"/>
      </w:pPr>
      <w:r>
        <w:rPr>
          <w:rStyle w:val="HideTWBExt"/>
        </w:rPr>
        <w:t>&lt;Amend&gt;</w:t>
      </w:r>
      <w:r>
        <w:t>Tarkistus</w:t>
      </w:r>
      <w:r>
        <w:tab/>
      </w:r>
      <w:r>
        <w:tab/>
      </w:r>
      <w:r>
        <w:rPr>
          <w:rStyle w:val="HideTWBExt"/>
        </w:rPr>
        <w:t>&lt;NumAm&gt;</w:t>
      </w:r>
      <w:r>
        <w:t>65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16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toteaa, että ennakoivien toimien toteuttaminen kriisialttiissa ympäristössä ennen humanitaaristen kriisien puhkeamista on tehokas keino ehkäistä tai lieventää tulevia humanitaarisia tarpeita;</w:t>
            </w:r>
          </w:p>
        </w:tc>
        <w:tc>
          <w:tcPr>
            <w:tcW w:w="4876" w:type="dxa"/>
            <w:tcBorders>
              <w:top w:val="nil"/>
              <w:left w:val="nil"/>
              <w:bottom w:val="nil"/>
              <w:right w:val="nil"/>
            </w:tcBorders>
          </w:tcPr>
          <w:p>
            <w:pPr>
              <w:pStyle w:val="Normal6a"/>
            </w:pPr>
            <w:r>
              <w:t>16.</w:t>
            </w:r>
            <w:r>
              <w:tab/>
            </w:r>
            <w:r>
              <w:t xml:space="preserve">toteaa, että ennakoivien toimien toteuttaminen kriisialttiissa ympäristössä ennen humanitaaristen kriisien puhkeamista on tehokas keino ehkäistä tai lieventää tulevia humanitaarisia tarpeita; </w:t>
            </w:r>
            <w:r>
              <w:rPr>
                <w:b/>
                <w:i/>
              </w:rPr>
              <w:t>korostaa, että tällaisiin ennakoiviin toimintatapoihin on sisällytettävä järjestelmällisesti sukupuolinäkökulma, jolla varmistetaan, että naisten ja tyttöjen erityistarpeet, valmiudet ja johtajuus otetaan huomioon ja niitä tuetaan;</w:t>
            </w:r>
          </w:p>
        </w:tc>
      </w:tr>
    </w:tbl>
    <w:p>
      <w:r>
        <w:rPr>
          <w:rStyle w:val="HideTWBExt"/>
        </w:rPr>
        <w:t>&lt;/Amend&gt;</w:t>
      </w:r>
    </w:p>
    <w:p>
      <w:pPr>
        <w:pStyle w:val="AmNumberTabs"/>
      </w:pPr>
      <w:r>
        <w:rPr>
          <w:rStyle w:val="HideTWBExt"/>
        </w:rPr>
        <w:t>&lt;Amend&gt;</w:t>
      </w:r>
      <w:r>
        <w:t>Tarkistus</w:t>
      </w:r>
      <w:r>
        <w:tab/>
      </w:r>
      <w:r>
        <w:tab/>
      </w:r>
      <w:r>
        <w:rPr>
          <w:rStyle w:val="HideTWBExt"/>
        </w:rPr>
        <w:t>&lt;NumAm&gt;</w:t>
      </w:r>
      <w:r>
        <w:t>66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16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a.</w:t>
            </w:r>
            <w:r>
              <w:tab/>
            </w:r>
            <w:r>
              <w:rPr>
                <w:b/>
                <w:i/>
              </w:rPr>
              <w:t>kehottaa varmistamaan asianmukaiset turvakodit, suojatut tilat ja psykologisen tuen humanitaarisissa kriisitilanteissa väkivallan uhreiksi joutuneille naisille ja tytöille ja tarjoamaan samalla riittävät ja kestävät resurssit;</w:t>
            </w:r>
          </w:p>
        </w:tc>
      </w:tr>
    </w:tbl>
    <w:p>
      <w:r>
        <w:rPr>
          <w:rStyle w:val="HideTWBExt"/>
        </w:rPr>
        <w:t>&lt;/Amend&gt;</w:t>
      </w:r>
    </w:p>
    <w:p>
      <w:pPr>
        <w:pStyle w:val="AmNumberTabs"/>
      </w:pPr>
      <w:r>
        <w:rPr>
          <w:rStyle w:val="HideTWBExt"/>
        </w:rPr>
        <w:t>&lt;Amend&gt;</w:t>
      </w:r>
      <w:r>
        <w:t>Tarkistus</w:t>
      </w:r>
      <w:r>
        <w:tab/>
      </w:r>
      <w:r>
        <w:tab/>
      </w:r>
      <w:r>
        <w:rPr>
          <w:rStyle w:val="HideTWBExt"/>
        </w:rPr>
        <w:t>&lt;NumAm&gt;</w:t>
      </w:r>
      <w:r>
        <w:t>67</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18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kannustaa jäsenvaltioita lisäämään merkittävästi investointejaan paikallisesti johdettuihin ja yhdennettyihin ennakoiviin toimiin;</w:t>
            </w:r>
          </w:p>
        </w:tc>
        <w:tc>
          <w:tcPr>
            <w:tcW w:w="4876" w:type="dxa"/>
            <w:tcBorders>
              <w:top w:val="nil"/>
              <w:left w:val="nil"/>
              <w:bottom w:val="nil"/>
              <w:right w:val="nil"/>
            </w:tcBorders>
          </w:tcPr>
          <w:p>
            <w:pPr>
              <w:pStyle w:val="Normal6a"/>
            </w:pPr>
            <w:r>
              <w:t>18.</w:t>
            </w:r>
            <w:r>
              <w:tab/>
            </w:r>
            <w:r>
              <w:rPr>
                <w:b/>
                <w:i/>
              </w:rPr>
              <w:t xml:space="preserve">kehottaa EU:ta kehittämään sukupuoliresponsiivisia humanitaarisia toimia humanitaarisen avun, kehityksen ja rauhan muodostaman kokonaisuuden mukaisiksi niin, että siirrytään oireiden lyhytaikaisesta lievittämisestä kohti pitkän aikavälin investointeja yhteisön häiriönsietokyvyn vahvistamiseen tulevien kriisien varalta siten, että reagointisuunnitteluun otetaan mukaan kaikkia sukupuolia edustavat henkilöt ja perimmäiset syyt otetaan paremmin huomioon ja niihin myös puututaan; muistuttaa, että EU:n on luotava humanitaarisen avun ja kehitysyhteistyön jatkumo, jotta voidaan vastata seurauksiin, joita kriiseillä ja konflikteilla on kaikkein haavoittuvimmassa asemassa oleville opiskelijoille, kuten tytöille ja nuorille naisille; </w:t>
            </w:r>
            <w:r>
              <w:t>kannustaa jäsenvaltioita lisäämään merkittävästi investointejaan paikallisesti johdettuihin ja yhdennettyihin ennakoiviin toimiin;</w:t>
            </w:r>
            <w:r>
              <w:rPr>
                <w:b/>
                <w:i/>
              </w:rPr>
              <w:t xml:space="preserve"> muistuttaa, että investoimalla humanitaariseen apuun nyt voidaan välttää tulevia humanitaarisia kriisejä ja suuremman rahoituksen tarvetta; kehottaa komissiota esittämään konkreettisempia ehdotuksia sukupuoleen liittyvien toimien erityisistä menoista, ohjelmista, seurannasta ja arvioinnista humanitaarisissa kriiseissä; huomauttaa, että tiedon, palvelujen ja humanitaarisen avun saatavuus on olennaisen tärkeää, jotta voidaan osallistavasti ja tehokkaasti vastata kaikkien kriisistä kärsivien avun tarpeeseen, etenkin haavoittuvassa asemassa oleviin ryhmiin, kuten vammaisiin henkilöihin, lapsiin ja ikääntyneisiin;</w:t>
            </w:r>
          </w:p>
        </w:tc>
      </w:tr>
    </w:tbl>
    <w:p>
      <w:r>
        <w:rPr>
          <w:rStyle w:val="HideTWBExt"/>
        </w:rPr>
        <w:t>&lt;/Amend&gt;</w:t>
      </w:r>
    </w:p>
    <w:p>
      <w:pPr>
        <w:pStyle w:val="AmNumberTabs"/>
      </w:pPr>
      <w:r>
        <w:rPr>
          <w:rStyle w:val="HideTWBExt"/>
        </w:rPr>
        <w:t>&lt;Amend&gt;</w:t>
      </w:r>
      <w:r>
        <w:t>Tarkistus</w:t>
      </w:r>
      <w:r>
        <w:tab/>
      </w:r>
      <w:r>
        <w:tab/>
      </w:r>
      <w:r>
        <w:rPr>
          <w:rStyle w:val="HideTWBExt"/>
        </w:rPr>
        <w:t>&lt;NumAm&gt;</w:t>
      </w:r>
      <w:r>
        <w:t>68</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18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a.</w:t>
            </w:r>
            <w:r>
              <w:tab/>
            </w:r>
            <w:r>
              <w:rPr>
                <w:b/>
                <w:i/>
              </w:rPr>
              <w:t>vahvistaa, että EU:n globaalissa terveysstrategiassa keskitytään terveysongelmien perimmäisiin syihin ja kiinnitetään erityistä huomiota naisten, lasten ja nuorten tarpeisiin ja oikeuksiin, mukaan lukien seksuaali- ja lisääntymisterveyden ja -oikeuksien yleinen saatavuus; toistaa jälleen kantansa, että terveydenhoidon ja psykososiaalisen tuen varmistaminen naisille on keskeinen osa avustus- ja jälleenrakennustoimia ja ensisijainen tavoite humanitaarisen avun, kehitysyhteistyön ja rauhan jatkumossa;</w:t>
            </w:r>
          </w:p>
        </w:tc>
      </w:tr>
    </w:tbl>
    <w:p>
      <w:r>
        <w:rPr>
          <w:rStyle w:val="HideTWBExt"/>
        </w:rPr>
        <w:t>&lt;/Amend&gt;</w:t>
      </w:r>
    </w:p>
    <w:p>
      <w:pPr>
        <w:pStyle w:val="AmNumberTabs"/>
      </w:pPr>
      <w:r>
        <w:rPr>
          <w:rStyle w:val="HideTWBExt"/>
        </w:rPr>
        <w:t>&lt;Amend&gt;</w:t>
      </w:r>
      <w:r>
        <w:t>Tarkistus</w:t>
      </w:r>
      <w:r>
        <w:tab/>
      </w:r>
      <w:r>
        <w:tab/>
      </w:r>
      <w:r>
        <w:rPr>
          <w:rStyle w:val="HideTWBExt"/>
        </w:rPr>
        <w:t>&lt;NumAm&gt;</w:t>
      </w:r>
      <w:r>
        <w:t>69</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18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w:t>
            </w:r>
            <w:r>
              <w:tab/>
            </w:r>
            <w:r>
              <w:rPr>
                <w:b/>
                <w:i/>
              </w:rPr>
              <w:t>korostaa, että on tärkeää helpottaa kriiseistä kärsimään joutuneiden naisten osallistumista itseään, perheitään ja laajempia yhteisöjään koskettavien kriisinhallinta- ja elvytyssuunnitelmien laatimiseen;</w:t>
            </w:r>
          </w:p>
        </w:tc>
      </w:tr>
    </w:tbl>
    <w:p>
      <w:r>
        <w:rPr>
          <w:rStyle w:val="HideTWBExt"/>
        </w:rPr>
        <w:t>&lt;/Amend&gt;</w:t>
      </w:r>
    </w:p>
    <w:p>
      <w:pPr>
        <w:pStyle w:val="AmNumberTabs"/>
      </w:pPr>
      <w:r>
        <w:rPr>
          <w:rStyle w:val="HideTWBExt"/>
        </w:rPr>
        <w:t>&lt;Amend&gt;</w:t>
      </w:r>
      <w:r>
        <w:t>Tarkistus</w:t>
      </w:r>
      <w:r>
        <w:tab/>
      </w:r>
      <w:r>
        <w:tab/>
      </w:r>
      <w:r>
        <w:rPr>
          <w:rStyle w:val="HideTWBExt"/>
        </w:rPr>
        <w:t>&lt;NumAm&gt;</w:t>
      </w:r>
      <w:r>
        <w:t>70</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18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c.</w:t>
            </w:r>
            <w:r>
              <w:tab/>
            </w:r>
            <w:r>
              <w:rPr>
                <w:b/>
                <w:i/>
              </w:rPr>
              <w:t>suhtautuu myönteisesti sukupuolten tasa-arvoa koskevan kolmannen toimintasuunnitelman humanitaarista apua koskevaan määräykseen, jolla tuetaan seksuaaliseen ja sukupuolistuneeseen väkivaltaan varautumista sekä sen ehkäisyä ja siihen reagointia;</w:t>
            </w:r>
          </w:p>
        </w:tc>
      </w:tr>
    </w:tbl>
    <w:p>
      <w:r>
        <w:rPr>
          <w:rStyle w:val="HideTWBExt"/>
        </w:rPr>
        <w:t>&lt;/Amend&gt;</w:t>
      </w:r>
    </w:p>
    <w:p>
      <w:pPr>
        <w:pStyle w:val="AmNumberTabs"/>
      </w:pPr>
      <w:r>
        <w:rPr>
          <w:rStyle w:val="HideTWBExt"/>
        </w:rPr>
        <w:t>&lt;Amend&gt;</w:t>
      </w:r>
      <w:r>
        <w:t>Tarkistus</w:t>
      </w:r>
      <w:r>
        <w:tab/>
      </w:r>
      <w:r>
        <w:tab/>
      </w:r>
      <w:r>
        <w:rPr>
          <w:rStyle w:val="HideTWBExt"/>
        </w:rPr>
        <w:t>&lt;NumAm&gt;</w:t>
      </w:r>
      <w:r>
        <w:t>71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18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d.</w:t>
            </w:r>
            <w:r>
              <w:tab/>
            </w:r>
            <w:r>
              <w:rPr>
                <w:b/>
                <w:i/>
              </w:rPr>
              <w:t>kehottaa myös varmistamaan humanitaarisista kriiseistä kärsiville lapsille turvallisen pääsyn opintoihin muun muassa tukemalla tilapäisiä kouluja, ravitsemusohjelmia ja psykologista apua;</w:t>
            </w:r>
          </w:p>
        </w:tc>
      </w:tr>
    </w:tbl>
    <w:p>
      <w:r>
        <w:rPr>
          <w:rStyle w:val="HideTWBExt"/>
        </w:rPr>
        <w:t>&lt;/Amend&gt;</w:t>
      </w:r>
    </w:p>
    <w:p>
      <w:pPr>
        <w:pStyle w:val="AmNumberTabs"/>
      </w:pPr>
      <w:r>
        <w:rPr>
          <w:rStyle w:val="HideTWBExt"/>
        </w:rPr>
        <w:t>&lt;Amend&gt;</w:t>
      </w:r>
      <w:r>
        <w:t>Tarkistus</w:t>
      </w:r>
      <w:r>
        <w:tab/>
      </w:r>
      <w:r>
        <w:tab/>
      </w:r>
      <w:r>
        <w:rPr>
          <w:rStyle w:val="HideTWBExt"/>
        </w:rPr>
        <w:t>&lt;NumAm&gt;</w:t>
      </w:r>
      <w:r>
        <w:t>72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18 e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e.</w:t>
            </w:r>
            <w:r>
              <w:tab/>
            </w:r>
            <w:r>
              <w:rPr>
                <w:b/>
                <w:i/>
              </w:rPr>
              <w:t>kehottaa komissiota varmistamaan, että kuukautishygieniapakkaukset kuuluvat vakiona sen kaikkiin hätätoimiin humanitaarisissa kriiseissä;</w:t>
            </w:r>
          </w:p>
        </w:tc>
      </w:tr>
    </w:tbl>
    <w:p>
      <w:r>
        <w:rPr>
          <w:rStyle w:val="HideTWBExt"/>
        </w:rPr>
        <w:t>&lt;/Amend&gt;</w:t>
      </w:r>
    </w:p>
    <w:p>
      <w:pPr>
        <w:pStyle w:val="AmNumberTabs"/>
      </w:pPr>
      <w:r>
        <w:rPr>
          <w:rStyle w:val="HideTWBExt"/>
        </w:rPr>
        <w:t>&lt;Amend&gt;</w:t>
      </w:r>
      <w:r>
        <w:t>Tarkistus</w:t>
      </w:r>
      <w:r>
        <w:tab/>
      </w:r>
      <w:r>
        <w:tab/>
      </w:r>
      <w:r>
        <w:rPr>
          <w:rStyle w:val="HideTWBExt"/>
        </w:rPr>
        <w:t>&lt;NumAm&gt;</w:t>
      </w:r>
      <w:r>
        <w:t>73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19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suhtautuu myönteisesti vuonna 2000 annetun YK:n turvallisuusneuvoston päätöslauselman 1325 sekä naisia, rauhaa ja turvallisuutta koskevan toimintaohjelman täytäntöönpanossa saavutettuun edistykseen, sillä ne ovat olennaisia sen varmistamisessa, että naisten ja tyttöjen oikeuksia kunnioitetaan aina;</w:t>
            </w:r>
          </w:p>
        </w:tc>
        <w:tc>
          <w:tcPr>
            <w:tcW w:w="4876" w:type="dxa"/>
            <w:tcBorders>
              <w:top w:val="nil"/>
              <w:left w:val="nil"/>
              <w:bottom w:val="nil"/>
              <w:right w:val="nil"/>
            </w:tcBorders>
          </w:tcPr>
          <w:p>
            <w:pPr>
              <w:pStyle w:val="Normal6a"/>
            </w:pPr>
            <w:r>
              <w:t>19.</w:t>
            </w:r>
            <w:r>
              <w:tab/>
            </w:r>
            <w:r>
              <w:t>suhtautuu myönteisesti vuonna 2000 annetun YK:n turvallisuusneuvoston päätöslauselman 1325 sekä naisia, rauhaa ja turvallisuutta koskevan toimintaohjelman täytäntöönpanossa saavutettuun edistykseen, sillä ne ovat olennaisia sen varmistamisessa, että naisten ja tyttöjen oikeuksia kunnioitetaan aina;</w:t>
            </w:r>
            <w:r>
              <w:rPr>
                <w:b/>
                <w:i/>
              </w:rPr>
              <w:t xml:space="preserve"> korostaa kuitenkin, että sukupuolistunut ja seksuaalinen väkivalta ovat edelleen vitsaus, jota käytetään usein konflikteissa sodankäynnin välineenä, ja että naiset ja tytöt kärsivät todennäköisimmin aseellisten konfliktien ja ilmaston lämpenemisen seurauksista;</w:t>
            </w:r>
          </w:p>
        </w:tc>
      </w:tr>
    </w:tbl>
    <w:p>
      <w:r>
        <w:rPr>
          <w:rStyle w:val="HideTWBExt"/>
        </w:rPr>
        <w:t>&lt;/Amend&gt;</w:t>
      </w:r>
    </w:p>
    <w:p>
      <w:pPr>
        <w:pStyle w:val="AmNumberTabs"/>
      </w:pPr>
      <w:r>
        <w:rPr>
          <w:rStyle w:val="HideTWBExt"/>
        </w:rPr>
        <w:t>&lt;Amend&gt;</w:t>
      </w:r>
      <w:r>
        <w:t>Tarkistus</w:t>
      </w:r>
      <w:r>
        <w:tab/>
      </w:r>
      <w:r>
        <w:tab/>
      </w:r>
      <w:r>
        <w:rPr>
          <w:rStyle w:val="HideTWBExt"/>
        </w:rPr>
        <w:t>&lt;NumAm&gt;</w:t>
      </w:r>
      <w:r>
        <w:t>74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19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a.</w:t>
            </w:r>
            <w:r>
              <w:tab/>
            </w:r>
            <w:r>
              <w:rPr>
                <w:b/>
                <w:i/>
              </w:rPr>
              <w:t>kehottaa EU:ta ja jäsenvaltioita priorisoimaan Naiset, rauha ja turvallisuus -toimintaohjelman täytäntöönpanon; korostaa, että on tärkeä uudistaa naisia, rauhaa ja turvallisuutta koskeva EU:n toimintasuunnitelma ja avoimesti torjua toimintaohjelman vastustusta kaikkialla maailmassa</w:t>
            </w:r>
            <w:r>
              <w:rPr>
                <w:b/>
                <w:i/>
                <w:vertAlign w:val="superscript"/>
              </w:rPr>
              <w:t>1 a</w:t>
            </w:r>
            <w:r>
              <w:rPr>
                <w:b/>
                <w:i/>
              </w:rPr>
              <w:t xml:space="preserve"> ja että on asetettava etusijalle keskeisten seksuaali- ja lisääntymisterveyspalvelujen saatavuus kaikille konflikteista kärsimään joutuneille naisille sekä taattava vastuuvelvollisuus ja korvaukset seksuaali- ja lisääntymisterveyteen ja -oikeuksiin kohdistuvissa loukkauksissa kansainvälisten ihmisoikeusnormien ja suositusten mukaisesti;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a</w:t>
            </w:r>
            <w:r>
              <w:t xml:space="preserve"> </w:t>
            </w:r>
            <w:r>
              <w:rPr>
                <w:b/>
                <w:i/>
              </w:rPr>
              <w:t>https://www.europarl.europa.eu/RegData/etudes/BRIE/2025/769691/IUST_BRI(2025)769691_EN.pdf.</w:t>
            </w:r>
          </w:p>
        </w:tc>
      </w:tr>
    </w:tbl>
    <w:p>
      <w:r>
        <w:rPr>
          <w:rStyle w:val="HideTWBExt"/>
        </w:rPr>
        <w:t>&lt;/Amend&gt;</w:t>
      </w:r>
    </w:p>
    <w:p>
      <w:pPr>
        <w:pStyle w:val="AmNumberTabs"/>
      </w:pPr>
      <w:r>
        <w:rPr>
          <w:rStyle w:val="HideTWBExt"/>
        </w:rPr>
        <w:t>&lt;Amend&gt;</w:t>
      </w:r>
      <w:r>
        <w:t>Tarkistus</w:t>
      </w:r>
      <w:r>
        <w:tab/>
      </w:r>
      <w:r>
        <w:tab/>
      </w:r>
      <w:r>
        <w:rPr>
          <w:rStyle w:val="HideTWBExt"/>
        </w:rPr>
        <w:t>&lt;NumAm&gt;</w:t>
      </w:r>
      <w:r>
        <w:t>75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19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b.</w:t>
            </w:r>
            <w:r>
              <w:tab/>
            </w:r>
            <w:r>
              <w:rPr>
                <w:b/>
                <w:i/>
              </w:rPr>
              <w:t>kehottaa komissiota, EUH:ta ja jäsenvaltioita tehostamaan toimia, joilla otetaan huomioon naisten ja tyttöjen erityistarpeet ja vaikutusmahdollisuudet konfliktien ehkäisyä, sovittelua ja rauhanrakentamista koskevissa strategioissa;</w:t>
            </w:r>
          </w:p>
        </w:tc>
      </w:tr>
    </w:tbl>
    <w:p>
      <w:r>
        <w:rPr>
          <w:rStyle w:val="HideTWBExt"/>
        </w:rPr>
        <w:t>&lt;/Amend&gt;</w:t>
      </w:r>
    </w:p>
    <w:p>
      <w:pPr>
        <w:pStyle w:val="AmNumberTabs"/>
      </w:pPr>
      <w:r>
        <w:rPr>
          <w:rStyle w:val="HideTWBExt"/>
        </w:rPr>
        <w:t>&lt;Amend&gt;</w:t>
      </w:r>
      <w:r>
        <w:t>Tarkistus</w:t>
      </w:r>
      <w:r>
        <w:tab/>
      </w:r>
      <w:r>
        <w:tab/>
      </w:r>
      <w:r>
        <w:rPr>
          <w:rStyle w:val="HideTWBExt"/>
        </w:rPr>
        <w:t>&lt;NumAm&gt;</w:t>
      </w:r>
      <w:r>
        <w:t>76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19 c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c.</w:t>
            </w:r>
            <w:r>
              <w:tab/>
            </w:r>
            <w:r>
              <w:rPr>
                <w:b/>
                <w:i/>
              </w:rPr>
              <w:t>kehottaa komissiota tehostamaan toimia sen varmistamiseksi, että EU:n rahoittamalla humanitaarisella avulla vastataan asianmukaisesti naisten, tyttöjen, miesten ja poikien tarpeisiin, ja kehottaa varmistamaan, että EU jatkaa sukupuolten tasa-arvon valtavirtaistamista lisäämällä sukupuolten tasa-arvoa edistäviä kohdennettuja toimia ja varmistamalla sukupuolinäkökulman huomioon ottavan arviointiprosessin kaikissa Global Gateway- ja Team Europe -aloitteissa;</w:t>
            </w:r>
          </w:p>
        </w:tc>
      </w:tr>
    </w:tbl>
    <w:p>
      <w:r>
        <w:rPr>
          <w:rStyle w:val="HideTWBExt"/>
        </w:rPr>
        <w:t>&lt;/Amend&gt;</w:t>
      </w:r>
    </w:p>
    <w:p>
      <w:pPr>
        <w:pStyle w:val="AmNumberTabs"/>
      </w:pPr>
      <w:r>
        <w:rPr>
          <w:rStyle w:val="HideTWBExt"/>
        </w:rPr>
        <w:t>&lt;Amend&gt;</w:t>
      </w:r>
      <w:r>
        <w:t>Tarkistus</w:t>
      </w:r>
      <w:r>
        <w:tab/>
      </w:r>
      <w:r>
        <w:tab/>
      </w:r>
      <w:r>
        <w:rPr>
          <w:rStyle w:val="HideTWBExt"/>
        </w:rPr>
        <w:t>&lt;NumAm&gt;</w:t>
      </w:r>
      <w:r>
        <w:t>77</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19 d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d.</w:t>
            </w:r>
            <w:r>
              <w:tab/>
            </w:r>
            <w:r>
              <w:rPr>
                <w:b/>
                <w:i/>
              </w:rPr>
              <w:t>kehottaa EU:ta ja kaikkia EU:n jäsenvaltioita allekirjoittamaan WPS:n Humanitaarinen toiminta -kompaktin ja raportoimaan sen puitteissa tehdyistä sitoumuksista osana yhteistyöhön perustuvaa ja yhtenäistä tapaa rakentaa pitkän aikavälin vakautta ja rauhaa;</w:t>
            </w:r>
          </w:p>
        </w:tc>
      </w:tr>
    </w:tbl>
    <w:p>
      <w:r>
        <w:rPr>
          <w:rStyle w:val="HideTWBExt"/>
        </w:rPr>
        <w:t>&lt;/Amend&gt;</w:t>
      </w:r>
    </w:p>
    <w:p>
      <w:pPr>
        <w:pStyle w:val="AmNumberTabs"/>
      </w:pPr>
      <w:r>
        <w:rPr>
          <w:rStyle w:val="HideTWBExt"/>
        </w:rPr>
        <w:t>&lt;Amend&gt;</w:t>
      </w:r>
      <w:r>
        <w:t>Tarkistus</w:t>
      </w:r>
      <w:r>
        <w:tab/>
      </w:r>
      <w:r>
        <w:tab/>
      </w:r>
      <w:r>
        <w:rPr>
          <w:rStyle w:val="HideTWBExt"/>
        </w:rPr>
        <w:t>&lt;NumAm&gt;</w:t>
      </w:r>
      <w:r>
        <w:t>78</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20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kehottaa kaikkia aseellisten konfliktien osapuolia toteuttamaan toimenpiteitä naisten ja tyttöjen suojelemiseksi seksuaali- ja sukupuolistuneelta väkivallalta sekä kaikelta muulta väkivallalta aseellisissa konflikteissa sekä edistämään heidän seksuaali- ja lisääntymisterveyttään ja -oikeuksiaan;</w:t>
            </w:r>
          </w:p>
        </w:tc>
        <w:tc>
          <w:tcPr>
            <w:tcW w:w="4876" w:type="dxa"/>
            <w:tcBorders>
              <w:top w:val="nil"/>
              <w:left w:val="nil"/>
              <w:bottom w:val="nil"/>
              <w:right w:val="nil"/>
            </w:tcBorders>
          </w:tcPr>
          <w:p>
            <w:pPr>
              <w:pStyle w:val="Normal6a"/>
            </w:pPr>
            <w:r>
              <w:t>20.</w:t>
            </w:r>
            <w:r>
              <w:tab/>
            </w:r>
            <w:r>
              <w:t xml:space="preserve">kehottaa kaikkia aseellisten konfliktien osapuolia </w:t>
            </w:r>
            <w:r>
              <w:rPr>
                <w:b/>
                <w:i/>
              </w:rPr>
              <w:t>sisällyttämään suojelustrategiat kaikkiin humanitaarisen avun osa-alueisiin ja</w:t>
            </w:r>
            <w:r>
              <w:t xml:space="preserve"> toteuttamaan toimenpiteitä naisten ja tyttöjen suojelemiseksi seksuaali- ja sukupuolistuneelta väkivallalta sekä kaikelta muulta väkivallalta</w:t>
            </w:r>
            <w:r>
              <w:rPr>
                <w:b/>
                <w:i/>
              </w:rPr>
              <w:t>, köyhyydeltä ja pakkosiirroilta</w:t>
            </w:r>
            <w:r>
              <w:t xml:space="preserve"> aseellisissa konflikteissa</w:t>
            </w:r>
            <w:r>
              <w:rPr>
                <w:b/>
                <w:i/>
              </w:rPr>
              <w:t>, myös varhain solmituilta avioliitoilta ja teiniraskauksilta humanitaaristen kriisien yhteydessä, koska ne johtavat opintojen keskeytymiseen ja vaikeuttavat moniulotteista köyhyyttä,</w:t>
            </w:r>
            <w:r>
              <w:t xml:space="preserve"> sekä edistämään heidän seksuaali- ja lisääntymisterveyttään ja -oikeuksiaan</w:t>
            </w:r>
            <w:r>
              <w:rPr>
                <w:b/>
                <w:i/>
              </w:rPr>
              <w:t>, erityisesti kun kyse on ukrainalaisnaisista, jotka ovat paenneet maihin, joiden seksuaali- ja lisääntymisterveyttä ja -oikeutta koskevat rajoitukset ovat tiukemmat, sillä heillä on oikeus turvalliseen ja lailliseen aborttiin jouduttuaan sodankäynnin välineenä käytetyn seksuaalisen väkivallan uhreiksi;</w:t>
            </w:r>
            <w:r>
              <w:rPr>
                <w:b/>
                <w:i/>
              </w:rPr>
              <w:t xml:space="preserve"> </w:t>
            </w:r>
            <w:r>
              <w:rPr>
                <w:b/>
                <w:i/>
              </w:rPr>
              <w:t>on tietoinen, että tällainen väkivalta usein kiihtyy konfliktien aikana ja sitä voidaan käyttää järjestelmällisesti sodankäynnin välineenä</w:t>
            </w:r>
            <w:r>
              <w:t>;</w:t>
            </w:r>
          </w:p>
        </w:tc>
      </w:tr>
    </w:tbl>
    <w:p>
      <w:r>
        <w:rPr>
          <w:rStyle w:val="HideTWBExt"/>
        </w:rPr>
        <w:t>&lt;/Amend&gt;</w:t>
      </w:r>
    </w:p>
    <w:p>
      <w:pPr>
        <w:pStyle w:val="AmNumberTabs"/>
      </w:pPr>
      <w:r>
        <w:rPr>
          <w:rStyle w:val="HideTWBExt"/>
        </w:rPr>
        <w:t>&lt;Amend&gt;</w:t>
      </w:r>
      <w:r>
        <w:t>Tarkistus</w:t>
      </w:r>
      <w:r>
        <w:tab/>
      </w:r>
      <w:r>
        <w:tab/>
      </w:r>
      <w:r>
        <w:rPr>
          <w:rStyle w:val="HideTWBExt"/>
        </w:rPr>
        <w:t>&lt;NumAm&gt;</w:t>
      </w:r>
      <w:r>
        <w:t>79</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20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a.</w:t>
            </w:r>
            <w:r>
              <w:tab/>
            </w:r>
            <w:r>
              <w:rPr>
                <w:b/>
                <w:i/>
              </w:rPr>
              <w:t>muistuttaa, että rauhansopimuksilla, joiden tekemiseen on osallistunut naisia, on suurempi todennäköisyys olla kestäviä ja tehokkaita; kehottaa komissiota ottamaan naiset mukaan päätöksenteon kaikkiin vaiheisiin humanitaarisissa kriiseissä ja konfliktien jälkeisissä tilanteissa;</w:t>
            </w:r>
          </w:p>
        </w:tc>
      </w:tr>
    </w:tbl>
    <w:p>
      <w:r>
        <w:rPr>
          <w:rStyle w:val="HideTWBExt"/>
        </w:rPr>
        <w:t>&lt;/Amend&gt;</w:t>
      </w:r>
    </w:p>
    <w:p>
      <w:pPr>
        <w:pStyle w:val="AmNumberTabs"/>
      </w:pPr>
      <w:r>
        <w:rPr>
          <w:rStyle w:val="HideTWBExt"/>
        </w:rPr>
        <w:t>&lt;Amend&gt;</w:t>
      </w:r>
      <w:r>
        <w:t>Tarkistus</w:t>
      </w:r>
      <w:r>
        <w:tab/>
      </w:r>
      <w:r>
        <w:tab/>
      </w:r>
      <w:r>
        <w:rPr>
          <w:rStyle w:val="HideTWBExt"/>
        </w:rPr>
        <w:t>&lt;NumAm&gt;</w:t>
      </w:r>
      <w:r>
        <w:t>80</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21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painottaa naisten keskeistä asemaa humanitaarisissa kriisitilanteissa; pitää valitettavana, että ulkomaanapuun äskettäin tehdyistä leikkauksista kärsivät eniten naisjohtoiset </w:t>
            </w:r>
            <w:r>
              <w:rPr>
                <w:b/>
                <w:i/>
              </w:rPr>
              <w:t>järjestöt</w:t>
            </w:r>
            <w:r>
              <w:t xml:space="preserve">, ja kannustaa ottamaan ne </w:t>
            </w:r>
            <w:r>
              <w:rPr>
                <w:b/>
                <w:i/>
              </w:rPr>
              <w:t>paremmin</w:t>
            </w:r>
            <w:r>
              <w:t xml:space="preserve"> mukaan humanitaarisen avun ohjelmasuunnitteluun</w:t>
            </w:r>
            <w:r>
              <w:rPr>
                <w:vertAlign w:val="superscript"/>
              </w:rPr>
              <w:t>7</w:t>
            </w:r>
            <w:r>
              <w:t>;</w:t>
            </w:r>
          </w:p>
        </w:tc>
        <w:tc>
          <w:tcPr>
            <w:tcW w:w="4876" w:type="dxa"/>
            <w:tcBorders>
              <w:top w:val="nil"/>
              <w:left w:val="nil"/>
              <w:bottom w:val="nil"/>
              <w:right w:val="nil"/>
            </w:tcBorders>
          </w:tcPr>
          <w:p>
            <w:pPr>
              <w:pStyle w:val="Normal6a"/>
            </w:pPr>
            <w:r>
              <w:t>21.</w:t>
            </w:r>
            <w:r>
              <w:tab/>
            </w:r>
            <w:r>
              <w:t xml:space="preserve">painottaa naisten keskeistä asemaa </w:t>
            </w:r>
            <w:r>
              <w:rPr>
                <w:b/>
                <w:i/>
              </w:rPr>
              <w:t>etulinjan toimijoina</w:t>
            </w:r>
            <w:r>
              <w:t xml:space="preserve"> humanitaarisissa kriisitilanteissa; pitää valitettavana, että ulkomaanapuun äskettäin tehdyistä leikkauksista kärsivät eniten naisjohtoiset </w:t>
            </w:r>
            <w:r>
              <w:rPr>
                <w:b/>
                <w:i/>
              </w:rPr>
              <w:t>ja hlbtiq+ -järjestöt</w:t>
            </w:r>
            <w:r>
              <w:t xml:space="preserve">, ja kannustaa ottamaan ne </w:t>
            </w:r>
            <w:r>
              <w:rPr>
                <w:b/>
                <w:i/>
              </w:rPr>
              <w:t>kokonaisvaltaisesti, yhdenvertaisesti ja merkityksellisesti</w:t>
            </w:r>
            <w:r>
              <w:t xml:space="preserve"> mukaan humanitaarisen avun ohjelmasuunnitteluun</w:t>
            </w:r>
            <w:r>
              <w:rPr>
                <w:vertAlign w:val="superscript"/>
              </w:rPr>
              <w:t>7</w:t>
            </w:r>
            <w:r>
              <w:rPr>
                <w:b/>
                <w:i/>
              </w:rPr>
              <w:t>, mihin kuuluvat myös joustavan ja suoran rahoituksen lisäykset;</w:t>
            </w:r>
            <w:r>
              <w:rPr>
                <w:b/>
                <w:i/>
              </w:rPr>
              <w:t xml:space="preserve"> </w:t>
            </w:r>
            <w:r>
              <w:rPr>
                <w:b/>
                <w:i/>
              </w:rPr>
              <w:t>pitää valitettavana, että lähes puolet (47 prosenttia) kyselyn naisjohtoisista ja naisjärjestöistä uskoo toimintansa loppuvan seuraavan puolen vuoden aikana, jos rahoitus pysyy nykytasolla, kun taas yli kolmasosa (35 prosenttia) on epävarmassa tilanteessa eikä voi suunnitella tai jatkaa työtään, ja ainoastaan 18 prosenttia ilmoittaa uskovansa, että niiden toiminta jatkuu yli vuoden ajan</w:t>
            </w:r>
            <w:r>
              <w:rPr>
                <w:b/>
                <w:i/>
                <w:vertAlign w:val="superscript"/>
              </w:rPr>
              <w:t>7 a</w:t>
            </w:r>
            <w:r>
              <w:rPr>
                <w:b/>
                <w:i/>
              </w:rPr>
              <w:t>;</w:t>
            </w:r>
            <w:r>
              <w:rPr>
                <w:b/>
                <w:i/>
              </w:rPr>
              <w:t xml:space="preserve"> korostaa, että on tärkeää varmistaa turvallisuus ja tarveperusteisten palvelujen saatavuus pakolaisleireillä ja vastaanottokeskuksissa, mukaan lukien asianmukainen sanitaatio, terveydenhuolto, psykososiaalinen tuki, äitiyshuolto, oikeusapu ja turvalliset tilat; korostaa, että naisiin ja tyttöihin kohdistuu tällaisissa olosuhteissa usein suurempia riskejä ja että heidän merkityksellinen osallistumisensa pakolaisten turvakotien suunnitteluun ja hallinnointiin on olennaisen tärkeää sen varmistamiseksi, että palvelut ovat saavutettavia, tarkoituksenmukaisia ja vastaavat heidän erityistarpeisiinsa; </w:t>
            </w:r>
            <w:r>
              <w:rPr>
                <w:b/>
                <w:i/>
              </w:rPr>
              <w:t>kehottaa komissiota ja humanitaarisia toimijoita puuttumaan liikkuvuuteen ja liikenteeseen liittyviin esteisiin, jotka estävät naisia ja tyttöjä saamasta apua, mukaan lukien turvalliset kuljetukset terveyskeskuksiin, jakelupisteisiin ja turvakoteihin</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UN Women, ”Humanitarian funding cuts threaten women’s rights: What’s at stake and how to help”, 13. toukokuuta 2025, https://www.unwomen.org/en/articles/explainer/humanitarian-funding-cuts-threaten-womens-rights-whats-at-stake-and-how-to-help.</w:t>
            </w:r>
          </w:p>
        </w:tc>
        <w:tc>
          <w:tcPr>
            <w:tcW w:w="4876" w:type="dxa"/>
            <w:tcBorders>
              <w:top w:val="nil"/>
              <w:left w:val="nil"/>
              <w:bottom w:val="nil"/>
              <w:right w:val="nil"/>
            </w:tcBorders>
          </w:tcPr>
          <w:p>
            <w:pPr>
              <w:pStyle w:val="Normal6a"/>
            </w:pPr>
            <w:r>
              <w:rPr>
                <w:vertAlign w:val="superscript"/>
              </w:rPr>
              <w:t>7</w:t>
            </w:r>
            <w:r>
              <w:t xml:space="preserve"> </w:t>
            </w:r>
            <w:r>
              <w:t>UN Women, ”Humanitarian funding cuts threaten women’s rights: What’s at stake and how to help”, 13. toukokuuta 2025, https://www.unwomen.org/en/articles/explainer/humanitarian-funding-cuts-threaten-womens-rights-whats-at-stake-and-how-to-help.</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7 a</w:t>
            </w:r>
            <w:r>
              <w:t xml:space="preserve"> </w:t>
            </w:r>
            <w:r>
              <w:rPr>
                <w:b/>
                <w:i/>
              </w:rPr>
              <w:t>https://www.unwomen.org/sites/default/files/2025-05/at-a-breaking-point-the-impact-of-foreign-aid-cuts-on-womens-organizations-in-humanitarian-crises-worldwide-en.pdf.</w:t>
            </w:r>
          </w:p>
        </w:tc>
      </w:tr>
    </w:tbl>
    <w:p>
      <w:r>
        <w:rPr>
          <w:rStyle w:val="HideTWBExt"/>
        </w:rPr>
        <w:t>&lt;/Amend&gt;</w:t>
      </w:r>
    </w:p>
    <w:p>
      <w:pPr>
        <w:pStyle w:val="AmNumberTabs"/>
      </w:pPr>
      <w:r>
        <w:rPr>
          <w:rStyle w:val="HideTWBExt"/>
        </w:rPr>
        <w:t>&lt;Amend&gt;</w:t>
      </w:r>
      <w:r>
        <w:t>Tarkistus</w:t>
      </w:r>
      <w:r>
        <w:tab/>
      </w:r>
      <w:r>
        <w:tab/>
      </w:r>
      <w:r>
        <w:rPr>
          <w:rStyle w:val="HideTWBExt"/>
        </w:rPr>
        <w:t>&lt;NumAm&gt;</w:t>
      </w:r>
      <w:r>
        <w:t>81</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21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a.</w:t>
            </w:r>
            <w:r>
              <w:tab/>
            </w:r>
            <w:r>
              <w:rPr>
                <w:b/>
                <w:i/>
              </w:rPr>
              <w:t>korostaa naisten erityisen haavoittuvaa asemaa maaseutualueilla, syrjäisillä alueilla ja konfliktialueilla, joilla naiset kohtaavat usein ylimääräisiä esteitä pääsyssä humanitaarisen avun piiriin, mukaan lukien terveyspalvelut ja psykologinen tuki; kehottaa kohdentamaan rahoitusta ja hyödyntämään osallistavaa ohjelmasuunnittelua näihin moniperusteisiin haasteisiin vastaamiseksi;</w:t>
            </w:r>
          </w:p>
        </w:tc>
      </w:tr>
    </w:tbl>
    <w:p>
      <w:r>
        <w:rPr>
          <w:rStyle w:val="HideTWBExt"/>
        </w:rPr>
        <w:t>&lt;/Amend&gt;</w:t>
      </w:r>
    </w:p>
    <w:p>
      <w:pPr>
        <w:pStyle w:val="AmNumberTabs"/>
      </w:pPr>
      <w:r>
        <w:rPr>
          <w:rStyle w:val="HideTWBExt"/>
        </w:rPr>
        <w:t>&lt;Amend&gt;</w:t>
      </w:r>
      <w:r>
        <w:t>Tarkistus</w:t>
      </w:r>
      <w:r>
        <w:tab/>
      </w:r>
      <w:r>
        <w:tab/>
      </w:r>
      <w:r>
        <w:rPr>
          <w:rStyle w:val="HideTWBExt"/>
        </w:rPr>
        <w:t>&lt;NumAm&gt;</w:t>
      </w:r>
      <w:r>
        <w:t>82</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21 b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b.</w:t>
            </w:r>
            <w:r>
              <w:tab/>
            </w:r>
            <w:r>
              <w:rPr>
                <w:b/>
                <w:i/>
              </w:rPr>
              <w:t>korostaa, että on tärkeää turvata kaikkien yksilöiden ihmisarvo humanitaarisissa yhteyksissä kiinnittäen erityistä huomiota naisiin ja tyttöihin varmistamalla keskeisten palvelujen ja tarvikkeiden tasapuolinen saatavuus, mukaan lukien terveyssiteet ja kuukautishygieniatuotteet, turvalliset ja yksityiset tilat imetystä ja äitiyspalveluja varten, sukupuolisensitiiviset saniteettitilat ja riittävä valaistus turvallisuuden parantamiseksi iltaisin;</w:t>
            </w:r>
          </w:p>
        </w:tc>
      </w:tr>
    </w:tbl>
    <w:p>
      <w:r>
        <w:rPr>
          <w:rStyle w:val="HideTWBExt"/>
        </w:rPr>
        <w:t>&lt;/Amend&gt;</w:t>
      </w:r>
    </w:p>
    <w:p>
      <w:pPr>
        <w:pStyle w:val="AmNumberTabs"/>
      </w:pPr>
      <w:r>
        <w:rPr>
          <w:rStyle w:val="HideTWBExt"/>
        </w:rPr>
        <w:t>&lt;Amend&gt;</w:t>
      </w:r>
      <w:r>
        <w:t>Tarkistus</w:t>
      </w:r>
      <w:r>
        <w:tab/>
      </w:r>
      <w:r>
        <w:tab/>
      </w:r>
      <w:r>
        <w:rPr>
          <w:rStyle w:val="HideTWBExt"/>
        </w:rPr>
        <w:t>&lt;NumAm&gt;</w:t>
      </w:r>
      <w:r>
        <w:t>83</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22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kannustaa komissiota, EUH:ta ja jäsenvaltioita edistämään </w:t>
            </w:r>
            <w:r>
              <w:rPr>
                <w:b/>
                <w:i/>
              </w:rPr>
              <w:t>sukupuolisensitiivisiä</w:t>
            </w:r>
            <w:r>
              <w:t xml:space="preserve"> lähestymistapoja humanitaarisissa toimissa ja lisäämään tukeaan naisten osallistumiselle humanitaarista apua </w:t>
            </w:r>
            <w:r>
              <w:rPr>
                <w:b/>
                <w:i/>
              </w:rPr>
              <w:t>koskeviin päätöksentekoprosesseihin</w:t>
            </w:r>
            <w:r>
              <w:t>, jotta varmistetaan heidän näkökulmansa ja tarpeidensa etusijaisuus avun suunnittelussa ja toimittamisessa YK:n turvallisuusneuvoston päätöslauselman 1325 tavoitteiden mukaisesti;</w:t>
            </w:r>
          </w:p>
        </w:tc>
        <w:tc>
          <w:tcPr>
            <w:tcW w:w="4876" w:type="dxa"/>
            <w:tcBorders>
              <w:top w:val="nil"/>
              <w:left w:val="nil"/>
              <w:bottom w:val="nil"/>
              <w:right w:val="nil"/>
            </w:tcBorders>
          </w:tcPr>
          <w:p>
            <w:pPr>
              <w:pStyle w:val="Normal6a"/>
            </w:pPr>
            <w:r>
              <w:t>22.</w:t>
            </w:r>
            <w:r>
              <w:tab/>
            </w:r>
            <w:r>
              <w:t xml:space="preserve">kannustaa komissiota, EUH:ta ja jäsenvaltioita edistämään </w:t>
            </w:r>
            <w:r>
              <w:rPr>
                <w:b/>
                <w:i/>
              </w:rPr>
              <w:t>sukupuoliresponsiivisia</w:t>
            </w:r>
            <w:r>
              <w:t xml:space="preserve"> lähestymistapoja humanitaarisissa toimissa ja lisäämään tukeaan naisten </w:t>
            </w:r>
            <w:r>
              <w:rPr>
                <w:b/>
                <w:i/>
              </w:rPr>
              <w:t>kokonaisvaltaiselle, yhdenvertaiselle ja merkitykselliselle</w:t>
            </w:r>
            <w:r>
              <w:t xml:space="preserve"> osallistumiselle </w:t>
            </w:r>
            <w:r>
              <w:rPr>
                <w:b/>
                <w:i/>
              </w:rPr>
              <w:t>ja johtoasemille kaikilla tasoilla</w:t>
            </w:r>
            <w:r>
              <w:t xml:space="preserve"> humanitaarista apua </w:t>
            </w:r>
            <w:r>
              <w:rPr>
                <w:b/>
                <w:i/>
              </w:rPr>
              <w:t>koskevissa päätöksentekoprosesseissa sekä kehittämään sukupuoliresponsiivisia kehitysstrategioita kansallisella ja kansainvälisellä tasolla niin, että naiset voivat turvallisesti kehittyä johtajiksi ja ottaa johtotehtäviä kriisitilanteissa</w:t>
            </w:r>
            <w:r>
              <w:t>, jotta varmistetaan heidän näkökulmansa ja tarpeidensa etusijaisuus avun suunnittelussa ja toimittamisessa YK:n turvallisuusneuvoston päätöslauselman 1325 tavoitteiden mukaisesti;</w:t>
            </w:r>
            <w:r>
              <w:rPr>
                <w:b/>
                <w:i/>
              </w:rPr>
              <w:t xml:space="preserve"> kehottaa varmistamaan naisten kokonaisvaltaisen, yhdenvertaisen ja merkityksellisen osallistumisen rauhanprosessin kaikkiin vaiheisiin, mukaan lukien välitystoimet, aseellisten konfliktien ehkäiseminen ja ratkaiseminen, rauhanrakentaminen, jälleenrakentaminen konfliktien jälkeen ja aseleponeuvottelut, sekä samalla vahvistamaan kaikkien naisten suojelua yleismaailmallisesti;</w:t>
            </w:r>
          </w:p>
        </w:tc>
      </w:tr>
    </w:tbl>
    <w:p>
      <w:r>
        <w:rPr>
          <w:rStyle w:val="HideTWBExt"/>
        </w:rPr>
        <w:t>&lt;/Amend&gt;</w:t>
      </w:r>
    </w:p>
    <w:p>
      <w:pPr>
        <w:pStyle w:val="AmNumberTabs"/>
      </w:pPr>
      <w:r>
        <w:rPr>
          <w:rStyle w:val="HideTWBExt"/>
        </w:rPr>
        <w:t>&lt;Amend&gt;</w:t>
      </w:r>
      <w:r>
        <w:t>Tarkistus</w:t>
      </w:r>
      <w:r>
        <w:tab/>
      </w:r>
      <w:r>
        <w:tab/>
      </w:r>
      <w:r>
        <w:rPr>
          <w:rStyle w:val="HideTWBExt"/>
        </w:rPr>
        <w:t>&lt;NumAm&gt;</w:t>
      </w:r>
      <w:r>
        <w:t>84</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22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a.</w:t>
            </w:r>
            <w:r>
              <w:tab/>
            </w:r>
            <w:r>
              <w:rPr>
                <w:b/>
                <w:i/>
              </w:rPr>
              <w:t>ilmaisee vakavan huolensa sellaisten äärikonservatiivisten, sukupuolten tasa-arvoa vastustavien uskonnollisten fundamentalististen liikkeiden vaikutuksen kasvusta sekä EU:ssa että sen ulkopuolella, jotka pyrkivät heikentämään naisten ja tyttöjen perusoikeuksia, myös humanitaarisissa yhteyksissä; korostaa, että tällaiset liikkeet levittävät usein disinformaatiota, leimaavat seksuaali- ja lisääntymisterveyspalveluja sekä heikentävät naisten suojelua sukupuolistuneelta väkivallalta; kehottaa komissiota, EUH:ta ja jäsenvaltioita varmistamaan, että EU:n rahoittamat humanitaariset ohjelmat perustuvat edelleen tiukasti kansainvälisiin ihmisoikeusnormeihin ja sukupuolten tasa-arvoon, sekä tukemaan aktiivisesti kansalaisyhteiskunnan järjestöjä, joihin oikeuksia vastustavat toimijat kohdistavat toimiaan;</w:t>
            </w:r>
          </w:p>
        </w:tc>
      </w:tr>
    </w:tbl>
    <w:p>
      <w:r>
        <w:rPr>
          <w:rStyle w:val="HideTWBExt"/>
        </w:rPr>
        <w:t>&lt;/Amend&gt;</w:t>
      </w:r>
    </w:p>
    <w:p>
      <w:pPr>
        <w:pStyle w:val="AmNumberTabs"/>
      </w:pPr>
      <w:r>
        <w:rPr>
          <w:rStyle w:val="HideTWBExt"/>
        </w:rPr>
        <w:t>&lt;Amend&gt;</w:t>
      </w:r>
      <w:r>
        <w:t>Tarkistus</w:t>
      </w:r>
      <w:r>
        <w:tab/>
      </w:r>
      <w:r>
        <w:tab/>
      </w:r>
      <w:r>
        <w:rPr>
          <w:rStyle w:val="HideTWBExt"/>
        </w:rPr>
        <w:t>&lt;NumAm&gt;</w:t>
      </w:r>
      <w:r>
        <w:t>85</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23 kohta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toistaa kehotuksensa EU:n jäsenvaltioille panna YK:n turvallisuusneuvoston päätöslauselma 1325 kaikilta osin täytäntöön;</w:t>
            </w:r>
          </w:p>
        </w:tc>
        <w:tc>
          <w:tcPr>
            <w:tcW w:w="4876" w:type="dxa"/>
            <w:tcBorders>
              <w:top w:val="nil"/>
              <w:left w:val="nil"/>
              <w:bottom w:val="nil"/>
              <w:right w:val="nil"/>
            </w:tcBorders>
          </w:tcPr>
          <w:p>
            <w:pPr>
              <w:pStyle w:val="Normal6a"/>
            </w:pPr>
            <w:r>
              <w:t>23.</w:t>
            </w:r>
            <w:r>
              <w:tab/>
            </w:r>
            <w:r>
              <w:t>toistaa kehotuksensa EU:n jäsenvaltioille panna YK:n turvallisuusneuvoston päätöslauselma 1325 kaikilta osin täytäntöön;</w:t>
            </w:r>
            <w:r>
              <w:rPr>
                <w:b/>
                <w:i/>
              </w:rPr>
              <w:t xml:space="preserve"> kannustaa jäsenvaltioita päivittämään kansalliset toimintasuunnitelmansa YK:n turvallisuusneuvoston päätöslauselman 1325 mukaisesti;</w:t>
            </w:r>
          </w:p>
        </w:tc>
      </w:tr>
    </w:tbl>
    <w:p>
      <w:r>
        <w:rPr>
          <w:rStyle w:val="HideTWBExt"/>
        </w:rPr>
        <w:t>&lt;/Amend&gt;</w:t>
      </w:r>
    </w:p>
    <w:p>
      <w:pPr>
        <w:pStyle w:val="AmNumberTabs"/>
      </w:pPr>
      <w:r>
        <w:rPr>
          <w:rStyle w:val="HideTWBExt"/>
        </w:rPr>
        <w:t>&lt;Amend&gt;</w:t>
      </w:r>
      <w:r>
        <w:t>Tarkistus</w:t>
      </w:r>
      <w:r>
        <w:tab/>
      </w:r>
      <w:r>
        <w:tab/>
      </w:r>
      <w:r>
        <w:rPr>
          <w:rStyle w:val="HideTWBExt"/>
        </w:rPr>
        <w:t>&lt;NumAm&gt;</w:t>
      </w:r>
      <w:r>
        <w:t>86</w:t>
      </w:r>
      <w:r>
        <w:rPr>
          <w:rStyle w:val="HideTWBExt"/>
        </w:rPr>
        <w:t>&lt;/NumAm&gt;</w:t>
      </w:r>
    </w:p>
    <w:p>
      <w:pPr>
        <w:pStyle w:val="NormalBold12b"/>
      </w:pPr>
      <w:r>
        <w:rPr>
          <w:rStyle w:val="HideTWBExt"/>
        </w:rPr>
        <w:t>&lt;DocAmend&gt;</w:t>
      </w:r>
      <w:r>
        <w:t>Päätöslauselmaesitys</w:t>
      </w:r>
      <w:r>
        <w:rPr>
          <w:rStyle w:val="HideTWBExt"/>
        </w:rPr>
        <w:t>&lt;/DocAmend&gt;</w:t>
      </w:r>
    </w:p>
    <w:p>
      <w:pPr>
        <w:pStyle w:val="NormalBold"/>
      </w:pPr>
      <w:r>
        <w:rPr>
          <w:rStyle w:val="HideTWBExt"/>
        </w:rPr>
        <w:t>&lt;Article&gt;</w:t>
      </w:r>
      <w:r>
        <w:t>23 a kohta (uusi)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Päätöslauselmaesitys</w:t>
            </w:r>
          </w:p>
        </w:tc>
        <w:tc>
          <w:tcPr>
            <w:tcW w:w="4876" w:type="dxa"/>
            <w:tcBorders>
              <w:top w:val="nil"/>
              <w:left w:val="nil"/>
              <w:bottom w:val="nil"/>
              <w:right w:val="nil"/>
            </w:tcBorders>
          </w:tcPr>
          <w:p>
            <w:pPr>
              <w:pStyle w:val="AmColumnHeading"/>
            </w:pPr>
            <w:r>
              <w:t>Tarkistus</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a.</w:t>
            </w:r>
            <w:r>
              <w:tab/>
            </w:r>
            <w:r>
              <w:rPr>
                <w:b/>
                <w:i/>
              </w:rPr>
              <w:t>varoittaa humanitaaristen toimijoiden institutionaalisesta väkivallasta ja huolimattomuudesta, mukaan lukien sukupuolisokea ohjelmasuunnittelu, turvattomat ympäristöt naisille ja hlbtiq+ -henkilöille sekä väärinkäytöksiä koskevan vastuuvelvollisuuden puuttuminen; kehottaa asettamaan sitovia sukupuolisensitiivisyysstandardeja, ottamaan käyttöön kattavia raportointijärjestelmiä ja noudattamaan nollatoleranssipolitiikkaa kaikissa EU:n rahoittamissa humanitaarisissa operaatioissa;</w:t>
            </w:r>
          </w:p>
        </w:tc>
      </w:tr>
    </w:tbl>
    <w:p>
      <w:r>
        <w:rPr>
          <w:rStyle w:val="HideTWBExt"/>
        </w:rPr>
        <w:t>&lt;/Amend&gt;</w:t>
      </w:r>
    </w:p>
    <w:p>
      <w:r>
        <w:rPr>
          <w:rStyle w:val="HideTWBExt"/>
        </w:rPr>
        <w:t>&lt;/RepeatBlock-Amend&gt;</w:t>
      </w:r>
    </w:p>
    <w:p>
      <w:pPr>
        <w:sectPr>
          <w:footnotePr>
            <w:numRestart w:val="eachSect"/>
          </w:footnotePr>
          <w:type w:val="nextPage"/>
          <w:pgSz w:w="11909" w:h="16834"/>
          <w:pgMar w:top="1134" w:right="1417" w:bottom="1417" w:left="1417" w:header="1134" w:footer="567"/>
          <w:cols w:space="720"/>
        </w:sectPr>
      </w:pPr>
    </w:p>
    <w:p>
      <w:pPr>
        <w:pStyle w:val="PageHeading"/>
      </w:pPr>
      <w:r>
        <w:t>LIITE: ILMOITUS SAADUISTA TIEDOISTA</w:t>
      </w:r>
    </w:p>
    <w:p>
      <w:pPr>
        <w:pStyle w:val="Normal12a"/>
      </w:pPr>
      <w:r>
        <w:rPr>
          <w:rStyle w:val="HideTWBExt"/>
        </w:rPr>
        <w:t>&lt;FootprintIntro&gt;</w:t>
      </w:r>
      <w:r>
        <w:rPr>
          <w:rStyle w:val="HideTWBExt"/>
        </w:rPr>
        <w:t>&lt;/FootprintIntro&gt;</w:t>
      </w:r>
    </w:p>
    <w:p>
      <w:pPr>
        <w:pStyle w:val="Normal12a"/>
      </w:pPr>
      <w:r>
        <w:t>Valmistelija ilmoittaa yksinomaisella vastuullaan, ettei hän ole sisällyttänyt lausuntoonsa mitään tietoja pakollisesta avoimuusrekisteristä tehdyn toimielinten välisen sopimuksen</w:t>
      </w:r>
      <w:r>
        <w:rPr>
          <w:rStyle w:val="FootnoteReference"/>
        </w:rPr>
        <w:footnoteReference w:customMarkFollows="1" w:id="2"/>
        <w:t xml:space="preserve">1</w:t>
      </w:r>
      <w:r>
        <w:t xml:space="preserve"> soveltamisalaan kuuluvilta edunvalvojilta tai kolmansien maiden viranomaisten edustajilta, mukaan lukien niiden diplomaattiset edustustot ja suurlähetystöt, jotka olisi mainittava tässä liitteessä työjärjestyksen liitteessä I olevan 8 artiklan mukaisesti.</w:t>
      </w:r>
    </w:p>
    <w:p>
      <w:pPr>
        <w:sectPr>
          <w:footnotePr>
            <w:numRestart w:val="eachSect"/>
          </w:footnotePr>
          <w:type w:val="nextPage"/>
          <w:pgSz w:w="11909" w:h="16834"/>
          <w:pgMar w:top="1134" w:right="1417" w:bottom="1417" w:left="1417" w:header="1134" w:footer="567"/>
          <w:cols w:space="720"/>
        </w:sectPr>
      </w:pPr>
    </w:p>
    <w:p>
      <w:pPr>
        <w:pStyle w:val="PageHeading"/>
      </w:pPr>
      <w:r>
        <w:t>TIEDOT HYVÄKSYMISESTÄ LAUSUNNON ANTAVASSA VALIOKUNNASSA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3600"/>
        <w:gridCol w:w="64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3600" w:type="dxa"/>
          </w:tcPr>
          <w:p>
            <w:pPr>
              <w:pStyle w:val="ProcedureTableBold"/>
            </w:pPr>
            <w:r>
              <w:t>Hyväksytty (pvä)</w:t>
            </w:r>
          </w:p>
        </w:tc>
        <w:tc>
          <w:tcPr>
            <w:tcW w:w="6400" w:type="dxa"/>
            <w:tcBorders>
              <w:left w:val="dotted" w:sz="4" w:space="0" w:color="auto"/>
            </w:tcBorders>
          </w:tcPr>
          <w:p>
            <w:pPr>
              <w:pStyle w:val="ProcedureTable"/>
            </w:pPr>
            <w:r>
              <w:t>13.10.2025</w:t>
            </w:r>
          </w:p>
        </w:tc>
      </w:tr>
      <w:tr>
        <w:tblPrEx>
          <w:tblW w:w="0" w:type="auto"/>
          <w:tblLayout w:type="fixed"/>
          <w:tblCellMar>
            <w:left w:w="140" w:type="dxa"/>
            <w:right w:w="140" w:type="dxa"/>
          </w:tblCellMar>
        </w:tblPrEx>
        <w:tc>
          <w:tcPr>
            <w:tcW w:w="3600" w:type="dxa"/>
          </w:tcPr>
          <w:p>
            <w:pPr>
              <w:pStyle w:val="ProcedureTableBold"/>
            </w:pPr>
            <w:r>
              <w:t>Lopullisen äänestyksen tulos</w:t>
            </w:r>
          </w:p>
        </w:tc>
        <w:tc>
          <w:tcPr>
            <w:tcW w:w="6400" w:type="dxa"/>
            <w:tcBorders>
              <w:left w:val="dotted" w:sz="4" w:space="0" w:color="auto"/>
            </w:tcBorders>
          </w:tcPr>
          <w:p>
            <w:r>
              <w:t>+</w:t>
            </w:r>
            <w:r>
              <w:tab/>
            </w:r>
            <w:r>
              <w:t>:</w:t>
            </w:r>
            <w:r>
              <w:tab/>
            </w:r>
            <w:r>
              <w:t>25</w:t>
            </w:r>
          </w:p>
          <w:p>
            <w:r>
              <w:t>-</w:t>
            </w:r>
            <w:r>
              <w:tab/>
            </w:r>
            <w:r>
              <w:t>:</w:t>
            </w:r>
            <w:r>
              <w:tab/>
            </w:r>
            <w:r>
              <w:t>8</w:t>
            </w:r>
          </w:p>
          <w:p>
            <w:r>
              <w:t>0</w:t>
            </w:r>
            <w:r>
              <w:tab/>
            </w:r>
            <w:r>
              <w:t>:</w:t>
            </w:r>
            <w:r>
              <w:tab/>
            </w:r>
            <w:r>
              <w:t>1</w:t>
            </w:r>
          </w:p>
        </w:tc>
      </w:tr>
      <w:tr>
        <w:tblPrEx>
          <w:tblW w:w="0" w:type="auto"/>
          <w:tblLayout w:type="fixed"/>
          <w:tblCellMar>
            <w:left w:w="140" w:type="dxa"/>
            <w:right w:w="140" w:type="dxa"/>
          </w:tblCellMar>
        </w:tblPrEx>
        <w:tc>
          <w:tcPr>
            <w:tcW w:w="3600" w:type="dxa"/>
          </w:tcPr>
          <w:p>
            <w:pPr>
              <w:pStyle w:val="ProcedureTableBold"/>
            </w:pPr>
            <w:r>
              <w:t>Lopullisessa äänestyksessä läsnä olleet jäsenet</w:t>
            </w:r>
          </w:p>
        </w:tc>
        <w:tc>
          <w:tcPr>
            <w:tcW w:w="6400" w:type="dxa"/>
            <w:tcBorders>
              <w:left w:val="dotted" w:sz="4" w:space="0" w:color="auto"/>
            </w:tcBorders>
          </w:tcPr>
          <w:p>
            <w:pPr>
              <w:pStyle w:val="ProcedureTable"/>
            </w:pPr>
            <w:r>
              <w:t>Margarita de la Pisa Carrión, Valérie Devaux, Heléne Fritzon, Lina Gálvez, Alexandra Geese, Chiara Gemma, Fernand Kartheiser, Arba Kokalari, Elena Kountoura, Sebastian Kruis, Judita Laššáková, Eleonora Meleti, Carolina Morace, Maria Noichl, Sirpa Pietikäinen, Giusi Princi, Emma Rafowicz, Joanna Scheuring-Wielgus, Benedetta Scuderi, Laurence Trochu, Marko Vešligaj, Maria Walsh, Lucia Yar</w:t>
            </w:r>
          </w:p>
        </w:tc>
      </w:tr>
      <w:tr>
        <w:tblPrEx>
          <w:tblW w:w="0" w:type="auto"/>
          <w:tblLayout w:type="fixed"/>
          <w:tblCellMar>
            <w:left w:w="140" w:type="dxa"/>
            <w:right w:w="140" w:type="dxa"/>
          </w:tblCellMar>
        </w:tblPrEx>
        <w:tc>
          <w:tcPr>
            <w:tcW w:w="3600" w:type="dxa"/>
          </w:tcPr>
          <w:p>
            <w:pPr>
              <w:pStyle w:val="ProcedureTableBold"/>
            </w:pPr>
            <w:r>
              <w:t>Lopullisessa äänestyksessä läsnä olleet varajäsenet</w:t>
            </w:r>
          </w:p>
        </w:tc>
        <w:tc>
          <w:tcPr>
            <w:tcW w:w="6400" w:type="dxa"/>
            <w:tcBorders>
              <w:left w:val="dotted" w:sz="4" w:space="0" w:color="auto"/>
            </w:tcBorders>
          </w:tcPr>
          <w:p>
            <w:pPr>
              <w:pStyle w:val="ProcedureTable"/>
            </w:pPr>
            <w:r>
              <w:t>Christine Anderson, Veronika Cifrová Ostrihoňová, Paulo Do Nascimento Cabral, Elisabeth Grossmann, Billy Kelleher, Katrin Langensiepen, Manuela Ripa, Beatrice Timgren, Marianne Vind</w:t>
            </w:r>
          </w:p>
        </w:tc>
      </w:tr>
      <w:tr>
        <w:tblPrEx>
          <w:tblW w:w="0" w:type="auto"/>
          <w:tblLayout w:type="fixed"/>
          <w:tblCellMar>
            <w:left w:w="140" w:type="dxa"/>
            <w:right w:w="140" w:type="dxa"/>
          </w:tblCellMar>
        </w:tblPrEx>
        <w:tc>
          <w:tcPr>
            <w:tcW w:w="3600" w:type="dxa"/>
          </w:tcPr>
          <w:p>
            <w:pPr>
              <w:pStyle w:val="ProcedureTableBold"/>
            </w:pPr>
            <w:r>
              <w:t>Lopullisessa äänestyksessä läsnä olleet sijaiset (216 art. 7 kohta)</w:t>
            </w:r>
          </w:p>
        </w:tc>
        <w:tc>
          <w:tcPr>
            <w:tcW w:w="6400" w:type="dxa"/>
            <w:tcBorders>
              <w:left w:val="dotted" w:sz="4" w:space="0" w:color="auto"/>
            </w:tcBorders>
          </w:tcPr>
          <w:p>
            <w:pPr>
              <w:pStyle w:val="ProcedureTable"/>
            </w:pPr>
            <w:r>
              <w:t>Peter Agius, Daniel Caspary</w:t>
            </w:r>
          </w:p>
        </w:tc>
      </w:tr>
    </w:tbl>
    <w:p>
      <w:pPr>
        <w:sectPr>
          <w:type w:val="nextPage"/>
          <w:pgSz w:w="11909" w:h="16834"/>
          <w:pgMar w:top="1134" w:right="1417" w:bottom="1417" w:left="1417" w:header="1134" w:footer="567"/>
          <w:cols w:space="720"/>
        </w:sectPr>
      </w:pPr>
    </w:p>
    <w:p>
      <w:pPr>
        <w:pStyle w:val="PageHeading"/>
      </w:pPr>
      <w:r>
        <w:t>LOPULLINEN ÄÄNESTYS NIMENHUUTOÄÄNESTYKSENÄ</w:t>
        <w:br/>
        <w:t>LAUSUNNON ANTAVASSA VALIOKUNNASSA</w:t>
      </w:r>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25</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Caspary Daniel, Do Nascimento Cabral Paulo, Kokalari Arba, Meleti Eleonora, Pietikäinen Sirpa, Princi Giusi, Ripa Manuela, Walsh Maria</w:t>
            </w:r>
          </w:p>
        </w:tc>
      </w:tr>
      <w:tr>
        <w:tblPrEx>
          <w:tblW w:w="0" w:type="auto"/>
          <w:tblLayout w:type="fixed"/>
          <w:tblCellMar>
            <w:top w:w="54" w:type="dxa"/>
            <w:left w:w="140" w:type="dxa"/>
            <w:bottom w:w="54" w:type="dxa"/>
            <w:right w:w="140" w:type="dxa"/>
          </w:tblCellMar>
        </w:tblPrEx>
        <w:tc>
          <w:tcPr>
            <w:tcW w:w="1600" w:type="dxa"/>
          </w:tcPr>
          <w:p>
            <w:pPr>
              <w:pStyle w:val="ProcedureTable"/>
            </w:pPr>
            <w:r>
              <w:t>Renew</w:t>
            </w:r>
          </w:p>
        </w:tc>
        <w:tc>
          <w:tcPr>
            <w:tcW w:w="7600" w:type="dxa"/>
          </w:tcPr>
          <w:p>
            <w:pPr>
              <w:pStyle w:val="ProcedureTable"/>
            </w:pPr>
            <w:r>
              <w:t>Cifrová Ostrihonová Veronika, Devaux Valérie, Kelleher Billy, Yar Lucia</w:t>
            </w:r>
          </w:p>
        </w:tc>
      </w:tr>
      <w:tr>
        <w:tblPrEx>
          <w:tblW w:w="0" w:type="auto"/>
          <w:tblLayout w:type="fixed"/>
          <w:tblCellMar>
            <w:top w:w="54" w:type="dxa"/>
            <w:left w:w="140" w:type="dxa"/>
            <w:bottom w:w="54" w:type="dxa"/>
            <w:right w:w="140" w:type="dxa"/>
          </w:tblCellMar>
        </w:tblPrEx>
        <w:tc>
          <w:tcPr>
            <w:tcW w:w="1600" w:type="dxa"/>
          </w:tcPr>
          <w:p>
            <w:pPr>
              <w:pStyle w:val="ProcedureTable"/>
            </w:pPr>
            <w:r>
              <w:t>S&amp;D</w:t>
            </w:r>
          </w:p>
        </w:tc>
        <w:tc>
          <w:tcPr>
            <w:tcW w:w="7600" w:type="dxa"/>
          </w:tcPr>
          <w:p>
            <w:pPr>
              <w:pStyle w:val="ProcedureTable"/>
            </w:pPr>
            <w:r>
              <w:t>Fritzon Heléne, Gálvez Lina, Grossmann Elisabeth, Noichl Maria, Rafowicz Emma, Scheuring-Wielgus Joanna, Vesligaj Marko, Vind Marianne</w:t>
            </w:r>
          </w:p>
        </w:tc>
      </w:tr>
      <w:tr>
        <w:tblPrEx>
          <w:tblW w:w="0" w:type="auto"/>
          <w:tblLayout w:type="fixed"/>
          <w:tblCellMar>
            <w:top w:w="54" w:type="dxa"/>
            <w:left w:w="140" w:type="dxa"/>
            <w:bottom w:w="54" w:type="dxa"/>
            <w:right w:w="140" w:type="dxa"/>
          </w:tblCellMar>
        </w:tblPrEx>
        <w:tc>
          <w:tcPr>
            <w:tcW w:w="1600" w:type="dxa"/>
          </w:tcPr>
          <w:p>
            <w:pPr>
              <w:pStyle w:val="ProcedureTable"/>
            </w:pPr>
            <w:r>
              <w:t>The Left</w:t>
            </w:r>
          </w:p>
        </w:tc>
        <w:tc>
          <w:tcPr>
            <w:tcW w:w="7600" w:type="dxa"/>
          </w:tcPr>
          <w:p>
            <w:pPr>
              <w:pStyle w:val="ProcedureTable"/>
            </w:pPr>
            <w:r>
              <w:t>Kountoura Elena, Morace Carolina</w:t>
            </w:r>
          </w:p>
        </w:tc>
      </w:tr>
      <w:tr>
        <w:tblPrEx>
          <w:tblW w:w="0" w:type="auto"/>
          <w:tblLayout w:type="fixed"/>
          <w:tblCellMar>
            <w:top w:w="54" w:type="dxa"/>
            <w:left w:w="140" w:type="dxa"/>
            <w:bottom w:w="54" w:type="dxa"/>
            <w:right w:w="140" w:type="dxa"/>
          </w:tblCellMar>
        </w:tblPrEx>
        <w:tc>
          <w:tcPr>
            <w:tcW w:w="1600" w:type="dxa"/>
          </w:tcPr>
          <w:p>
            <w:pPr>
              <w:pStyle w:val="ProcedureTable"/>
            </w:pPr>
            <w:r>
              <w:t>Verts/ALE</w:t>
            </w:r>
          </w:p>
        </w:tc>
        <w:tc>
          <w:tcPr>
            <w:tcW w:w="7600" w:type="dxa"/>
          </w:tcPr>
          <w:p>
            <w:pPr>
              <w:pStyle w:val="ProcedureTable"/>
            </w:pPr>
            <w:r>
              <w:t>Geese Alexandra, Langensiepen Katrin, Scuderi Benedetta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8</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ECR</w:t>
            </w:r>
          </w:p>
        </w:tc>
        <w:tc>
          <w:tcPr>
            <w:tcW w:w="7600" w:type="dxa"/>
          </w:tcPr>
          <w:p>
            <w:pPr>
              <w:pStyle w:val="ProcedureTable"/>
            </w:pPr>
            <w:r>
              <w:t>Gemma Chiara, Timgren Beatrice, Trochu Laurence</w:t>
            </w:r>
          </w:p>
        </w:tc>
      </w:tr>
      <w:tr>
        <w:tblPrEx>
          <w:tblW w:w="0" w:type="auto"/>
          <w:tblLayout w:type="fixed"/>
          <w:tblCellMar>
            <w:top w:w="54" w:type="dxa"/>
            <w:left w:w="140" w:type="dxa"/>
            <w:bottom w:w="54" w:type="dxa"/>
            <w:right w:w="140" w:type="dxa"/>
          </w:tblCellMar>
        </w:tblPrEx>
        <w:tc>
          <w:tcPr>
            <w:tcW w:w="1600" w:type="dxa"/>
          </w:tcPr>
          <w:p>
            <w:pPr>
              <w:pStyle w:val="ProcedureTable"/>
            </w:pPr>
            <w:r>
              <w:t>ESN</w:t>
            </w:r>
          </w:p>
        </w:tc>
        <w:tc>
          <w:tcPr>
            <w:tcW w:w="7600" w:type="dxa"/>
          </w:tcPr>
          <w:p>
            <w:pPr>
              <w:pStyle w:val="ProcedureTable"/>
            </w:pPr>
            <w:r>
              <w:t>Anderson Christine</w:t>
            </w:r>
          </w:p>
        </w:tc>
      </w:tr>
      <w:tr>
        <w:tblPrEx>
          <w:tblW w:w="0" w:type="auto"/>
          <w:tblLayout w:type="fixed"/>
          <w:tblCellMar>
            <w:top w:w="54" w:type="dxa"/>
            <w:left w:w="140" w:type="dxa"/>
            <w:bottom w:w="54" w:type="dxa"/>
            <w:right w:w="140" w:type="dxa"/>
          </w:tblCellMar>
        </w:tblPrEx>
        <w:tc>
          <w:tcPr>
            <w:tcW w:w="1600" w:type="dxa"/>
          </w:tcPr>
          <w:p>
            <w:pPr>
              <w:pStyle w:val="ProcedureTable"/>
            </w:pPr>
            <w:r>
              <w:t>NI</w:t>
            </w:r>
          </w:p>
        </w:tc>
        <w:tc>
          <w:tcPr>
            <w:tcW w:w="7600" w:type="dxa"/>
          </w:tcPr>
          <w:p>
            <w:pPr>
              <w:pStyle w:val="ProcedureTable"/>
            </w:pPr>
            <w:r>
              <w:t>Kartheiser Fernand, Lassáková Judita</w:t>
            </w:r>
          </w:p>
        </w:tc>
      </w:tr>
      <w:tr>
        <w:tblPrEx>
          <w:tblW w:w="0" w:type="auto"/>
          <w:tblLayout w:type="fixed"/>
          <w:tblCellMar>
            <w:top w:w="54" w:type="dxa"/>
            <w:left w:w="140" w:type="dxa"/>
            <w:bottom w:w="54" w:type="dxa"/>
            <w:right w:w="140" w:type="dxa"/>
          </w:tblCellMar>
        </w:tblPrEx>
        <w:tc>
          <w:tcPr>
            <w:tcW w:w="1600" w:type="dxa"/>
          </w:tcPr>
          <w:p>
            <w:pPr>
              <w:pStyle w:val="ProcedureTable"/>
            </w:pPr>
            <w:r>
              <w:t>PfE</w:t>
            </w:r>
          </w:p>
        </w:tc>
        <w:tc>
          <w:tcPr>
            <w:tcW w:w="7600" w:type="dxa"/>
          </w:tcPr>
          <w:p>
            <w:pPr>
              <w:pStyle w:val="ProcedureTable"/>
            </w:pPr>
            <w:r>
              <w:t>Kruis Sebastian, de la Pisa Carrión Margarita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1</w:t>
            </w:r>
          </w:p>
        </w:tc>
        <w:tc>
          <w:tcPr>
            <w:tcW w:w="7600" w:type="dxa"/>
            <w:shd w:val="clear" w:color="auto" w:fill="C0C0C0"/>
          </w:tcPr>
          <w:p>
            <w:pPr>
              <w:pStyle w:val="Arial14CentreBold"/>
            </w:pPr>
            <w:r>
              <w:t>0</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Agius Peter</w:t>
            </w:r>
          </w:p>
        </w:tc>
      </w:tr>
    </w:tbl>
    <w:p/>
    <w:p>
      <w:r>
        <w:t>Symbolien selitys:</w:t>
      </w:r>
    </w:p>
    <w:p>
      <w:pPr>
        <w:pStyle w:val="NormalTab"/>
      </w:pPr>
      <w:r>
        <w:t>+</w:t>
      </w:r>
      <w:r>
        <w:t xml:space="preserve">  :  </w:t>
      </w:r>
      <w:r>
        <w:t>puolesta</w:t>
      </w:r>
    </w:p>
    <w:p>
      <w:pPr>
        <w:pStyle w:val="NormalTab"/>
      </w:pPr>
      <w:r>
        <w:t>-</w:t>
      </w:r>
      <w:r>
        <w:t xml:space="preserve">  :  </w:t>
      </w:r>
      <w:r>
        <w:t>vastaan</w:t>
      </w:r>
    </w:p>
    <w:p>
      <w:pPr>
        <w:pStyle w:val="NormalTab"/>
      </w:pPr>
      <w:r>
        <w:t>0</w:t>
      </w:r>
      <w:r>
        <w:t xml:space="preserve">  :  </w:t>
      </w:r>
      <w:r>
        <w:t>tyhjää</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774.481</w:t>
    </w:r>
    <w:r>
      <w:rPr>
        <w:rStyle w:val="HideTWBExt"/>
      </w:rPr>
      <w:t>&lt;/NoPE&gt;</w:t>
    </w:r>
    <w:r>
      <w:rPr>
        <w:rStyle w:val="HideTWBExt"/>
      </w:rPr>
      <w:t>&lt;Version&gt;</w:t>
    </w:r>
    <w:r>
      <w:t>v02-00</w:t>
    </w:r>
    <w:r>
      <w:rPr>
        <w:rStyle w:val="HideTWBExt"/>
      </w:rPr>
      <w:t>&lt;/Version&gt;</w:t>
    </w:r>
    <w:r>
      <w:tab/>
    </w:r>
    <w:r>
      <w:fldChar w:fldCharType="begin"/>
    </w:r>
    <w:r>
      <w:instrText xml:space="preserve"> PAGE </w:instrText>
    </w:r>
    <w:r>
      <w:fldChar w:fldCharType="separate"/>
    </w:r>
    <w:r>
      <w:t>50</w:t>
    </w:r>
    <w:r>
      <w:fldChar w:fldCharType="end"/>
    </w:r>
    <w:r>
      <w:t>/</w:t>
    </w:r>
    <w:r>
      <w:fldChar w:fldCharType="begin"/>
    </w:r>
    <w:r>
      <w:instrText xml:space="preserve"> NUMPAGES </w:instrText>
    </w:r>
    <w:r>
      <w:fldChar w:fldCharType="separate"/>
    </w:r>
    <w:r>
      <w:t>50</w:t>
    </w:r>
    <w:r>
      <w:fldChar w:fldCharType="end"/>
    </w:r>
    <w:r>
      <w:tab/>
    </w:r>
    <w:r>
      <w:rPr>
        <w:rStyle w:val="HideTWBExt"/>
      </w:rPr>
      <w:t>&lt;PathFdR&gt;</w:t>
    </w:r>
    <w:r>
      <w:t>AD\1329163FI.docx</w:t>
    </w:r>
    <w:r>
      <w:rPr>
        <w:rStyle w:val="HideTWBExt"/>
      </w:rPr>
      <w:t>&lt;/PathFdR&gt;</w:t>
    </w:r>
  </w:p>
  <w:p>
    <w:pPr>
      <w:pStyle w:val="EPFooter2"/>
    </w:pPr>
    <w:r>
      <w:t>FI</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AD\1329163FI.docx</w:t>
    </w:r>
    <w:r>
      <w:rPr>
        <w:rStyle w:val="HideTWBExt"/>
      </w:rPr>
      <w:t>&lt;/PathFdR&gt;</w:t>
    </w:r>
    <w:r>
      <w:tab/>
    </w:r>
    <w:r>
      <w:fldChar w:fldCharType="begin"/>
    </w:r>
    <w:r>
      <w:instrText xml:space="preserve"> PAGE </w:instrText>
    </w:r>
    <w:r>
      <w:fldChar w:fldCharType="separate"/>
    </w:r>
    <w:r>
      <w:t>49</w:t>
    </w:r>
    <w:r>
      <w:fldChar w:fldCharType="end"/>
    </w:r>
    <w:r>
      <w:t>/</w:t>
    </w:r>
    <w:r>
      <w:fldChar w:fldCharType="begin"/>
    </w:r>
    <w:r>
      <w:instrText xml:space="preserve"> NUMPAGES </w:instrText>
    </w:r>
    <w:r>
      <w:fldChar w:fldCharType="separate"/>
    </w:r>
    <w:r>
      <w:t>50</w:t>
    </w:r>
    <w:r>
      <w:fldChar w:fldCharType="end"/>
    </w:r>
    <w:r>
      <w:tab/>
    </w:r>
    <w:r>
      <w:t>PE</w:t>
    </w:r>
    <w:r>
      <w:rPr>
        <w:rStyle w:val="HideTWBExt"/>
      </w:rPr>
      <w:t>&lt;NoPE&gt;</w:t>
    </w:r>
    <w:r>
      <w:t>774.481</w:t>
    </w:r>
    <w:r>
      <w:rPr>
        <w:rStyle w:val="HideTWBExt"/>
      </w:rPr>
      <w:t>&lt;/NoPE&gt;</w:t>
    </w:r>
    <w:r>
      <w:rPr>
        <w:rStyle w:val="HideTWBExt"/>
      </w:rPr>
      <w:t>&lt;Version&gt;</w:t>
    </w:r>
    <w:r>
      <w:t>v02-00</w:t>
    </w:r>
    <w:r>
      <w:rPr>
        <w:rStyle w:val="HideTWBExt"/>
      </w:rPr>
      <w:t>&lt;/Version&gt;</w:t>
    </w:r>
  </w:p>
  <w:p>
    <w:pPr>
      <w:pStyle w:val="EPFooter2"/>
    </w:pPr>
    <w:r>
      <w:tab/>
    </w:r>
    <w:r>
      <w:tab/>
    </w:r>
    <w:r>
      <w:t>FI</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AD\1329163FI.docx</w:t>
    </w:r>
    <w:r>
      <w:rPr>
        <w:rStyle w:val="HideTWBExt"/>
      </w:rPr>
      <w:t>&lt;/PathFdR&gt;</w:t>
    </w:r>
    <w:r>
      <w:tab/>
    </w:r>
    <w:r>
      <w:tab/>
    </w:r>
    <w:r>
      <w:t>PE</w:t>
    </w:r>
    <w:r>
      <w:rPr>
        <w:rStyle w:val="HideTWBExt"/>
      </w:rPr>
      <w:t>&lt;NoPE&gt;</w:t>
    </w:r>
    <w:r>
      <w:t>774.481</w:t>
    </w:r>
    <w:r>
      <w:rPr>
        <w:rStyle w:val="HideTWBExt"/>
      </w:rPr>
      <w:t>&lt;/NoPE&gt;</w:t>
    </w:r>
    <w:r>
      <w:rPr>
        <w:rStyle w:val="HideTWBExt"/>
      </w:rPr>
      <w:t>&lt;Version&gt;</w:t>
    </w:r>
    <w:r>
      <w:t>v02-00</w:t>
    </w:r>
    <w:r>
      <w:rPr>
        <w:rStyle w:val="HideTWBExt"/>
      </w:rPr>
      <w:t>&lt;/Version&gt;</w:t>
    </w:r>
  </w:p>
  <w:p>
    <w:pPr>
      <w:pStyle w:val="EPFooter2"/>
    </w:pPr>
    <w:r>
      <w:t>FI</w:t>
    </w:r>
    <w:r>
      <w:tab/>
    </w:r>
    <w:r>
      <w:rPr>
        <w:rStyle w:val="EPFooter2Motto"/>
      </w:rPr>
      <w:t>Moninaisuudessaan yhtenäinen</w:t>
    </w:r>
    <w:r>
      <w:tab/>
    </w:r>
    <w:r>
      <w:t>FI</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 xml:space="preserve">Euroopan parlamentin, Euroopan unionin neuvoston ja Euroopan komission toimielinten välinen sopimus, tehty 20. toukokuuta 2021, pakollisesta avoimuusrekisteristä (EUVL L 207, 11.6.2021, s. 1, ELI: </w:t>
      </w:r>
      <w:hyperlink r:id="rId1" w:tgtFrame="http://data.europa.eu/eli/agree_interinstit/2021/611/oj" w:history="1">
        <w:r>
          <w:rPr>
            <w:rStyle w:val="Hyperlink"/>
          </w:rPr>
          <w:t>http://data.europa.eu/eli/agree_interinstit/2021/611/oj</w:t>
        </w:r>
      </w:hyperlink>
      <w: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7\uc1\adeff0\deff0\stshfdbch0\stshfloch0\stshfhich0\stshfbi0\deflang1063\deflangfe1041\themelang2057\themelangfe1041\themelangcs1108{\fonttbl{\f0\fbidi \froman\fcharset0\fprq2{\*\panose 02020603050405020304}Times New Roman;}{\f1\fbidi \fswiss\fcharset0\fprq2{\*\panose 020b0604020202020204}Arial;}&#13;_x000a_{\f34\fbidi \froman\fcharset0\fprq2{\*\panose 02040503050406030204}Cambria Math;}{\f38\fbidi \fswiss\fcharset128\fprq2{\*\panose 020b0300000000000000}Yu Gothic Light{\*\falt \'9f\'e0\'83\'53\'83\'56\'83\'62\'83\'4e Light};}&#13;_x000a_{\f163\fbidi \fswiss\fcharset128\fprq2 @Yu Gothic Light;}{\flomajor\f31500\fbidi \froman\fcharset0\fprq2{\*\panose 02020603050405020304}Times New Roman;}&#13;_x000a_{\fdbmajor\f31501\fbidi \fswiss\fcharset128\fprq2{\*\panose 020b0300000000000000}Yu Gothic Light{\*\falt \'9f\'e0\'83\'53\'83\'56\'83\'62\'83\'4e Light};}{\fhimajor\f31502\fbidi \fswiss\fcharset0\fprq2{\*\panose 020f0302020204030204}Calibri Light;}&#13;_x000a_{\fbimajor\f31503\fbidi \fswiss\fcharset0\fprq2 DokChampa;}{\flominor\f31504\fbidi \froman\fcharset0\fprq2{\*\panose 02020603050405020304}Times New Roman;}&#13;_x000a_{\fdbminor\f31505\fbidi \froman\fcharset128\fprq0{\*\panose 00000000000000000000}Yu Mincho{\*\falt \'9f\'e0\'96\'be\'92\'a9};}{\fhiminor\f31506\fbidi \fswiss\fcharset0\fprq2{\*\panose 020f0502020204030204}Calibri;}&#13;_x000a_{\fbiminor\f31507\fbidi \fswiss\fcharset0\fprq2 DokChampa;}{\f335\fbidi \froman\fcharset238\fprq2 Times New Roman CE;}{\f336\fbidi \froman\fcharset204\fprq2 Times New Roman Cyr;}{\f338\fbidi \froman\fcharset161\fprq2 Times New Roman Greek;}&#13;_x000a_{\f339\fbidi \froman\fcharset162\fprq2 Times New Roman Tur;}{\f340\fbidi \froman\fcharset177\fprq2 Times New Roman (Hebrew);}{\f341\fbidi \froman\fcharset178\fprq2 Times New Roman (Arabic);}{\f342\fbidi \froman\fcharset186\fprq2 Times New Roman Baltic;}&#13;_x000a_{\f343\fbidi \froman\fcharset163\fprq2 Times New Roman (Vietnamese);}{\f345\fbidi \fswiss\fcharset238\fprq2 Arial CE;}{\f346\fbidi \fswiss\fcharset204\fprq2 Arial Cyr;}{\f348\fbidi \fswiss\fcharset161\fprq2 Arial Greek;}&#13;_x000a_{\f349\fbidi \fswiss\fcharset162\fprq2 Arial Tur;}{\f350\fbidi \fswiss\fcharset177\fprq2 Arial (Hebrew);}{\f351\fbidi \fswiss\fcharset178\fprq2 Arial (Arabic);}{\f352\fbidi \fswiss\fcharset186\fprq2 Arial Baltic;}&#13;_x000a_{\f353\fbidi \fswiss\fcharset163\fprq2 Arial (Vietnamese);}{\f675\fbidi \froman\fcharset238\fprq2 Cambria Math CE;}{\f676\fbidi \froman\fcharset204\fprq2 Cambria Math Cyr;}{\f678\fbidi \froman\fcharset161\fprq2 Cambria Math Greek;}&#13;_x000a_{\f679\fbidi \froman\fcharset162\fprq2 Cambria Math Tur;}{\f682\fbidi \froman\fcharset186\fprq2 Cambria Math Baltic;}{\f683\fbidi \froman\fcharset163\fprq2 Cambria Math (Vietnamese);}&#13;_x000a_{\f717\fbidi \fswiss\fcharset0\fprq2 Yu Gothic Light Western{\*\falt \'9f\'e0\'83\'53\'83\'56\'83\'62\'83\'4e Light};}{\f715\fbidi \fswiss\fcharset238\fprq2 Yu Gothic Light CE{\*\falt \'9f\'e0\'83\'53\'83\'56\'83\'62\'83\'4e Light};}&#13;_x000a_{\f716\fbidi \fswiss\fcharset204\fprq2 Yu Gothic Light Cyr{\*\falt \'9f\'e0\'83\'53\'83\'56\'83\'62\'83\'4e Light};}{\f718\fbidi \fswiss\fcharset161\fprq2 Yu Gothic Light Greek{\*\falt \'9f\'e0\'83\'53\'83\'56\'83\'62\'83\'4e Light};}&#13;_x000a_{\f719\fbidi \fswiss\fcharset162\fprq2 Yu Gothic Light Tur{\*\falt \'9f\'e0\'83\'53\'83\'56\'83\'62\'83\'4e Light};}{\f722\fbidi \fswiss\fcharset186\fprq2 Yu Gothic Light Baltic{\*\falt \'9f\'e0\'83\'53\'83\'56\'83\'62\'83\'4e Light};}&#13;_x000a_{\f1967\fbidi \fswiss\fcharset0\fprq2 @Yu Gothic Light Western;}{\f1965\fbidi \fswiss\fcharset238\fprq2 @Yu Gothic Light CE;}{\f1966\fbidi \fswiss\fcharset204\fprq2 @Yu Gothic Light Cyr;}{\f1968\fbidi \fswiss\fcharset161\fprq2 @Yu Gothic Light Greek;}&#13;_x000a_{\f1969\fbidi \fswiss\fcharset162\fprq2 @Yu Gothic Light Tur;}{\f1972\fbidi \fswiss\fcharset186\fprq2 @Yu Gothic Light Baltic;}{\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20\fbidi \fswiss\fcharset0\fprq2 Yu Gothic Light Western{\*\falt \'9f\'e0\'83\'53\'83\'56\'83\'62\'83\'4e Light};}&#13;_x000a_{\fdbmajor\f31518\fbidi \fswiss\fcharset238\fprq2 Yu Gothic Light CE{\*\falt \'9f\'e0\'83\'53\'83\'56\'83\'62\'83\'4e Light};}{\fdbmajor\f31519\fbidi \fswiss\fcharset204\fprq2 Yu Gothic Light Cyr{\*\falt \'9f\'e0\'83\'53\'83\'56\'83\'62\'83\'4e Light};}&#13;_x000a_{\fdbmajor\f31521\fbidi \fswiss\fcharset161\fprq2 Yu Gothic Light Greek{\*\falt \'9f\'e0\'83\'53\'83\'56\'83\'62\'83\'4e Light};}&#13;_x000a_{\fdbmajor\f31522\fbidi \fswiss\fcharset162\fprq2 Yu Gothic Light Tur{\*\falt \'9f\'e0\'83\'53\'83\'56\'83\'62\'83\'4e Light};}&#13;_x000a_{\fdbmajor\f31525\fbidi \fswiss\fcharset186\fprq2 Yu Gothic Light Baltic{\*\falt \'9f\'e0\'83\'53\'83\'56\'83\'62\'83\'4e Light};}{\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7\fbidi \fswiss\fcharset222\fprq2 DokChampa (Tha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242834 HideTWBExt;}{&#13;_x000a_\s18\ql \li0\ri0\nowidctlpar\wrapdefault\aspalpha\aspnum\faauto\adjustright\rin0\lin0\itap0 \rtlch\fcs1 \af0\afs20\alang1025 \ltrch\fcs0 \b\fs24\lang2057\langfe2057\cgrid\langnp2057\langfenp2057 \sbasedon0 \snext18 \spriority0 \styrsid2242834 NormalBold;}&#13;_x000a_{\s19\qr \li0\ri0\sb240\sa240\nowidctlpar\wrapdefault\aspalpha\aspnum\faauto\adjustright\rin0\lin0\itap0 \rtlch\fcs1 \af0\afs20\alang1025 \ltrch\fcs0 \fs24\lang2057\langfe2057\cgrid\langnp2057\langfenp2057 \sbasedon0 \snext19 \spriority0 \styrsid2242834 &#13;_x000a_AmOrLang;}{\s20\ql \li0\ri0\sa120\nowidctlpar\wrapdefault\aspalpha\aspnum\faauto\adjustright\rin0\lin0\itap0 \rtlch\fcs1 \af0\afs20\alang1025 \ltrch\fcs0 \fs24\lang2057\langfe2057\cgrid\langnp2057\langfenp2057 &#13;_x000a_\sbasedon0 \snext20 \spriority0 \styrsid2242834 Normal6a;}{\s21\qc \li0\ri0\sa240\nowidctlpar\wrapdefault\aspalpha\aspnum\faauto\adjustright\rin0\lin0\itap0 \rtlch\fcs1 \af0\afs20\alang1025 \ltrch\fcs0 &#13;_x000a_\i\fs24\lang2057\langfe2057\cgrid\langnp2057\langfenp2057 \sbasedon0 \snext21 \spriority0 \styrsid2242834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2242834 AmNumberTabs;}{\s23\ql \li0\ri0\sb240\nowidctlpar\wrapdefault\aspalpha\aspnum\faauto\adjustright\rin0\lin0\itap0 \rtlch\fcs1 &#13;_x000a_\af0\afs20\alang1025 \ltrch\fcs0 \b\fs24\lang2057\langfe2057\cgrid\langnp2057\langfenp2057 \sbasedon0 \snext23 \spriority0 \styrsid2242834 NormalBold12b;}}{\*\rsidtbl \rsid24658\rsid223860\rsid735077\rsid1718133\rsid2242834\rsid2892074\rsid3565327&#13;_x000a_\rsid4666813\rsid6641733\rsid7823322\rsid9582763\rsid9636012\rsid10377208\rsid11215221\rsid11549030\rsid12154954\rsid14382809\rsid14424199\rsid15204470\rsid15285974\rsid15950462\rsid16324206\rsid16662270}{\mmathPr\mmathFont34\mbrkBin0\mbrkBinSub0&#13;_x000a_\msmallFrac0\mdispDef1\mlMargin0\mrMargin0\mdefJc1\mwrapIndent1440\mintLim0\mnaryLim1}{\info{\author nmonkuniene}{\operator MONKUNIENE Neringa}{\creatim\yr2024\mo5\dy23\hr11\min2}{\revtim\yr2024\mo5\dy23\hr11\min2}{\version1}{\edmins0}{\nofpages1}&#13;_x000a_{\nofwords120}{\nofchars69}{\nofcharsws188}{\vern109}}{\*\xmlnstbl {\xmlns1 http://schemas.microsoft.com/office/word/2003/wordml}}\paperw11906\paperh16838\margl1418\margr1418\margt1134\margb1418\gutter0\ltrsect &#13;_x000a_\facingp\widowctrl\ftnbj\aenddoc\ftnrestart\hyphhotz396\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242834\newtblstyruls\nogrowautofit\usenormstyforlist\noindnmbrts\felnbrelev\nocxsptable\indrlsweleven\noafcnsttbl\afelev\utinl\hwelev\spltpgpar\notcvasp\notbrkcnstfrctbl\notvatxbx\krnprsnet\cachedcolbal &#13;_x000a_\nouicompat \fet0{\*\wgrffmtfilter 013f}\nofeaturethrottle1\ilfomacatclnup0{\*\template C:\\Users\\NMONKU~1\\AppData\\Local\\Temp\\Blank1.dotx}{\*\ftnsep \ltrpar \pard\plain \ltrpar&#13;_x000a_\ql \li0\ri0\widctlpar\wrapdefault\aspalpha\aspnum\faauto\adjustright\rin0\lin0\itap0 \rtlch\fcs1 \af0\afs20\alang1025 \ltrch\fcs0 \fs24\lang2057\langfe2057\cgrid\langnp2057\langfenp2057 {\rtlch\fcs1 \af0 \ltrch\fcs0 \insrsid9582763 \chftnsep &#13;_x000a_\par }}{\*\ftnsepc \ltrpar \pard\plain \ltrpar\ql \li0\ri0\widctlpar\wrapdefault\aspalpha\aspnum\faauto\adjustright\rin0\lin0\itap0 \rtlch\fcs1 \af0\afs20\alang1025 \ltrch\fcs0 \fs24\lang2057\langfe2057\cgrid\langnp2057\langfenp2057 {\rtlch\fcs1 \af0 &#13;_x000a_\ltrch\fcs0 \insrsid9582763 \chftnsepc &#13;_x000a_\par }}{\*\aftnsep \ltrpar \pard\plain \ltrpar\ql \li0\ri0\widctlpar\wrapdefault\aspalpha\aspnum\faauto\adjustright\rin0\lin0\itap0 \rtlch\fcs1 \af0\afs20\alang1025 \ltrch\fcs0 \fs24\lang2057\langfe2057\cgrid\langnp2057\langfenp2057 {\rtlch\fcs1 \af0 &#13;_x000a_\ltrch\fcs0 \insrsid9582763 \chftnsep &#13;_x000a_\par }}{\*\aftnsepc \ltrpar \pard\plain \ltrpar\ql \li0\ri0\widctlpar\wrapdefault\aspalpha\aspnum\faauto\adjustright\rin0\lin0\itap0 \rtlch\fcs1 \af0\afs20\alang1025 \ltrch\fcs0 \fs24\lang2057\langfe2057\cgrid\langnp2057\langfenp2057 {\rtlch\fcs1 \af0 &#13;_x000a_\ltrch\fcs0 \insrsid958276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qc\pnstart1\pnindent720\pnhang {\pntxta .}}{\*\pnseclvl2\pnucltr\pnqc\pnstart1\pnindent720\pnhang {\pntxta .}}{\*\pnseclvl3\pndec\pnqc\pnstart1\pnindent720\pnhang {\pntxta .}}{\*\pnseclvl4\pnlcltr\pnqc\pnstart1\pnindent720\pnhang &#13;_x000a_{\pntxta )}}{\*\pnseclvl5\pndec\pnqc\pnstart1\pnindent720\pnhang {\pntxtb (}{\pntxta )}}{\*\pnseclvl6\pnlcltr\pnqc\pnstart1\pnindent720\pnhang {\pntxtb (}{\pntxta )}}{\*\pnseclvl7\pnlcrm\pnqc\pnstart1\pnindent720\pnhang {\pntxtb (}{\pntxta )}}&#13;_x000a_{\*\pnseclvl8\pnlcltr\pnqc\pnstart1\pnindent720\pnhang {\pntxtb (}{\pntxta )}}{\*\pnseclvl9\pnlcrm\pnqc\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2242834 \rtlch\fcs1 &#13;_x000a_\af0\afs20\alang1025 \ltrch\fcs0 \b\fs24\lang2057\langfe2057\cgrid\langnp2057\langfenp2057 {\rtlch\fcs1 \af0 \ltrch\fcs0 \cs17\b0\v\fs20\cf9\lang1024\langfe1024\loch\af1\hich\af1\dbch\af31501\noproof\langnp1036\insrsid2242834\charrsid4291528 &#13;_x000a_{\*\bkmkstart restart}\hich\af1\dbch\af31501\loch\f1 &lt;Amend&gt;}{\rtlch\fcs1 \af0 \ltrch\fcs0 \lang1036\langfe2057\langnp1036\insrsid2242834\charrsid4291528 [ZAMENDMENT]\tab \tab }{\rtlch\fcs1 \af0 \ltrch\fcs0 &#13;_x000a_\cs17\b0\v\fs20\cf9\lang1024\langfe1024\loch\af1\hich\af1\dbch\af31501\noproof\langnp1036\insrsid2242834\charrsid4291528 \hich\af1\dbch\af31501\loch\f1 &lt;NumAm&gt;}{\rtlch\fcs1 \af0 \ltrch\fcs0 \lang1036\langfe2057\langnp1036\insrsid2242834\charrsid4291528 &#13;_x000a_[ZNRAM]}{\rtlch\fcs1 \af0 \ltrch\fcs0 \cs17\b0\v\fs20\cf9\lang1024\langfe1024\loch\af1\hich\af1\dbch\af31501\noproof\langnp1036\insrsid2242834\charrsid4291528 \hich\af1\dbch\af31501\loch\f1 &lt;/NumAm&gt;}{\rtlch\fcs1 \af0 \ltrch\fcs0 &#13;_x000a_\lang1036\langfe2057\langnp1036\insrsid2242834\charrsid4291528 &#13;_x000a_\par }\pard\plain \ltrpar\s23\ql \li0\ri0\sb240\keepn\nowidctlpar\wrapdefault\aspalpha\aspnum\faauto\adjustright\rin0\lin0\itap0\pararsid2242834 \rtlch\fcs1 \af0\afs20\alang1025 \ltrch\fcs0 \b\fs24\lang2057\langfe2057\cgrid\langnp2057\langfenp2057 {&#13;_x000a_\rtlch\fcs1 \af0 \ltrch\fcs0 \cs17\b0\v\fs20\cf9\lang1024\langfe1024\loch\af1\hich\af1\dbch\af31501\noproof\langnp1036\insrsid2242834\charrsid4291528 \hich\af1\dbch\af31501\loch\f1 &lt;DocAmend&gt;}{\rtlch\fcs1 \af0 \ltrch\fcs0 &#13;_x000a_\lang1036\langfe2057\langnp1036\insrsid2242834\charrsid4291528 [}{\rtlch\fcs1 \af0 \ltrch\fcs0 \lang1036\langfe2057\langnp1036\insrsid2242834\charrsid3548259 ZPROPOSAL}{\rtlch\fcs1 \af0 \ltrch\fcs0 &#13;_x000a_\lang1036\langfe2057\langnp1036\insrsid2242834\charrsid4291528 ]}{\rtlch\fcs1 \af0 \ltrch\fcs0 \cs17\b0\v\fs20\cf9\lang1024\langfe1024\loch\af1\hich\af1\dbch\af31501\noproof\langnp1036\insrsid2242834\charrsid4291528 \hich\af1\dbch\af31501\loch\f1 &#13;_x000a_&lt;/DocAmend&gt;}{\rtlch\fcs1 \af0 \ltrch\fcs0 \lang1036\langfe2057\langnp1036\insrsid2242834\charrsid4291528 &#13;_x000a_\par }\pard\plain \ltrpar\s18\ql \li0\ri0\nowidctlpar\wrapdefault\aspalpha\aspnum\faauto\adjustright\rin0\lin0\itap0\pararsid2242834 \rtlch\fcs1 \af0\afs20\alang1025 \ltrch\fcs0 \b\fs24\lang2057\langfe2057\cgrid\langnp2057\langfenp2057 {\rtlch\fcs1 \af0 &#13;_x000a_\ltrch\fcs0 \cs17\b0\v\fs20\cf9\lang1024\langfe1024\loch\af1\hich\af1\dbch\af31501\noproof\langnp1036\insrsid2242834\charrsid4291528 \hich\af1\dbch\af31501\loch\f1 &lt;Article&gt;}{\rtlch\fcs1 \af0 \ltrch\fcs0 &#13;_x000a_\lang1036\langfe2057\langnp1036\insrsid2242834\charrsid4291528 [ZAMPART]}{\rtlch\fcs1 \af0 \ltrch\fcs0 \cs17\b0\v\fs20\cf9\lang1024\langfe1024\loch\af1\hich\af1\dbch\af31501\noproof\langnp1036\insrsid2242834\charrsid4291528 \hich\af1\dbch\af31501\loch\f1 &#13;_x000a_&lt;/Article&gt;}{\rtlch\fcs1 \af0 \ltrch\fcs0 \lang1036\langfe2057\langnp1036\insrsid2242834\charrsid4291528 &#13;_x000a_\par \ltrrow}\trowd \irow0\irowband0\ltrrow\ts11\trqc\trgaph340\trleft0\trftsWidth3\trwWidth9752\trftsWidthB3\trpaddl340\trpaddr340\trpaddfl3\trpaddft3\trpaddfb3\trpaddfr3\tblrsid9505846\tblind0\tblindtype3 \clvertalt\clbrdrt\brdrtbl \clbrdrl\brdrtbl \clbrdrb&#13;_x000a_\brdrtbl \clbrdrr\brdrtbl \cltxlrtb\clftsWidth3\clwWidth9752\clshdrawnil \cellx9752\pard\plain \ltrpar\ql \li0\ri0\keepn\widctlpar\intbl\wrapdefault\aspalpha\aspnum\faauto\adjustright\rin0\lin0\pararsid9505846 \rtlch\fcs1 \af0\afs20\alang1025 \ltrch\fcs0 &#13;_x000a_\fs24\lang2057\langfe2057\cgrid\langnp2057\langfenp2057 {\rtlch\fcs1 \af0 \ltrch\fcs0 \lang1036\langfe2057\langnp1036\insrsid2242834\charrsid4291528 \cell }\pard\plain \ltrpar&#13;_x000a_\ql \li0\ri0\widctlpar\intbl\wrapdefault\aspalpha\aspnum\faauto\adjustright\rin0\lin0 \rtlch\fcs1 \af0\afs20\alang1025 \ltrch\fcs0 \fs24\lang2057\langfe2057\cgrid\langnp2057\langfenp2057 {\rtlch\fcs1 \af0 \ltrch\fcs0 \insrsid2242834\charrsid4291528 &#13;_x000a_\trowd \irow0\irowband0\ltrrow\ts11\trqc\trgaph340\trleft0\trftsWidth3\trwWidth9752\trftsWidthB3\trpaddl340\trpaddr340\trpaddfl3\trpaddft3\trpaddfb3\trpaddfr3\tblrsid9505846\tblind0\tblindtype3 \clvertalt\clbrdrt\brdrtbl \clbrdrl\brdrtbl \clbrdrb\brdrtbl &#13;_x000a_\clbrdrr\brdrtbl \cltxlrtb\clftsWidth3\clwWidth9752\clshdrawnil \cellx9752\row \ltrrow}\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pard\plain \ltrpar&#13;_x000a_\s21\qc \li0\ri0\sa240\keepn\nowidctlpar\intbl\wrapdefault\aspalpha\aspnum\faauto\adjustright\rin0\lin0\pararsid9505846 \rtlch\fcs1 \af0\afs20\alang1025 \ltrch\fcs0 \i\fs24\lang2057\langfe2057\cgrid\langnp2057\langfenp2057 {\rtlch\fcs1 \af0 \ltrch\fcs0 &#13;_x000a_\insrsid2242834\charrsid6708014 [ZLEFT]\cell [ZRIGHT]\cell }\pard\plain \ltrpar\ql \li0\ri0\widctlpar\intbl\wrapdefault\aspalpha\aspnum\faauto\adjustright\rin0\lin0 \rtlch\fcs1 \af0\afs20\alang1025 \ltrch\fcs0 &#13;_x000a_\fs24\lang2057\langfe2057\cgrid\langnp2057\langfenp2057 {\rtlch\fcs1 \af0 \ltrch\fcs0 \insrsid2242834\charrsid6708014 \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20\ql \li0\ri0\sa120\nowidctlpar\intbl\wrapdefault\aspalpha\aspnum\faauto\adjustright\rin0\lin0\pararsid9505846 \rtlch\fcs1 \af0\afs20\alang1025 \ltrch\fcs0 \fs24\lang2057\langfe2057\cgrid\langnp2057\langfenp2057 {\rtlch\fcs1 \af0 \ltrch\fcs0 &#13;_x000a_\insrsid2242834\charrsid6708014 [ZTEXTL]\cell [ZTEXTR]}{\rtlch\fcs1 \af0\afs24 \ltrch\fcs0 \insrsid2242834\charrsid6708014 \cell }\pard\plain \ltrpar\ql \li0\ri0\widctlpar\intbl\wrapdefault\aspalpha\aspnum\faauto\adjustright\rin0\lin0 \rtlch\fcs1 &#13;_x000a_\af0\afs20\alang1025 \ltrch\fcs0 \fs24\lang2057\langfe2057\cgrid\langnp2057\langfenp2057 {\rtlch\fcs1 \af0 \ltrch\fcs0 \insrsid2242834\charrsid6708014 \trowd \irow2\irowband2\lastrow \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19\qr \li0\ri0\sb240\sa240\nowidctlpar\wrapdefault\aspalpha\aspnum\faauto\adjustright\rin0\lin0\itap0\pararsid2242834 \rtlch\fcs1 \af0\afs20\alang1025 \ltrch\fcs0 \fs24\lang2057\langfe2057\cgrid\langnp2057\langfenp2057 {\rtlch\fcs1 \af0 \ltrch\fcs0 &#13;_x000a_\insrsid2242834\charrsid6708014 Or. }{\rtlch\fcs1 \af0 \ltrch\fcs0 \cs17\v\fs20\cf9\lang1024\langfe1024\loch\af1\hich\af1\dbch\af31501\noproof\insrsid2242834\charrsid6708014 \hich\af1\dbch\af31501\loch\f1 &lt;Original&gt;}{\rtlch\fcs1 \af0 \ltrch\fcs0 &#13;_x000a_\insrsid2242834\charrsid6708014 [ZORLANG]}{\rtlch\fcs1 \af0 \ltrch\fcs0 \cs17\v\fs20\cf9\lang1024\langfe1024\loch\af1\hich\af1\dbch\af31501\noproof\insrsid2242834\charrsid6708014 \hich\af1\dbch\af31501\loch\f1 &lt;/Original&gt;}{\rtlch\fcs1 \af0 \ltrch\fcs0 &#13;_x000a_\insrsid2242834\charrsid6708014 &#13;_x000a_\par }\pard\plain \ltrpar\ql \li0\ri0\widctlpar\wrapdefault\aspalpha\aspnum\faauto\adjustright\rin0\lin0\itap0\pararsid2242834 \rtlch\fcs1 \af0\afs20\alang1025 \ltrch\fcs0 \fs24\lang2057\langfe2057\cgrid\langnp2057\langfenp2057 {\rtlch\fcs1 \af0 \ltrch\fcs0 &#13;_x000a_\cs17\v\fs20\cf9\lang1024\langfe1024\loch\af1\hich\af1\dbch\af31501\noproof\insrsid2242834\charrsid6708014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b4&#13;_x000a_ebf4efacda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rossRef">
    <w:name w:val="AmCrossRef"/>
    <w:basedOn w:val="Normal"/>
    <w:pPr>
      <w:widowControl/>
      <w:spacing w:before="240" w:after="240"/>
      <w:jc w:val="center"/>
    </w:pPr>
    <w:rPr>
      <w:i/>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customStyle="1" w:styleId="NormalBold">
    <w:name w:val="NormalBold"/>
    <w:basedOn w:val="Normal"/>
    <w:pPr>
      <w:widowControl/>
    </w:pPr>
    <w:rPr>
      <w:b/>
    </w:r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NormalBold12b">
    <w:name w:val="NormalBold12b"/>
    <w:basedOn w:val="Normal"/>
    <w:pPr>
      <w:widowControl/>
      <w:spacing w:before="240"/>
    </w:pPr>
    <w:rPr>
      <w:b/>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DocTypeTab">
    <w:name w:val="AmDocTypeTab"/>
    <w:basedOn w:val="Normal"/>
    <w:pPr>
      <w:widowControl/>
      <w:tabs>
        <w:tab w:val="right" w:pos="9070"/>
      </w:tabs>
    </w:pPr>
    <w:rPr>
      <w:b/>
    </w:rPr>
  </w:style>
  <w:style w:type="paragraph" w:customStyle="1" w:styleId="AmDateTab">
    <w:name w:val="AmDateTab"/>
    <w:basedOn w:val="Normal"/>
    <w:pPr>
      <w:widowControl/>
      <w:tabs>
        <w:tab w:val="right" w:pos="9070"/>
      </w:tabs>
    </w:p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character" w:customStyle="1" w:styleId="FooterChar">
    <w:name w:val="Footer Char"/>
    <w:rPr>
      <w:rFonts w:ascii="Times New Roman" w:eastAsia="Times New Roman" w:hAnsi="Times New Roman" w:cs="Times New Roman"/>
      <w:sz w:val="24"/>
    </w:r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paragraph" w:customStyle="1" w:styleId="Arial14CentreBold">
    <w:name w:val="Arial14CentreBold"/>
    <w:basedOn w:val="Normal"/>
    <w:pPr>
      <w:widowControl/>
      <w:spacing w:after="0" w:line="240" w:lineRule="auto"/>
      <w:jc w:val="center"/>
    </w:pPr>
    <w:rPr>
      <w:rFonts w:ascii="Arial" w:eastAsia="Arial" w:hAnsi="Arial" w:cs="Arial"/>
      <w:b/>
      <w:sz w:val="28"/>
    </w:rPr>
  </w:style>
  <w:style w:type="paragraph" w:customStyle="1" w:styleId="ProcedureTable">
    <w:name w:val="ProcedureTable"/>
    <w:basedOn w:val="Normal"/>
    <w:pPr>
      <w:widowControl/>
      <w:spacing w:after="0" w:line="240" w:lineRule="auto"/>
    </w:pPr>
    <w:rPr>
      <w:rFonts w:ascii="Times New Roman" w:eastAsia="Times New Roman" w:hAnsi="Times New Roman" w:cs="Times New Roman"/>
      <w:sz w:val="20"/>
    </w:rPr>
  </w:style>
  <w:style w:type="paragraph" w:customStyle="1" w:styleId="ProcedureTableBold">
    <w:name w:val="ProcedureTableBold"/>
    <w:basedOn w:val="Normal"/>
    <w:pPr>
      <w:widowControl/>
      <w:spacing w:after="0" w:line="240" w:lineRule="auto"/>
    </w:pPr>
    <w:rPr>
      <w:rFonts w:ascii="Times New Roman" w:eastAsia="Times New Roman" w:hAnsi="Times New Roman" w:cs="Times New Roman"/>
      <w:b/>
      <w:sz w:val="20"/>
    </w:rPr>
  </w:style>
  <w:style w:type="paragraph" w:customStyle="1" w:styleId="NormalTab">
    <w:name w:val="NormalTab"/>
    <w:basedOn w:val="Normal"/>
    <w:pPr>
      <w:widowControl/>
      <w:tabs>
        <w:tab w:val="center" w:pos="284"/>
        <w:tab w:val="left" w:pos="424"/>
      </w:tabs>
      <w:spacing w:after="0" w:line="240" w:lineRule="auto"/>
    </w:pPr>
    <w:rPr>
      <w:rFonts w:ascii="Times New Roman" w:eastAsia="Times New Roman" w:hAnsi="Times New Roman" w:cs="Times New Roman"/>
      <w:sz w:val="24"/>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NormalCenter12a">
    <w:name w:val="NormalCenter12a"/>
    <w:basedOn w:val="Normal"/>
    <w:pPr>
      <w:widowControl/>
      <w:spacing w:after="240"/>
      <w:jc w:val="center"/>
    </w:p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50</Pages>
  <Words>7043</Words>
  <Characters>61035</Characters>
  <Application>Microsoft Office Word</Application>
  <DocSecurity>0</DocSecurity>
  <Lines>1</Lines>
  <Paragraphs>624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1329163</vt:lpwstr>
  </property>
  <property fmtid="{D5CDD505-2E9C-101B-9397-08002B2CF9AE}" pid="4" name="&lt;Model&gt;">
    <vt:lpwstr>PA_NonLeg</vt:lpwstr>
  </property>
  <property fmtid="{D5CDD505-2E9C-101B-9397-08002B2CF9AE}" pid="5" name="&lt;Type&gt;">
    <vt:lpwstr>AD</vt:lpwstr>
  </property>
  <property fmtid="{D5CDD505-2E9C-101B-9397-08002B2CF9AE}" pid="6" name="dmxml.render.id">
    <vt:lpwstr>275887</vt:lpwstr>
  </property>
  <property fmtid="{D5CDD505-2E9C-101B-9397-08002B2CF9AE}" pid="7" name="dmxml.render.traceId">
    <vt:lpwstr>6904a71cadbc0e8b8d30f777f273e6fc</vt:lpwstr>
  </property>
  <property fmtid="{D5CDD505-2E9C-101B-9397-08002B2CF9AE}" pid="8" name="FooterPath">
    <vt:lpwstr>AD\1329163FI.doc</vt:lpwstr>
  </property>
  <property fmtid="{D5CDD505-2E9C-101B-9397-08002B2CF9AE}" pid="9" name="PE Number">
    <vt:lpwstr>774.481</vt:lpwstr>
  </property>
  <property fmtid="{D5CDD505-2E9C-101B-9397-08002B2CF9AE}" pid="10" name="UID">
    <vt:lpwstr>eu.europa.europarl-DIN1-2025-0000182003_01.07-fi-01.00_text-xml</vt:lpwstr>
  </property>
</Properties>
</file>