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Európai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Nőjogi és Esélyegyenlőségi Bizottság</w:t>
      </w:r>
      <w:r>
        <w:rPr>
          <w:rStyle w:val="HideTWBExt"/>
        </w:rPr>
        <w:t>&lt;/Commission&gt;</w:t>
      </w:r>
    </w:p>
    <w:p>
      <w:pPr>
        <w:pStyle w:val="LineBottom"/>
      </w:pPr>
      <w:r>
        <w:t xml:space="preserve"> </w:t>
      </w:r>
    </w:p>
    <w:p>
      <w:pPr>
        <w:pStyle w:val="CoverReference"/>
      </w:pPr>
      <w:r>
        <w:rPr>
          <w:rStyle w:val="HideTWBExt"/>
        </w:rPr>
        <w:t>&lt;RefProc&gt;</w:t>
      </w:r>
      <w:r>
        <w:t>2025/2085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{20/10/2025}</w:t>
      </w:r>
      <w:r>
        <w:t>20.10.2025</w:t>
      </w:r>
      <w:r>
        <w:rPr>
          <w:rStyle w:val="HideTWBExt"/>
        </w:rPr>
        <w:t>&lt;/Date&gt;</w:t>
      </w:r>
    </w:p>
    <w:p>
      <w:pPr>
        <w:pStyle w:val="CoverDocType24a"/>
      </w:pPr>
      <w:r>
        <w:rPr>
          <w:rStyle w:val="HideTWBExt"/>
        </w:rPr>
        <w:t>&lt;TitreType&gt;</w:t>
      </w:r>
      <w:r>
        <w:t>VÉLEMÉNY</w:t>
      </w:r>
      <w:r>
        <w:rPr>
          <w:rStyle w:val="HideTWBExt"/>
        </w:rPr>
        <w:t>&lt;/TitreType&gt;</w:t>
      </w:r>
    </w:p>
    <w:p>
      <w:pPr>
        <w:pStyle w:val="CoverNormal24a"/>
      </w:pPr>
      <w:r>
        <w:rPr>
          <w:rStyle w:val="HideTWBExt"/>
        </w:rPr>
        <w:t>&lt;CommissionResp&gt;</w:t>
      </w:r>
      <w:r>
        <w:t>a Nőjogi és Esélyegyenlőségi Bizottság részéről</w:t>
      </w:r>
      <w:r>
        <w:rPr>
          <w:rStyle w:val="HideTWBExt"/>
        </w:rPr>
        <w:t>&lt;/CommissionResp&gt;</w:t>
      </w:r>
    </w:p>
    <w:p>
      <w:pPr>
        <w:pStyle w:val="CoverNormal24a"/>
      </w:pPr>
      <w:r>
        <w:rPr>
          <w:rStyle w:val="HideTWBExt"/>
        </w:rPr>
        <w:t>&lt;CommissionInt&gt;</w:t>
      </w:r>
      <w:r>
        <w:t>a Fejlesztési Bizottság részére</w:t>
      </w:r>
      <w:r>
        <w:rPr>
          <w:rStyle w:val="HideTWBExt"/>
        </w:rPr>
        <w:t>&lt;/CommissionInt&gt;</w:t>
      </w:r>
    </w:p>
    <w:p>
      <w:pPr>
        <w:pStyle w:val="CoverNormal"/>
      </w:pPr>
      <w:r>
        <w:rPr>
          <w:rStyle w:val="HideTWBExt"/>
        </w:rPr>
        <w:t>&lt;Titre&gt;</w:t>
      </w:r>
      <w:r>
        <w:t>a humanitárius segítségnyújtásról többrétű válság idején – elveink megerősítése a humanitárius válságokra adott hatékonyabb és ambiciózusabb válasz érdekében</w:t>
      </w:r>
      <w:r>
        <w:rPr>
          <w:rStyle w:val="HideTWBExt"/>
        </w:rPr>
        <w:t>&lt;/Titre&gt;</w:t>
      </w:r>
    </w:p>
    <w:p>
      <w:pPr>
        <w:pStyle w:val="CoverNormal24a"/>
      </w:pPr>
      <w:r>
        <w:rPr>
          <w:rStyle w:val="HideTWBExt"/>
        </w:rPr>
        <w:t>&lt;DocRef&gt;</w:t>
      </w:r>
      <w:r>
        <w:t>(2025/2085(INI))</w:t>
      </w:r>
      <w:r>
        <w:rPr>
          <w:rStyle w:val="HideTWBExt"/>
        </w:rPr>
        <w:t>&lt;/DocRef&gt;</w:t>
      </w:r>
    </w:p>
    <w:p>
      <w:pPr>
        <w:pStyle w:val="CoverNormal24a"/>
      </w:pPr>
      <w:r>
        <w:t>A vélemény előadója</w:t>
      </w:r>
      <w:r>
        <w:t xml:space="preserve">: </w:t>
      </w:r>
      <w:r>
        <w:rPr>
          <w:rStyle w:val="HideTWBExt"/>
        </w:rPr>
        <w:t>&lt;Depute&gt;</w:t>
      </w:r>
      <w:r>
        <w:t>Lina Gálvez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MÓDOSÍTÁS:</w:t>
      </w:r>
    </w:p>
    <w:p>
      <w:pPr>
        <w:pStyle w:val="Normal12a"/>
      </w:pPr>
      <w:r>
        <w:t xml:space="preserve">A </w:t>
      </w:r>
      <w:r>
        <w:t>Nőjogi és Esélyegyenlőségi Bizottság</w:t>
      </w:r>
      <w:r>
        <w:t xml:space="preserve"> </w:t>
      </w:r>
      <w:r>
        <w:t>benyújtja a Fejlesztési Bizottságnak mint illetékes bizottságnak a következőket</w:t>
      </w:r>
      <w:r>
        <w:t>:</w:t>
      </w:r>
    </w:p>
    <w:p>
      <w:pPr>
        <w:pStyle w:val="AmNumberTabs"/>
      </w:pPr>
      <w:r>
        <w:rPr>
          <w:rStyle w:val="HideTWBExt"/>
        </w:rPr>
        <w:t>&lt;RepeatBlock-Amend&gt;</w:t>
      </w:r>
      <w:r>
        <w:rPr>
          <w:rStyle w:val="HideTWBExt"/>
        </w:rPr>
        <w:t>&lt;Amend&gt;</w:t>
      </w:r>
      <w:r>
        <w:t>Módosítás</w:t>
      </w:r>
      <w:r>
        <w:tab/>
      </w:r>
      <w:r>
        <w:tab/>
      </w:r>
      <w:r>
        <w:rPr>
          <w:rStyle w:val="HideTWBExt"/>
        </w:rPr>
        <w:t>&lt;NumAm&gt;</w:t>
      </w:r>
      <w:r>
        <w:t>1</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 fogyatékossággal élő személyek jogairól szóló ENSZ-egyezményre, amelyet az EU és valamennyi tagállama ratifikált,</w:t>
            </w:r>
          </w:p>
        </w:tc>
      </w:tr>
    </w:tbl>
    <w:p>
      <w:r>
        <w:rPr>
          <w:rStyle w:val="HideTWBExt"/>
        </w:rPr>
        <w:t>&lt;/Amend&gt;</w:t>
      </w:r>
    </w:p>
    <w:p>
      <w:pPr>
        <w:pStyle w:val="AmNumberTabs"/>
      </w:pPr>
      <w:r>
        <w:rPr>
          <w:rStyle w:val="HideTWBExt"/>
        </w:rPr>
        <w:t>&lt;Amend&gt;</w:t>
      </w:r>
      <w:r>
        <w:t>Módosítás</w:t>
      </w:r>
      <w:r>
        <w:tab/>
      </w:r>
      <w:r>
        <w:tab/>
      </w:r>
      <w:r>
        <w:rPr>
          <w:rStyle w:val="HideTWBExt"/>
        </w:rPr>
        <w:t>&lt;NumAm&gt;</w:t>
      </w:r>
      <w:r>
        <w:t>2</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5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 nemek közötti egyenlőségre vonatkozó III. uniós cselekvési tervre (2021–2025),</w:t>
            </w:r>
          </w:p>
        </w:tc>
      </w:tr>
    </w:tbl>
    <w:p>
      <w:r>
        <w:rPr>
          <w:rStyle w:val="HideTWBExt"/>
        </w:rPr>
        <w:t>&lt;/Amend&gt;</w:t>
      </w:r>
    </w:p>
    <w:p>
      <w:pPr>
        <w:pStyle w:val="AmNumberTabs"/>
      </w:pPr>
      <w:r>
        <w:rPr>
          <w:rStyle w:val="HideTWBExt"/>
        </w:rPr>
        <w:t>&lt;Amend&gt;</w:t>
      </w:r>
      <w:r>
        <w:t>Módosítás</w:t>
      </w:r>
      <w:r>
        <w:tab/>
      </w:r>
      <w:r>
        <w:tab/>
      </w:r>
      <w:r>
        <w:rPr>
          <w:rStyle w:val="HideTWBExt"/>
        </w:rPr>
        <w:t>&lt;NumAm&gt;</w:t>
      </w:r>
      <w:r>
        <w:t>3</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6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 nőkre, a békére és a biztonságra vonatkozó uniós stratégiai megközelítésre,</w:t>
            </w:r>
          </w:p>
        </w:tc>
      </w:tr>
    </w:tbl>
    <w:p>
      <w:r>
        <w:rPr>
          <w:rStyle w:val="HideTWBExt"/>
        </w:rPr>
        <w:t>&lt;/Amend&gt;</w:t>
      </w:r>
    </w:p>
    <w:p>
      <w:pPr>
        <w:pStyle w:val="AmNumberTabs"/>
      </w:pPr>
      <w:r>
        <w:rPr>
          <w:rStyle w:val="HideTWBExt"/>
        </w:rPr>
        <w:t>&lt;Amend&gt;</w:t>
      </w:r>
      <w:r>
        <w:t>Módosítás</w:t>
      </w:r>
      <w:r>
        <w:tab/>
      </w:r>
      <w:r>
        <w:tab/>
      </w:r>
      <w:r>
        <w:rPr>
          <w:rStyle w:val="HideTWBExt"/>
        </w:rPr>
        <w:t>&lt;NumAm&gt;</w:t>
      </w:r>
      <w:r>
        <w:t>4</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6 b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 Kairóban tartott 1994. évi nemzetközi népesedési és fejlesztési konferenciára (ICPD) és annak cselekvési programjára, valamint felülvizsgálati konferenciáinak eredményeire,</w:t>
            </w:r>
          </w:p>
        </w:tc>
      </w:tr>
    </w:tbl>
    <w:p>
      <w:r>
        <w:rPr>
          <w:rStyle w:val="HideTWBExt"/>
        </w:rPr>
        <w:t>&lt;/Amend&gt;</w:t>
      </w:r>
    </w:p>
    <w:p>
      <w:pPr>
        <w:pStyle w:val="AmNumberTabs"/>
      </w:pPr>
      <w:r>
        <w:rPr>
          <w:rStyle w:val="HideTWBExt"/>
        </w:rPr>
        <w:t>&lt;Amend&gt;</w:t>
      </w:r>
      <w:r>
        <w:t>Módosítás</w:t>
      </w:r>
      <w:r>
        <w:tab/>
      </w:r>
      <w:r>
        <w:tab/>
      </w:r>
      <w:r>
        <w:rPr>
          <w:rStyle w:val="HideTWBExt"/>
        </w:rPr>
        <w:t>&lt;NumAm&gt;</w:t>
      </w:r>
      <w:r>
        <w:t>5</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6 c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 Pekingi Cselekvési Platformra és felülvizsgálati konferenciáinak eredményeire,</w:t>
            </w:r>
          </w:p>
        </w:tc>
      </w:tr>
    </w:tbl>
    <w:p>
      <w:r>
        <w:rPr>
          <w:rStyle w:val="HideTWBExt"/>
        </w:rPr>
        <w:t>&lt;/Amend&gt;</w:t>
      </w:r>
    </w:p>
    <w:p>
      <w:pPr>
        <w:pStyle w:val="AmNumberTabs"/>
      </w:pPr>
      <w:r>
        <w:rPr>
          <w:rStyle w:val="HideTWBExt"/>
        </w:rPr>
        <w:t>&lt;Amend&gt;</w:t>
      </w:r>
      <w:r>
        <w:t>Módosítás</w:t>
      </w:r>
      <w:r>
        <w:tab/>
      </w:r>
      <w:r>
        <w:tab/>
      </w:r>
      <w:r>
        <w:rPr>
          <w:rStyle w:val="HideTWBExt"/>
        </w:rPr>
        <w:t>&lt;NumAm&gt;</w:t>
      </w:r>
      <w:r>
        <w:t>6</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6 d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 nőkről, a békéről és a biztonságról szóló, 2018. december 10-i tanácsi következtetésekre,</w:t>
            </w:r>
          </w:p>
        </w:tc>
      </w:tr>
    </w:tbl>
    <w:p>
      <w:r>
        <w:rPr>
          <w:rStyle w:val="HideTWBExt"/>
        </w:rPr>
        <w:t>&lt;/Amend&gt;</w:t>
      </w:r>
    </w:p>
    <w:p>
      <w:pPr>
        <w:pStyle w:val="AmNumberTabs"/>
      </w:pPr>
      <w:r>
        <w:rPr>
          <w:rStyle w:val="HideTWBExt"/>
        </w:rPr>
        <w:t>&lt;Amend&gt;</w:t>
      </w:r>
      <w:r>
        <w:t>Módosítás</w:t>
      </w:r>
      <w:r>
        <w:tab/>
      </w:r>
      <w:r>
        <w:tab/>
      </w:r>
      <w:r>
        <w:rPr>
          <w:rStyle w:val="HideTWBExt"/>
        </w:rPr>
        <w:t>&lt;NumAm&gt;</w:t>
      </w:r>
      <w:r>
        <w:t>7</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7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tekintettel „A szexuális és reprodukciós egészség és jogok helyzetéről az EU-ban a nők egészségével összefüggésben” című, 2021. június 24-i állásfoglalására</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HL C 81., 2022.2.18., 43. o.</w:t>
            </w:r>
          </w:p>
        </w:tc>
      </w:tr>
    </w:tbl>
    <w:p>
      <w:r>
        <w:rPr>
          <w:rStyle w:val="HideTWBExt"/>
        </w:rPr>
        <w:t>&lt;/Amend&gt;</w:t>
      </w:r>
    </w:p>
    <w:p>
      <w:pPr>
        <w:pStyle w:val="AmNumberTabs"/>
      </w:pPr>
      <w:r>
        <w:rPr>
          <w:rStyle w:val="HideTWBExt"/>
        </w:rPr>
        <w:t>&lt;Amend&gt;</w:t>
      </w:r>
      <w:r>
        <w:t>Módosítás</w:t>
      </w:r>
      <w:r>
        <w:tab/>
      </w:r>
      <w:r>
        <w:tab/>
      </w:r>
      <w:r>
        <w:rPr>
          <w:rStyle w:val="HideTWBExt"/>
        </w:rPr>
        <w:t>&lt;NumAm&gt;</w:t>
      </w:r>
      <w:r>
        <w:t>8</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9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tekintettel az Egyesült Nemzetek Szervezete Biztonsági Tanácsának a nőkről, a békéről és a biztonságról szóló 1325. sz. határozatára,</w:t>
            </w:r>
          </w:p>
        </w:tc>
      </w:tr>
    </w:tbl>
    <w:p>
      <w:r>
        <w:rPr>
          <w:rStyle w:val="HideTWBExt"/>
        </w:rPr>
        <w:t>&lt;/Amend&gt;</w:t>
      </w:r>
    </w:p>
    <w:p>
      <w:pPr>
        <w:pStyle w:val="AmNumberTabs"/>
      </w:pPr>
      <w:r>
        <w:rPr>
          <w:rStyle w:val="HideTWBExt"/>
        </w:rPr>
        <w:t>&lt;Amend&gt;</w:t>
      </w:r>
      <w:r>
        <w:t>Módosítás</w:t>
      </w:r>
      <w:r>
        <w:tab/>
      </w:r>
      <w:r>
        <w:tab/>
      </w:r>
      <w:r>
        <w:rPr>
          <w:rStyle w:val="HideTWBExt"/>
        </w:rPr>
        <w:t>&lt;NumAm&gt;</w:t>
      </w:r>
      <w:r>
        <w:t>9</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19 a bevezető hivatkozás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tekintettel a fogyatékossággal élő nők helyzetéről szóló, 2018. november 29-i állásfoglalására</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HL C 363., 2020.10.28., 164. o.</w:t>
            </w:r>
          </w:p>
        </w:tc>
      </w:tr>
    </w:tbl>
    <w:p>
      <w:r>
        <w:rPr>
          <w:rStyle w:val="HideTWBExt"/>
        </w:rPr>
        <w:t>&lt;/Amend&gt;</w:t>
      </w:r>
    </w:p>
    <w:p>
      <w:pPr>
        <w:pStyle w:val="AmNumberTabs"/>
      </w:pPr>
      <w:r>
        <w:rPr>
          <w:rStyle w:val="HideTWBExt"/>
        </w:rPr>
        <w:t>&lt;Amend&gt;</w:t>
      </w:r>
      <w:r>
        <w:t>Módosítás</w:t>
      </w:r>
      <w:r>
        <w:tab/>
      </w:r>
      <w:r>
        <w:tab/>
      </w:r>
      <w:r>
        <w:rPr>
          <w:rStyle w:val="HideTWBExt"/>
        </w:rPr>
        <w:t>&lt;NumAm&gt;</w:t>
      </w:r>
      <w:r>
        <w:t>10</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mivel a nemek közötti egyenlőséget biztosító társadalmak mindenki számára egészségesebbek, biztonságosabbak, igazságosabbak és virágzóbbak; mivel a nemek közötti egyenlőség és a nők egyenlő jogainak megvalósítása a demokrácia és a jogállamiság fenntartásának előfeltételei;</w:t>
            </w:r>
          </w:p>
        </w:tc>
      </w:tr>
    </w:tbl>
    <w:p>
      <w:r>
        <w:rPr>
          <w:rStyle w:val="HideTWBExt"/>
        </w:rPr>
        <w:t>&lt;/Amend&gt;</w:t>
      </w:r>
    </w:p>
    <w:p>
      <w:pPr>
        <w:pStyle w:val="AmNumberTabs"/>
      </w:pPr>
      <w:r>
        <w:rPr>
          <w:rStyle w:val="HideTWBExt"/>
        </w:rPr>
        <w:t>&lt;Amend&gt;</w:t>
      </w:r>
      <w:r>
        <w:t>Módosítás</w:t>
      </w:r>
      <w:r>
        <w:tab/>
      </w:r>
      <w:r>
        <w:tab/>
      </w:r>
      <w:r>
        <w:rPr>
          <w:rStyle w:val="HideTWBExt"/>
        </w:rPr>
        <w:t>&lt;NumAm&gt;</w:t>
      </w:r>
      <w:r>
        <w:t>11</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A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mivel a humanitárius segítségnyújtásra szoruló nők és lányok súlyos nemi egyenlőtlenségekkel szembesülnek, például az erőforrásokhoz, többek között az élelmiszerekhez való korlátozott hozzáféréssel, az oktatás, a munka, az egészség, többek között a szexuális és reproduktív egészséggel kapcsolatos jogok hiányával, valamint a nemi alapú és a reproduktív erőszak nagyobb kockázatával; mivel az ilyen körülmények között élés a gyermekeket is kiszolgáltatottabbá teszi; mivel a humanitárius válsághelyzetekben a fogyatékossággal élő nők a kirekesztés, a megkülönböztetés és az erőszak fokozott kockázatával szembesülnek;</w:t>
            </w:r>
          </w:p>
        </w:tc>
      </w:tr>
    </w:tbl>
    <w:p>
      <w:r>
        <w:rPr>
          <w:rStyle w:val="HideTWBExt"/>
        </w:rPr>
        <w:t>&lt;/Amend&gt;</w:t>
      </w:r>
    </w:p>
    <w:p>
      <w:pPr>
        <w:pStyle w:val="AmNumberTabs"/>
      </w:pPr>
      <w:r>
        <w:rPr>
          <w:rStyle w:val="HideTWBExt"/>
        </w:rPr>
        <w:t>&lt;Amend&gt;</w:t>
      </w:r>
      <w:r>
        <w:t>Módosítás</w:t>
      </w:r>
      <w:r>
        <w:tab/>
      </w:r>
      <w:r>
        <w:tab/>
      </w:r>
      <w:r>
        <w:rPr>
          <w:rStyle w:val="HideTWBExt"/>
        </w:rPr>
        <w:t>&lt;NumAm&gt;</w:t>
      </w:r>
      <w:r>
        <w:t>12</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A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w:t>
            </w:r>
            <w:r>
              <w:tab/>
            </w:r>
            <w:r>
              <w:rPr>
                <w:b/>
                <w:i/>
              </w:rPr>
              <w:t>mivel az afganisztáni helyzet még nagyobb nyomást helyez a már amúgy is szűkös humanitárius erőforrásokra, és súlyosbítja a túlélésért küzdő milliók – köztük nők és lányok – helyzetét;</w:t>
            </w:r>
          </w:p>
        </w:tc>
      </w:tr>
    </w:tbl>
    <w:p>
      <w:r>
        <w:rPr>
          <w:rStyle w:val="HideTWBExt"/>
        </w:rPr>
        <w:t>&lt;/Amend&gt;</w:t>
      </w:r>
    </w:p>
    <w:p>
      <w:pPr>
        <w:pStyle w:val="AmNumberTabs"/>
      </w:pPr>
      <w:r>
        <w:rPr>
          <w:rStyle w:val="HideTWBExt"/>
        </w:rPr>
        <w:t>&lt;Amend&gt;</w:t>
      </w:r>
      <w:r>
        <w:t>Módosítás</w:t>
      </w:r>
      <w:r>
        <w:tab/>
      </w:r>
      <w:r>
        <w:tab/>
      </w:r>
      <w:r>
        <w:rPr>
          <w:rStyle w:val="HideTWBExt"/>
        </w:rPr>
        <w:t>&lt;NumAm&gt;</w:t>
      </w:r>
      <w:r>
        <w:t>13</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B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mivel a humanitárius rendszer hatalmas finanszírozási válsággal küzd; mivel az Egyesült Államok Nemzetközi Fejlesztési Ügynöksége (USAID) programjainak</w:t>
            </w:r>
            <w:r>
              <w:rPr>
                <w:vertAlign w:val="superscript"/>
              </w:rPr>
              <w:t>6</w:t>
            </w:r>
            <w:r>
              <w:t xml:space="preserve"> felszámolása és a más kulcsfontosságú adományozóktól, köztük több uniós tagállamtól érkező külföldi segélyek csökkentése a humanitárius, egészségügyi és éghajlat-politikai kezdeményezések globális finanszírozásának példátlan csökkenéséhez vezetett; mivel ezek a csökkentések pusztító hatással vannak a globális egészségre – tovább növelve a fertőző betegségek kitörésének kockázatát – és az élelmezésbiztonságra; mivel ezek a csökkentések aránytalanul nagy mértékben sújtják a nőket és lányokat; mivel ezek a csökkentések tovább veszélyeztetik a menekültek biztonságát és jólétét;</w:t>
            </w:r>
          </w:p>
        </w:tc>
        <w:tc>
          <w:tcPr>
            <w:tcW w:w="4876" w:type="dxa"/>
            <w:tcBorders>
              <w:top w:val="nil"/>
              <w:left w:val="nil"/>
              <w:bottom w:val="nil"/>
              <w:right w:val="nil"/>
            </w:tcBorders>
          </w:tcPr>
          <w:p>
            <w:pPr>
              <w:pStyle w:val="Normal6a"/>
            </w:pPr>
            <w:r>
              <w:t>B.</w:t>
            </w:r>
            <w:r>
              <w:tab/>
            </w:r>
            <w:r>
              <w:t>mivel a humanitárius rendszer hatalmas finanszírozási válsággal küzd; mivel az Egyesült Államok Nemzetközi Fejlesztési Ügynöksége (USAID) programjainak felszámolása</w:t>
            </w:r>
            <w:r>
              <w:rPr>
                <w:vertAlign w:val="superscript"/>
              </w:rPr>
              <w:t>6</w:t>
            </w:r>
            <w:r>
              <w:t xml:space="preserve"> és a más kulcsfontosságú adományozóktól, köztük több uniós tagállamtól érkező külföldi segélyek csökkentése a humanitárius, egészségügyi</w:t>
            </w:r>
            <w:r>
              <w:rPr>
                <w:b/>
                <w:i/>
              </w:rPr>
              <w:t xml:space="preserve">, </w:t>
            </w:r>
            <w:r>
              <w:rPr>
                <w:b/>
                <w:i/>
              </w:rPr>
              <w:t>nemek közötti egyenlőséggel kapcsolatos</w:t>
            </w:r>
            <w:r>
              <w:t xml:space="preserve"> és éghajlat-politikai kezdeményezések globális finanszírozásának példátlan csökkenéséhez vezetett;</w:t>
            </w:r>
            <w:r>
              <w:rPr>
                <w:b/>
                <w:i/>
              </w:rPr>
              <w:t xml:space="preserve"> </w:t>
            </w:r>
            <w:r>
              <w:t xml:space="preserve">mivel </w:t>
            </w:r>
            <w:r>
              <w:rPr>
                <w:b/>
                <w:i/>
              </w:rPr>
              <w:t>a humanitárius segítségnyújtás e csökkentései csak súlyosbítják a humanitárius válságokat;</w:t>
            </w:r>
            <w:r>
              <w:t xml:space="preserve"> </w:t>
            </w:r>
            <w:r>
              <w:rPr>
                <w:b/>
                <w:i/>
              </w:rPr>
              <w:t>mivel</w:t>
            </w:r>
            <w:r>
              <w:t xml:space="preserve"> ezek a csökkentések pusztító hatással vannak a globális egészségre – tovább növelve a fertőző betegségek kitörésének</w:t>
            </w:r>
            <w:r>
              <w:rPr>
                <w:b/>
                <w:i/>
              </w:rPr>
              <w:t>, a nem kívánt és korai terhességeknek, az anyai mortalitásnak és morbiditásnak a</w:t>
            </w:r>
            <w:r>
              <w:t xml:space="preserve"> kockázatát – és az élelmezésbiztonságra; mivel ezek a csökkentések aránytalanul nagy mértékben sújtják a nőket és lányokat</w:t>
            </w:r>
            <w:r>
              <w:rPr>
                <w:b/>
                <w:i/>
              </w:rPr>
              <w:t>, valamint a LMBTIQ+-személyeket</w:t>
            </w:r>
            <w:r>
              <w:t>; mivel ezek a csökkentések tovább veszélyeztetik a menekültek biztonságát és jólétét;</w:t>
            </w:r>
            <w:r>
              <w:rPr>
                <w:b/>
                <w:i/>
              </w:rPr>
              <w:t xml:space="preserve"> mivel a finanszírozás Egyesült Államok általi befagyasztása súlyosan megzavarta a humanitárius erőfeszítéseket, akadályozva a projektek végrehajtását, a munkaerő-felvételt, valamint a nők és lányok támogatására való képességet, ami különösen negatív hatással volt a nők humanitárius segítségnyújtásban való részvételére; mivel humanitárius helyzetekben a nemek közötti egyenlőséget célzó beruházás életeket ment; </w:t>
            </w:r>
            <w:r>
              <w:rPr>
                <w:b/>
                <w:i/>
              </w:rPr>
              <w:t>mivel bizonyított tény, hogy a nemek közötti egyenlőség szempontját érvényesítő humanitárius programozás magas megtérülést eredményez, pontosabban minden befektetett 1 USD után 8 USD térül meg</w:t>
            </w:r>
            <w:r>
              <w:rPr>
                <w:b/>
                <w:i/>
                <w:vertAlign w:val="superscript"/>
              </w:rPr>
              <w:t>6a</w:t>
            </w:r>
            <w:r>
              <w:t>;</w:t>
            </w:r>
            <w:r>
              <w:rPr>
                <w:b/>
                <w:i/>
              </w:rPr>
              <w:t xml:space="preserve"> mivel a Bizottság által 2022-ben elfogadott új uniós globális egészségügyi stratégia a globális egészségügyet az uniós külpolitika alapvető pillérévé és a Global Gateway beruházási prioritásává teszi;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„Reevaluating and Realigning United States Foreign Aid” (Az Egyesült Államok külföldi támogatásainak újraértékelése és kiigazítása), Fehér Ház, 2025. január 20.</w:t>
            </w:r>
          </w:p>
        </w:tc>
        <w:tc>
          <w:tcPr>
            <w:tcW w:w="4876" w:type="dxa"/>
            <w:tcBorders>
              <w:top w:val="nil"/>
              <w:left w:val="nil"/>
              <w:bottom w:val="nil"/>
              <w:right w:val="nil"/>
            </w:tcBorders>
          </w:tcPr>
          <w:p>
            <w:pPr>
              <w:pStyle w:val="Normal6a"/>
            </w:pPr>
            <w:r>
              <w:rPr>
                <w:vertAlign w:val="superscript"/>
              </w:rPr>
              <w:t>6</w:t>
            </w:r>
            <w:r>
              <w:t xml:space="preserve"> </w:t>
            </w:r>
            <w:r>
              <w:t>„Reevaluating and Realigning United States Foreign Aid” (Az Egyesült Államok külföldi támogatásainak újraértékelése és kiigazítása), Fehér Ház, 2025. január 20.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https://www.unwomen.org/en/articles/facts-and-figures/facts-and-figures-humanitarian-action.</w:t>
            </w:r>
          </w:p>
        </w:tc>
      </w:tr>
    </w:tbl>
    <w:p>
      <w:r>
        <w:rPr>
          <w:rStyle w:val="HideTWBExt"/>
        </w:rPr>
        <w:t>&lt;/Amend&gt;</w:t>
      </w:r>
    </w:p>
    <w:p>
      <w:pPr>
        <w:pStyle w:val="AmNumberTabs"/>
      </w:pPr>
      <w:r>
        <w:rPr>
          <w:rStyle w:val="HideTWBExt"/>
        </w:rPr>
        <w:t>&lt;Amend&gt;</w:t>
      </w:r>
      <w:r>
        <w:t>Módosítás</w:t>
      </w:r>
      <w:r>
        <w:tab/>
      </w:r>
      <w:r>
        <w:tab/>
      </w:r>
      <w:r>
        <w:rPr>
          <w:rStyle w:val="HideTWBExt"/>
        </w:rPr>
        <w:t>&lt;NumAm&gt;</w:t>
      </w:r>
      <w:r>
        <w:t>14</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B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 xml:space="preserve">mivel uniós és nemzetközi szinten átfogó humanitárius segítségnyújtási rendszerek állnak rendelkezésre; mivel bár létezik a nemek közötti egyenlőség szempontját érvényesítő humanitárius segítségnyújtás, továbbra is számos növekvő kihívás áll fenn a prioritások meghatározása tekintetében; </w:t>
            </w:r>
            <w:r>
              <w:t>mivel a többrétű válság összetett és egymással összefüggő válságok egyidejű előfordulását jelenti</w:t>
            </w:r>
            <w:r>
              <w:rPr>
                <w:vertAlign w:val="superscript"/>
              </w:rPr>
              <w:t>1a</w:t>
            </w:r>
            <w:r>
              <w:t>;</w:t>
            </w:r>
            <w:r>
              <w:rPr>
                <w:b/>
                <w:i/>
              </w:rPr>
              <w:t xml:space="preserve"> mivel világszerte a nőket, a lányokat és az LMBTIQ+-személyeket, és sajátos körülmények között a migránsokat és menekülteket aránytalanul sújtja a szegénység, a humanitárius válságok, az éghajlatváltozás, a konfliktusok, a háborúk, a szélsőségesség, a terrorizmus és a konfliktushelyzetekhez kapcsolódó szexuális erőszak, többek között a nemi erőszak mint háborús fegyver, a szexuális kizsákmányolás, a szexuális úton terjedő betegségek, a nem kívánt terhességek és a kritikus erőforrásokhoz, például a biztonságos menedékhez, a táplálkozáshoz és a vízhez való korlátozott hozzáférés, és nagyobb valószínűséggel szembesülnek más emberi jogi jogsértésekkel, amelyeket egyes nem kormányzati szervezetek jelentései szerint büntetlenül követnek el; mivel a női nemi szervek megcsonkításának gyakorlata továbbra is – különösen a többrétű válsággal összefüggésben – komoly aggodalomra ad okot, mivel súlyosbítja a nők és lányok sebezhetőségét, és az áldozatok iránt megingathatatlan szolidaritásra van szükség; mivel többrétű válság idején fontos célzott humanitárius segítséget nyújtani a nők és lányok számára, megvédeni őket és biztosítani túlélésüket, beleértve a nemi alapú erőszakkal szembeni védelmet, az általános kockázatcsökkentést, az egészségügyi – többek között a mentális egészségügyi – ellátáshoz, az élelemhez, a menedékhez és az oktatáshoz való hozzáférést, a megélhetési támogatást, a társadalmi életben és a döntéshozatalban való részvétel biztosítását;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https://policy-lab.ec.europa.eu/news/unraveling-polycrisis-foresight-and-innovation-2025-03-26_en.</w:t>
            </w:r>
          </w:p>
        </w:tc>
      </w:tr>
    </w:tbl>
    <w:p>
      <w:r>
        <w:rPr>
          <w:rStyle w:val="HideTWBExt"/>
        </w:rPr>
        <w:t>&lt;/Amend&gt;</w:t>
      </w:r>
    </w:p>
    <w:p>
      <w:pPr>
        <w:pStyle w:val="AmNumberTabs"/>
      </w:pPr>
      <w:r>
        <w:rPr>
          <w:rStyle w:val="HideTWBExt"/>
        </w:rPr>
        <w:t>&lt;Amend&gt;</w:t>
      </w:r>
      <w:r>
        <w:t>Módosítás</w:t>
      </w:r>
      <w:r>
        <w:tab/>
      </w:r>
      <w:r>
        <w:tab/>
      </w:r>
      <w:r>
        <w:rPr>
          <w:rStyle w:val="HideTWBExt"/>
        </w:rPr>
        <w:t>&lt;NumAm&gt;</w:t>
      </w:r>
      <w:r>
        <w:t>15</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B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 xml:space="preserve">mivel a külföldi segélyek és a humanitárius segítségnyújtás csökkentése pusztító hatással van a globális egészségre, a nemek közötti egyenlőségre és az emberi jogokra; mivel azok a helyi és nemzeti szervezetek, amelyeket nők irányítanak, vagy amelyek a nők jogaival foglalkoznak, a legsúlyosabban érintettek közé tartoznak, mivel kulcsfontosságú szereplők a válsághelyzetekben, és a világ számos részén egyre nagyobb elnyomással, erőszakkal és korlátozásokkal szembesülnek; mivel ugyanakkor e csökkentések aránytalan hatást gyakorolnak a nőkre, a lányokra, a fogyatékossággal élő személyekre, valamint a vidéki és távoli területeken élőkre, tovább súlyosbítva a meglévő egyenlőtlenségeket és akadályozva az egészségügyi szolgáltatásokhoz, a biztonságos menedékhez és az alapvető infrastruktúrához való hozzáférésüket; mivel ezek a csökkentések elsősorban a szexuális egészséggel kapcsolatos projektekre irányulnak, ami aránytalanul sújtja a marginalizált csoportokat, különösen a nőket és lányokat, és ezáltal növeli többek között a fertőző betegségek kitörésének kockázatát, különösen egy újabb globális HIV-válság kockázatát; mivel a mexikóvárosi politika (általános tilalmi szabály) USA-beli visszaállítása világszerte drámai károkat fog okozni a szexuális és reproduktív egészség és jogok terén, ami emberek millióit érinti, különösen a marginalizált helyzetben lévőket; </w:t>
            </w:r>
            <w:r>
              <w:t>mivel a korábbi, 2017 és 2021 között érvényben lévő általános tilalmi szabály mintegy 108 000 anya- és gyermekhalálozást, valamint 360 000 új HIV-fertőzést eredményezett</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https://www.pnas.org/doi/full/10.1073/pnas.2123177119.</w:t>
            </w:r>
          </w:p>
        </w:tc>
      </w:tr>
    </w:tbl>
    <w:p>
      <w:r>
        <w:rPr>
          <w:rStyle w:val="HideTWBExt"/>
        </w:rPr>
        <w:t>&lt;/Amend&gt;</w:t>
      </w:r>
    </w:p>
    <w:p>
      <w:pPr>
        <w:pStyle w:val="AmNumberTabs"/>
      </w:pPr>
      <w:r>
        <w:rPr>
          <w:rStyle w:val="HideTWBExt"/>
        </w:rPr>
        <w:t>&lt;Amend&gt;</w:t>
      </w:r>
      <w:r>
        <w:t>Módosítás</w:t>
      </w:r>
      <w:r>
        <w:tab/>
      </w:r>
      <w:r>
        <w:tab/>
      </w:r>
      <w:r>
        <w:rPr>
          <w:rStyle w:val="HideTWBExt"/>
        </w:rPr>
        <w:t>&lt;NumAm&gt;</w:t>
      </w:r>
      <w:r>
        <w:t>16</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B c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c.</w:t>
            </w:r>
            <w:r>
              <w:tab/>
            </w:r>
            <w:r>
              <w:rPr>
                <w:b/>
                <w:i/>
              </w:rPr>
              <w:t>mivel a nőkkel szembeni erőszak minden formája (a fizikai, szexuális, lelki, gazdasági vagy a kibertérben elkövetett erőszak) az emberi jogok megsértésének és a nőkkel szembeni megkülönböztetés szélsőséges formájának minősül, valamint a nemek közötti egyenlőség megvalósulásának egyik legfőbb akadálya;</w:t>
            </w:r>
          </w:p>
        </w:tc>
      </w:tr>
    </w:tbl>
    <w:p>
      <w:r>
        <w:rPr>
          <w:rStyle w:val="HideTWBExt"/>
        </w:rPr>
        <w:t>&lt;/Amend&gt;</w:t>
      </w:r>
    </w:p>
    <w:p>
      <w:pPr>
        <w:pStyle w:val="AmNumberTabs"/>
      </w:pPr>
      <w:r>
        <w:rPr>
          <w:rStyle w:val="HideTWBExt"/>
        </w:rPr>
        <w:t>&lt;Amend&gt;</w:t>
      </w:r>
      <w:r>
        <w:t>Módosítás</w:t>
      </w:r>
      <w:r>
        <w:tab/>
      </w:r>
      <w:r>
        <w:tab/>
      </w:r>
      <w:r>
        <w:rPr>
          <w:rStyle w:val="HideTWBExt"/>
        </w:rPr>
        <w:t>&lt;NumAm&gt;</w:t>
      </w:r>
      <w:r>
        <w:t>17</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B d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w:t>
            </w:r>
            <w:r>
              <w:tab/>
            </w:r>
            <w:r>
              <w:rPr>
                <w:b/>
                <w:i/>
              </w:rPr>
              <w:t>mivel a nőket és az LMBTIQ+-személyeket, akik a fajon, fogyatékosságon, migrációs státuszon, nemi identitáson, szexuális irányultságon vagy társadalmi-gazdasági háttéren alapuló megkülönböztetés többszörös és interszekcionális formáival szembesülnek, gyakran figyelmen kívül hagyják a humanitárius beavatkozások során, és jobban ki vannak téve az erőszaknak és a kirekesztésnek;</w:t>
            </w:r>
          </w:p>
        </w:tc>
      </w:tr>
    </w:tbl>
    <w:p>
      <w:r>
        <w:rPr>
          <w:rStyle w:val="HideTWBExt"/>
        </w:rPr>
        <w:t>&lt;/Amend&gt;</w:t>
      </w:r>
    </w:p>
    <w:p>
      <w:pPr>
        <w:pStyle w:val="AmNumberTabs"/>
      </w:pPr>
      <w:r>
        <w:rPr>
          <w:rStyle w:val="HideTWBExt"/>
        </w:rPr>
        <w:t>&lt;Amend&gt;</w:t>
      </w:r>
      <w:r>
        <w:t>Módosítás</w:t>
      </w:r>
      <w:r>
        <w:tab/>
      </w:r>
      <w:r>
        <w:tab/>
      </w:r>
      <w:r>
        <w:rPr>
          <w:rStyle w:val="HideTWBExt"/>
        </w:rPr>
        <w:t>&lt;NumAm&gt;</w:t>
      </w:r>
      <w:r>
        <w:t>18</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B e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w:t>
            </w:r>
            <w:r>
              <w:tab/>
            </w:r>
            <w:r>
              <w:rPr>
                <w:b/>
                <w:i/>
              </w:rPr>
              <w:t>mivel a nemek közötti egyenlőség elleni mozgalmak egyre inkább eszközként használják a humanitárius válságokat a nemek közötti egyenlőség elleni fellépés és a női szervezetek delegitimálása céljából, többek között az uniós partnerországokban is;</w:t>
            </w:r>
          </w:p>
        </w:tc>
      </w:tr>
    </w:tbl>
    <w:p>
      <w:r>
        <w:rPr>
          <w:rStyle w:val="HideTWBExt"/>
        </w:rPr>
        <w:t>&lt;/Amend&gt;</w:t>
      </w:r>
    </w:p>
    <w:p>
      <w:pPr>
        <w:pStyle w:val="AmNumberTabs"/>
      </w:pPr>
      <w:r>
        <w:rPr>
          <w:rStyle w:val="HideTWBExt"/>
        </w:rPr>
        <w:t>&lt;Amend&gt;</w:t>
      </w:r>
      <w:r>
        <w:t>Módosítás</w:t>
      </w:r>
      <w:r>
        <w:tab/>
      </w:r>
      <w:r>
        <w:tab/>
      </w:r>
      <w:r>
        <w:rPr>
          <w:rStyle w:val="HideTWBExt"/>
        </w:rPr>
        <w:t>&lt;NumAm&gt;</w:t>
      </w:r>
      <w:r>
        <w:t>19</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B f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f.</w:t>
            </w:r>
            <w:r>
              <w:tab/>
            </w:r>
            <w:r>
              <w:rPr>
                <w:b/>
                <w:i/>
              </w:rPr>
              <w:t>mivel az ENSZ szerint 2023-ban több mint 600 millió nő és lány élt konfliktusövezetek 50 kilométeres körzetében, ami több mint 50%-kal magasabb arány, mint egy évtizeddel ezelőtt;</w:t>
            </w:r>
          </w:p>
        </w:tc>
      </w:tr>
    </w:tbl>
    <w:p>
      <w:r>
        <w:rPr>
          <w:rStyle w:val="HideTWBExt"/>
        </w:rPr>
        <w:t>&lt;/Amend&gt;</w:t>
      </w:r>
    </w:p>
    <w:p>
      <w:pPr>
        <w:pStyle w:val="AmNumberTabs"/>
      </w:pPr>
      <w:r>
        <w:rPr>
          <w:rStyle w:val="HideTWBExt"/>
        </w:rPr>
        <w:t>&lt;Amend&gt;</w:t>
      </w:r>
      <w:r>
        <w:t>Módosítás</w:t>
      </w:r>
      <w:r>
        <w:tab/>
      </w:r>
      <w:r>
        <w:tab/>
      </w:r>
      <w:r>
        <w:rPr>
          <w:rStyle w:val="HideTWBExt"/>
        </w:rPr>
        <w:t>&lt;NumAm&gt;</w:t>
      </w:r>
      <w:r>
        <w:t>20</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B g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g.</w:t>
            </w:r>
            <w:r>
              <w:tab/>
            </w:r>
            <w:r>
              <w:rPr>
                <w:b/>
                <w:i/>
              </w:rPr>
              <w:t>mivel a fizikai elérhetetlenség, többek között a biztonságos közlekedés és infrastruktúra hiánya jelentősen korlátozza a nők és lányok humanitárius segítségnyújtáshoz, egészségügyi ellátáshoz és védelemhez való hozzáférését;</w:t>
            </w:r>
          </w:p>
        </w:tc>
      </w:tr>
    </w:tbl>
    <w:p>
      <w:r>
        <w:rPr>
          <w:rStyle w:val="HideTWBExt"/>
        </w:rPr>
        <w:t>&lt;/Amend&gt;</w:t>
      </w:r>
    </w:p>
    <w:p>
      <w:pPr>
        <w:pStyle w:val="AmNumberTabs"/>
      </w:pPr>
      <w:r>
        <w:rPr>
          <w:rStyle w:val="HideTWBExt"/>
        </w:rPr>
        <w:t>&lt;Amend&gt;</w:t>
      </w:r>
      <w:r>
        <w:t>Módosítás</w:t>
      </w:r>
      <w:r>
        <w:tab/>
      </w:r>
      <w:r>
        <w:tab/>
      </w:r>
      <w:r>
        <w:rPr>
          <w:rStyle w:val="HideTWBExt"/>
        </w:rPr>
        <w:t>&lt;NumAm&gt;</w:t>
      </w:r>
      <w:r>
        <w:t>21</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C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mivel a humanitárius szükségletek növekedésének mindkét fő mozgatórugóját, nevezetesen a konfliktusokat és az éghajlatváltozást, az ember okozta, </w:t>
            </w:r>
            <w:r>
              <w:rPr>
                <w:b/>
                <w:i/>
              </w:rPr>
              <w:t>és</w:t>
            </w:r>
            <w:r>
              <w:t xml:space="preserve"> ezek összehangolt és kollektív fellépéssel visszafordíthatók; mivel az éghajlatváltozás és a környezetkárosodás fokozott instabilitáshoz és konfliktusokhoz, az éghajlattal kapcsolatos veszélyekhez, természeti katasztrófákhoz, az erőforrások szűkösségéhez, többek között a víz- és élelmiszer-ellátás bizonytalanságához, belső lakóhelyelhagyáshoz és kényszerű migrációhoz vezet;</w:t>
            </w:r>
          </w:p>
        </w:tc>
        <w:tc>
          <w:tcPr>
            <w:tcW w:w="4876" w:type="dxa"/>
            <w:tcBorders>
              <w:top w:val="nil"/>
              <w:left w:val="nil"/>
              <w:bottom w:val="nil"/>
              <w:right w:val="nil"/>
            </w:tcBorders>
          </w:tcPr>
          <w:p>
            <w:pPr>
              <w:pStyle w:val="Normal6a"/>
            </w:pPr>
            <w:r>
              <w:t>C.</w:t>
            </w:r>
            <w:r>
              <w:tab/>
            </w:r>
            <w:r>
              <w:t>mivel a humanitárius szükségletek növekedésének mindkét fő mozgatórugóját, nevezetesen a konfliktusokat és az éghajlatváltozást, az ember okozta, ezek összehangolt és kollektív fellépéssel visszafordíthatók</w:t>
            </w:r>
            <w:r>
              <w:rPr>
                <w:b/>
                <w:i/>
              </w:rPr>
              <w:t>, és nagyobb mértékben hatnak ki a legszegényebb embercsoportokra és országokra</w:t>
            </w:r>
            <w:r>
              <w:t>; mivel az éghajlatváltozás</w:t>
            </w:r>
            <w:r>
              <w:rPr>
                <w:b/>
                <w:i/>
              </w:rPr>
              <w:t>, a biológiai sokféleség csökkenése</w:t>
            </w:r>
            <w:r>
              <w:t xml:space="preserve"> és a környezetkárosodás fokozott instabilitáshoz és konfliktusokhoz, az éghajlattal kapcsolatos veszélyekhez, természeti katasztrófákhoz, az erőforrások szűkösségéhez, többek között a víz- és élelmiszer-ellátás bizonytalanságához, belső lakóhelyelhagyáshoz és kényszerű migrációhoz vezet</w:t>
            </w:r>
            <w:r>
              <w:rPr>
                <w:b/>
                <w:i/>
              </w:rPr>
              <w:t>, ezáltal aránytalanul nagy mértékben érinti a nőket és a kiszolgáltatott csoportokat</w:t>
            </w:r>
            <w:r>
              <w:t>;</w:t>
            </w:r>
          </w:p>
        </w:tc>
      </w:tr>
    </w:tbl>
    <w:p>
      <w:r>
        <w:rPr>
          <w:rStyle w:val="HideTWBExt"/>
        </w:rPr>
        <w:t>&lt;/Amend&gt;</w:t>
      </w:r>
    </w:p>
    <w:p>
      <w:pPr>
        <w:pStyle w:val="AmNumberTabs"/>
      </w:pPr>
      <w:r>
        <w:rPr>
          <w:rStyle w:val="HideTWBExt"/>
        </w:rPr>
        <w:t>&lt;Amend&gt;</w:t>
      </w:r>
      <w:r>
        <w:t>Módosítás</w:t>
      </w:r>
      <w:r>
        <w:tab/>
      </w:r>
      <w:r>
        <w:tab/>
      </w:r>
      <w:r>
        <w:rPr>
          <w:rStyle w:val="HideTWBExt"/>
        </w:rPr>
        <w:t>&lt;NumAm&gt;</w:t>
      </w:r>
      <w:r>
        <w:t>22</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C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mivel a szudáni humanitárius helyzet nemcsak az ország népének katasztrófája, hanem a fellépés, az elszámoltathatóság és a humanitárius segítségnyújtás globális kudarca, és ennek a most zajló tragédiának a nagy részét nők és lányok szenvedik el;</w:t>
            </w:r>
          </w:p>
        </w:tc>
      </w:tr>
    </w:tbl>
    <w:p>
      <w:r>
        <w:rPr>
          <w:rStyle w:val="HideTWBExt"/>
        </w:rPr>
        <w:t>&lt;/Amend&gt;</w:t>
      </w:r>
    </w:p>
    <w:p>
      <w:pPr>
        <w:pStyle w:val="AmNumberTabs"/>
      </w:pPr>
      <w:r>
        <w:rPr>
          <w:rStyle w:val="HideTWBExt"/>
        </w:rPr>
        <w:t>&lt;Amend&gt;</w:t>
      </w:r>
      <w:r>
        <w:t>Módosítás</w:t>
      </w:r>
      <w:r>
        <w:tab/>
      </w:r>
      <w:r>
        <w:tab/>
      </w:r>
      <w:r>
        <w:rPr>
          <w:rStyle w:val="HideTWBExt"/>
        </w:rPr>
        <w:t>&lt;NumAm&gt;</w:t>
      </w:r>
      <w:r>
        <w:t>23</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D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mivel a humanitárius hozzáférés </w:t>
            </w:r>
            <w:r>
              <w:rPr>
                <w:b/>
                <w:i/>
              </w:rPr>
              <w:t>számos helyzetben</w:t>
            </w:r>
            <w:r>
              <w:t xml:space="preserve"> riasztó hiányosságokkal küzd, amit </w:t>
            </w:r>
            <w:r>
              <w:rPr>
                <w:b/>
                <w:i/>
              </w:rPr>
              <w:t>a</w:t>
            </w:r>
            <w:r>
              <w:t xml:space="preserve"> nemzetközi humanitárius jog értelmezésével és alkalmazásával kapcsolatos veszélyes és romboló tendenciák fokozódása tovább súlyosbít;</w:t>
            </w:r>
          </w:p>
        </w:tc>
        <w:tc>
          <w:tcPr>
            <w:tcW w:w="4876" w:type="dxa"/>
            <w:tcBorders>
              <w:top w:val="nil"/>
              <w:left w:val="nil"/>
              <w:bottom w:val="nil"/>
              <w:right w:val="nil"/>
            </w:tcBorders>
          </w:tcPr>
          <w:p>
            <w:pPr>
              <w:pStyle w:val="Normal6a"/>
            </w:pPr>
            <w:r>
              <w:t>D.</w:t>
            </w:r>
            <w:r>
              <w:tab/>
            </w:r>
            <w:r>
              <w:t xml:space="preserve">mivel a </w:t>
            </w:r>
            <w:r>
              <w:rPr>
                <w:b/>
                <w:i/>
              </w:rPr>
              <w:t>rászorulók számára biztosított akadálytalan</w:t>
            </w:r>
            <w:r>
              <w:t xml:space="preserve"> humanitárius hozzáférés </w:t>
            </w:r>
            <w:r>
              <w:rPr>
                <w:b/>
                <w:i/>
              </w:rPr>
              <w:t>– többek között konfliktusok, természeti katasztrófák, éghajlati események, egészségügyi járványok során és migrációs útvonalak mentén –</w:t>
            </w:r>
            <w:r>
              <w:t xml:space="preserve"> riasztó hiányosságokkal küzd, amit </w:t>
            </w:r>
            <w:r>
              <w:rPr>
                <w:b/>
                <w:i/>
              </w:rPr>
              <w:t>az emberi jogok</w:t>
            </w:r>
            <w:r>
              <w:t xml:space="preserve"> nemzetközi </w:t>
            </w:r>
            <w:r>
              <w:rPr>
                <w:b/>
                <w:i/>
              </w:rPr>
              <w:t>joga, a</w:t>
            </w:r>
            <w:r>
              <w:t xml:space="preserve"> humanitárius jog </w:t>
            </w:r>
            <w:r>
              <w:rPr>
                <w:b/>
                <w:i/>
              </w:rPr>
              <w:t>és a humanitárius elvek</w:t>
            </w:r>
            <w:r>
              <w:t xml:space="preserve"> értelmezésével és alkalmazásával kapcsolatos veszélyes és romboló tendenciák fokozódása tovább súlyosbít;</w:t>
            </w:r>
            <w:r>
              <w:rPr>
                <w:b/>
                <w:i/>
              </w:rPr>
              <w:t xml:space="preserve"> mivel az ENSZ jogi munkatársai rámutattak a nemzetközi közösség tétlenségére; mivel a válságok és konfliktusok által érintett helyzetekben példátlan számú támadás történik a humanitárius dolgozók és a polgári lakosság, valamint a polgári infrastruktúra ellen; </w:t>
            </w:r>
            <w:r>
              <w:rPr>
                <w:b/>
                <w:i/>
              </w:rPr>
              <w:t>mivel a nőket, lányokat, LMBTIQ+-személyeket, migránsokat és menekülteket aránytalanul sújtja világszerte számos humanitárius válság</w:t>
            </w:r>
            <w:r>
              <w:rPr>
                <w:b/>
                <w:i/>
                <w:vertAlign w:val="superscript"/>
              </w:rPr>
              <w:t>1a</w:t>
            </w:r>
            <w:r>
              <w:rPr>
                <w:b/>
                <w:i/>
              </w:rPr>
              <w:t>, többek között a világ legnagyobb humanitárius, lakóhelyelhagyási és éhezési válsága Szudánban, a Gázában zajló konfliktus és kényszerű lakóhelyelhagyás, a mianmari földrengést követő események, a Kongói Demokratikus Köztársaságban dúló kolerajárvány, az Afrika szarván tapasztalható súlyos élelmiszer- és vízhiány, az elhúzódó szíriai és jemeni konfliktusok, valamint a dél-szudáni menekültválság;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https://www.oxfam.org.uk/documents/715/Rights_Resilience_Response.pdf.</w:t>
            </w:r>
          </w:p>
        </w:tc>
      </w:tr>
    </w:tbl>
    <w:p>
      <w:r>
        <w:rPr>
          <w:rStyle w:val="HideTWBExt"/>
        </w:rPr>
        <w:t>&lt;/Amend&gt;</w:t>
      </w:r>
    </w:p>
    <w:p>
      <w:pPr>
        <w:pStyle w:val="AmNumberTabs"/>
      </w:pPr>
      <w:r>
        <w:rPr>
          <w:rStyle w:val="HideTWBExt"/>
        </w:rPr>
        <w:t>&lt;Amend&gt;</w:t>
      </w:r>
      <w:r>
        <w:t>Módosítás</w:t>
      </w:r>
      <w:r>
        <w:tab/>
      </w:r>
      <w:r>
        <w:tab/>
      </w:r>
      <w:r>
        <w:rPr>
          <w:rStyle w:val="HideTWBExt"/>
        </w:rPr>
        <w:t>&lt;NumAm&gt;</w:t>
      </w:r>
      <w:r>
        <w:t>24</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D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mivel az afgán nők és lányok több mint 18%-a nem vagy csak korlátozott mértékben fér hozzá női segélymunkásokhoz; mivel csak a női segélymunkások számára engedélyezett, hogy nőkkel és lányokkal beszéljenek a szükségletek felmérése és a segítségnyújtás érdekében;</w:t>
            </w:r>
          </w:p>
        </w:tc>
      </w:tr>
    </w:tbl>
    <w:p>
      <w:r>
        <w:rPr>
          <w:rStyle w:val="HideTWBExt"/>
        </w:rPr>
        <w:t>&lt;/Amend&gt;</w:t>
      </w:r>
    </w:p>
    <w:p>
      <w:pPr>
        <w:pStyle w:val="AmNumberTabs"/>
      </w:pPr>
      <w:r>
        <w:rPr>
          <w:rStyle w:val="HideTWBExt"/>
        </w:rPr>
        <w:t>&lt;Amend&gt;</w:t>
      </w:r>
      <w:r>
        <w:t>Módosítás</w:t>
      </w:r>
      <w:r>
        <w:tab/>
      </w:r>
      <w:r>
        <w:tab/>
      </w:r>
      <w:r>
        <w:rPr>
          <w:rStyle w:val="HideTWBExt"/>
        </w:rPr>
        <w:t>&lt;NumAm&gt;</w:t>
      </w:r>
      <w:r>
        <w:t>25</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D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mivel az uniós humanitárius segítségnyújtásnak továbbra is figyelembe kell vennie a nemek közötti egyenlőséget és az életkort, és törekednie arra, hogy figyelembe vegye a nemi és az életkorral kapcsolatos szempontokat, szem előtt tartva mindenki sajátos szükségleteit, sebezhetőségét és kapacitásait;</w:t>
            </w:r>
          </w:p>
        </w:tc>
      </w:tr>
    </w:tbl>
    <w:p>
      <w:r>
        <w:rPr>
          <w:rStyle w:val="HideTWBExt"/>
        </w:rPr>
        <w:t>&lt;/Amend&gt;</w:t>
      </w:r>
    </w:p>
    <w:p>
      <w:pPr>
        <w:pStyle w:val="AmNumberTabs"/>
      </w:pPr>
      <w:r>
        <w:rPr>
          <w:rStyle w:val="HideTWBExt"/>
        </w:rPr>
        <w:t>&lt;Amend&gt;</w:t>
      </w:r>
      <w:r>
        <w:t>Módosítás</w:t>
      </w:r>
      <w:r>
        <w:tab/>
      </w:r>
      <w:r>
        <w:tab/>
      </w:r>
      <w:r>
        <w:rPr>
          <w:rStyle w:val="HideTWBExt"/>
        </w:rPr>
        <w:t>&lt;NumAm&gt;</w:t>
      </w:r>
      <w:r>
        <w:t>26</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 kitart amellett, hogy a valamely konfliktusban részt vevő összes félnek tiszteletben kell tartania és tartatnia a nemzetközi humanitárius jogot és a nemzetközi emberi jogi normákat; kitart amellett, hogy az Unió külső fellépéseiben meg kell erősíteni a humanitárius elvek központi szerepét;</w:t>
            </w:r>
          </w:p>
        </w:tc>
        <w:tc>
          <w:tcPr>
            <w:tcW w:w="4876" w:type="dxa"/>
            <w:tcBorders>
              <w:top w:val="nil"/>
              <w:left w:val="nil"/>
              <w:bottom w:val="nil"/>
              <w:right w:val="nil"/>
            </w:tcBorders>
          </w:tcPr>
          <w:p>
            <w:pPr>
              <w:pStyle w:val="Normal6a"/>
            </w:pPr>
            <w:r>
              <w:t xml:space="preserve">1. kitart amellett, hogy a valamely konfliktusban részt vevő összes félnek tiszteletben kell tartania és tartatnia a nemzetközi humanitárius jogot és a nemzetközi emberi jogi normákat; </w:t>
            </w:r>
            <w:r>
              <w:rPr>
                <w:b/>
                <w:i/>
              </w:rPr>
              <w:t xml:space="preserve">megjegyzi, hogy a nemi erőszakot és a szexuális erőszak egyéb formáit háborús fegyverként használják, és háborús bűncselekménynek, emberiesség elleni bűncselekménynek és népirtáshoz hozzájáruló cselekménynek minősülnek; hangsúlyozza a nőjogi szervezeteknek az áldozatok igazságszolgáltatáshoz és támogatási szolgáltatásokhoz való hozzáférésének biztosításában betöltött szerepét; </w:t>
            </w:r>
            <w:r>
              <w:t xml:space="preserve">kitart amellett, hogy az Unió külső fellépéseiben </w:t>
            </w:r>
            <w:r>
              <w:rPr>
                <w:b/>
                <w:i/>
              </w:rPr>
              <w:t>határozottan</w:t>
            </w:r>
            <w:r>
              <w:t xml:space="preserve"> meg kell erősíteni a humanitárius elvek központi szerepét;</w:t>
            </w:r>
            <w:r>
              <w:br/>
            </w:r>
          </w:p>
        </w:tc>
      </w:tr>
    </w:tbl>
    <w:p>
      <w:r>
        <w:rPr>
          <w:rStyle w:val="HideTWBExt"/>
        </w:rPr>
        <w:t>&lt;/Amend&gt;</w:t>
      </w:r>
    </w:p>
    <w:p>
      <w:pPr>
        <w:pStyle w:val="AmNumberTabs"/>
      </w:pPr>
      <w:r>
        <w:rPr>
          <w:rStyle w:val="HideTWBExt"/>
        </w:rPr>
        <w:t>&lt;Amend&gt;</w:t>
      </w:r>
      <w:r>
        <w:t>Módosítás</w:t>
      </w:r>
      <w:r>
        <w:tab/>
      </w:r>
      <w:r>
        <w:tab/>
      </w:r>
      <w:r>
        <w:rPr>
          <w:rStyle w:val="HideTWBExt"/>
        </w:rPr>
        <w:t>&lt;NumAm&gt;</w:t>
      </w:r>
      <w:r>
        <w:t>27</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emlékeztet arra, hogy az EU értékalapú unió, amelynek egyik alapelve a nemek közötti egyenlőség, amint azt az EUSZ 2. cikke is rögzíti; hangsúlyozza továbbá, hogy az EUMSZ 8. cikke kimondja az EU azon felelősségét, hogy valamennyi fellépése során előmozdítsa a nemek közötti egyenlőséget;</w:t>
            </w:r>
          </w:p>
        </w:tc>
      </w:tr>
    </w:tbl>
    <w:p>
      <w:r>
        <w:rPr>
          <w:rStyle w:val="HideTWBExt"/>
        </w:rPr>
        <w:t>&lt;/Amend&gt;</w:t>
      </w:r>
    </w:p>
    <w:p>
      <w:pPr>
        <w:pStyle w:val="AmNumberTabs"/>
      </w:pPr>
      <w:r>
        <w:rPr>
          <w:rStyle w:val="HideTWBExt"/>
        </w:rPr>
        <w:t>&lt;Amend&gt;</w:t>
      </w:r>
      <w:r>
        <w:t>Módosítás</w:t>
      </w:r>
      <w:r>
        <w:tab/>
      </w:r>
      <w:r>
        <w:tab/>
      </w:r>
      <w:r>
        <w:rPr>
          <w:rStyle w:val="HideTWBExt"/>
        </w:rPr>
        <w:t>&lt;NumAm&gt;</w:t>
      </w:r>
      <w:r>
        <w:t>28</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w:t>
            </w:r>
            <w:r>
              <w:tab/>
            </w:r>
            <w:r>
              <w:rPr>
                <w:b/>
                <w:i/>
              </w:rPr>
              <w:t>hangsúlyozza, hogy világszerte elő kell mozdítani a szexuális és reproduktív egészséghez és jogokhoz való hozzáférést, valamint az EU elkötelezettségét a reproduktív és anyasági egészségügyi szolgáltatásokhoz való hozzáférés biztosítása mellett, beleértve az alap- és másodlagos egészségügyi rendszerekbe történő méltányos bevonásuk részeként mindenki, köztük a nemi erőszak túlélői számára biztosított sürgősségi fogamzásgátlást, expozíciót követő profilaxist, szexuális úton terjedő fertőzések kezelését, valamint biztonságos és legális abortuszhoz való hozzáférést, valamint a nemi erőszak klinikai kezelését a humanitárius válságok által érintett nők és lányok, valamint más kiszolgáltatott népességcsoportok, köztük az interszekcionális megkülönböztetést elszenvedők számára; sürgeti az EU-t és humanitárius partnereit, hogy a minimális kezdeti szolgáltatási csomagba foglalják bele a biztonságos abortuszszolgáltatásokat, és ténylegesen biztosítsák azokat;</w:t>
            </w:r>
          </w:p>
        </w:tc>
      </w:tr>
    </w:tbl>
    <w:p>
      <w:r>
        <w:rPr>
          <w:rStyle w:val="HideTWBExt"/>
        </w:rPr>
        <w:t>&lt;/Amend&gt;</w:t>
      </w:r>
    </w:p>
    <w:p>
      <w:pPr>
        <w:pStyle w:val="AmNumberTabs"/>
      </w:pPr>
      <w:r>
        <w:rPr>
          <w:rStyle w:val="HideTWBExt"/>
        </w:rPr>
        <w:t>&lt;Amend&gt;</w:t>
      </w:r>
      <w:r>
        <w:t>Módosítás</w:t>
      </w:r>
      <w:r>
        <w:tab/>
      </w:r>
      <w:r>
        <w:tab/>
      </w:r>
      <w:r>
        <w:rPr>
          <w:rStyle w:val="HideTWBExt"/>
        </w:rPr>
        <w:t>&lt;NumAm&gt;</w:t>
      </w:r>
      <w:r>
        <w:t>29</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c.</w:t>
            </w:r>
            <w:r>
              <w:tab/>
            </w:r>
            <w:r>
              <w:rPr>
                <w:b/>
                <w:i/>
              </w:rPr>
              <w:t>hangsúlyozza a nemek közötti egyenlőség szempontját érvényesítő megközelítés biztosításának fontosságát, amely valamennyi uniós humanitárius segítségnyújtási és válságkezelési fellépés, többek között a külpolitika szerves részét képezi; emlékeztet az EU fenntartható fejlődési célok iránti elkötelezettségére, különös tekintettel a nemek egyenlőségének megvalósítására és minden nő és lány társadalmi szerepének megerősítésére irányuló 5. célra, amelyek elengedhetetlenek a reziliens és befogadó társadalmak kiépítéséhez; hangsúlyozza, hogy az 5. fenntartható fejlődési cél elérése alapvető fontosságú az összes többi fenntartható fejlődési cél eléréséhez, és ezért elengedhetetlen a 2030-ig tartó időszakra vonatkozó menetrendben meghatározott eredmények eléréséhez;</w:t>
            </w:r>
          </w:p>
        </w:tc>
      </w:tr>
    </w:tbl>
    <w:p>
      <w:r>
        <w:rPr>
          <w:rStyle w:val="HideTWBExt"/>
        </w:rPr>
        <w:t>&lt;/Amend&gt;</w:t>
      </w:r>
    </w:p>
    <w:p>
      <w:pPr>
        <w:pStyle w:val="AmNumberTabs"/>
      </w:pPr>
      <w:r>
        <w:rPr>
          <w:rStyle w:val="HideTWBExt"/>
        </w:rPr>
        <w:t>&lt;Amend&gt;</w:t>
      </w:r>
      <w:r>
        <w:t>Módosítás</w:t>
      </w:r>
      <w:r>
        <w:tab/>
      </w:r>
      <w:r>
        <w:tab/>
      </w:r>
      <w:r>
        <w:rPr>
          <w:rStyle w:val="HideTWBExt"/>
        </w:rPr>
        <w:t>&lt;NumAm&gt;</w:t>
      </w:r>
      <w:r>
        <w:t>30</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 d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d.</w:t>
            </w:r>
            <w:r>
              <w:tab/>
            </w:r>
            <w:r>
              <w:rPr>
                <w:b/>
                <w:i/>
              </w:rPr>
              <w:t>aggodalmát fejezi ki a nemek közötti egyenlőséggel, valamint a kiszolgáltatott vagy marginalizált helyzetben lévő nők és lányok, köztük az LMBTIQ+-személyek számára világszerte védelmet biztosító nemzetközi emberi jogi kerettel szembeni ellenállás miatt; felszólítja az EU-t és a tagállamokat, hogy növeljék az alapvető értékeink védelmére, valamint az emberi jogok és a nemzetközi jog tiszteletben tartásának megerősítésére irányuló erőfeszítéseiket;</w:t>
            </w:r>
          </w:p>
        </w:tc>
      </w:tr>
    </w:tbl>
    <w:p>
      <w:r>
        <w:rPr>
          <w:rStyle w:val="HideTWBExt"/>
        </w:rPr>
        <w:t>&lt;/Amend&gt;</w:t>
      </w:r>
    </w:p>
    <w:p>
      <w:pPr>
        <w:pStyle w:val="AmNumberTabs"/>
      </w:pPr>
      <w:r>
        <w:rPr>
          <w:rStyle w:val="HideTWBExt"/>
        </w:rPr>
        <w:t>&lt;Amend&gt;</w:t>
      </w:r>
      <w:r>
        <w:t>Módosítás</w:t>
      </w:r>
      <w:r>
        <w:tab/>
      </w:r>
      <w:r>
        <w:tab/>
      </w:r>
      <w:r>
        <w:rPr>
          <w:rStyle w:val="HideTWBExt"/>
        </w:rPr>
        <w:t>&lt;NumAm&gt;</w:t>
      </w:r>
      <w:r>
        <w:t>31</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 e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e.</w:t>
            </w:r>
            <w:r>
              <w:tab/>
            </w:r>
            <w:r>
              <w:rPr>
                <w:b/>
                <w:i/>
              </w:rPr>
              <w:t>rámutat arra, hogy a humanitárius válságok gyakran súlyosbítják a nemek közötti meglévő egyenlőtlenségeket és a diszkriminatív társadalmi normákat, tovább korlátozva a nők és lányok alapvető szolgáltatásokhoz való hozzáférését, jogaik teljes körű gyakorlását és személyes autonómiájukat;</w:t>
            </w:r>
          </w:p>
        </w:tc>
      </w:tr>
    </w:tbl>
    <w:p>
      <w:r>
        <w:rPr>
          <w:rStyle w:val="HideTWBExt"/>
        </w:rPr>
        <w:t>&lt;/Amend&gt;</w:t>
      </w:r>
    </w:p>
    <w:p>
      <w:pPr>
        <w:pStyle w:val="AmNumberTabs"/>
      </w:pPr>
      <w:r>
        <w:rPr>
          <w:rStyle w:val="HideTWBExt"/>
        </w:rPr>
        <w:t>&lt;Amend&gt;</w:t>
      </w:r>
      <w:r>
        <w:t>Módosítás</w:t>
      </w:r>
      <w:r>
        <w:tab/>
      </w:r>
      <w:r>
        <w:tab/>
      </w:r>
      <w:r>
        <w:rPr>
          <w:rStyle w:val="HideTWBExt"/>
        </w:rPr>
        <w:t>&lt;NumAm&gt;</w:t>
      </w:r>
      <w:r>
        <w:t>32</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 f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f.</w:t>
            </w:r>
            <w:r>
              <w:tab/>
            </w:r>
            <w:r>
              <w:rPr>
                <w:b/>
                <w:i/>
              </w:rPr>
              <w:t>aggodalmát fejezi ki amiatt, hogy konfliktushelyzetekben továbbra is elterjedt az emberi jogok megsértése és a nemi alapú erőszak, miközben a megelőzésre és a túlélők támogatására, valamint az igazságszolgáltatáshoz való hozzáférésre irányuló erőfeszítések még mindig nem elégségesek; aggodalmát fejezi ki amiatt, hogy a humanitárius szolgáltatások csökkenése közepette a nők által vezetett és a nőjogokkal foglalkozó szervezetek attól tartanak, hogy a nemi alapú erőszak problémája kezeletlen marad vagy súlyosbodik;</w:t>
            </w:r>
          </w:p>
        </w:tc>
      </w:tr>
    </w:tbl>
    <w:p>
      <w:r>
        <w:rPr>
          <w:rStyle w:val="HideTWBExt"/>
        </w:rPr>
        <w:t>&lt;/Amend&gt;</w:t>
      </w:r>
    </w:p>
    <w:p>
      <w:pPr>
        <w:pStyle w:val="AmNumberTabs"/>
      </w:pPr>
      <w:r>
        <w:rPr>
          <w:rStyle w:val="HideTWBExt"/>
        </w:rPr>
        <w:t>&lt;Amend&gt;</w:t>
      </w:r>
      <w:r>
        <w:t>Módosítás</w:t>
      </w:r>
      <w:r>
        <w:tab/>
      </w:r>
      <w:r>
        <w:tab/>
      </w:r>
      <w:r>
        <w:rPr>
          <w:rStyle w:val="HideTWBExt"/>
        </w:rPr>
        <w:t>&lt;NumAm&gt;</w:t>
      </w:r>
      <w:r>
        <w:t>33</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 g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g.</w:t>
            </w:r>
            <w:r>
              <w:tab/>
            </w:r>
            <w:r>
              <w:rPr>
                <w:b/>
                <w:i/>
              </w:rPr>
              <w:t>mély aggodalmát fejezi ki amiatt, hogy Gázában lerombolják az egészségügyi infrastruktúrát és szisztematikusan akadályozzák a humanitárius segítségnyújtást;  felhívja az Európai Uniót és a tagállamokat, hogy a konfliktus által érintett valamennyi nő és lány számára biztosítsanak akadálytalan hozzáférést a szexuális és reproduktív egészségügyi szolgáltatásokhoz és az anyáknak nyújtott egészségügyi szolgáltatásokhoz;</w:t>
            </w:r>
          </w:p>
        </w:tc>
      </w:tr>
    </w:tbl>
    <w:p>
      <w:r>
        <w:rPr>
          <w:rStyle w:val="HideTWBExt"/>
        </w:rPr>
        <w:t>&lt;/Amend&gt;</w:t>
      </w:r>
    </w:p>
    <w:p>
      <w:pPr>
        <w:pStyle w:val="AmNumberTabs"/>
      </w:pPr>
      <w:r>
        <w:rPr>
          <w:rStyle w:val="HideTWBExt"/>
        </w:rPr>
        <w:t>&lt;Amend&gt;</w:t>
      </w:r>
      <w:r>
        <w:t>Módosítás</w:t>
      </w:r>
      <w:r>
        <w:tab/>
      </w:r>
      <w:r>
        <w:tab/>
      </w:r>
      <w:r>
        <w:rPr>
          <w:rStyle w:val="HideTWBExt"/>
        </w:rPr>
        <w:t>&lt;NumAm&gt;</w:t>
      </w:r>
      <w:r>
        <w:t>34</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riasztónak tartja, hogy az elmúlt években gyakoribbá vált a nemzetközi humanitárius jog megsértése, és néhány esetben állítólag háborús stratégiai módszereként alkalmazták azt, különösen Szudánban, Gázában, a Kongói Demokratikus Köztársaságban, Ukrajnában és Haitin; </w:t>
            </w:r>
            <w:r>
              <w:rPr>
                <w:b/>
                <w:i/>
              </w:rPr>
              <w:t>azonnali nemzetközi fellépést szorgalmaz annak érdekében</w:t>
            </w:r>
            <w:r>
              <w:t xml:space="preserve">, </w:t>
            </w:r>
            <w:r>
              <w:rPr>
                <w:b/>
                <w:i/>
              </w:rPr>
              <w:t>hogy –</w:t>
            </w:r>
            <w:r>
              <w:t xml:space="preserve"> az izraeli kormány által </w:t>
            </w:r>
            <w:r>
              <w:rPr>
                <w:b/>
                <w:i/>
              </w:rPr>
              <w:t>bevezetett</w:t>
            </w:r>
            <w:r>
              <w:t xml:space="preserve"> blokád közepette </w:t>
            </w:r>
            <w:r>
              <w:rPr>
                <w:b/>
                <w:i/>
              </w:rPr>
              <w:t>– véget vessenek</w:t>
            </w:r>
            <w:r>
              <w:t xml:space="preserve"> a Gázában </w:t>
            </w:r>
            <w:r>
              <w:rPr>
                <w:b/>
                <w:i/>
              </w:rPr>
              <w:t>kialakult</w:t>
            </w:r>
            <w:r>
              <w:t xml:space="preserve"> elfogadhatatlan </w:t>
            </w:r>
            <w:r>
              <w:rPr>
                <w:b/>
                <w:i/>
              </w:rPr>
              <w:t>humanitárius válságnak</w:t>
            </w:r>
            <w:r>
              <w:t>;</w:t>
            </w:r>
          </w:p>
        </w:tc>
        <w:tc>
          <w:tcPr>
            <w:tcW w:w="4876" w:type="dxa"/>
            <w:tcBorders>
              <w:top w:val="nil"/>
              <w:left w:val="nil"/>
              <w:bottom w:val="nil"/>
              <w:right w:val="nil"/>
            </w:tcBorders>
          </w:tcPr>
          <w:p>
            <w:pPr>
              <w:pStyle w:val="Normal6a"/>
            </w:pPr>
            <w:r>
              <w:t>2.</w:t>
            </w:r>
            <w:r>
              <w:tab/>
            </w:r>
            <w:r>
              <w:t xml:space="preserve">riasztónak tartja, hogy az elmúlt években gyakoribbá vált a nemzetközi humanitárius jog megsértése, és néhány esetben állítólag háborús stratégiai módszereként alkalmazták azt, különösen Szudánban, Gázában, a Kongói Demokratikus Köztársaságban, Ukrajnában és Haitin; </w:t>
            </w:r>
            <w:r>
              <w:rPr>
                <w:b/>
                <w:i/>
              </w:rPr>
              <w:t xml:space="preserve">hangsúlyozza, hogy – különösen a nők, a gyermekek és egyéb kiszolgáltatott csoportok számára – rendkívül súlyos a Gázában kialakult humanitárius válság, amelyet az izraeli kormány által végrehajtott hosszan tartó blokád, valamint a polgári lakosság, a kórházak, az iskolák és a humanitárius infrastruktúra elleni ismételt, nagyszabású támadások idéztek elő; mély aggodalmát fejezi ki a Gázai övezetben kialakult, különösen a nőket és a lányokat érintő katasztrofális humanitárius helyzet, nevezetesen az élelmiszerhiány és a humanitárius segélyekhez való elégtelen hozzáférés következtében kialakult széles körű alultápláltság miatt; </w:t>
            </w:r>
            <w:r>
              <w:rPr>
                <w:b/>
                <w:i/>
              </w:rPr>
              <w:t>megismétli, hogy az elosztóhelyeket, a polgári lakosságot, a humanitárius és az egészségügyi dolgozókat meg kell védeni, és ezek az emberek nem válhatnak katonai fellépések célpontjaivá;</w:t>
            </w:r>
            <w:r>
              <w:rPr>
                <w:b/>
                <w:i/>
              </w:rPr>
              <w:t xml:space="preserve"> </w:t>
            </w:r>
            <w:r>
              <w:rPr>
                <w:b/>
                <w:i/>
              </w:rPr>
              <w:t>hangsúlyozza, hogy a nemzetközi joggal összhangban valamennyi tapasztalt nemzetközi humanitárius szervezet számára sürgősen teljes körű, gyors, biztonságos és akadálytalan hozzáférést kell biztosítani humanitárius segélynyújtás céljából a Gázai övezet egész területén, az olyan alapvető elemekre összpontosítva, mint az élelmiszer, a víz, az orvosi felszerelések és a menedékhelyek biztosítása, és követeli a létfontosságú infrastruktúra azonnali helyreállítását;</w:t>
            </w:r>
            <w:r>
              <w:rPr>
                <w:b/>
                <w:i/>
              </w:rPr>
              <w:t xml:space="preserve"> </w:t>
            </w:r>
            <w:r>
              <w:rPr>
                <w:b/>
                <w:i/>
              </w:rPr>
              <w:t>hangsúlyozza a konfliktusban részt vevő felek nemzetközi humanitárius jog szerinti kötelezettségeit a humanitárius segítségnyújtás tekintetében;</w:t>
            </w:r>
            <w:r>
              <w:rPr>
                <w:b/>
                <w:i/>
              </w:rPr>
              <w:t xml:space="preserve"> kiemeli, hogy az EU prioritása egyértelműen az azonnali és állandó tűzszünet; </w:t>
            </w:r>
            <w:r>
              <w:rPr>
                <w:b/>
                <w:i/>
              </w:rPr>
              <w:t>felszólít</w:t>
            </w:r>
            <w:r>
              <w:t xml:space="preserve"> a Gázában </w:t>
            </w:r>
            <w:r>
              <w:rPr>
                <w:b/>
                <w:i/>
              </w:rPr>
              <w:t>fogva tartott valamennyi izraeli – élő és elhunyt – túsz azonnali és feltétel nélküli szabadon bocsátására;</w:t>
            </w:r>
            <w:r>
              <w:rPr>
                <w:b/>
                <w:i/>
              </w:rPr>
              <w:t xml:space="preserve"> </w:t>
            </w:r>
            <w:r>
              <w:rPr>
                <w:b/>
                <w:i/>
              </w:rPr>
              <w:t>megjegyzi azonban, hogy</w:t>
            </w:r>
            <w:r>
              <w:t xml:space="preserve"> elfogadhatatlan</w:t>
            </w:r>
            <w:r>
              <w:rPr>
                <w:b/>
                <w:i/>
              </w:rPr>
              <w:t>, hogy folyamatosan civilek esnek áldozatul, és hogy lehetővé kell tenni a létfontosságú segélyek nyújtását, beleértve a kifejezetten a nőknek és lányoknak nyújtott segélyeket is</w:t>
            </w:r>
            <w:r>
              <w:t>;</w:t>
            </w:r>
          </w:p>
        </w:tc>
      </w:tr>
    </w:tbl>
    <w:p>
      <w:r>
        <w:rPr>
          <w:rStyle w:val="HideTWBExt"/>
        </w:rPr>
        <w:t>&lt;/Amend&gt;</w:t>
      </w:r>
    </w:p>
    <w:p>
      <w:pPr>
        <w:pStyle w:val="AmNumberTabs"/>
      </w:pPr>
      <w:r>
        <w:rPr>
          <w:rStyle w:val="HideTWBExt"/>
        </w:rPr>
        <w:t>&lt;Amend&gt;</w:t>
      </w:r>
      <w:r>
        <w:t>Módosítás</w:t>
      </w:r>
      <w:r>
        <w:tab/>
      </w:r>
      <w:r>
        <w:tab/>
      </w:r>
      <w:r>
        <w:rPr>
          <w:rStyle w:val="HideTWBExt"/>
        </w:rPr>
        <w:t>&lt;NumAm&gt;</w:t>
      </w:r>
      <w:r>
        <w:t>35</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megjegyzi, hogy az élelmiszer-, energia- és műtrágyaáraknak a gázai háború, Oroszország Ukrajna elleni agressziós háborúja és más konfliktusok által okozott emelkedése jelentősen növeli a humanitárius segítségnyújtás iránti igényt; hangsúlyozza, hogy az összetett geopolitikai válságok közvetlen hatással vannak az alapvető áruk globális piacokon való elérhetőségére, ami különösen a legkiszolgáltatottabb helyzetben lévő népességcsoportokat, köztük a gyermekeket és a nőket érinti;</w:t>
            </w:r>
          </w:p>
        </w:tc>
      </w:tr>
    </w:tbl>
    <w:p>
      <w:r>
        <w:rPr>
          <w:rStyle w:val="HideTWBExt"/>
        </w:rPr>
        <w:t>&lt;/Amend&gt;</w:t>
      </w:r>
    </w:p>
    <w:p>
      <w:pPr>
        <w:pStyle w:val="AmNumberTabs"/>
      </w:pPr>
      <w:r>
        <w:rPr>
          <w:rStyle w:val="HideTWBExt"/>
        </w:rPr>
        <w:t>&lt;Amend&gt;</w:t>
      </w:r>
      <w:r>
        <w:t>Módosítás</w:t>
      </w:r>
      <w:r>
        <w:tab/>
      </w:r>
      <w:r>
        <w:tab/>
      </w:r>
      <w:r>
        <w:rPr>
          <w:rStyle w:val="HideTWBExt"/>
        </w:rPr>
        <w:t>&lt;NumAm&gt;</w:t>
      </w:r>
      <w:r>
        <w:t>36</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w:t>
            </w:r>
            <w:r>
              <w:tab/>
            </w:r>
            <w:r>
              <w:rPr>
                <w:b/>
                <w:i/>
              </w:rPr>
              <w:t>felszólít továbbá az Oroszország Ukrajna elleni agressziós háborúja által érintett polgári lakosságnak nyújtott uniós humanitárius segítség fenntartására és növelésére, különös tekintettel a belső menekülteknek, a menekülteknek, az időseknek és a gyermekeknek, köztük az Oroszországi Föderációba és a megszállt területekre irányuló kényszerdeportálások áldozatainak a szükségleteire;</w:t>
            </w:r>
          </w:p>
        </w:tc>
      </w:tr>
    </w:tbl>
    <w:p>
      <w:r>
        <w:rPr>
          <w:rStyle w:val="HideTWBExt"/>
        </w:rPr>
        <w:t>&lt;/Amend&gt;</w:t>
      </w:r>
    </w:p>
    <w:p>
      <w:pPr>
        <w:pStyle w:val="AmNumberTabs"/>
      </w:pPr>
      <w:r>
        <w:rPr>
          <w:rStyle w:val="HideTWBExt"/>
        </w:rPr>
        <w:t>&lt;Amend&gt;</w:t>
      </w:r>
      <w:r>
        <w:t>Módosítás</w:t>
      </w:r>
      <w:r>
        <w:tab/>
      </w:r>
      <w:r>
        <w:tab/>
      </w:r>
      <w:r>
        <w:rPr>
          <w:rStyle w:val="HideTWBExt"/>
        </w:rPr>
        <w:t>&lt;NumAm&gt;</w:t>
      </w:r>
      <w:r>
        <w:t>37</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c.</w:t>
            </w:r>
            <w:r>
              <w:tab/>
            </w:r>
            <w:r>
              <w:rPr>
                <w:b/>
                <w:i/>
              </w:rPr>
              <w:t>sajnálatosnak tartja, hogy az afrikai és más fejlődő országokban kialakult válságok nem kapnak nemzetközi figyelmet, és nem kerül sor nemzetközi fellépésre, aminek következtében Szudánban 6,7 millió embert fenyeget a nemi alapú erőszak veszélye; felszólítja ezért a globális szereplőket, hogy biztosítsák az élelmiszerhez, tiszta vízhez, orvosi ellátáshoz és pszichológiai támogatáshoz való jobb hozzáférést, különösképpen a nők és a gyermekek számára; hangsúlyozza, hogy világszerte elő kell mozdítani a nők jogait és a nemek közötti egyenlőséget, amelyek alapvető fontosságúak az emberi jogok érvényesítése szempontjából; hangsúlyozza, hogy némi előrelépés ellenére a nőket és lányokat továbbra is hátrányos megkülönböztetés és nemi alapú erőszak sújtja;</w:t>
            </w:r>
          </w:p>
        </w:tc>
      </w:tr>
    </w:tbl>
    <w:p>
      <w:r>
        <w:rPr>
          <w:rStyle w:val="HideTWBExt"/>
        </w:rPr>
        <w:t>&lt;/Amend&gt;</w:t>
      </w:r>
    </w:p>
    <w:p>
      <w:pPr>
        <w:pStyle w:val="AmNumberTabs"/>
      </w:pPr>
      <w:r>
        <w:rPr>
          <w:rStyle w:val="HideTWBExt"/>
        </w:rPr>
        <w:t>&lt;Amend&gt;</w:t>
      </w:r>
      <w:r>
        <w:t>Módosítás</w:t>
      </w:r>
      <w:r>
        <w:tab/>
      </w:r>
      <w:r>
        <w:tab/>
      </w:r>
      <w:r>
        <w:rPr>
          <w:rStyle w:val="HideTWBExt"/>
        </w:rPr>
        <w:t>&lt;NumAm&gt;</w:t>
      </w:r>
      <w:r>
        <w:t>38</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 d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d.</w:t>
            </w:r>
            <w:r>
              <w:tab/>
            </w:r>
            <w:r>
              <w:rPr>
                <w:b/>
                <w:i/>
              </w:rPr>
              <w:t>sajnálatát fejezi ki amiatt, hogy a segélyeket számos ország fegyverként használja fel, ami aránytalanul nagy károkat okoz a nőknek és lányoknak; rámutat arra, hogy nemzetközi közösségként kötelességünk fenntartani a nemzetközi humanitárius jogot, amelyet egyes régiókban tagadhatatlanul megkérdőjeleznek, ami tovább súlyosbítja a nők és a marginalizált népesség kiszolgáltatottságát;</w:t>
            </w:r>
          </w:p>
        </w:tc>
      </w:tr>
    </w:tbl>
    <w:p>
      <w:r>
        <w:rPr>
          <w:rStyle w:val="HideTWBExt"/>
        </w:rPr>
        <w:t>&lt;/Amend&gt;</w:t>
      </w:r>
    </w:p>
    <w:p>
      <w:pPr>
        <w:pStyle w:val="AmNumberTabs"/>
      </w:pPr>
      <w:r>
        <w:rPr>
          <w:rStyle w:val="HideTWBExt"/>
        </w:rPr>
        <w:t>&lt;Amend&gt;</w:t>
      </w:r>
      <w:r>
        <w:t>Módosítás</w:t>
      </w:r>
      <w:r>
        <w:tab/>
      </w:r>
      <w:r>
        <w:tab/>
      </w:r>
      <w:r>
        <w:rPr>
          <w:rStyle w:val="HideTWBExt"/>
        </w:rPr>
        <w:t>&lt;NumAm&gt;</w:t>
      </w:r>
      <w:r>
        <w:t>39</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sajnálatát fejezi ki a humanitárius tér szűkülése </w:t>
            </w:r>
            <w:r>
              <w:rPr>
                <w:b/>
                <w:i/>
              </w:rPr>
              <w:t>és</w:t>
            </w:r>
            <w:r>
              <w:t xml:space="preserve"> a humanitárius elvek erodálódása miatt, ezek ugyanis számos konfliktus sújtotta környezetben jelentősen akadályozzák az életmentő segítségnyújtást; határozottan elítéli a polgári lakosság és a túlélésükhöz szükséges infrastruktúra, valamint a humanitárius segélyszervezetek munkatársai elleni, riasztó mértékben terjedő támadásokat; követeli az elkövetők felelősségre vonását;</w:t>
            </w:r>
          </w:p>
        </w:tc>
        <w:tc>
          <w:tcPr>
            <w:tcW w:w="4876" w:type="dxa"/>
            <w:tcBorders>
              <w:top w:val="nil"/>
              <w:left w:val="nil"/>
              <w:bottom w:val="nil"/>
              <w:right w:val="nil"/>
            </w:tcBorders>
          </w:tcPr>
          <w:p>
            <w:pPr>
              <w:pStyle w:val="Normal6a"/>
            </w:pPr>
            <w:r>
              <w:t>3.</w:t>
            </w:r>
            <w:r>
              <w:tab/>
            </w:r>
            <w:r>
              <w:t>sajnálatát fejezi ki a humanitárius tér szűkülése</w:t>
            </w:r>
            <w:r>
              <w:rPr>
                <w:b/>
                <w:i/>
              </w:rPr>
              <w:t>,</w:t>
            </w:r>
            <w:r>
              <w:t xml:space="preserve"> a humanitárius elvek erodálódása</w:t>
            </w:r>
            <w:r>
              <w:rPr>
                <w:b/>
                <w:i/>
              </w:rPr>
              <w:t>, valamint a nemzetközi szervezetek és a Nemzetközi Büntetőbíróság elfogatóparancsainak figyelmen kívül hagyása</w:t>
            </w:r>
            <w:r>
              <w:t xml:space="preserve"> miatt, ezek ugyanis számos konfliktus sújtotta környezetben jelentősen akadályozzák az életmentő segítségnyújtást; határozottan elítéli a polgári lakosság és a túlélésükhöz szükséges infrastruktúra, valamint a humanitárius segélyszervezetek munkatársai elleni, riasztó mértékben terjedő támadásokat; követeli az elkövetők felelősségre vonását;</w:t>
            </w:r>
          </w:p>
        </w:tc>
      </w:tr>
    </w:tbl>
    <w:p>
      <w:r>
        <w:rPr>
          <w:rStyle w:val="HideTWBExt"/>
        </w:rPr>
        <w:t>&lt;/Amend&gt;</w:t>
      </w:r>
    </w:p>
    <w:p>
      <w:pPr>
        <w:pStyle w:val="AmNumberTabs"/>
      </w:pPr>
      <w:r>
        <w:rPr>
          <w:rStyle w:val="HideTWBExt"/>
        </w:rPr>
        <w:t>&lt;Amend&gt;</w:t>
      </w:r>
      <w:r>
        <w:t>Módosítás</w:t>
      </w:r>
      <w:r>
        <w:tab/>
      </w:r>
      <w:r>
        <w:tab/>
      </w:r>
      <w:r>
        <w:rPr>
          <w:rStyle w:val="HideTWBExt"/>
        </w:rPr>
        <w:t>&lt;NumAm&gt;</w:t>
      </w:r>
      <w:r>
        <w:t>40</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mély sajnálatát fejezi ki amiatt, hogy egyes uniós tagállamok ki kívánnak lépni az 1997. évi ottawai egyezményből és a 2008. évi oslói egyezményből;</w:t>
            </w:r>
          </w:p>
        </w:tc>
        <w:tc>
          <w:tcPr>
            <w:tcW w:w="4876" w:type="dxa"/>
            <w:tcBorders>
              <w:top w:val="nil"/>
              <w:left w:val="nil"/>
              <w:bottom w:val="nil"/>
              <w:right w:val="nil"/>
            </w:tcBorders>
          </w:tcPr>
          <w:p>
            <w:pPr>
              <w:pStyle w:val="Normal6a"/>
            </w:pPr>
            <w:r>
              <w:t>4.</w:t>
            </w:r>
            <w:r>
              <w:tab/>
            </w:r>
            <w:r>
              <w:t xml:space="preserve">mély sajnálatát fejezi ki amiatt, hogy egyes uniós tagállamok </w:t>
            </w:r>
            <w:r>
              <w:rPr>
                <w:b/>
                <w:i/>
              </w:rPr>
              <w:t>hátrébb sorolják a – különösen a nőknek és lányoknak biztosított – humanitárius segítségnyújtást, valamint</w:t>
            </w:r>
            <w:r>
              <w:t xml:space="preserve"> ki kívánnak lépni az 1997. évi ottawai egyezményből és a 2008. évi oslói egyezményből;</w:t>
            </w:r>
          </w:p>
        </w:tc>
      </w:tr>
    </w:tbl>
    <w:p>
      <w:r>
        <w:rPr>
          <w:rStyle w:val="HideTWBExt"/>
        </w:rPr>
        <w:t>&lt;/Amend&gt;</w:t>
      </w:r>
    </w:p>
    <w:p>
      <w:pPr>
        <w:pStyle w:val="AmNumberTabs"/>
      </w:pPr>
      <w:r>
        <w:rPr>
          <w:rStyle w:val="HideTWBExt"/>
        </w:rPr>
        <w:t>&lt;Amend&gt;</w:t>
      </w:r>
      <w:r>
        <w:t>Módosítás</w:t>
      </w:r>
      <w:r>
        <w:tab/>
      </w:r>
      <w:r>
        <w:tab/>
      </w:r>
      <w:r>
        <w:rPr>
          <w:rStyle w:val="HideTWBExt"/>
        </w:rPr>
        <w:t>&lt;NumAm&gt;</w:t>
      </w:r>
      <w:r>
        <w:t>41</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felhívja a Bizottságot, hogy fokozza a nemzetközi humanitárius jog megsértése eseteinek megelőzésére irányuló intézkedéseket, és adatgyűjtés, valamint hatékonyabb, tényeken alapuló érdekérvényesítés révén orvosolja az ilyen esetek nyomon követésében mutatkozó hiányosságokat;</w:t>
            </w:r>
          </w:p>
        </w:tc>
        <w:tc>
          <w:tcPr>
            <w:tcW w:w="4876" w:type="dxa"/>
            <w:tcBorders>
              <w:top w:val="nil"/>
              <w:left w:val="nil"/>
              <w:bottom w:val="nil"/>
              <w:right w:val="nil"/>
            </w:tcBorders>
          </w:tcPr>
          <w:p>
            <w:pPr>
              <w:pStyle w:val="Normal6a"/>
            </w:pPr>
            <w:r>
              <w:t>5.</w:t>
            </w:r>
            <w:r>
              <w:tab/>
            </w:r>
            <w:r>
              <w:t xml:space="preserve">felhívja a Bizottságot </w:t>
            </w:r>
            <w:r>
              <w:rPr>
                <w:b/>
                <w:i/>
              </w:rPr>
              <w:t>és az Európai Külügyi Szolgálatot</w:t>
            </w:r>
            <w:r>
              <w:t>, hogy fokozza a nemzetközi humanitárius jog megsértése eseteinek megelőzésére irányuló intézkedéseket, és adatgyűjtés, valamint hatékonyabb, tényeken alapuló érdekérvényesítés révén orvosolja az ilyen esetek nyomon követésében mutatkozó hiányosságokat;</w:t>
            </w:r>
            <w:r>
              <w:rPr>
                <w:b/>
                <w:i/>
              </w:rPr>
              <w:t xml:space="preserve"> megismétli, hogy az EU-nak multilaterális szinten vezető szerepet kell játszania a nők jogainak a külpolitikában és a humanitárius politikában való előmozdításában; felhívja az EU-t, annak tagállamait, a Bizottságot és az EKSZ-t, hogy kötelezzék el magukat egy olyan fejlesztés- és humanitárius politika megvalósítása mellett, amely a nemek közötti egyenlőség szempontját érvényesítő, interszekcionális jövőképet is magában foglal, és hogy még határozottabban mozdítsák elő a nemek közötti egyenlőséget külső tevékenységeik során; üdvözli e tekintetben, hogy növekszik a nemek közötti egyenlőséggel foglalkozó kapcsolattartók száma, és szerepük hivatalossá válik, amit alátámaszt, hogy az uniós küldöttségek 99%-a és a központi szolgálatok 87%-a rendelkezik már ilyen kapcsolattartóval; rámutat arra, hogy a humanitárius szervezetekben a nemek közötti egyenlőséggel és az életkor szerinti hátrányos megkülönböztetéssel foglalkozó kapcsolattartók segítenek továbbra is a nemi alapú erőszak megelőzésére és az arra való reagálásra összpontosítani;</w:t>
            </w:r>
          </w:p>
        </w:tc>
      </w:tr>
    </w:tbl>
    <w:p>
      <w:r>
        <w:rPr>
          <w:rStyle w:val="HideTWBExt"/>
        </w:rPr>
        <w:t>&lt;/Amend&gt;</w:t>
      </w:r>
    </w:p>
    <w:p>
      <w:pPr>
        <w:pStyle w:val="AmNumberTabs"/>
      </w:pPr>
      <w:r>
        <w:rPr>
          <w:rStyle w:val="HideTWBExt"/>
        </w:rPr>
        <w:t>&lt;Amend&gt;</w:t>
      </w:r>
      <w:r>
        <w:t>Módosítás</w:t>
      </w:r>
      <w:r>
        <w:tab/>
      </w:r>
      <w:r>
        <w:tab/>
      </w:r>
      <w:r>
        <w:rPr>
          <w:rStyle w:val="HideTWBExt"/>
        </w:rPr>
        <w:t>&lt;NumAm&gt;</w:t>
      </w:r>
      <w:r>
        <w:t>42</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ismételten felhívja a Bizottságot, hogy az erőfeszítések fokozása, valamint a humanitárius diplomácia szisztematikusabb és összehangoltabb megközelítésének biztosítása érdekében a tagállamokkal és az Európai Külügyi Szolgálattal (EKSZ) együtt dolgozzon ki uniós humanitárius diplomáciai stratégiát;</w:t>
            </w:r>
          </w:p>
        </w:tc>
        <w:tc>
          <w:tcPr>
            <w:tcW w:w="4876" w:type="dxa"/>
            <w:tcBorders>
              <w:top w:val="nil"/>
              <w:left w:val="nil"/>
              <w:bottom w:val="nil"/>
              <w:right w:val="nil"/>
            </w:tcBorders>
          </w:tcPr>
          <w:p>
            <w:pPr>
              <w:pStyle w:val="Normal6a"/>
            </w:pPr>
            <w:r>
              <w:t>6.</w:t>
            </w:r>
            <w:r>
              <w:tab/>
            </w:r>
            <w:r>
              <w:t xml:space="preserve">ismételten </w:t>
            </w:r>
            <w:r>
              <w:rPr>
                <w:b/>
                <w:i/>
              </w:rPr>
              <w:t>sürgetőleg</w:t>
            </w:r>
            <w:r>
              <w:t xml:space="preserve"> felhívja a Bizottságot, hogy az erőfeszítések fokozása, valamint a humanitárius diplomácia szisztematikusabb és összehangoltabb megközelítésének biztosítása érdekében a tagállamokkal és az Európai Külügyi Szolgálattal (EKSZ) együtt dolgozzon ki uniós humanitárius diplomáciai stratégiát;</w:t>
            </w:r>
          </w:p>
        </w:tc>
      </w:tr>
    </w:tbl>
    <w:p>
      <w:r>
        <w:rPr>
          <w:rStyle w:val="HideTWBExt"/>
        </w:rPr>
        <w:t>&lt;/Amend&gt;</w:t>
      </w:r>
    </w:p>
    <w:p>
      <w:pPr>
        <w:pStyle w:val="AmNumberTabs"/>
      </w:pPr>
      <w:r>
        <w:rPr>
          <w:rStyle w:val="HideTWBExt"/>
        </w:rPr>
        <w:t>&lt;Amend&gt;</w:t>
      </w:r>
      <w:r>
        <w:t>Módosítás</w:t>
      </w:r>
      <w:r>
        <w:tab/>
      </w:r>
      <w:r>
        <w:tab/>
      </w:r>
      <w:r>
        <w:rPr>
          <w:rStyle w:val="HideTWBExt"/>
        </w:rPr>
        <w:t>&lt;NumAm&gt;</w:t>
      </w:r>
      <w:r>
        <w:t>43</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6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hangsúlyozza, hogy független humanitárius hozzáférést kell biztosítani a migrációval kapcsolatos valamennyi létesítményhez, beleértve az idegenrendészeti fogdákat, az uniós fogadóállomásokat és az informális határövezeteket, ahol a nők és az LMBTIQ+-személyek az erőszaknak, a kizsákmányolásnak és az alapvető szolgáltatások – többek között a szexuális és reproduktív egészségügyi ellátás – megtagadásának fokozott kockázatával szembesülnek; szorgalmazza átlátható nyomonkövetési és elszámoltathatósági mechanizmusok létrehozását az ilyen helyzetekre;</w:t>
            </w:r>
          </w:p>
        </w:tc>
      </w:tr>
    </w:tbl>
    <w:p>
      <w:r>
        <w:rPr>
          <w:rStyle w:val="HideTWBExt"/>
        </w:rPr>
        <w:t>&lt;/Amend&gt;</w:t>
      </w:r>
    </w:p>
    <w:p>
      <w:pPr>
        <w:pStyle w:val="AmNumberTabs"/>
      </w:pPr>
      <w:r>
        <w:rPr>
          <w:rStyle w:val="HideTWBExt"/>
        </w:rPr>
        <w:t>&lt;Amend&gt;</w:t>
      </w:r>
      <w:r>
        <w:t>Módosítás</w:t>
      </w:r>
      <w:r>
        <w:tab/>
      </w:r>
      <w:r>
        <w:tab/>
      </w:r>
      <w:r>
        <w:rPr>
          <w:rStyle w:val="HideTWBExt"/>
        </w:rPr>
        <w:t>&lt;NumAm&gt;</w:t>
      </w:r>
      <w:r>
        <w:t>44</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6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w:t>
            </w:r>
            <w:r>
              <w:tab/>
            </w:r>
            <w:r>
              <w:rPr>
                <w:b/>
                <w:i/>
              </w:rPr>
              <w:t>felhívja a Bizottságot és a tagállamokat, hogy a nemzetközi emberi jogi kötelezettségekkel összhangban dolgozzanak ki kártérítési rendszereket, többek között szimbolikus, anyagi és pszichoszociális intézkedéseket a szexuális és reproduktív jogok humanitárius összefüggésben történő megsértésének túlélői számára; hangsúlyozza, hogy az ilyen mechanizmusok kialakításába be kell vonni az érintett közösségeket, különösen a nőket és a lányokat;</w:t>
            </w:r>
          </w:p>
        </w:tc>
      </w:tr>
    </w:tbl>
    <w:p>
      <w:r>
        <w:rPr>
          <w:rStyle w:val="HideTWBExt"/>
        </w:rPr>
        <w:t>&lt;/Amend&gt;</w:t>
      </w:r>
    </w:p>
    <w:p>
      <w:pPr>
        <w:pStyle w:val="AmNumberTabs"/>
      </w:pPr>
      <w:r>
        <w:rPr>
          <w:rStyle w:val="HideTWBExt"/>
        </w:rPr>
        <w:t>&lt;Amend&gt;</w:t>
      </w:r>
      <w:r>
        <w:t>Módosítás</w:t>
      </w:r>
      <w:r>
        <w:tab/>
      </w:r>
      <w:r>
        <w:tab/>
      </w:r>
      <w:r>
        <w:rPr>
          <w:rStyle w:val="HideTWBExt"/>
        </w:rPr>
        <w:t>&lt;NumAm&gt;</w:t>
      </w:r>
      <w:r>
        <w:t>45</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felhívja a Bizottságot és a tagállamokat, hogy a következő többéves pénzügyi keretben jelentősen növeljék </w:t>
            </w:r>
            <w:r>
              <w:rPr>
                <w:b/>
                <w:i/>
              </w:rPr>
              <w:t>a</w:t>
            </w:r>
            <w:r>
              <w:t xml:space="preserve"> humanitárius </w:t>
            </w:r>
            <w:r>
              <w:rPr>
                <w:b/>
                <w:i/>
              </w:rPr>
              <w:t>finanszírozást</w:t>
            </w:r>
            <w:r>
              <w:t>, különös tekintettel arra, hogy egyre nő a szakadék a humanitárius szükségletek és azok finanszírozása között;</w:t>
            </w:r>
          </w:p>
        </w:tc>
        <w:tc>
          <w:tcPr>
            <w:tcW w:w="4876" w:type="dxa"/>
            <w:tcBorders>
              <w:top w:val="nil"/>
              <w:left w:val="nil"/>
              <w:bottom w:val="nil"/>
              <w:right w:val="nil"/>
            </w:tcBorders>
          </w:tcPr>
          <w:p>
            <w:pPr>
              <w:pStyle w:val="Normal6a"/>
            </w:pPr>
            <w:r>
              <w:t>7.</w:t>
            </w:r>
            <w:r>
              <w:tab/>
            </w:r>
            <w:r>
              <w:t xml:space="preserve">felhívja a Bizottságot és a tagállamokat, hogy </w:t>
            </w:r>
            <w:r>
              <w:rPr>
                <w:b/>
                <w:i/>
              </w:rPr>
              <w:t>többek között</w:t>
            </w:r>
            <w:r>
              <w:t xml:space="preserve"> a következő többéves pénzügyi keretben jelentősen növeljék humanitárius </w:t>
            </w:r>
            <w:r>
              <w:rPr>
                <w:b/>
                <w:i/>
              </w:rPr>
              <w:t>finanszírozásukat</w:t>
            </w:r>
            <w:r>
              <w:t>, különös tekintettel arra, hogy egyre nő a szakadék a humanitárius szükségletek és azok finanszírozása között</w:t>
            </w:r>
            <w:r>
              <w:rPr>
                <w:b/>
                <w:i/>
              </w:rPr>
              <w:t>, valamint kéri, hogy különítsenek el konkrét, fenntartható, rugalmas, többéves finanszírozást annak biztosítására, hogy a humanitárius válaszlépések során kielégítsék a nők és lányok szükségleteit, beleértve a szexuális és reproduktív egészséggel kapcsolatos szükségleteket is, többek között a válság által érintett közösségekhez leginkább hozzáférő nőjogi szervezetek finanszírozása révén</w:t>
            </w:r>
            <w:r>
              <w:t>;</w:t>
            </w:r>
          </w:p>
        </w:tc>
      </w:tr>
    </w:tbl>
    <w:p>
      <w:r>
        <w:rPr>
          <w:rStyle w:val="HideTWBExt"/>
        </w:rPr>
        <w:t>&lt;/Amend&gt;</w:t>
      </w:r>
    </w:p>
    <w:p>
      <w:pPr>
        <w:pStyle w:val="AmNumberTabs"/>
      </w:pPr>
      <w:r>
        <w:rPr>
          <w:rStyle w:val="HideTWBExt"/>
        </w:rPr>
        <w:t>&lt;Amend&gt;</w:t>
      </w:r>
      <w:r>
        <w:t>Módosítás</w:t>
      </w:r>
      <w:r>
        <w:tab/>
      </w:r>
      <w:r>
        <w:tab/>
      </w:r>
      <w:r>
        <w:rPr>
          <w:rStyle w:val="HideTWBExt"/>
        </w:rPr>
        <w:t>&lt;NumAm&gt;</w:t>
      </w:r>
      <w:r>
        <w:t>46</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t>felhívja a Bizottságot annak biztosítására, hogy a humanitárius segítségnyújtás finanszírozása során elsősorban azokat a projekteket és szervezeteket részesítsék előnyben, amelyek a konfliktusok és az éghajlatváltozás áldozataivá vált, menekült vagy humanitárius segítségre szoruló nőket és lányokat támogatják, amelyek esetében a legnagyobb a kockázata annak, hogy a finanszírozásukat megszüntetik</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Az ENSZ 2025. áprilisi jelentése, „At a breaking point: The impact of foreign aid cuts on women’s organizations in humanitarian crises worldwide” (Törésponton: a külföldi segélyek csökkentésének hatása a női szervezetekre a globális humanitárius válságok közepette).</w:t>
            </w:r>
          </w:p>
        </w:tc>
      </w:tr>
    </w:tbl>
    <w:p>
      <w:r>
        <w:rPr>
          <w:rStyle w:val="HideTWBExt"/>
        </w:rPr>
        <w:t>&lt;/Amend&gt;</w:t>
      </w:r>
    </w:p>
    <w:p>
      <w:pPr>
        <w:pStyle w:val="AmNumberTabs"/>
      </w:pPr>
      <w:r>
        <w:rPr>
          <w:rStyle w:val="HideTWBExt"/>
        </w:rPr>
        <w:t>&lt;Amend&gt;</w:t>
      </w:r>
      <w:r>
        <w:t>Módosítás</w:t>
      </w:r>
      <w:r>
        <w:tab/>
      </w:r>
      <w:r>
        <w:tab/>
      </w:r>
      <w:r>
        <w:rPr>
          <w:rStyle w:val="HideTWBExt"/>
        </w:rPr>
        <w:t>&lt;NumAm&gt;</w:t>
      </w:r>
      <w:r>
        <w:t>47</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7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w:t>
            </w:r>
            <w:r>
              <w:tab/>
            </w:r>
            <w:r>
              <w:rPr>
                <w:b/>
                <w:i/>
              </w:rPr>
              <w:t>felszólít arra, hogy minden uniós finanszírozású humanitárius projekt tartalmazzon a nemek közötti egyenlőség szempontját érvényesítő mutatókat és nyomonkövetési mechanizmusokat annak biztosítása érdekében, hogy a segélyek hatékonyan eljussanak a nőkhöz és lányokhoz, kielégítsék sajátos szükségleteiket, és elősegítsék a nemek közötti egyenlőséget; hangsúlyozza olyan testre szabott humanitárius válaszok kidolgozásának fontosságát, amelyek figyelembe veszik a többszörös válságok által sújtott vidéki területeken élő nők szükségleteit és realitásait;</w:t>
            </w:r>
          </w:p>
        </w:tc>
      </w:tr>
    </w:tbl>
    <w:p>
      <w:r>
        <w:rPr>
          <w:rStyle w:val="HideTWBExt"/>
        </w:rPr>
        <w:t>&lt;/Amend&gt;</w:t>
      </w:r>
    </w:p>
    <w:p>
      <w:pPr>
        <w:pStyle w:val="AmNumberTabs"/>
      </w:pPr>
      <w:r>
        <w:rPr>
          <w:rStyle w:val="HideTWBExt"/>
        </w:rPr>
        <w:t>&lt;Amend&gt;</w:t>
      </w:r>
      <w:r>
        <w:t>Módosítás</w:t>
      </w:r>
      <w:r>
        <w:tab/>
      </w:r>
      <w:r>
        <w:tab/>
      </w:r>
      <w:r>
        <w:rPr>
          <w:rStyle w:val="HideTWBExt"/>
        </w:rPr>
        <w:t>&lt;NumAm&gt;</w:t>
      </w:r>
      <w:r>
        <w:t>48</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7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c.</w:t>
            </w:r>
            <w:r>
              <w:tab/>
            </w:r>
            <w:r>
              <w:rPr>
                <w:b/>
                <w:i/>
              </w:rPr>
              <w:t>hangsúlyozza annak fontosságát, hogy a humanitárius finanszírozás innovatív megközelítéseinek támogatására irányuló erőfeszítések kifejezetten figyelembe vegyék azokat, amelyek a nők és lányok gazdasági és társadalmi szerepvállalását erősítik; hangsúlyozza az átlátható jelentéstétel és a független értékelések fontosságát az EU által finanszírozott humanitárius fellépések által a nemek közötti egyenlőségre gyakorolt hatások megállapításában;</w:t>
            </w:r>
          </w:p>
        </w:tc>
      </w:tr>
    </w:tbl>
    <w:p>
      <w:r>
        <w:rPr>
          <w:rStyle w:val="HideTWBExt"/>
        </w:rPr>
        <w:t>&lt;/Amend&gt;</w:t>
      </w:r>
    </w:p>
    <w:p>
      <w:pPr>
        <w:pStyle w:val="AmNumberTabs"/>
      </w:pPr>
      <w:r>
        <w:rPr>
          <w:rStyle w:val="HideTWBExt"/>
        </w:rPr>
        <w:t>&lt;Amend&gt;</w:t>
      </w:r>
      <w:r>
        <w:t>Módosítás</w:t>
      </w:r>
      <w:r>
        <w:tab/>
      </w:r>
      <w:r>
        <w:tab/>
      </w:r>
      <w:r>
        <w:rPr>
          <w:rStyle w:val="HideTWBExt"/>
        </w:rPr>
        <w:t>&lt;NumAm&gt;</w:t>
      </w:r>
      <w:r>
        <w:t>49</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7 d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d.</w:t>
            </w:r>
            <w:r>
              <w:tab/>
            </w:r>
            <w:r>
              <w:rPr>
                <w:b/>
                <w:i/>
              </w:rPr>
              <w:t>sürgeti a Bizottságot, hogy utasítsa el a humanitárius segítségnyújtás finanszírozásának megszüntetésére irányuló növekvő tendenciát, és hangsúlyozza, hogy a támogatás nem a kapacitás, hanem a politikai akarat és az erkölcsi felelősségvállalás kérdése; kitart amellett, hogy a Bizottságnak és a tágabb EU-nak jó példával kell elöl járnia, és biztosítania kell a humanitárius erőfeszítések szilárd és tartós finanszírozását;</w:t>
            </w:r>
          </w:p>
        </w:tc>
      </w:tr>
    </w:tbl>
    <w:p>
      <w:r>
        <w:rPr>
          <w:rStyle w:val="HideTWBExt"/>
        </w:rPr>
        <w:t>&lt;/Amend&gt;</w:t>
      </w:r>
    </w:p>
    <w:p>
      <w:pPr>
        <w:pStyle w:val="AmNumberTabs"/>
      </w:pPr>
      <w:r>
        <w:rPr>
          <w:rStyle w:val="HideTWBExt"/>
        </w:rPr>
        <w:t>&lt;Amend&gt;</w:t>
      </w:r>
      <w:r>
        <w:t>Módosítás</w:t>
      </w:r>
      <w:r>
        <w:tab/>
      </w:r>
      <w:r>
        <w:tab/>
      </w:r>
      <w:r>
        <w:rPr>
          <w:rStyle w:val="HideTWBExt"/>
        </w:rPr>
        <w:t>&lt;NumAm&gt;</w:t>
      </w:r>
      <w:r>
        <w:t>50</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7 e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7e.</w:t>
            </w:r>
            <w:r>
              <w:tab/>
            </w:r>
            <w:r>
              <w:rPr>
                <w:b/>
                <w:i/>
              </w:rPr>
              <w:t>sajnálatát fejezi ki amiatt, hogy az EU által a közös közérdeket képviselőként elismert nem kormányzati szervezeteknek nyújtott fejlesztési segélyeket és humanitárius segélyeket a reakciós mozgalmak és a nacionalista pártok még az Európai Parlamentben is eszközként használják fel és bírálják;</w:t>
            </w:r>
          </w:p>
        </w:tc>
      </w:tr>
    </w:tbl>
    <w:p>
      <w:r>
        <w:rPr>
          <w:rStyle w:val="HideTWBExt"/>
        </w:rPr>
        <w:t>&lt;/Amend&gt;</w:t>
      </w:r>
    </w:p>
    <w:p>
      <w:pPr>
        <w:pStyle w:val="AmNumberTabs"/>
      </w:pPr>
      <w:r>
        <w:rPr>
          <w:rStyle w:val="HideTWBExt"/>
        </w:rPr>
        <w:t>&lt;Amend&gt;</w:t>
      </w:r>
      <w:r>
        <w:t>Módosítás</w:t>
      </w:r>
      <w:r>
        <w:tab/>
      </w:r>
      <w:r>
        <w:tab/>
      </w:r>
      <w:r>
        <w:rPr>
          <w:rStyle w:val="HideTWBExt"/>
        </w:rPr>
        <w:t>&lt;NumAm&gt;</w:t>
      </w:r>
      <w:r>
        <w:t>51</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7 f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f.</w:t>
            </w:r>
            <w:r>
              <w:tab/>
            </w:r>
            <w:r>
              <w:rPr>
                <w:b/>
                <w:i/>
              </w:rPr>
              <w:t>hangsúlyozza, hogy a védelmi kiadások növelése nem mehet a humanitárius segítségnyújtás rovására, különösen a nőket és lányokat aránytalanul nagy mértékben sújtó globális válságok idején; kiemeli, hogy a humanitárius finanszírozás csökkentése a nemek közötti egyenlőtlenségek súlyosbodásának kockázatával jár, és veszélyezteti a nők egészségének, biztonságának és megélhetésének kulcsfontosságú támogatását konfliktusok és katasztrófák esetén;</w:t>
            </w:r>
          </w:p>
        </w:tc>
      </w:tr>
    </w:tbl>
    <w:p>
      <w:r>
        <w:rPr>
          <w:rStyle w:val="HideTWBExt"/>
        </w:rPr>
        <w:t>&lt;/Amend&gt;</w:t>
      </w:r>
    </w:p>
    <w:p>
      <w:pPr>
        <w:pStyle w:val="AmNumberTabs"/>
      </w:pPr>
      <w:r>
        <w:rPr>
          <w:rStyle w:val="HideTWBExt"/>
        </w:rPr>
        <w:t>&lt;Amend&gt;</w:t>
      </w:r>
      <w:r>
        <w:t>Módosítás</w:t>
      </w:r>
      <w:r>
        <w:tab/>
      </w:r>
      <w:r>
        <w:tab/>
      </w:r>
      <w:r>
        <w:rPr>
          <w:rStyle w:val="HideTWBExt"/>
        </w:rPr>
        <w:t>&lt;NumAm&gt;</w:t>
      </w:r>
      <w:r>
        <w:t>52</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felszólítja a tagállamokat, hogy teljesítsék azon kollektív kötelezettségvállalásukat, mely szerint bruttó nemzeti jövedelmük legalább 0,7%-át hivatalos fejlesztési támogatásra, annak 10%-át pedig humanitárius fellépésekre fordítják;</w:t>
            </w:r>
          </w:p>
        </w:tc>
        <w:tc>
          <w:tcPr>
            <w:tcW w:w="4876" w:type="dxa"/>
            <w:tcBorders>
              <w:top w:val="nil"/>
              <w:left w:val="nil"/>
              <w:bottom w:val="nil"/>
              <w:right w:val="nil"/>
            </w:tcBorders>
          </w:tcPr>
          <w:p>
            <w:pPr>
              <w:pStyle w:val="Normal6a"/>
            </w:pPr>
            <w:r>
              <w:t>11.</w:t>
            </w:r>
            <w:r>
              <w:tab/>
            </w:r>
            <w:r>
              <w:t>felszólítja a tagállamokat, hogy teljesítsék azon kollektív kötelezettségvállalásukat, mely szerint bruttó nemzeti jövedelmük legalább 0,7%-át hivatalos fejlesztési támogatásra, annak 10%-át pedig humanitárius fellépésekre fordítják;</w:t>
            </w:r>
            <w:r>
              <w:rPr>
                <w:b/>
                <w:i/>
              </w:rPr>
              <w:t xml:space="preserve"> felhívja a Bizottságot, hogy biztosítson rendszeres, megfelelő és fenntartható finanszírozást; felhívja a Bizottságot, hogy a humanitárius segítségnyújtást elsősorban állami forrásokból finanszírozzák, beleértve a nemek közötti egyenlőséggel és a nők jogaival foglalkozó szervezeteket, mivel a támogatás csökkentése súlyosan aláásná a nők által vezetett és a nőjogi szervezetek által nyújtott életmentő szolgáltatásokhoz való hozzáférést; ismételten hangsúlyozza, hogy a nők és lányok érvényesülését célzó beruházás mint stratégiai beruházás fontosságát, amely hosszú távú pozitív hatást gyakorol mindenkire, és befolyásolja a következő generációk társadalmi és gazdasági jólétét; sajnálatát fejezi ki az USAID által nyújtott finanszírozás befagyasztása miatt, és elismeri, hogy ez milyen pusztító hatással van a globális közösség azon célkitűzésére, hogy megvalósítsa a nemek közötti egyenlőséget és megerősítse minden nő és lány társadalmi szerepét; sajnálatosnak tartja, hogy ez negatív hatással van az anyai mortalitásra a szexuális neveléshez és a reproduktív egészségügyi ellátáshoz való hozzáférés csökkenése miatt; hangsúlyozza, hogy humanitárius helyzetekben a nemek közötti egyenlőséget célzó beruházás életeket ment; felhívja a Bizottságot és a tagállamokat, hogy sürgősen pótolják az űrt, amit az USA hagyott maga után, többek között azáltal, hogy növelik az EU hozzájárulását a humanitárius helyzetekben kulcsfontosságú életmentő szolgáltatásokat nyújtó szervezetek támogatásához, többek között a szexuális és reproduktív egészség és jogok terén;</w:t>
            </w:r>
          </w:p>
        </w:tc>
      </w:tr>
    </w:tbl>
    <w:p>
      <w:r>
        <w:rPr>
          <w:rStyle w:val="HideTWBExt"/>
        </w:rPr>
        <w:t>&lt;/Amend&gt;</w:t>
      </w:r>
    </w:p>
    <w:p>
      <w:pPr>
        <w:pStyle w:val="AmNumberTabs"/>
      </w:pPr>
      <w:r>
        <w:rPr>
          <w:rStyle w:val="HideTWBExt"/>
        </w:rPr>
        <w:t>&lt;Amend&gt;</w:t>
      </w:r>
      <w:r>
        <w:t>Módosítás</w:t>
      </w:r>
      <w:r>
        <w:tab/>
      </w:r>
      <w:r>
        <w:tab/>
      </w:r>
      <w:r>
        <w:rPr>
          <w:rStyle w:val="HideTWBExt"/>
        </w:rPr>
        <w:t>&lt;NumAm&gt;</w:t>
      </w:r>
      <w:r>
        <w:t>53</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t>felhívja a figyelmet arra, hogy a nők jogaival kapcsolatos finanszírozást egyre kevésbé kezelik prioritásként, és hogy az alulról szerveződő mozgalmak és a nőjogi szervezetek továbbra is rendszerszinten alulfinanszírozottak, és világszinten a hivatalos fejlesztési támogatások kevesebb mint 1%-át kapják</w:t>
            </w:r>
            <w:r>
              <w:rPr>
                <w:vertAlign w:val="superscript"/>
              </w:rPr>
              <w:t>1a</w:t>
            </w:r>
            <w:r>
              <w:t>;</w:t>
            </w:r>
            <w:r>
              <w:rPr>
                <w:b/>
                <w:i/>
              </w:rPr>
              <w:t xml:space="preserve"> kiemeli, hogy ugyanakkor aggasztó mértékben növekszik a genderellenes mozgalmak finanszírozása, amelynek célja, hogy meghiúsítsa a nők és LMBTIQ+-személyek jogai terén az elmúlt évtizedekben elért eredményeket; felhívja a Bizottságot, hogy a következő többéves pénzügyi kereten belül a hivatalos fejlesztési támogatás 85%-át olyan projektekre fordítsák, amelyek jelentős vagy fő célkitűzésként tartalmazzák a nemek közötti egyenlőséget, legalább 20%-át pedig a nemek közötti egyenlőségre, valamint a nők és lányok jogaira és társadalmi szerepvállalásának erősítésére – mint fő célkitűzésre – irányuló tevékenységek támogatására; kéri, hogy hozzanak létre speciális uniós védelmi és áthelyezési mechanizmusokat azon nőjogi jogvédők és feminista szervezetek számára, amelyek a szexuális és reproduktív jogok, valamint a nemek közötti egyenlőség területén végzett munkájuk miatt célponttá válnak, különösen autoriter környezetben, konfliktusos környezetben és megszállással érintett környezetben;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ODI szakpolitikai tájékoztató – „Where next for feminist foreign policy on funding feminist movements?” [Merre lépjen tovább a feminista külpolitika a feminista mozgalmak finanszírozása terén?] https://media.odi.org/documents/ODI-ET-FundingMovements-PB-EN-May24-Final.pdf.</w:t>
            </w:r>
          </w:p>
        </w:tc>
      </w:tr>
    </w:tbl>
    <w:p>
      <w:r>
        <w:rPr>
          <w:rStyle w:val="HideTWBExt"/>
        </w:rPr>
        <w:t>&lt;/Amend&gt;</w:t>
      </w:r>
    </w:p>
    <w:p>
      <w:pPr>
        <w:pStyle w:val="AmNumberTabs"/>
      </w:pPr>
      <w:r>
        <w:rPr>
          <w:rStyle w:val="HideTWBExt"/>
        </w:rPr>
        <w:t>&lt;Amend&gt;</w:t>
      </w:r>
      <w:r>
        <w:t>Módosítás</w:t>
      </w:r>
      <w:r>
        <w:tab/>
      </w:r>
      <w:r>
        <w:tab/>
      </w:r>
      <w:r>
        <w:rPr>
          <w:rStyle w:val="HideTWBExt"/>
        </w:rPr>
        <w:t>&lt;NumAm&gt;</w:t>
      </w:r>
      <w:r>
        <w:t>54</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 felhívja a figyelmet arra, hogy az instabil helyzetek sokfélesége olyan testre szabott megközelítéseket és sajátos pénzügyi eszközöket igényel, amelyek elősegítik, hogy a humanitárius tevékenységgel, fejlesztéssel és béketeremtéssel foglalkozó szereplők összehangoltan tudjanak fellépni, különös figyelmet fordítva a helyi szereplők bevonására és szerepvállalásuk erősítésére;</w:t>
            </w:r>
          </w:p>
        </w:tc>
        <w:tc>
          <w:tcPr>
            <w:tcW w:w="4876" w:type="dxa"/>
            <w:tcBorders>
              <w:top w:val="nil"/>
              <w:left w:val="nil"/>
              <w:bottom w:val="nil"/>
              <w:right w:val="nil"/>
            </w:tcBorders>
          </w:tcPr>
          <w:p>
            <w:pPr>
              <w:pStyle w:val="Normal6a"/>
            </w:pPr>
            <w:r>
              <w:t xml:space="preserve">12. </w:t>
            </w:r>
            <w:r>
              <w:rPr>
                <w:b/>
                <w:i/>
              </w:rPr>
              <w:t xml:space="preserve">hangsúlyozza a fegyveres konfliktusok, valamint a humanitárius és éghajlati válságok közötti szoros kapcsolatot, a kényszerű migráció és az emberkereskedelem növekedését, valamint a kizsákmányolás kockázatát, amelyek aránytalanul nagy mértékben érintik a nőket és lányokat; hangsúlyozza, hogy az érintett uniós intézmények, a tagállamok és a nemzetközi szervezetek közötti hatékony koordináció révén meg kell erősíteni az áldozatok megelőzésére, azonosítására, védelmére és támogatására irányuló intézkedéseket, biztosítva, hogy valamennyi humanitárius fellépés magában foglalja a nemi dimenziót, és előmozdítsa a legkiszolgáltatottabbak jogait; aggodalmát fejezi ki az emberkereskedelem fokozott kockázata miatt a humanitárius helyzetekben, amikor az emberkereskedők kihasználják a lakóhelyüket elhagyni kényszerült emberek, különösen a nők és lányok kiszolgáltatott és kétségbeesett helyzetét; hangsúlyozza, hogy szükség van a nemek közötti egyenlőség szempontját érvényesítő védelmi intézkedésekre, beleértve a biztonságos jelentési mechanizmusokat, az alapvető szolgáltatásokhoz való hozzáférést, valamint az emberkereskedelem elleni erőfeszítéseknek a humanitárius segítségnyújtás minden szakaszába történő integrálását; </w:t>
            </w:r>
            <w:r>
              <w:t>felhívja a figyelmet arra, hogy az instabil helyzetek sokfélesége olyan testre szabott megközelítéseket és sajátos pénzügyi eszközöket igényel, amelyek elősegítik, hogy a humanitárius tevékenységgel, fejlesztéssel és béketeremtéssel foglalkozó szereplők összehangoltan tudjanak fellépni, különös figyelmet fordítva a helyi szereplők bevonására és szerepvállalásuk erősítésére;</w:t>
            </w:r>
            <w:r>
              <w:rPr>
                <w:b/>
                <w:i/>
              </w:rPr>
              <w:t xml:space="preserve"> hangsúlyozza, hogy humanitárius válságokban a nőket és lányokat aránytalan mértékben sújtja az alapvető szolgáltatások összeomlása, és gyakran az ő alapvető szükségleteik az elsők, amelyeket nem elégítenek ki, még akkor is, ha tőlük várják el a szolgáltatási hiányosságok pótlását például azáltal, hogy több gondozási feladatot vállalnak magukra, valamint gondoskodnak az élelemről és a vízről; hangsúlyozza, hogy a humanitárius stratégiáknak figyelembe kell venniük mind a fiatal, mind az idős nők sajátos szükségleteit, akik gyakran egyértelmű kiszolgáltatottsággal, többek között a tervezési folyamatokból való kizárással, a személyre szabott szolgáltatásokhoz való korlátozott hozzáféréssel, valamint a bántalmazás vagy a figyelmen kívül hagyás fokozott kockázatával szembesülnek; kéri, hogy vezessenek be olyan, a fiatalok, különösen a nők és lányok számára kidolgozott egyedi programokat, amelyek biztosítják az oktatáshoz, a menstruációs egészséghez, a szexuális és reproduktív egészséghez és a pszichoszociális támogatáshoz való hozzáférésüket;</w:t>
            </w:r>
            <w:r>
              <w:br/>
            </w:r>
          </w:p>
        </w:tc>
      </w:tr>
    </w:tbl>
    <w:p>
      <w:r>
        <w:rPr>
          <w:rStyle w:val="HideTWBExt"/>
        </w:rPr>
        <w:t>&lt;/Amend&gt;</w:t>
      </w:r>
    </w:p>
    <w:p>
      <w:pPr>
        <w:pStyle w:val="AmNumberTabs"/>
      </w:pPr>
      <w:r>
        <w:rPr>
          <w:rStyle w:val="HideTWBExt"/>
        </w:rPr>
        <w:t>&lt;Amend&gt;</w:t>
      </w:r>
      <w:r>
        <w:t>Módosítás</w:t>
      </w:r>
      <w:r>
        <w:tab/>
      </w:r>
      <w:r>
        <w:tab/>
      </w:r>
      <w:r>
        <w:rPr>
          <w:rStyle w:val="HideTWBExt"/>
        </w:rPr>
        <w:t>&lt;NumAm&gt;</w:t>
      </w:r>
      <w:r>
        <w:t>55</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szorgalmazza a nők és lányok gazdasági szerepvállalásának, valamint a jövedelemhez, az oktatáshoz, az élelemhez és a biztonságos helyekhez való tartós hozzáférés biztosítását, és annak elismerését, hogy ezen alapvető tényezők hiánya jelentősen növeli a nemi alapú gazdasági erőszak, a kizsákmányolás és az olyan káros gyakorlatok kockázatát, mint a korai házasság, a szexuális kizsákmányolás és a nem biztonságos útvonalakon keresztüli migráció;</w:t>
            </w:r>
          </w:p>
        </w:tc>
      </w:tr>
    </w:tbl>
    <w:p>
      <w:r>
        <w:rPr>
          <w:rStyle w:val="HideTWBExt"/>
        </w:rPr>
        <w:t>&lt;/Amend&gt;</w:t>
      </w:r>
    </w:p>
    <w:p>
      <w:pPr>
        <w:pStyle w:val="AmNumberTabs"/>
      </w:pPr>
      <w:r>
        <w:rPr>
          <w:rStyle w:val="HideTWBExt"/>
        </w:rPr>
        <w:t>&lt;Amend&gt;</w:t>
      </w:r>
      <w:r>
        <w:t>Módosítás</w:t>
      </w:r>
      <w:r>
        <w:tab/>
      </w:r>
      <w:r>
        <w:tab/>
      </w:r>
      <w:r>
        <w:rPr>
          <w:rStyle w:val="HideTWBExt"/>
        </w:rPr>
        <w:t>&lt;NumAm&gt;</w:t>
      </w:r>
      <w:r>
        <w:t>56</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12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w:t>
            </w:r>
            <w:r>
              <w:tab/>
            </w:r>
            <w:r>
              <w:rPr>
                <w:b/>
                <w:i/>
              </w:rPr>
              <w:t>külön kiemeli az afganisztáni helyzetet, ahol súlyos és összetett humanitárius válsággal küzdenek, és több mint 23,7 millió embernek van szüksége segítségre; megjegyzi, hogy a helyzet valószínűleg tovább romlik a Pakisztánból és Iránból érkező menekültek kiutasítása és a folytonos regionális instabilitás miatt; üdvözli, hogy az EU 266 millió EUR összegű támogatást ígért, és célzott helyi intézkedésekre szólít fel a nők és lányok számára nyújtandó segítség érdekében;</w:t>
            </w:r>
          </w:p>
        </w:tc>
      </w:tr>
    </w:tbl>
    <w:p>
      <w:r>
        <w:rPr>
          <w:rStyle w:val="HideTWBExt"/>
        </w:rPr>
        <w:t>&lt;/Amend&gt;</w:t>
      </w:r>
    </w:p>
    <w:p>
      <w:pPr>
        <w:pStyle w:val="AmNumberTabs"/>
      </w:pPr>
      <w:r>
        <w:rPr>
          <w:rStyle w:val="HideTWBExt"/>
        </w:rPr>
        <w:t>&lt;Amend&gt;</w:t>
      </w:r>
      <w:r>
        <w:t>Módosítás</w:t>
      </w:r>
      <w:r>
        <w:tab/>
      </w:r>
      <w:r>
        <w:tab/>
      </w:r>
      <w:r>
        <w:rPr>
          <w:rStyle w:val="HideTWBExt"/>
        </w:rPr>
        <w:t>&lt;NumAm&gt;</w:t>
      </w:r>
      <w:r>
        <w:t>57</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felhívja a Bizottságot, hogy haladéktalanul terjesszen elő ambiciózus és integrált </w:t>
            </w:r>
            <w:r>
              <w:rPr>
                <w:b/>
                <w:i/>
              </w:rPr>
              <w:t>megközelítést</w:t>
            </w:r>
            <w:r>
              <w:t xml:space="preserve"> az instabilitásra vonatkozóan, és konzultáljon a Parlamenttel e </w:t>
            </w:r>
            <w:r>
              <w:rPr>
                <w:b/>
                <w:i/>
              </w:rPr>
              <w:t>megközelítés</w:t>
            </w:r>
            <w:r>
              <w:t xml:space="preserve"> előkészítéséről és végrehajtásáról;</w:t>
            </w:r>
          </w:p>
        </w:tc>
        <w:tc>
          <w:tcPr>
            <w:tcW w:w="4876" w:type="dxa"/>
            <w:tcBorders>
              <w:top w:val="nil"/>
              <w:left w:val="nil"/>
              <w:bottom w:val="nil"/>
              <w:right w:val="nil"/>
            </w:tcBorders>
          </w:tcPr>
          <w:p>
            <w:pPr>
              <w:pStyle w:val="Normal6a"/>
            </w:pPr>
            <w:r>
              <w:t>13.</w:t>
            </w:r>
            <w:r>
              <w:tab/>
            </w:r>
            <w:r>
              <w:t xml:space="preserve">felhívja a Bizottságot </w:t>
            </w:r>
            <w:r>
              <w:rPr>
                <w:b/>
                <w:i/>
              </w:rPr>
              <w:t>és az EKSZ-t</w:t>
            </w:r>
            <w:r>
              <w:t xml:space="preserve">, hogy haladéktalanul terjesszen elő ambiciózus és integrált </w:t>
            </w:r>
            <w:r>
              <w:rPr>
                <w:b/>
                <w:i/>
              </w:rPr>
              <w:t>stratégiát</w:t>
            </w:r>
            <w:r>
              <w:t xml:space="preserve"> az instabilitásra vonatkozóan, </w:t>
            </w:r>
            <w:r>
              <w:rPr>
                <w:b/>
                <w:i/>
              </w:rPr>
              <w:t>figyelembe véve a nemi dimenziót,</w:t>
            </w:r>
            <w:r>
              <w:t xml:space="preserve"> és konzultáljon a Parlamenttel e </w:t>
            </w:r>
            <w:r>
              <w:rPr>
                <w:b/>
                <w:i/>
              </w:rPr>
              <w:t>stratégia</w:t>
            </w:r>
            <w:r>
              <w:t xml:space="preserve"> előkészítéséről és végrehajtásáról;</w:t>
            </w:r>
            <w:r>
              <w:rPr>
                <w:b/>
                <w:i/>
              </w:rPr>
              <w:t xml:space="preserve"> kiemeli, hogy a humanitárius helyzetekben a nőket nem pusztán áldozatoknak, hanem a változás katalizátorainak kell tekinteni, akik aktívan előmozdítják a pozitív átalakulást és alakítják saját sorsukat; </w:t>
            </w:r>
            <w:r>
              <w:rPr>
                <w:b/>
                <w:i/>
              </w:rPr>
              <w:t>hangsúlyozza, hogy a befogadóbb, hatékonyabb és fenntarthatóbb válaszok biztosítása érdekében minden képességüket, tudásukat és kapacitásukat érdemben figyelembe kell venni és integrálni kell a humanitárius és a biztonságpolitika és a gyakorlatok reformjába;</w:t>
            </w:r>
          </w:p>
        </w:tc>
      </w:tr>
    </w:tbl>
    <w:p>
      <w:r>
        <w:rPr>
          <w:rStyle w:val="HideTWBExt"/>
        </w:rPr>
        <w:t>&lt;/Amend&gt;</w:t>
      </w:r>
    </w:p>
    <w:p>
      <w:pPr>
        <w:pStyle w:val="AmNumberTabs"/>
      </w:pPr>
      <w:r>
        <w:rPr>
          <w:rStyle w:val="HideTWBExt"/>
        </w:rPr>
        <w:t>&lt;Amend&gt;</w:t>
      </w:r>
      <w:r>
        <w:t>Módosítás</w:t>
      </w:r>
      <w:r>
        <w:tab/>
      </w:r>
      <w:r>
        <w:tab/>
      </w:r>
      <w:r>
        <w:rPr>
          <w:rStyle w:val="HideTWBExt"/>
        </w:rPr>
        <w:t>&lt;NumAm&gt;</w:t>
      </w:r>
      <w:r>
        <w:t>58</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a.</w:t>
            </w:r>
            <w:r>
              <w:tab/>
            </w:r>
            <w:r>
              <w:rPr>
                <w:b/>
                <w:i/>
              </w:rPr>
              <w:t>hangsúlyozza, hogy sürgősen be kell építeni a nemek közötti egyenlőség szempontját érvényesítő és inkluzív tervezést valamennyi humanitárius tervezésbe, különös tekintettel a nők és lányok, köztük a várandós nők és a marginalizált csoportok, például az LMBTIQ+-személyek, a fogyatékossággal élő személyek és az interszekcionális megkülönböztetéssel szembesülő személyek sajátos szükségleteire, és biztosítani kell érdemi részvételüket a humanitárius döntéshozatalban; hangsúlyozza, hogy a humanitárius reagálásnak kiemelten kell kezelnie a nők és más, válsághelyzetekben gyakran figyelmen kívül hagyott kiszolgáltatott csoportok biztonságát, méltóságát és a szolgáltatásokhoz való hozzáférését; e tekintetben úgy véli, hogy az életkor, nem és fogyatékosság szerint lebontott adatok gyűjtése kulcsfontosságú a hatékony humanitárius reagálás megtervezéséhez és értékeléséhez;</w:t>
            </w:r>
          </w:p>
        </w:tc>
      </w:tr>
    </w:tbl>
    <w:p>
      <w:r>
        <w:rPr>
          <w:rStyle w:val="HideTWBExt"/>
        </w:rPr>
        <w:t>&lt;/Amend&gt;</w:t>
      </w:r>
    </w:p>
    <w:p>
      <w:pPr>
        <w:pStyle w:val="AmNumberTabs"/>
      </w:pPr>
      <w:r>
        <w:rPr>
          <w:rStyle w:val="HideTWBExt"/>
        </w:rPr>
        <w:t>&lt;Amend&gt;</w:t>
      </w:r>
      <w:r>
        <w:t>Módosítás</w:t>
      </w:r>
      <w:r>
        <w:tab/>
      </w:r>
      <w:r>
        <w:tab/>
      </w:r>
      <w:r>
        <w:rPr>
          <w:rStyle w:val="HideTWBExt"/>
        </w:rPr>
        <w:t>&lt;NumAm&gt;</w:t>
      </w:r>
      <w:r>
        <w:t>59</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13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w:t>
            </w:r>
            <w:r>
              <w:tab/>
            </w:r>
            <w:r>
              <w:rPr>
                <w:b/>
                <w:i/>
              </w:rPr>
              <w:t>emlékeztet a Bizottságnak a humanitárius fellépésre vonatkozóan nem és kor alapján kialakított humanitárius mutatójára, és hangsúlyozza az azzal kapcsolatban adott iránymutatás fontosságát, hogy hogyan integrálják a nemi és életkori szempontokat a humanitárius fellépésekbe, valamint hogyan alkalmazzák a mutatót a humanitárius projektekre;</w:t>
            </w:r>
          </w:p>
        </w:tc>
      </w:tr>
    </w:tbl>
    <w:p>
      <w:r>
        <w:rPr>
          <w:rStyle w:val="HideTWBExt"/>
        </w:rPr>
        <w:t>&lt;/Amend&gt;</w:t>
      </w:r>
    </w:p>
    <w:p>
      <w:pPr>
        <w:pStyle w:val="AmNumberTabs"/>
      </w:pPr>
      <w:r>
        <w:rPr>
          <w:rStyle w:val="HideTWBExt"/>
        </w:rPr>
        <w:t>&lt;Amend&gt;</w:t>
      </w:r>
      <w:r>
        <w:t>Módosítás</w:t>
      </w:r>
      <w:r>
        <w:tab/>
      </w:r>
      <w:r>
        <w:tab/>
      </w:r>
      <w:r>
        <w:rPr>
          <w:rStyle w:val="HideTWBExt"/>
        </w:rPr>
        <w:t>&lt;NumAm&gt;</w:t>
      </w:r>
      <w:r>
        <w:t>60</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13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c.</w:t>
            </w:r>
            <w:r>
              <w:tab/>
            </w:r>
            <w:r>
              <w:rPr>
                <w:b/>
                <w:i/>
              </w:rPr>
              <w:t>hangsúlyozza annak fontosságát, hogy az EU folytassa a szakpolitikák és iránymutatások kidolgozását a humanitárius segítségnyújtás releváns területein, a tematikus politikái által az olyan területeken kifejtett hatásokra építve, mint a védelem, a nemek közötti egyenlőség, a fogyatékosság, az élelmiszer, a táplálkozás, az egészségügy – beleértve a mentális egészséget és a pszichoszociális támogatást –, a menedékhely, a víz, a szanitáció és a higiénia, a szükséghelyzetben lévők oktatása, a környezetvédelem és a segélyezés módjai; szorgalmazza a mentális egészségügyi támogatásába való nagyobb mértékű befektetést, beleértve a nők, lányok és LMBTIQ+-személyek humanitárius környezetben történő, traumával kapcsolatos tájékoztatáson alapuló ellátását, felismerve a fegyveres konfliktusok, a lakóhelyelhagyás és a nemi alapú erőszak hosszú távú pszichológiai következményeit;</w:t>
            </w:r>
          </w:p>
        </w:tc>
      </w:tr>
    </w:tbl>
    <w:p>
      <w:r>
        <w:rPr>
          <w:rStyle w:val="HideTWBExt"/>
        </w:rPr>
        <w:t>&lt;/Amend&gt;</w:t>
      </w:r>
    </w:p>
    <w:p>
      <w:pPr>
        <w:pStyle w:val="AmNumberTabs"/>
      </w:pPr>
      <w:r>
        <w:rPr>
          <w:rStyle w:val="HideTWBExt"/>
        </w:rPr>
        <w:t>&lt;Amend&gt;</w:t>
      </w:r>
      <w:r>
        <w:t>Módosítás</w:t>
      </w:r>
      <w:r>
        <w:tab/>
      </w:r>
      <w:r>
        <w:tab/>
      </w:r>
      <w:r>
        <w:rPr>
          <w:rStyle w:val="HideTWBExt"/>
        </w:rPr>
        <w:t>&lt;NumAm&gt;</w:t>
      </w:r>
      <w:r>
        <w:t>61</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13 d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d.</w:t>
            </w:r>
            <w:r>
              <w:tab/>
            </w:r>
            <w:r>
              <w:rPr>
                <w:b/>
                <w:i/>
              </w:rPr>
              <w:t>ösztönzi a Bizottságot, hogy adjon ki iránymutatásokat, amelyekben felszólít arra, hogy a szexuális és reproduktív egészségre vonatkozó minimális kezdeti szolgáltatási csomagban (MISP) felvázolt, a szexuális és reproduktív egészséggel kapcsolatos eszközök és szolgáltatások biztosítását és finanszírozását szisztematikusan építsék be a humanitárius válaszlépésekbe, beleértve a HIV/AIDS megelőzését, a reprodukciós egészséget, az anyák és az újszülöttek egészségét, a családtervezést, valamint a speciális táplálkozási igények és sebezhetőségek kezelését;</w:t>
            </w:r>
          </w:p>
        </w:tc>
      </w:tr>
    </w:tbl>
    <w:p>
      <w:r>
        <w:rPr>
          <w:rStyle w:val="HideTWBExt"/>
        </w:rPr>
        <w:t>&lt;/Amend&gt;</w:t>
      </w:r>
    </w:p>
    <w:p>
      <w:pPr>
        <w:pStyle w:val="AmNumberTabs"/>
      </w:pPr>
      <w:r>
        <w:rPr>
          <w:rStyle w:val="HideTWBExt"/>
        </w:rPr>
        <w:t>&lt;Amend&gt;</w:t>
      </w:r>
      <w:r>
        <w:t>Módosítás</w:t>
      </w:r>
      <w:r>
        <w:tab/>
      </w:r>
      <w:r>
        <w:tab/>
      </w:r>
      <w:r>
        <w:rPr>
          <w:rStyle w:val="HideTWBExt"/>
        </w:rPr>
        <w:t>&lt;NumAm&gt;</w:t>
      </w:r>
      <w:r>
        <w:t>62</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13 e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e.</w:t>
            </w:r>
            <w:r>
              <w:tab/>
            </w:r>
            <w:r>
              <w:rPr>
                <w:b/>
                <w:i/>
              </w:rPr>
              <w:t>felhívja a Bizottságot és az EKSZ-t, hogy továbbra is kezelje prioritásként a nemek közötti egyenlőség, valamint a nők jogainak és társadalmi szerepvállalásának előmozdítását, beleértve az 5. fenntartható fejlődési cél végrehajtását az EU valamennyi külső fellépési kezdeményezésében, többek között a diplomácia és a stratégiai partnerségek mozgósítása révén a nemek közötti egyenlőség globális politikai menetrendben való előmozdítása érdekében, és fogadja el a nemek közötti egyenlőségnek és a nők társadalmi szerepvállalásának a külső tevékenységekben való előmozdításáról szóló IV. cselekvési tervet;</w:t>
            </w:r>
          </w:p>
        </w:tc>
      </w:tr>
    </w:tbl>
    <w:p>
      <w:r>
        <w:rPr>
          <w:rStyle w:val="HideTWBExt"/>
        </w:rPr>
        <w:t>&lt;/Amend&gt;</w:t>
      </w:r>
    </w:p>
    <w:p>
      <w:pPr>
        <w:pStyle w:val="AmNumberTabs"/>
      </w:pPr>
      <w:r>
        <w:rPr>
          <w:rStyle w:val="HideTWBExt"/>
        </w:rPr>
        <w:t>&lt;Amend&gt;</w:t>
      </w:r>
      <w:r>
        <w:t>Módosítás</w:t>
      </w:r>
      <w:r>
        <w:tab/>
      </w:r>
      <w:r>
        <w:tab/>
      </w:r>
      <w:r>
        <w:rPr>
          <w:rStyle w:val="HideTWBExt"/>
        </w:rPr>
        <w:t>&lt;NumAm&gt;</w:t>
      </w:r>
      <w:r>
        <w:t>63</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felhívja az Uniót, hogy a helyi szervezetek támogatásával és a humanitárius programciklusban való teljes körű részvételük biztosításával mozdítsa elő a humanitárius segítségnyújtás, a fejlesztés és a béke közötti összefüggésrendszer kihasználását;</w:t>
            </w:r>
          </w:p>
        </w:tc>
        <w:tc>
          <w:tcPr>
            <w:tcW w:w="4876" w:type="dxa"/>
            <w:tcBorders>
              <w:top w:val="nil"/>
              <w:left w:val="nil"/>
              <w:bottom w:val="nil"/>
              <w:right w:val="nil"/>
            </w:tcBorders>
          </w:tcPr>
          <w:p>
            <w:pPr>
              <w:pStyle w:val="Normal6a"/>
            </w:pPr>
            <w:r>
              <w:t>14.</w:t>
            </w:r>
            <w:r>
              <w:tab/>
            </w:r>
            <w:r>
              <w:t>felhívja az Uniót, hogy a helyi szervezetek támogatásával és a humanitárius programciklusban való teljes körű részvételük biztosításával mozdítsa elő a humanitárius segítségnyújtás, a fejlesztés és a béke közötti összefüggésrendszer kihasználását;</w:t>
            </w:r>
            <w:r>
              <w:rPr>
                <w:b/>
                <w:i/>
              </w:rPr>
              <w:t xml:space="preserve"> felhívja a Bizottságot, hogy vonja be a nőket minden döntéshozatalba, különösen helyi szinten; felhívja a Bizottságot, hogy tartsa fenn a nők által vezetett és a nők jogaival foglalkozó helyi szervezetekkel meglévő partnerségeket, és amennyiben a változások elengedhetetlenek, biztosítsa az időben történő és átlátható kommunikációt a méltóságteljes, ártalomcsökkentő átmenetek és a szolgáltatások folytonosságának támogatása érdekében; határozottan ellenzi a humanitárius segítségnyújtás biztonsági vagy migráció-ellenőrzési célokra történő felhasználását, beleértve a határőrizet kiszervezését is; hangsúlyozza, hogy az ilyen gyakorlatok sértik a humanitárius fellépés alapelveit, és aránytalanul nagy mértékben sújtják a nőket, a lányokat, az LMBTIQ+-személyeket és a lakóhelyüket elhagyni kényszerült közösségeket; emlékeztet arra, hogy a védelemre szoruló menedékkérők és migránsok az EU külső határainak elérésekor vagy az előtt való visszafordítása és a megállításukra irányuló politikák aláássák az uniós szerződésekben rögzített uniós értékeket, és sértik a nemzetközi és európai humanitárius és emberi jogi jogszabályokat;</w:t>
            </w:r>
          </w:p>
        </w:tc>
      </w:tr>
    </w:tbl>
    <w:p>
      <w:r>
        <w:rPr>
          <w:rStyle w:val="HideTWBExt"/>
        </w:rPr>
        <w:t>&lt;/Amend&gt;</w:t>
      </w:r>
    </w:p>
    <w:p>
      <w:pPr>
        <w:pStyle w:val="AmNumberTabs"/>
      </w:pPr>
      <w:r>
        <w:rPr>
          <w:rStyle w:val="HideTWBExt"/>
        </w:rPr>
        <w:t>&lt;Amend&gt;</w:t>
      </w:r>
      <w:r>
        <w:t>Módosítás</w:t>
      </w:r>
      <w:r>
        <w:tab/>
      </w:r>
      <w:r>
        <w:tab/>
      </w:r>
      <w:r>
        <w:rPr>
          <w:rStyle w:val="HideTWBExt"/>
        </w:rPr>
        <w:t>&lt;NumAm&gt;</w:t>
      </w:r>
      <w:r>
        <w:t>64</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felszólítja a Bizottságot, hogy teljesítse azon kötelezettségvállalását, amely szerint 2027-ig humanitárius finanszírozásának legalább 25%-át a helyi szereplőkre fordítja;</w:t>
            </w:r>
          </w:p>
        </w:tc>
        <w:tc>
          <w:tcPr>
            <w:tcW w:w="4876" w:type="dxa"/>
            <w:tcBorders>
              <w:top w:val="nil"/>
              <w:left w:val="nil"/>
              <w:bottom w:val="nil"/>
              <w:right w:val="nil"/>
            </w:tcBorders>
          </w:tcPr>
          <w:p>
            <w:pPr>
              <w:pStyle w:val="Normal6a"/>
            </w:pPr>
            <w:r>
              <w:t>15.</w:t>
            </w:r>
            <w:r>
              <w:tab/>
            </w:r>
            <w:r>
              <w:t xml:space="preserve">felszólítja a Bizottságot, hogy teljesítse azon kötelezettségvállalását, amely szerint 2027-ig humanitárius finanszírozásának legalább 25%-át a </w:t>
            </w:r>
            <w:r>
              <w:rPr>
                <w:b/>
                <w:i/>
              </w:rPr>
              <w:t>lehető legközvetlenebb módon a</w:t>
            </w:r>
            <w:r>
              <w:t xml:space="preserve"> helyi szereplőkre fordítja</w:t>
            </w:r>
            <w:r>
              <w:rPr>
                <w:b/>
                <w:i/>
              </w:rPr>
              <w:t>, különös figyelemmel a helyi nőjogi szervezetekre;</w:t>
            </w:r>
            <w:r>
              <w:rPr>
                <w:b/>
                <w:i/>
              </w:rPr>
              <w:t xml:space="preserve"> </w:t>
            </w:r>
            <w:r>
              <w:rPr>
                <w:b/>
                <w:i/>
              </w:rPr>
              <w:t>felhívja a Bizottságot, hogy a „nagyszabású egyezségben” vállalt kötelezettségekkel összhangban segítse elő, egyszerűsítse és harmonizálja a helyi és nemzeti szereplők hozzáférését a forrásokhoz</w:t>
            </w:r>
            <w:r>
              <w:t>;</w:t>
            </w:r>
          </w:p>
        </w:tc>
      </w:tr>
    </w:tbl>
    <w:p>
      <w:r>
        <w:rPr>
          <w:rStyle w:val="HideTWBExt"/>
        </w:rPr>
        <w:t>&lt;/Amend&gt;</w:t>
      </w:r>
    </w:p>
    <w:p>
      <w:pPr>
        <w:pStyle w:val="AmNumberTabs"/>
      </w:pPr>
      <w:r>
        <w:rPr>
          <w:rStyle w:val="HideTWBExt"/>
        </w:rPr>
        <w:t>&lt;Amend&gt;</w:t>
      </w:r>
      <w:r>
        <w:t>Módosítás</w:t>
      </w:r>
      <w:r>
        <w:tab/>
      </w:r>
      <w:r>
        <w:tab/>
      </w:r>
      <w:r>
        <w:rPr>
          <w:rStyle w:val="HideTWBExt"/>
        </w:rPr>
        <w:t>&lt;NumAm&gt;</w:t>
      </w:r>
      <w:r>
        <w:t>65</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megjegyzi, hogy a jövőbeli humanitárius szükségletek megelőzésének vagy enyhítésének egyik hatékony módja, ha a válság kockázatának kitett helyzetekben még a humanitárius válság kialakulása előtt megelőző intézkedéseket alkalmazunk;</w:t>
            </w:r>
          </w:p>
        </w:tc>
        <w:tc>
          <w:tcPr>
            <w:tcW w:w="4876" w:type="dxa"/>
            <w:tcBorders>
              <w:top w:val="nil"/>
              <w:left w:val="nil"/>
              <w:bottom w:val="nil"/>
              <w:right w:val="nil"/>
            </w:tcBorders>
          </w:tcPr>
          <w:p>
            <w:pPr>
              <w:pStyle w:val="Normal6a"/>
            </w:pPr>
            <w:r>
              <w:t>16.</w:t>
            </w:r>
            <w:r>
              <w:tab/>
            </w:r>
            <w:r>
              <w:t xml:space="preserve">megjegyzi, hogy a jövőbeli humanitárius szükségletek megelőzésének vagy enyhítésének egyik hatékony módja, ha a válság kockázatának kitett helyzetekben még a humanitárius válság kialakulása előtt megelőző intézkedéseket alkalmazunk; </w:t>
            </w:r>
            <w:r>
              <w:rPr>
                <w:b/>
                <w:i/>
              </w:rPr>
              <w:t>hangsúlyozza, hogy az ilyen megelőző megközelítésnek szisztematikusan be kell építenie a nemi dimenziót, biztosítva, hogy a nők és lányok sajátos szükségleteit, képességeit és vezető szerepét figyelembe vegyék és támogassák;</w:t>
            </w:r>
          </w:p>
        </w:tc>
      </w:tr>
    </w:tbl>
    <w:p>
      <w:r>
        <w:rPr>
          <w:rStyle w:val="HideTWBExt"/>
        </w:rPr>
        <w:t>&lt;/Amend&gt;</w:t>
      </w:r>
    </w:p>
    <w:p>
      <w:pPr>
        <w:pStyle w:val="AmNumberTabs"/>
      </w:pPr>
      <w:r>
        <w:rPr>
          <w:rStyle w:val="HideTWBExt"/>
        </w:rPr>
        <w:t>&lt;Amend&gt;</w:t>
      </w:r>
      <w:r>
        <w:t>Módosítás</w:t>
      </w:r>
      <w:r>
        <w:tab/>
      </w:r>
      <w:r>
        <w:tab/>
      </w:r>
      <w:r>
        <w:rPr>
          <w:rStyle w:val="HideTWBExt"/>
        </w:rPr>
        <w:t>&lt;NumAm&gt;</w:t>
      </w:r>
      <w:r>
        <w:t>66</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16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felszólít a biztonságos menedékhelyek, védett területek és pszichológiai támogatás biztosítására – megfelelő és fenntartható erőforrásokkal – a humanitárius helyzetekben erőszak áldozatává vált nők és lányok számára;</w:t>
            </w:r>
          </w:p>
        </w:tc>
      </w:tr>
    </w:tbl>
    <w:p>
      <w:r>
        <w:rPr>
          <w:rStyle w:val="HideTWBExt"/>
        </w:rPr>
        <w:t>&lt;/Amend&gt;</w:t>
      </w:r>
    </w:p>
    <w:p>
      <w:pPr>
        <w:pStyle w:val="AmNumberTabs"/>
      </w:pPr>
      <w:r>
        <w:rPr>
          <w:rStyle w:val="HideTWBExt"/>
        </w:rPr>
        <w:t>&lt;Amend&gt;</w:t>
      </w:r>
      <w:r>
        <w:t>Módosítás</w:t>
      </w:r>
      <w:r>
        <w:tab/>
      </w:r>
      <w:r>
        <w:tab/>
      </w:r>
      <w:r>
        <w:rPr>
          <w:rStyle w:val="HideTWBExt"/>
        </w:rPr>
        <w:t>&lt;NumAm&gt;</w:t>
      </w:r>
      <w:r>
        <w:t>67</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arra ösztönzi a tagállamokat, hogy jelentős mértékben fokozzák a helyi irányítású és integrált megelőző intézkedésekre irányuló beruházásaikat;</w:t>
            </w:r>
          </w:p>
        </w:tc>
        <w:tc>
          <w:tcPr>
            <w:tcW w:w="4876" w:type="dxa"/>
            <w:tcBorders>
              <w:top w:val="nil"/>
              <w:left w:val="nil"/>
              <w:bottom w:val="nil"/>
              <w:right w:val="nil"/>
            </w:tcBorders>
          </w:tcPr>
          <w:p>
            <w:pPr>
              <w:pStyle w:val="Normal6a"/>
            </w:pPr>
            <w:r>
              <w:t>18.</w:t>
            </w:r>
            <w:r>
              <w:tab/>
            </w:r>
            <w:r>
              <w:rPr>
                <w:b/>
                <w:i/>
              </w:rPr>
              <w:t xml:space="preserve">felhívja az EU-t, hogy dolgozza ki a nemek közötti egyenlőség szempontját érvényesítő humanitárius fellépést a humanitárius segítségnyújtás, a fejlesztés és a béke közötti kapcsolatokhoz való igazodás érdekében, a rövid távú segítségnyújtáson túl a jövőbeli válságokkal szembeni közösségi rezilienciába való hosszú távú beruházás felé mozdulva el, bevonva a különböző nemű embereket a reagálási tervek kidolgozásába, valamint jobban figyelembe véve és kezelve a kiváltó okokat; emlékeztet arra, hogy az Uniónak foglalkoznia kell a humanitárius és a fejlesztési törekvések összekapcsolásával, hogy reagáljon a válságnak és a konfliktusoknak a legkiszolgáltatottabb diákokra, például a lányokra és a fiatal nőkre gyakorolt hatására; </w:t>
            </w:r>
            <w:r>
              <w:t>arra ösztönzi a tagállamokat, hogy jelentős mértékben fokozzák a helyi irányítású és integrált megelőző intézkedésekre irányuló beruházásaikat;</w:t>
            </w:r>
            <w:r>
              <w:rPr>
                <w:b/>
                <w:i/>
              </w:rPr>
              <w:t xml:space="preserve"> emlékeztet arra, hogy a humanitárius segítségnyújtásba való mostani beruházással elkerülhetők a jövőbeli humanitárius válságok és a nagyobb finanszírozási igények; felhívja a Bizottságot, hogy nyújtson be konkrétabb javaslatokat a nemek közötti egyenlőséggel kapcsolatos tevékenységek konkrét kiadásaira, programjaira, nyomon követésére és értékelésére vonatkozóan a humanitárius válságok során; emlékeztet arra, hogy az információkhoz, szolgáltatásokhoz és humanitárius segítségnyújtáshoz való hozzáférés kulcsfontosságú a válságok által érintett valamennyi személy számára inkluzív és hatékony válasz biztosításához, különösen a kiszolgáltatott helyzetben lévő csoportok, például a fogyatékossággal élő személyek, a gyermekek és az idősek számára;</w:t>
            </w:r>
          </w:p>
        </w:tc>
      </w:tr>
    </w:tbl>
    <w:p>
      <w:r>
        <w:rPr>
          <w:rStyle w:val="HideTWBExt"/>
        </w:rPr>
        <w:t>&lt;/Amend&gt;</w:t>
      </w:r>
    </w:p>
    <w:p>
      <w:pPr>
        <w:pStyle w:val="AmNumberTabs"/>
      </w:pPr>
      <w:r>
        <w:rPr>
          <w:rStyle w:val="HideTWBExt"/>
        </w:rPr>
        <w:t>&lt;Amend&gt;</w:t>
      </w:r>
      <w:r>
        <w:t>Módosítás</w:t>
      </w:r>
      <w:r>
        <w:tab/>
      </w:r>
      <w:r>
        <w:tab/>
      </w:r>
      <w:r>
        <w:rPr>
          <w:rStyle w:val="HideTWBExt"/>
        </w:rPr>
        <w:t>&lt;NumAm&gt;</w:t>
      </w:r>
      <w:r>
        <w:t>68</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18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a.</w:t>
            </w:r>
            <w:r>
              <w:tab/>
            </w:r>
            <w:r>
              <w:rPr>
                <w:b/>
                <w:i/>
              </w:rPr>
              <w:t>megerősíti, hogy az Unió globális egészségügyi stratégiája a betegségek kiváltó okainak kezelésére összpontosít, különös hangsúlyt fektetve a nők, a gyermekek és a fiatalok szükségleteire és jogaira, beleértve a szexuális és reproduktív egészséghez és jogokhoz való egyetemes hozzáférést; ismételten hangsúlyozza, hogy a nők egészségügyi ellátáshoz és pszichoszociális támogatáshoz való hozzáférésének biztosítása a segélyezési és helyreállítási erőfeszítések kulcsfontosságú eleme, és a humanitárius segítségnyújtás, a fejlesztés és a béke közötti kapcsolaton belül prioritást élvez;</w:t>
            </w:r>
          </w:p>
        </w:tc>
      </w:tr>
    </w:tbl>
    <w:p>
      <w:r>
        <w:rPr>
          <w:rStyle w:val="HideTWBExt"/>
        </w:rPr>
        <w:t>&lt;/Amend&gt;</w:t>
      </w:r>
    </w:p>
    <w:p>
      <w:pPr>
        <w:pStyle w:val="AmNumberTabs"/>
      </w:pPr>
      <w:r>
        <w:rPr>
          <w:rStyle w:val="HideTWBExt"/>
        </w:rPr>
        <w:t>&lt;Amend&gt;</w:t>
      </w:r>
      <w:r>
        <w:t>Módosítás</w:t>
      </w:r>
      <w:r>
        <w:tab/>
      </w:r>
      <w:r>
        <w:tab/>
      </w:r>
      <w:r>
        <w:rPr>
          <w:rStyle w:val="HideTWBExt"/>
        </w:rPr>
        <w:t>&lt;NumAm&gt;</w:t>
      </w:r>
      <w:r>
        <w:t>69</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18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w:t>
            </w:r>
            <w:r>
              <w:tab/>
            </w:r>
            <w:r>
              <w:rPr>
                <w:b/>
                <w:i/>
              </w:rPr>
              <w:t>hangsúlyozza annak fontosságát, hogy elősegítsék a válság által sújtott nők bevonását az őket magukat, családtagjaikat és tágabb közösségeiket érintő válságelhárítási és helyreállítási tervek kidolgozásába;</w:t>
            </w:r>
          </w:p>
        </w:tc>
      </w:tr>
    </w:tbl>
    <w:p>
      <w:r>
        <w:rPr>
          <w:rStyle w:val="HideTWBExt"/>
        </w:rPr>
        <w:t>&lt;/Amend&gt;</w:t>
      </w:r>
    </w:p>
    <w:p>
      <w:pPr>
        <w:pStyle w:val="AmNumberTabs"/>
      </w:pPr>
      <w:r>
        <w:rPr>
          <w:rStyle w:val="HideTWBExt"/>
        </w:rPr>
        <w:t>&lt;Amend&gt;</w:t>
      </w:r>
      <w:r>
        <w:t>Módosítás</w:t>
      </w:r>
      <w:r>
        <w:tab/>
      </w:r>
      <w:r>
        <w:tab/>
      </w:r>
      <w:r>
        <w:rPr>
          <w:rStyle w:val="HideTWBExt"/>
        </w:rPr>
        <w:t>&lt;NumAm&gt;</w:t>
      </w:r>
      <w:r>
        <w:t>70</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18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c.</w:t>
            </w:r>
            <w:r>
              <w:tab/>
            </w:r>
            <w:r>
              <w:rPr>
                <w:b/>
                <w:i/>
              </w:rPr>
              <w:t>üdvözli a nemek közötti egyenlőségre vonatkozó III. cselekvési tervnek a szexuális és nemi alapú erőszakkal kapcsolatos felkészültség, megelőzés és válaszlépés támogatására irányuló humanitárius segítségnyújtásról szóló rendelkezését;</w:t>
            </w:r>
          </w:p>
        </w:tc>
      </w:tr>
    </w:tbl>
    <w:p>
      <w:r>
        <w:rPr>
          <w:rStyle w:val="HideTWBExt"/>
        </w:rPr>
        <w:t>&lt;/Amend&gt;</w:t>
      </w:r>
    </w:p>
    <w:p>
      <w:pPr>
        <w:pStyle w:val="AmNumberTabs"/>
      </w:pPr>
      <w:r>
        <w:rPr>
          <w:rStyle w:val="HideTWBExt"/>
        </w:rPr>
        <w:t>&lt;Amend&gt;</w:t>
      </w:r>
      <w:r>
        <w:t>Módosítás</w:t>
      </w:r>
      <w:r>
        <w:tab/>
      </w:r>
      <w:r>
        <w:tab/>
      </w:r>
      <w:r>
        <w:rPr>
          <w:rStyle w:val="HideTWBExt"/>
        </w:rPr>
        <w:t>&lt;NumAm&gt;</w:t>
      </w:r>
      <w:r>
        <w:t>71</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18 d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d.</w:t>
            </w:r>
            <w:r>
              <w:tab/>
            </w:r>
            <w:r>
              <w:rPr>
                <w:b/>
                <w:i/>
              </w:rPr>
              <w:t>követeli továbbá, hogy a humanitárius válságok által érintett gyermekek biztonságosan részt vehessenek az oktatásban, többek között az ideiglenes iskoláknak és táplálkozási programoknak nyújtott támogatás, valamint pszichológiai támogatás révén;</w:t>
            </w:r>
          </w:p>
        </w:tc>
      </w:tr>
    </w:tbl>
    <w:p>
      <w:r>
        <w:rPr>
          <w:rStyle w:val="HideTWBExt"/>
        </w:rPr>
        <w:t>&lt;/Amend&gt;</w:t>
      </w:r>
    </w:p>
    <w:p>
      <w:pPr>
        <w:pStyle w:val="AmNumberTabs"/>
      </w:pPr>
      <w:r>
        <w:rPr>
          <w:rStyle w:val="HideTWBExt"/>
        </w:rPr>
        <w:t>&lt;Amend&gt;</w:t>
      </w:r>
      <w:r>
        <w:t>Módosítás</w:t>
      </w:r>
      <w:r>
        <w:tab/>
      </w:r>
      <w:r>
        <w:tab/>
      </w:r>
      <w:r>
        <w:rPr>
          <w:rStyle w:val="HideTWBExt"/>
        </w:rPr>
        <w:t>&lt;NumAm&gt;</w:t>
      </w:r>
      <w:r>
        <w:t>72</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18 e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e.</w:t>
            </w:r>
            <w:r>
              <w:tab/>
            </w:r>
            <w:r>
              <w:rPr>
                <w:b/>
                <w:i/>
              </w:rPr>
              <w:t>felhívja a Bizottságot, hogy humanitárius válságokra adott válasza a menstruációs higiéniai csomagok hozzáférhetőségét minden szükséghelyzeti válaszlépésének alapvető elemeként tartalmazza;</w:t>
            </w:r>
          </w:p>
        </w:tc>
      </w:tr>
    </w:tbl>
    <w:p>
      <w:r>
        <w:rPr>
          <w:rStyle w:val="HideTWBExt"/>
        </w:rPr>
        <w:t>&lt;/Amend&gt;</w:t>
      </w:r>
    </w:p>
    <w:p>
      <w:pPr>
        <w:pStyle w:val="AmNumberTabs"/>
      </w:pPr>
      <w:r>
        <w:rPr>
          <w:rStyle w:val="HideTWBExt"/>
        </w:rPr>
        <w:t>&lt;Amend&gt;</w:t>
      </w:r>
      <w:r>
        <w:t>Módosítás</w:t>
      </w:r>
      <w:r>
        <w:tab/>
      </w:r>
      <w:r>
        <w:tab/>
      </w:r>
      <w:r>
        <w:rPr>
          <w:rStyle w:val="HideTWBExt"/>
        </w:rPr>
        <w:t>&lt;NumAm&gt;</w:t>
      </w:r>
      <w:r>
        <w:t>73</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üdvözli az ENSZ Biztonsági Tanácsa 2000-ben elfogadott, 1325. számú határozata, valamint a nőkkel, a békével és a biztonsággal kapcsolatos menetrend végrehajtása terén elért eredményeket, ezek ugyanis elengedhetetlenek annak biztosításához, hogy a nők és lányok jogait mindenkor tiszteletben tartsák;</w:t>
            </w:r>
          </w:p>
        </w:tc>
        <w:tc>
          <w:tcPr>
            <w:tcW w:w="4876" w:type="dxa"/>
            <w:tcBorders>
              <w:top w:val="nil"/>
              <w:left w:val="nil"/>
              <w:bottom w:val="nil"/>
              <w:right w:val="nil"/>
            </w:tcBorders>
          </w:tcPr>
          <w:p>
            <w:pPr>
              <w:pStyle w:val="Normal6a"/>
            </w:pPr>
            <w:r>
              <w:t>19.</w:t>
            </w:r>
            <w:r>
              <w:tab/>
            </w:r>
            <w:r>
              <w:t>üdvözli az ENSZ Biztonsági Tanácsa 2000-ben elfogadott, 1325. számú határozata, valamint a nőkkel, a békével és a biztonsággal kapcsolatos menetrend végrehajtása terén elért eredményeket, ezek ugyanis elengedhetetlenek annak biztosításához, hogy a nők és lányok jogait mindenkor tiszteletben tartsák;</w:t>
            </w:r>
            <w:r>
              <w:rPr>
                <w:b/>
                <w:i/>
              </w:rPr>
              <w:t xml:space="preserve"> hangsúlyozza azonban, hogy a nemi alapú és szexuális erőszak továbbra is olyan pusztító jelenség, amelyet gyakran használnak háborús fegyverként a konfliktusokban, miközben a nők és lányok szenvedik el leginkább a fegyveres konfliktusok és a globális felmelegedés következményeit;</w:t>
            </w:r>
          </w:p>
        </w:tc>
      </w:tr>
    </w:tbl>
    <w:p>
      <w:r>
        <w:rPr>
          <w:rStyle w:val="HideTWBExt"/>
        </w:rPr>
        <w:t>&lt;/Amend&gt;</w:t>
      </w:r>
    </w:p>
    <w:p>
      <w:pPr>
        <w:pStyle w:val="AmNumberTabs"/>
      </w:pPr>
      <w:r>
        <w:rPr>
          <w:rStyle w:val="HideTWBExt"/>
        </w:rPr>
        <w:t>&lt;Amend&gt;</w:t>
      </w:r>
      <w:r>
        <w:t>Módosítás</w:t>
      </w:r>
      <w:r>
        <w:tab/>
      </w:r>
      <w:r>
        <w:tab/>
      </w:r>
      <w:r>
        <w:rPr>
          <w:rStyle w:val="HideTWBExt"/>
        </w:rPr>
        <w:t>&lt;NumAm&gt;</w:t>
      </w:r>
      <w:r>
        <w:t>74</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19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 xml:space="preserve">felhívja az EU-t és a tagállamokat, hogy kezeljék prioritásként a nőkkel, a békével és a biztonsággal kapcsolatos menetrend végrehajtását; </w:t>
            </w:r>
            <w:r>
              <w:t>kiemeli annak fontosságát, hogy megújítsák a nőkre, a békére és a biztonságra vonatkozó uniós cselekvési tervet, és világszerte nyíltan kezeljék az e menetrend elleni esetleges visszalépéseket</w:t>
            </w:r>
            <w:r>
              <w:rPr>
                <w:vertAlign w:val="superscript"/>
              </w:rPr>
              <w:t>1a</w:t>
            </w:r>
            <w:r>
              <w:t>, ugyanakkor kezeljék prioritásként, hogy a konfliktusok által érintett összes nő számára biztosított legyen az alapvető szexuális és reproduktív egészségügyi szolgáltatásokhoz való hozzáférés, valamint hogy a szexuális és reproduktív egészség és jogok megsértése esetén a nemzetközi emberi jogi normákkal és ajánlásokkal összhangban garantálják az elszámoltathatóságot és a jóvátételt;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https://www.europarl.europa.eu/RegData/etudes/BRIE/2025/769691/IUST_BRI(2025)769691_EN.pdf.</w:t>
            </w:r>
          </w:p>
        </w:tc>
      </w:tr>
    </w:tbl>
    <w:p>
      <w:r>
        <w:rPr>
          <w:rStyle w:val="HideTWBExt"/>
        </w:rPr>
        <w:t>&lt;/Amend&gt;</w:t>
      </w:r>
    </w:p>
    <w:p>
      <w:pPr>
        <w:pStyle w:val="AmNumberTabs"/>
      </w:pPr>
      <w:r>
        <w:rPr>
          <w:rStyle w:val="HideTWBExt"/>
        </w:rPr>
        <w:t>&lt;Amend&gt;</w:t>
      </w:r>
      <w:r>
        <w:t>Módosítás</w:t>
      </w:r>
      <w:r>
        <w:tab/>
      </w:r>
      <w:r>
        <w:tab/>
      </w:r>
      <w:r>
        <w:rPr>
          <w:rStyle w:val="HideTWBExt"/>
        </w:rPr>
        <w:t>&lt;NumAm&gt;</w:t>
      </w:r>
      <w:r>
        <w:t>75</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19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w:t>
            </w:r>
            <w:r>
              <w:tab/>
            </w:r>
            <w:r>
              <w:rPr>
                <w:b/>
                <w:i/>
              </w:rPr>
              <w:t>felhívja a Bizottságot, az EKSZ-t és a tagállamokat, hogy fokozzák erőfeszítéseiket annak érdekében, hogy a konfliktusmegelőzésre, a közvetítésre és a békeépítésre vonatkozó stratégiákban figyelembe vegyék a nők és lányok sajátos szükségleteit és hozzájárulásait;</w:t>
            </w:r>
          </w:p>
        </w:tc>
      </w:tr>
    </w:tbl>
    <w:p>
      <w:r>
        <w:rPr>
          <w:rStyle w:val="HideTWBExt"/>
        </w:rPr>
        <w:t>&lt;/Amend&gt;</w:t>
      </w:r>
    </w:p>
    <w:p>
      <w:pPr>
        <w:pStyle w:val="AmNumberTabs"/>
      </w:pPr>
      <w:r>
        <w:rPr>
          <w:rStyle w:val="HideTWBExt"/>
        </w:rPr>
        <w:t>&lt;Amend&gt;</w:t>
      </w:r>
      <w:r>
        <w:t>Módosítás</w:t>
      </w:r>
      <w:r>
        <w:tab/>
      </w:r>
      <w:r>
        <w:tab/>
      </w:r>
      <w:r>
        <w:rPr>
          <w:rStyle w:val="HideTWBExt"/>
        </w:rPr>
        <w:t>&lt;NumAm&gt;</w:t>
      </w:r>
      <w:r>
        <w:t>76</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19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c.</w:t>
            </w:r>
            <w:r>
              <w:tab/>
            </w:r>
            <w:r>
              <w:rPr>
                <w:b/>
                <w:i/>
              </w:rPr>
              <w:t>felhívja a Bizottságot, hogy fokozza erőfeszítéseit annak biztosítása érdekében, hogy az EU által finanszírozott humanitárius segítségnyújtás megfelelően foglalkozzon a nők, lányok, férfiak és fiúk szükségleteivel, és biztosítsa, hogy az EU továbbra is erősítse a nemek közötti egyenlőség általános érvényesítését, növelje a nemek közötti egyenlőség szempontját érvényesítő intézkedéseket és biztosítsa a nemek közötti egyenlőség szempontját figyelembe vevő felülvizsgálati folyamatot az összes Global Gateway és Team Europe kezdeményezés esetében;</w:t>
            </w:r>
          </w:p>
        </w:tc>
      </w:tr>
    </w:tbl>
    <w:p>
      <w:r>
        <w:rPr>
          <w:rStyle w:val="HideTWBExt"/>
        </w:rPr>
        <w:t>&lt;/Amend&gt;</w:t>
      </w:r>
    </w:p>
    <w:p>
      <w:pPr>
        <w:pStyle w:val="AmNumberTabs"/>
      </w:pPr>
      <w:r>
        <w:rPr>
          <w:rStyle w:val="HideTWBExt"/>
        </w:rPr>
        <w:t>&lt;Amend&gt;</w:t>
      </w:r>
      <w:r>
        <w:t>Módosítás</w:t>
      </w:r>
      <w:r>
        <w:tab/>
      </w:r>
      <w:r>
        <w:tab/>
      </w:r>
      <w:r>
        <w:rPr>
          <w:rStyle w:val="HideTWBExt"/>
        </w:rPr>
        <w:t>&lt;NumAm&gt;</w:t>
      </w:r>
      <w:r>
        <w:t>77</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19 d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d.</w:t>
            </w:r>
            <w:r>
              <w:tab/>
            </w:r>
            <w:r>
              <w:rPr>
                <w:b/>
                <w:i/>
              </w:rPr>
              <w:t>felhívja az EU-t és az összes uniós tagállamot, hogy csatlakozzanak a nőkkel, a békével és a biztonsággal kapcsolatos humanitárius fellépésre vonatkozó megállapodáshoz (WPS–Humanitarian Action Compact) és számoljanak be a megállapodás keretében a hosszú távú stabilitás és béke megteremtésére irányuló együttműködési és koherens megközelítés részeként tett kötelezettségvállalásokról;</w:t>
            </w:r>
          </w:p>
        </w:tc>
      </w:tr>
    </w:tbl>
    <w:p>
      <w:r>
        <w:rPr>
          <w:rStyle w:val="HideTWBExt"/>
        </w:rPr>
        <w:t>&lt;/Amend&gt;</w:t>
      </w:r>
    </w:p>
    <w:p>
      <w:pPr>
        <w:pStyle w:val="AmNumberTabs"/>
      </w:pPr>
      <w:r>
        <w:rPr>
          <w:rStyle w:val="HideTWBExt"/>
        </w:rPr>
        <w:t>&lt;Amend&gt;</w:t>
      </w:r>
      <w:r>
        <w:t>Módosítás</w:t>
      </w:r>
      <w:r>
        <w:tab/>
      </w:r>
      <w:r>
        <w:tab/>
      </w:r>
      <w:r>
        <w:rPr>
          <w:rStyle w:val="HideTWBExt"/>
        </w:rPr>
        <w:t>&lt;NumAm&gt;</w:t>
      </w:r>
      <w:r>
        <w:t>78</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felhívja a fegyveres konfliktusokban részt vevő valamennyi felet, hogy hozzanak intézkedéseket annak érdekében, hogy egyrészt fegyveres konfliktus esetén megvédjék a nőket és lányokat a szexuális és nemi alapú erőszakkal, valamint az erőszak minden egyéb formájával szemben, másrészt </w:t>
            </w:r>
            <w:r>
              <w:rPr>
                <w:b/>
                <w:i/>
              </w:rPr>
              <w:t>előmozdítsák</w:t>
            </w:r>
            <w:r>
              <w:t xml:space="preserve"> a nők és lányok szexuális és reproduktív egészségét és jogait;</w:t>
            </w:r>
          </w:p>
        </w:tc>
        <w:tc>
          <w:tcPr>
            <w:tcW w:w="4876" w:type="dxa"/>
            <w:tcBorders>
              <w:top w:val="nil"/>
              <w:left w:val="nil"/>
              <w:bottom w:val="nil"/>
              <w:right w:val="nil"/>
            </w:tcBorders>
          </w:tcPr>
          <w:p>
            <w:pPr>
              <w:pStyle w:val="Normal6a"/>
            </w:pPr>
            <w:r>
              <w:t>20.</w:t>
            </w:r>
            <w:r>
              <w:tab/>
            </w:r>
            <w:r>
              <w:t xml:space="preserve">felhívja a fegyveres konfliktusokban részt vevő valamennyi felet, hogy </w:t>
            </w:r>
            <w:r>
              <w:rPr>
                <w:b/>
                <w:i/>
              </w:rPr>
              <w:t>a humanitárius segítségnyújtás minden aspektusába építsenek be védelmi stratégiákat, és</w:t>
            </w:r>
            <w:r>
              <w:t xml:space="preserve"> hozzanak intézkedéseket annak érdekében, hogy egyrészt fegyveres konfliktus esetén megvédjék a nőket és lányokat a szexuális és nemi alapú erőszakkal, valamint az erőszak minden egyéb formájával</w:t>
            </w:r>
            <w:r>
              <w:rPr>
                <w:b/>
                <w:i/>
              </w:rPr>
              <w:t>, a szegénységgel és a kényszerű lakóhelyelhagyással</w:t>
            </w:r>
            <w:r>
              <w:t xml:space="preserve"> szemben, </w:t>
            </w:r>
            <w:r>
              <w:rPr>
                <w:b/>
                <w:i/>
              </w:rPr>
              <w:t>beleértve a humanitárius válságokkal összefüggésben a korai házasságokat és a serdülőkori terhességeket is , amelyek zavart okoznak az oktatásban, és súlyosbítják a többdimenziós szegénységet,</w:t>
            </w:r>
            <w:r>
              <w:t xml:space="preserve"> másrészt </w:t>
            </w:r>
            <w:r>
              <w:rPr>
                <w:b/>
                <w:i/>
              </w:rPr>
              <w:t>mozdítsák elő</w:t>
            </w:r>
            <w:r>
              <w:t xml:space="preserve"> a nők és lányok szexuális és reproduktív egészségét és jogait</w:t>
            </w:r>
            <w:r>
              <w:rPr>
                <w:b/>
                <w:i/>
              </w:rPr>
              <w:t>, különösen azon ukrán nők esetében, akik a szexuális és reproduktív egészséggel és jogokkal kapcsolatos korlátozóbb politikákkal rendelkező országokba menekülnek, és akik biztonságos és legális abortuszt érdemelnek, miután háborús cselekményként szexuális erőszak áldozatává váltak;</w:t>
            </w:r>
            <w:r>
              <w:rPr>
                <w:b/>
                <w:i/>
              </w:rPr>
              <w:t xml:space="preserve"> </w:t>
            </w:r>
            <w:r>
              <w:rPr>
                <w:b/>
                <w:i/>
              </w:rPr>
              <w:t>elismeri, hogy az ilyen erőszak gyakran fokozódik a konfliktusok során, és szisztematikusan háborús fegyverként használható fel</w:t>
            </w:r>
            <w:r>
              <w:t>;</w:t>
            </w:r>
          </w:p>
        </w:tc>
      </w:tr>
    </w:tbl>
    <w:p>
      <w:r>
        <w:rPr>
          <w:rStyle w:val="HideTWBExt"/>
        </w:rPr>
        <w:t>&lt;/Amend&gt;</w:t>
      </w:r>
    </w:p>
    <w:p>
      <w:pPr>
        <w:pStyle w:val="AmNumberTabs"/>
      </w:pPr>
      <w:r>
        <w:rPr>
          <w:rStyle w:val="HideTWBExt"/>
        </w:rPr>
        <w:t>&lt;Amend&gt;</w:t>
      </w:r>
      <w:r>
        <w:t>Módosítás</w:t>
      </w:r>
      <w:r>
        <w:tab/>
      </w:r>
      <w:r>
        <w:tab/>
      </w:r>
      <w:r>
        <w:rPr>
          <w:rStyle w:val="HideTWBExt"/>
        </w:rPr>
        <w:t>&lt;NumAm&gt;</w:t>
      </w:r>
      <w:r>
        <w:t>79</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20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emlékeztet arra, hogy a nők részvételével elért békemegállapodások nagyobb eséllyel lesznek tartósak és hatékonyak; felhívja a Bizottságot, hogy a humanitárius és konfliktus utáni helyzetekben vonja be a nőket a döntéshozatal minden szakaszába;</w:t>
            </w:r>
          </w:p>
        </w:tc>
      </w:tr>
    </w:tbl>
    <w:p>
      <w:r>
        <w:rPr>
          <w:rStyle w:val="HideTWBExt"/>
        </w:rPr>
        <w:t>&lt;/Amend&gt;</w:t>
      </w:r>
    </w:p>
    <w:p>
      <w:pPr>
        <w:pStyle w:val="AmNumberTabs"/>
      </w:pPr>
      <w:r>
        <w:rPr>
          <w:rStyle w:val="HideTWBExt"/>
        </w:rPr>
        <w:t>&lt;Amend&gt;</w:t>
      </w:r>
      <w:r>
        <w:t>Módosítás</w:t>
      </w:r>
      <w:r>
        <w:tab/>
      </w:r>
      <w:r>
        <w:tab/>
      </w:r>
      <w:r>
        <w:rPr>
          <w:rStyle w:val="HideTWBExt"/>
        </w:rPr>
        <w:t>&lt;NumAm&gt;</w:t>
      </w:r>
      <w:r>
        <w:t>80</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kiemeli, hogy a nők kulcsfontosságú szerepet játszanak a humanitárius helyzetekben; sajnálatát fejezi ki amiatt, hogy a külföldi segélyek közelmúltbeli csökkentései a nők által vezetett helyi szervezeteket érintik a legsúlyosabban, és szorgalmazza a velük való </w:t>
            </w:r>
            <w:r>
              <w:rPr>
                <w:b/>
                <w:i/>
              </w:rPr>
              <w:t>jobb</w:t>
            </w:r>
            <w:r>
              <w:t xml:space="preserve"> együttműködést a humanitárius programozásban</w:t>
            </w:r>
            <w:r>
              <w:rPr>
                <w:vertAlign w:val="superscript"/>
              </w:rPr>
              <w:t>7</w:t>
            </w:r>
            <w:r>
              <w:t xml:space="preserve"> ;</w:t>
            </w:r>
          </w:p>
        </w:tc>
        <w:tc>
          <w:tcPr>
            <w:tcW w:w="4876" w:type="dxa"/>
            <w:tcBorders>
              <w:top w:val="nil"/>
              <w:left w:val="nil"/>
              <w:bottom w:val="nil"/>
              <w:right w:val="nil"/>
            </w:tcBorders>
          </w:tcPr>
          <w:p>
            <w:pPr>
              <w:pStyle w:val="Normal6a"/>
            </w:pPr>
            <w:r>
              <w:t>21.</w:t>
            </w:r>
            <w:r>
              <w:tab/>
            </w:r>
            <w:r>
              <w:t xml:space="preserve">kiemeli, hogy a nők </w:t>
            </w:r>
            <w:r>
              <w:rPr>
                <w:b/>
                <w:i/>
              </w:rPr>
              <w:t>első vonalbeli reagálókként</w:t>
            </w:r>
            <w:r>
              <w:t xml:space="preserve"> kulcsfontosságú szerepet játszanak a humanitárius helyzetekben; sajnálatát fejezi ki amiatt, hogy a külföldi segélyek közelmúltbeli csökkentései a nők által vezetett helyi szervezeteket </w:t>
            </w:r>
            <w:r>
              <w:rPr>
                <w:b/>
                <w:i/>
              </w:rPr>
              <w:t>és az LMBTIQ+-szervezeteket</w:t>
            </w:r>
            <w:r>
              <w:t xml:space="preserve"> érintik a legsúlyosabban, és szorgalmazza a velük való </w:t>
            </w:r>
            <w:r>
              <w:rPr>
                <w:b/>
                <w:i/>
              </w:rPr>
              <w:t>teljes körű, egyenrangú és érdemi</w:t>
            </w:r>
            <w:r>
              <w:t xml:space="preserve"> együttműködést a humanitárius programozásban</w:t>
            </w:r>
            <w:r>
              <w:rPr>
                <w:vertAlign w:val="superscript"/>
              </w:rPr>
              <w:t>7</w:t>
            </w:r>
            <w:r>
              <w:rPr>
                <w:b/>
                <w:i/>
              </w:rPr>
              <w:t>, beleértve a rugalmasabb és közvetlenebb finanszírozás növelését;</w:t>
            </w:r>
            <w:r>
              <w:rPr>
                <w:b/>
                <w:i/>
              </w:rPr>
              <w:t xml:space="preserve"> </w:t>
            </w:r>
            <w:r>
              <w:rPr>
                <w:b/>
                <w:i/>
              </w:rPr>
              <w:t>sajnálattal állapítja meg, hogy a jelenlegi finanszírozási szintek fennmaradása mellett a felmérésben részt vevő, nők által vezetett és női szervezetek közel fele (47%) hat hónapon belül várhatóan leáll, több mint egyharmada (35%) pedig továbbra is bizonytalan helyzetben marad, nem tudja megtervezni vagy fenntartani munkáját, és mindössze 18% számolt be arról, hogy várhatóan több mint egy évig képes működni</w:t>
            </w:r>
            <w:r>
              <w:rPr>
                <w:b/>
                <w:i/>
                <w:vertAlign w:val="superscript"/>
              </w:rPr>
              <w:t>7a</w:t>
            </w:r>
            <w:r>
              <w:rPr>
                <w:b/>
                <w:i/>
              </w:rPr>
              <w:t>;</w:t>
            </w:r>
            <w:r>
              <w:rPr>
                <w:b/>
                <w:i/>
              </w:rPr>
              <w:t xml:space="preserve"> hangsúlyozza annak fontosságát, hogy a menekülttáborokban és befogadó állomásokon biztosítsák a biztonságot és a szükségleteken alapuló szolgáltatásokhoz való hozzáférést, ideértve a megfelelő higiéniai körülményeket, az egészségügyi ellátást, a pszichoszociális támogatást, a szülészeti ellátást, a jogi segítségnyújtást és a biztonságos tereket; hangsúlyozza, hogy a nők és lányok gyakran fokozott kockázatoknak vannak kitéve ilyen körülmények között, és hogy érdemi részvételük a menekültek menedékhelyeinek tervezésében, kialakításában és irányításában elengedhetetlen ahhoz, hogy a szolgáltatások hozzáférhetők, megfelelőek és a sajátos szükségleteikhez igazodóak legyenek; </w:t>
            </w:r>
            <w:r>
              <w:rPr>
                <w:b/>
                <w:i/>
              </w:rPr>
              <w:t>felhívja a Bizottságot és a humanitárius szereplőket, hogy foglalkozzanak a mobilitással és a közlekedéssel kapcsolatos akadályokkal, amelyek gátolják a nők és lányok hozzáférését a segélyekhez, ideértve az egészségügyi központokba, az elosztási pontokra és a menedékhelyekre való biztonságos közlekedést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UN Women, ‘Humanitarian funding cuts threaten women’s rights: What’s at stake and how to help” (A humanitárius finanszírozás csökkentése veszélyezteti a nők jogait: Mi a tét és hogyan lehet segíteni), 2025. május 13., https://www.unwomen.org/en/articles/explainer/humanitarian-funding-cuts-threaten-womens-rights-whats-at-stake-and-how-to-help.</w:t>
            </w:r>
          </w:p>
        </w:tc>
        <w:tc>
          <w:tcPr>
            <w:tcW w:w="4876" w:type="dxa"/>
            <w:tcBorders>
              <w:top w:val="nil"/>
              <w:left w:val="nil"/>
              <w:bottom w:val="nil"/>
              <w:right w:val="nil"/>
            </w:tcBorders>
          </w:tcPr>
          <w:p>
            <w:pPr>
              <w:pStyle w:val="Normal6a"/>
            </w:pPr>
            <w:r>
              <w:rPr>
                <w:vertAlign w:val="superscript"/>
              </w:rPr>
              <w:t>7</w:t>
            </w:r>
            <w:r>
              <w:t xml:space="preserve"> </w:t>
            </w:r>
            <w:r>
              <w:t>UN Women, ‘Humanitarian funding cuts threaten women’s rights: What’s at stake and how to help” (A humanitárius finanszírozás csökkentése veszélyezteti a nők jogait: Mi a tét és hogyan lehet segíteni), 2025. május 13., https://www.unwomen.org/en/articles/explainer/humanitarian-funding-cuts-threaten-womens-rights-whats-at-stake-and-how-to-help.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https://www.unwomen.org/sites/default/files/2025-05/at-a-breaking-point-the-impact-of-foreign-aid-cuts-on-womens-organizations-in-humanitarian-crises-worldwide-en.pdf.</w:t>
            </w:r>
          </w:p>
        </w:tc>
      </w:tr>
    </w:tbl>
    <w:p>
      <w:r>
        <w:rPr>
          <w:rStyle w:val="HideTWBExt"/>
        </w:rPr>
        <w:t>&lt;/Amend&gt;</w:t>
      </w:r>
    </w:p>
    <w:p>
      <w:pPr>
        <w:pStyle w:val="AmNumberTabs"/>
      </w:pPr>
      <w:r>
        <w:rPr>
          <w:rStyle w:val="HideTWBExt"/>
        </w:rPr>
        <w:t>&lt;Amend&gt;</w:t>
      </w:r>
      <w:r>
        <w:t>Módosítás</w:t>
      </w:r>
      <w:r>
        <w:tab/>
      </w:r>
      <w:r>
        <w:tab/>
      </w:r>
      <w:r>
        <w:rPr>
          <w:rStyle w:val="HideTWBExt"/>
        </w:rPr>
        <w:t>&lt;NumAm&gt;</w:t>
      </w:r>
      <w:r>
        <w:t>81</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kiemeli a vidéki, távoli és konfliktusok sújtotta területeken élő nők sajátos sebezhetőségeit, akik gyakran további akadályokkal szembesülnek a humanitárius segítségnyújtáshoz, többek között az egészségügyi szolgáltatásokhoz és a pszichológiai támogatáshoz való hozzáférés terén; olyan célzott finanszírozást és inkluzív programozást szorgalmaz, amely foglalkozik ezekkel az interszekcionális kihívásokkal;</w:t>
            </w:r>
          </w:p>
        </w:tc>
      </w:tr>
    </w:tbl>
    <w:p>
      <w:r>
        <w:rPr>
          <w:rStyle w:val="HideTWBExt"/>
        </w:rPr>
        <w:t>&lt;/Amend&gt;</w:t>
      </w:r>
    </w:p>
    <w:p>
      <w:pPr>
        <w:pStyle w:val="AmNumberTabs"/>
      </w:pPr>
      <w:r>
        <w:rPr>
          <w:rStyle w:val="HideTWBExt"/>
        </w:rPr>
        <w:t>&lt;Amend&gt;</w:t>
      </w:r>
      <w:r>
        <w:t>Módosítás</w:t>
      </w:r>
      <w:r>
        <w:tab/>
      </w:r>
      <w:r>
        <w:tab/>
      </w:r>
      <w:r>
        <w:rPr>
          <w:rStyle w:val="HideTWBExt"/>
        </w:rPr>
        <w:t>&lt;NumAm&gt;</w:t>
      </w:r>
      <w:r>
        <w:t>82</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21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w:t>
            </w:r>
            <w:r>
              <w:tab/>
            </w:r>
            <w:r>
              <w:rPr>
                <w:b/>
                <w:i/>
              </w:rPr>
              <w:t>hangsúlyozza annak fontosságát, hogy a humanitárius helyzetekben minden ember méltóságát megóvják, különös tekintettel a nőkre és lányokra, azáltal, hogy méltányos hozzáférést biztosítanak az alapvető szolgáltatásokhoz és ellátáshoz, beleértve az egészségügyi betéteket és menstruációs higiéniai termékeket, a szoptatáshoz és a terhesgondozáshoz szükséges biztonságos és privát helyiségeket, a nemek közötti egyenlőség szempontját figyelembe vevő higiéniai feltételeket, valamint a megfelelő világítást az esti órákban a biztonság növelése érdekében;</w:t>
            </w:r>
          </w:p>
        </w:tc>
      </w:tr>
    </w:tbl>
    <w:p>
      <w:r>
        <w:rPr>
          <w:rStyle w:val="HideTWBExt"/>
        </w:rPr>
        <w:t>&lt;/Amend&gt;</w:t>
      </w:r>
    </w:p>
    <w:p>
      <w:pPr>
        <w:pStyle w:val="AmNumberTabs"/>
      </w:pPr>
      <w:r>
        <w:rPr>
          <w:rStyle w:val="HideTWBExt"/>
        </w:rPr>
        <w:t>&lt;Amend&gt;</w:t>
      </w:r>
      <w:r>
        <w:t>Módosítás</w:t>
      </w:r>
      <w:r>
        <w:tab/>
      </w:r>
      <w:r>
        <w:tab/>
      </w:r>
      <w:r>
        <w:rPr>
          <w:rStyle w:val="HideTWBExt"/>
        </w:rPr>
        <w:t>&lt;NumAm&gt;</w:t>
      </w:r>
      <w:r>
        <w:t>83</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arra ösztönzi a Bizottságot, az EKSZ-t és a tagállamokat, hogy a humanitárius beavatkozások során mozdítsák elő a nemek közötti egyenlőséget figyelembe vevő megközelítéseket, és jobban támogassák a nők </w:t>
            </w:r>
            <w:r>
              <w:rPr>
                <w:b/>
                <w:i/>
              </w:rPr>
              <w:t>humanitárius döntéshozatali folyamatokban való</w:t>
            </w:r>
            <w:r>
              <w:t xml:space="preserve"> részvételét, biztosítva, hogy – az ENSZ Biztonsági Tanácsa 1325. sz. határozatának célkitűzéseivel összhangban – a segélyek tervezése és nyújtása során kiemelten figyelembe vegyék a nők perspektíváit és szükségleteit;</w:t>
            </w:r>
          </w:p>
        </w:tc>
        <w:tc>
          <w:tcPr>
            <w:tcW w:w="4876" w:type="dxa"/>
            <w:tcBorders>
              <w:top w:val="nil"/>
              <w:left w:val="nil"/>
              <w:bottom w:val="nil"/>
              <w:right w:val="nil"/>
            </w:tcBorders>
          </w:tcPr>
          <w:p>
            <w:pPr>
              <w:pStyle w:val="Normal6a"/>
            </w:pPr>
            <w:r>
              <w:t>22.</w:t>
            </w:r>
            <w:r>
              <w:tab/>
            </w:r>
            <w:r>
              <w:t xml:space="preserve">arra ösztönzi a Bizottságot, az EKSZ-t és a tagállamokat, hogy a humanitárius beavatkozások során mozdítsák elő a nemek közötti egyenlőséget figyelembe vevő megközelítéseket, és jobban támogassák a nők </w:t>
            </w:r>
            <w:r>
              <w:rPr>
                <w:b/>
                <w:i/>
              </w:rPr>
              <w:t>teljes körű, egyenlő és érdemi</w:t>
            </w:r>
            <w:r>
              <w:t xml:space="preserve"> részvételét </w:t>
            </w:r>
            <w:r>
              <w:rPr>
                <w:b/>
                <w:i/>
              </w:rPr>
              <w:t>és vezető szerepét a döntéshozatal minden szintjén, ugyanakkor dolgozzanak ki a nemek közötti egyenlőség szempontját érvényesítő nemzeti és nemzetközi szintű fejlesztési stratégiákat, amelyek lehetővé teszik a nők számára, hogy biztonságosan léphessenek fel és vezető szerepet vállaljanak válsághelyzetekben</w:t>
            </w:r>
            <w:r>
              <w:t>, biztosítva, hogy – az ENSZ Biztonsági Tanácsa 1325. sz. határozatának célkitűzéseivel összhangban – a segélyek tervezése és nyújtása során kiemelten figyelembe vegyék a nők perspektíváit és szükségleteit;</w:t>
            </w:r>
            <w:r>
              <w:rPr>
                <w:b/>
                <w:i/>
              </w:rPr>
              <w:t xml:space="preserve"> kéri, hogy a békefolyamat valamennyi szakaszában biztosítsák a nők teljes körű, egyenlő és érdemi részvételét, beleértve a közvetítési erőfeszítéseket, a fegyveres konfliktusok megelőzését és megoldását, a békeépítést, a konfliktus utáni újjáépítést és a tűzszüneti tárgyalásokat, miközben világszerte megerősítik valamennyi nő védelmét;</w:t>
            </w:r>
          </w:p>
        </w:tc>
      </w:tr>
    </w:tbl>
    <w:p>
      <w:r>
        <w:rPr>
          <w:rStyle w:val="HideTWBExt"/>
        </w:rPr>
        <w:t>&lt;/Amend&gt;</w:t>
      </w:r>
    </w:p>
    <w:p>
      <w:pPr>
        <w:pStyle w:val="AmNumberTabs"/>
      </w:pPr>
      <w:r>
        <w:rPr>
          <w:rStyle w:val="HideTWBExt"/>
        </w:rPr>
        <w:t>&lt;Amend&gt;</w:t>
      </w:r>
      <w:r>
        <w:t>Módosítás</w:t>
      </w:r>
      <w:r>
        <w:tab/>
      </w:r>
      <w:r>
        <w:tab/>
      </w:r>
      <w:r>
        <w:rPr>
          <w:rStyle w:val="HideTWBExt"/>
        </w:rPr>
        <w:t>&lt;NumAm&gt;</w:t>
      </w:r>
      <w:r>
        <w:t>84</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a.</w:t>
            </w:r>
            <w:r>
              <w:tab/>
            </w:r>
            <w:r>
              <w:rPr>
                <w:b/>
                <w:i/>
              </w:rPr>
              <w:t>komoly aggodalmát fejezi ki amiatt, hogy az EU-n belül és azon kívül is egyre nő az ultrakonzervatív, genderellenes és vallási fundamentalista mozgalmak befolyása, amelyek célja a nők és lányok alapvető jogainak aláásása, többek között a humanitárius helyzetekben; hangsúlyozza, hogy az ilyen mozgalmak gyakran dezinformációt terjesztenek, megbélyegzik a szexuális és reproduktív egészségügyi szolgáltatásokat, és gyengítik a nők védelmét a nemi alapú erőszakkal szemben; felszólítja a Bizottságot, az EKSZ-t és a tagállamokat, hogy biztosítsák, hogy az EU által finanszírozott humanitárius programok szilárd alapját továbbra is a nemzetközi emberi jogi normák és a nemek közötti egyenlőség képezzék, és hogy aktívan támogassák az e jogokat ellenző szereplők által célba vett civil társadalmi szervezeteket;</w:t>
            </w:r>
          </w:p>
        </w:tc>
      </w:tr>
    </w:tbl>
    <w:p>
      <w:r>
        <w:rPr>
          <w:rStyle w:val="HideTWBExt"/>
        </w:rPr>
        <w:t>&lt;/Amend&gt;</w:t>
      </w:r>
    </w:p>
    <w:p>
      <w:pPr>
        <w:pStyle w:val="AmNumberTabs"/>
      </w:pPr>
      <w:r>
        <w:rPr>
          <w:rStyle w:val="HideTWBExt"/>
        </w:rPr>
        <w:t>&lt;Amend&gt;</w:t>
      </w:r>
      <w:r>
        <w:t>Módosítás</w:t>
      </w:r>
      <w:r>
        <w:tab/>
      </w:r>
      <w:r>
        <w:tab/>
      </w:r>
      <w:r>
        <w:rPr>
          <w:rStyle w:val="HideTWBExt"/>
        </w:rPr>
        <w:t>&lt;NumAm&gt;</w:t>
      </w:r>
      <w:r>
        <w:t>85</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ismételten felszólítja az uniós tagállamokat, hogy teljeskörűen hajtsák végre az ENSZ Biztonsági Tanácsa 1325. sz. határozatát;</w:t>
            </w:r>
          </w:p>
        </w:tc>
        <w:tc>
          <w:tcPr>
            <w:tcW w:w="4876" w:type="dxa"/>
            <w:tcBorders>
              <w:top w:val="nil"/>
              <w:left w:val="nil"/>
              <w:bottom w:val="nil"/>
              <w:right w:val="nil"/>
            </w:tcBorders>
          </w:tcPr>
          <w:p>
            <w:pPr>
              <w:pStyle w:val="Normal6a"/>
            </w:pPr>
            <w:r>
              <w:t>23.</w:t>
            </w:r>
            <w:r>
              <w:tab/>
            </w:r>
            <w:r>
              <w:t>ismételten felszólítja az uniós tagállamokat, hogy teljeskörűen hajtsák végre az ENSZ Biztonsági Tanácsa 1325. sz. határozatát;</w:t>
            </w:r>
            <w:r>
              <w:rPr>
                <w:b/>
                <w:i/>
              </w:rPr>
              <w:t xml:space="preserve"> arra ösztönzi a tagállamokat, hogy az ENSZ Biztonsági Tanácsa 1325. sz. határozatával összhangban aktualizálják nemzeti cselekvési terveiket;</w:t>
            </w:r>
          </w:p>
        </w:tc>
      </w:tr>
    </w:tbl>
    <w:p>
      <w:r>
        <w:rPr>
          <w:rStyle w:val="HideTWBExt"/>
        </w:rPr>
        <w:t>&lt;/Amend&gt;</w:t>
      </w:r>
    </w:p>
    <w:p>
      <w:pPr>
        <w:pStyle w:val="AmNumberTabs"/>
      </w:pPr>
      <w:r>
        <w:rPr>
          <w:rStyle w:val="HideTWBExt"/>
        </w:rPr>
        <w:t>&lt;Amend&gt;</w:t>
      </w:r>
      <w:r>
        <w:t>Módosítás</w:t>
      </w:r>
      <w:r>
        <w:tab/>
      </w:r>
      <w:r>
        <w:tab/>
      </w:r>
      <w:r>
        <w:rPr>
          <w:rStyle w:val="HideTWBExt"/>
        </w:rPr>
        <w:t>&lt;NumAm&gt;</w:t>
      </w:r>
      <w:r>
        <w:t>86</w:t>
      </w:r>
      <w:r>
        <w:rPr>
          <w:rStyle w:val="HideTWBExt"/>
        </w:rPr>
        <w:t>&lt;/NumAm&gt;</w:t>
      </w:r>
    </w:p>
    <w:p>
      <w:pPr>
        <w:pStyle w:val="NormalBold12b"/>
      </w:pPr>
      <w:r>
        <w:rPr>
          <w:rStyle w:val="HideTWBExt"/>
        </w:rPr>
        <w:t>&lt;DocAmend&gt;</w:t>
      </w:r>
      <w:r>
        <w:t>Állásfoglalásra irányuló indítvány</w:t>
      </w:r>
      <w:r>
        <w:rPr>
          <w:rStyle w:val="HideTWBExt"/>
        </w:rPr>
        <w:t>&lt;/DocAmend&gt;</w:t>
      </w:r>
    </w:p>
    <w:p>
      <w:pPr>
        <w:pStyle w:val="NormalBold"/>
      </w:pPr>
      <w:r>
        <w:rPr>
          <w:rStyle w:val="HideTWBExt"/>
        </w:rPr>
        <w:t>&lt;Article&gt;</w:t>
      </w:r>
      <w:r>
        <w:t>23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Állásfoglalásra irányuló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a.</w:t>
            </w:r>
            <w:r>
              <w:tab/>
            </w:r>
            <w:r>
              <w:rPr>
                <w:b/>
                <w:i/>
              </w:rPr>
              <w:t>figyelmeztet a humanitárius szereplők által alkalmazott intézményi erőszakra és a gondatlanságukra, ideértve a nemi aspektust figyelmen kívül hagyó programokat, a nők és az LMBTIQ+-személyek számára nem biztonságos környezetet, valamint a visszaélésekért való felelősségre vonás hiányát; a nemek közötti egyenlőséggel kapcsolatos, kötelező érvényű normák, átfogó jelentéstételi rendszerek és a zéró tolerancia politikájának bevezetését szorgalmazza az EU által finanszírozott valamennyi humanitárius művelet tekintetében.</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MELLÉKLET: NYILATKOZAT AZ ÉSZREVÉTELEKRŐL</w:t>
      </w:r>
    </w:p>
    <w:p>
      <w:pPr>
        <w:pStyle w:val="Normal12a"/>
      </w:pPr>
      <w:r>
        <w:rPr>
          <w:rStyle w:val="HideTWBExt"/>
        </w:rPr>
        <w:t>&lt;FootprintIntro&gt;</w:t>
      </w:r>
      <w:r>
        <w:rPr>
          <w:rStyle w:val="HideTWBExt"/>
        </w:rPr>
        <w:t>&lt;/FootprintIntro&gt;</w:t>
      </w:r>
    </w:p>
    <w:p>
      <w:pPr>
        <w:pStyle w:val="Normal12a"/>
      </w:pPr>
      <w:r>
        <w:t>Az előadó kizárólagos felelősségi körében kijelenti, hogy jelentésébe nem foglalt bele a kötelező átláthatósági nyilvántartásról szóló intézményközi megállapodás hatálya alá tartozó olyan érdekképviselőktől</w:t>
      </w:r>
      <w:r>
        <w:rPr>
          <w:rStyle w:val="FootnoteReference"/>
        </w:rPr>
        <w:footnoteReference w:customMarkFollows="1" w:id="2"/>
        <w:t xml:space="preserve">1</w:t>
      </w:r>
      <w:r>
        <w:t xml:space="preserve"> vagy harmadik országok hatóságainak – többek között ezen országok diplomáciai képviseleteinek és nagykövetségeinek – olyan képviselőitől kapott észrevételeket, akiket vagy amelyeket az eljárási szabályzat I. mellékletének 8. cikke értelmében fel kell tüntetni ebben a mellékletben.</w:t>
      </w:r>
    </w:p>
    <w:p>
      <w:pPr>
        <w:sectPr>
          <w:footnotePr>
            <w:numRestart w:val="eachSect"/>
          </w:footnotePr>
          <w:type w:val="nextPage"/>
          <w:pgSz w:w="11909" w:h="16834"/>
          <w:pgMar w:top="1134" w:right="1417" w:bottom="1417" w:left="1417" w:header="1134" w:footer="567"/>
          <w:cols w:space="720"/>
        </w:sectPr>
      </w:pPr>
    </w:p>
    <w:p>
      <w:pPr>
        <w:pStyle w:val="PageHeading"/>
      </w:pPr>
      <w:r>
        <w:t>INFORMÁCIÓ A VÉLEMÉNYNYILVÁNÍTÁSRA FELKÉRT BIZOTTSÁG ÁLTALI ELFOGADÁSRÓL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Az elfogadás dátuma</w:t>
            </w:r>
          </w:p>
        </w:tc>
        <w:tc>
          <w:tcPr>
            <w:tcW w:w="6400" w:type="dxa"/>
            <w:tcBorders>
              <w:left w:val="dotted" w:sz="4" w:space="0" w:color="auto"/>
            </w:tcBorders>
          </w:tcPr>
          <w:p>
            <w:pPr>
              <w:pStyle w:val="ProcedureTable"/>
            </w:pPr>
            <w:r>
              <w:t>13.10.2025</w:t>
            </w:r>
          </w:p>
        </w:tc>
      </w:tr>
      <w:tr>
        <w:tblPrEx>
          <w:tblW w:w="0" w:type="auto"/>
          <w:tblLayout w:type="fixed"/>
          <w:tblCellMar>
            <w:left w:w="140" w:type="dxa"/>
            <w:right w:w="140" w:type="dxa"/>
          </w:tblCellMar>
        </w:tblPrEx>
        <w:tc>
          <w:tcPr>
            <w:tcW w:w="3600" w:type="dxa"/>
          </w:tcPr>
          <w:p>
            <w:pPr>
              <w:pStyle w:val="ProcedureTableBold"/>
            </w:pPr>
            <w:r>
              <w:t>A zárószavazás eredménye</w:t>
            </w:r>
          </w:p>
        </w:tc>
        <w:tc>
          <w:tcPr>
            <w:tcW w:w="6400" w:type="dxa"/>
            <w:tcBorders>
              <w:left w:val="dotted" w:sz="4" w:space="0" w:color="auto"/>
            </w:tcBorders>
          </w:tcPr>
          <w:p>
            <w:r>
              <w:t>+</w:t>
            </w:r>
            <w:r>
              <w:tab/>
            </w:r>
            <w:r>
              <w:t>:</w:t>
            </w:r>
            <w:r>
              <w:tab/>
            </w:r>
            <w:r>
              <w:t>25</w:t>
            </w:r>
          </w:p>
          <w:p>
            <w:r>
              <w:t>-</w:t>
            </w:r>
            <w:r>
              <w:tab/>
            </w:r>
            <w:r>
              <w:t>:</w:t>
            </w:r>
            <w:r>
              <w:tab/>
            </w:r>
            <w:r>
              <w:t>8</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A zárószavazáson jelen lévő tagok</w:t>
            </w:r>
          </w:p>
        </w:tc>
        <w:tc>
          <w:tcPr>
            <w:tcW w:w="6400" w:type="dxa"/>
            <w:tcBorders>
              <w:left w:val="dotted" w:sz="4" w:space="0" w:color="auto"/>
            </w:tcBorders>
          </w:tcPr>
          <w:p>
            <w:pPr>
              <w:pStyle w:val="ProcedureTable"/>
            </w:pPr>
            <w:r>
              <w:t>Margarita de la Pisa Carrión, Valérie Devaux, Heléne Fritzon, Lina Gálvez, Alexandra Geese, Chiara Gemma, Fernand Kartheiser, Arba Kokalari, Elena Kountoura, Sebastian Kruis, Judita Laššáková, Eleonora Meleti, Carolina Morace, Maria Noichl, Sirpa Pietikäinen, Giusi Princi, Emma Rafowicz, Joanna Scheuring-Wielgus, Benedetta Scuderi, Laurence Trochu, Marko Vešligaj, Maria Walsh, Lucia Yar</w:t>
            </w:r>
          </w:p>
        </w:tc>
      </w:tr>
      <w:tr>
        <w:tblPrEx>
          <w:tblW w:w="0" w:type="auto"/>
          <w:tblLayout w:type="fixed"/>
          <w:tblCellMar>
            <w:left w:w="140" w:type="dxa"/>
            <w:right w:w="140" w:type="dxa"/>
          </w:tblCellMar>
        </w:tblPrEx>
        <w:tc>
          <w:tcPr>
            <w:tcW w:w="3600" w:type="dxa"/>
          </w:tcPr>
          <w:p>
            <w:pPr>
              <w:pStyle w:val="ProcedureTableBold"/>
            </w:pPr>
            <w:r>
              <w:t>A zárószavazáson jelen lévő póttagok</w:t>
            </w:r>
          </w:p>
        </w:tc>
        <w:tc>
          <w:tcPr>
            <w:tcW w:w="6400" w:type="dxa"/>
            <w:tcBorders>
              <w:left w:val="dotted" w:sz="4" w:space="0" w:color="auto"/>
            </w:tcBorders>
          </w:tcPr>
          <w:p>
            <w:pPr>
              <w:pStyle w:val="ProcedureTable"/>
            </w:pPr>
            <w:r>
              <w:t>Christine Anderson, Veronika Cifrová Ostrihoňová, Paulo Do Nascimento Cabral, Elisabeth Grossmann, Billy Kelleher, Katrin Langensiepen, Manuela Ripa, Beatrice Timgren, Marianne Vind</w:t>
            </w:r>
          </w:p>
        </w:tc>
      </w:tr>
      <w:tr>
        <w:tblPrEx>
          <w:tblW w:w="0" w:type="auto"/>
          <w:tblLayout w:type="fixed"/>
          <w:tblCellMar>
            <w:left w:w="140" w:type="dxa"/>
            <w:right w:w="140" w:type="dxa"/>
          </w:tblCellMar>
        </w:tblPrEx>
        <w:tc>
          <w:tcPr>
            <w:tcW w:w="3600" w:type="dxa"/>
          </w:tcPr>
          <w:p>
            <w:pPr>
              <w:pStyle w:val="ProcedureTableBold"/>
            </w:pPr>
            <w:r>
              <w:t>A zárószavazáson jelen lévő képviselők (216. cikk, (7) bekezdés)</w:t>
            </w:r>
          </w:p>
        </w:tc>
        <w:tc>
          <w:tcPr>
            <w:tcW w:w="6400" w:type="dxa"/>
            <w:tcBorders>
              <w:left w:val="dotted" w:sz="4" w:space="0" w:color="auto"/>
            </w:tcBorders>
          </w:tcPr>
          <w:p>
            <w:pPr>
              <w:pStyle w:val="ProcedureTable"/>
            </w:pPr>
            <w:r>
              <w:t>Peter Agius, Daniel Caspary</w:t>
            </w:r>
          </w:p>
        </w:tc>
      </w:tr>
    </w:tbl>
    <w:p>
      <w:pPr>
        <w:sectPr>
          <w:type w:val="nextPage"/>
          <w:pgSz w:w="11909" w:h="16834"/>
          <w:pgMar w:top="1134" w:right="1417" w:bottom="1417" w:left="1417" w:header="1134" w:footer="567"/>
          <w:cols w:space="720"/>
        </w:sectPr>
      </w:pPr>
    </w:p>
    <w:p>
      <w:pPr>
        <w:pStyle w:val="PageHeading"/>
      </w:pPr>
      <w:r>
        <w:t>NÉV SZERINTI ZÁRÓSZAVAZÁS A VÉLEMÉNYNYILVÁNÍTÁSRA FELKÉRT BIZOTTSÁGBAN</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25</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Caspary Daniel, Do Nascimento Cabral Paulo, Kokalari Arba, Meleti Eleonora, Pietikäinen Sirpa, Princi Giusi, Ripa Manuela, Walsh Maria</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Cifrová Ostrihonová Veronika, Devaux Valérie, Kelleher Billy, Yar Lucia</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Fritzon Heléne, Gálvez Lina, Grossmann Elisabeth, Noichl Maria, Rafowicz Emma, Scheuring-Wielgus Joanna, Vesligaj Marko, Vind Marianne</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Kountoura Elena, Morace Carolina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Geese Alexandra, Langensiepen Katrin, Scuderi Benedetta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8</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Gemma Chiara, Timgren Beatrice, Trochu Laurence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Anderson Christine</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Kartheiser Fernand, 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Kruis Sebastian, de la Pisa Carrión Margarita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Agius Peter</w:t>
            </w:r>
          </w:p>
        </w:tc>
      </w:tr>
    </w:tbl>
    <w:p/>
    <w:p>
      <w:r>
        <w:t>Key:</w:t>
      </w:r>
    </w:p>
    <w:p>
      <w:pPr>
        <w:pStyle w:val="NormalTab"/>
      </w:pPr>
      <w:r>
        <w:t>+</w:t>
      </w:r>
      <w:r>
        <w:t xml:space="preserve">  :  </w:t>
      </w:r>
      <w:r>
        <w:t>mellette</w:t>
      </w:r>
    </w:p>
    <w:p>
      <w:pPr>
        <w:pStyle w:val="NormalTab"/>
      </w:pPr>
      <w:r>
        <w:t>-</w:t>
      </w:r>
      <w:r>
        <w:t xml:space="preserve">  :  </w:t>
      </w:r>
      <w:r>
        <w:t>ellene</w:t>
      </w:r>
    </w:p>
    <w:p>
      <w:pPr>
        <w:pStyle w:val="NormalTab"/>
      </w:pPr>
      <w:r>
        <w:t>0</w:t>
      </w:r>
      <w:r>
        <w:t xml:space="preserve">  :  </w:t>
      </w:r>
      <w:r>
        <w:t>tartózkodás</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774.481</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50</w:t>
    </w:r>
    <w:r>
      <w:fldChar w:fldCharType="end"/>
    </w:r>
    <w:r>
      <w:t>/</w:t>
    </w:r>
    <w:r>
      <w:fldChar w:fldCharType="begin"/>
    </w:r>
    <w:r>
      <w:instrText xml:space="preserve"> NUMPAGES </w:instrText>
    </w:r>
    <w:r>
      <w:fldChar w:fldCharType="separate"/>
    </w:r>
    <w:r>
      <w:t>51</w:t>
    </w:r>
    <w:r>
      <w:fldChar w:fldCharType="end"/>
    </w:r>
    <w:r>
      <w:tab/>
    </w:r>
    <w:r>
      <w:rPr>
        <w:rStyle w:val="HideTWBExt"/>
      </w:rPr>
      <w:t>&lt;PathFdR&gt;</w:t>
    </w:r>
    <w:r>
      <w:t>AD\1329163HU.docx</w:t>
    </w:r>
    <w:r>
      <w:rPr>
        <w:rStyle w:val="HideTWBExt"/>
      </w:rPr>
      <w:t>&lt;/PathFdR&gt;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AD\1329163HU.docx</w:t>
    </w:r>
    <w:r>
      <w:rPr>
        <w:rStyle w:val="HideTWBExt"/>
      </w:rPr>
      <w:t>&lt;/PathFdR&gt;</w:t>
    </w:r>
    <w:r>
      <w:tab/>
    </w:r>
    <w:r>
      <w:fldChar w:fldCharType="begin"/>
    </w:r>
    <w:r>
      <w:instrText xml:space="preserve"> PAGE </w:instrText>
    </w:r>
    <w:r>
      <w:fldChar w:fldCharType="separate"/>
    </w:r>
    <w:r>
      <w:t>51</w:t>
    </w:r>
    <w:r>
      <w:fldChar w:fldCharType="end"/>
    </w:r>
    <w:r>
      <w:t>/</w:t>
    </w:r>
    <w:r>
      <w:fldChar w:fldCharType="begin"/>
    </w:r>
    <w:r>
      <w:instrText xml:space="preserve"> NUMPAGES </w:instrText>
    </w:r>
    <w:r>
      <w:fldChar w:fldCharType="separate"/>
    </w:r>
    <w:r>
      <w:t>51</w:t>
    </w:r>
    <w:r>
      <w:fldChar w:fldCharType="end"/>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AD\1329163HU.docx</w:t>
    </w:r>
    <w:r>
      <w:rPr>
        <w:rStyle w:val="HideTWBExt"/>
      </w:rPr>
      <w:t>&lt;/PathFdR&gt;</w:t>
    </w:r>
    <w:r>
      <w:tab/>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HU</w:t>
    </w:r>
    <w:r>
      <w:tab/>
    </w:r>
    <w:r>
      <w:rPr>
        <w:rStyle w:val="EPFooter2Motto"/>
      </w:rPr>
      <w:t>Egyesülve a sokféleségben</w:t>
    </w:r>
    <w:r>
      <w:tab/>
    </w:r>
    <w:r>
      <w:t>HU</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Intézményközi megállapodás (2021. május 20.) az Európai Parlament, az Európai Unió Tanácsa és az Európai Bizottság között a kötelező átláthatósági nyilvántartásról (HL L 207., 2021.6.11., 1. o.,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51</Pages>
  <Words>8961</Words>
  <Characters>65357</Characters>
  <Application>Microsoft Office Word</Application>
  <DocSecurity>0</DocSecurity>
  <Lines>1</Lines>
  <Paragraphs>624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1329163</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277696</vt:lpwstr>
  </property>
  <property fmtid="{D5CDD505-2E9C-101B-9397-08002B2CF9AE}" pid="7" name="dmxml.render.traceId">
    <vt:lpwstr>6909bcd5ca1dda8e478b1ae2b9900de8</vt:lpwstr>
  </property>
  <property fmtid="{D5CDD505-2E9C-101B-9397-08002B2CF9AE}" pid="8" name="FooterPath">
    <vt:lpwstr>AD\1329163HU.doc</vt:lpwstr>
  </property>
  <property fmtid="{D5CDD505-2E9C-101B-9397-08002B2CF9AE}" pid="9" name="PE Number">
    <vt:lpwstr>774.481</vt:lpwstr>
  </property>
  <property fmtid="{D5CDD505-2E9C-101B-9397-08002B2CF9AE}" pid="10" name="UID">
    <vt:lpwstr>eu.europa.europarl-DIN1-2025-0000182003_01.07-hu-01.00_text-xml</vt:lpwstr>
  </property>
</Properties>
</file>