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4.2.0 -->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804"/>
        <w:gridCol w:w="2268"/>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hRule="exact" w:val="1417"/>
          <w:jc w:val="center"/>
        </w:trPr>
        <w:tc>
          <w:tcPr>
            <w:tcW w:w="6804" w:type="dxa"/>
            <w:tcBorders>
              <w:top w:val="nil"/>
              <w:left w:val="nil"/>
              <w:bottom w:val="nil"/>
              <w:right w:val="nil"/>
            </w:tcBorders>
            <w:vAlign w:val="center"/>
          </w:tcPr>
          <w:p>
            <w:pPr>
              <w:pStyle w:val="EPName"/>
            </w:pPr>
            <w:r>
              <w:t>Parlamento europeo</w:t>
            </w:r>
          </w:p>
          <w:p>
            <w:pPr>
              <w:pStyle w:val="EPTerm"/>
              <w:jc w:val="left"/>
            </w:pPr>
            <w:r>
              <w:t>2024-2029</w:t>
            </w:r>
          </w:p>
        </w:tc>
        <w:tc>
          <w:tcPr>
            <w:tcW w:w="2268" w:type="dxa"/>
            <w:tcBorders>
              <w:top w:val="nil"/>
              <w:left w:val="nil"/>
              <w:bottom w:val="nil"/>
              <w:right w:val="nil"/>
            </w:tcBorders>
            <w:vAlign w:val="top"/>
          </w:tcPr>
          <w:p>
            <w:pPr>
              <w:pStyle w:val="EPLogo"/>
              <w:jc w:val="right"/>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6pt;height:51.46pt">
                  <v:imagedata r:id="rId5" o:title=""/>
                </v:shape>
              </w:pict>
            </w:r>
          </w:p>
        </w:tc>
      </w:tr>
    </w:tbl>
    <w:p>
      <w:pPr>
        <w:pStyle w:val="LineTop"/>
      </w:pPr>
      <w:r>
        <w:t xml:space="preserve"> </w:t>
      </w:r>
    </w:p>
    <w:p>
      <w:pPr>
        <w:pStyle w:val="EPBody"/>
      </w:pPr>
      <w:r>
        <w:rPr>
          <w:rStyle w:val="HideTWBExt"/>
        </w:rPr>
        <w:t>&lt;Commission&gt;</w:t>
      </w:r>
      <w:r>
        <w:rPr>
          <w:rStyle w:val="HideTWBInt"/>
        </w:rPr>
        <w:t>{FEMM}</w:t>
      </w:r>
      <w:r>
        <w:t>Commissione per i diritti delle donne e l’uguaglianza di genere</w:t>
      </w:r>
      <w:r>
        <w:rPr>
          <w:rStyle w:val="HideTWBExt"/>
        </w:rPr>
        <w:t>&lt;/Commission&gt;</w:t>
      </w:r>
    </w:p>
    <w:p>
      <w:pPr>
        <w:pStyle w:val="LineBottom"/>
      </w:pPr>
      <w:r>
        <w:t xml:space="preserve"> </w:t>
      </w:r>
    </w:p>
    <w:p>
      <w:pPr>
        <w:pStyle w:val="CoverReference"/>
      </w:pPr>
      <w:r>
        <w:rPr>
          <w:rStyle w:val="HideTWBExt"/>
        </w:rPr>
        <w:t>&lt;RefProc&gt;</w:t>
      </w:r>
      <w:r>
        <w:t>2025/2085</w:t>
      </w:r>
      <w:r>
        <w:rPr>
          <w:rStyle w:val="HideTWBExt"/>
        </w:rPr>
        <w:t>&lt;/RefProc&gt;</w:t>
      </w:r>
      <w:r>
        <w:rPr>
          <w:rStyle w:val="HideTWBExt"/>
        </w:rPr>
        <w:t>&lt;RefTypeProc&gt;</w:t>
      </w:r>
      <w:r>
        <w:t>(INI)</w:t>
      </w:r>
      <w:r>
        <w:rPr>
          <w:rStyle w:val="HideTWBExt"/>
        </w:rPr>
        <w:t>&lt;/RefTypeProc&gt;</w:t>
      </w:r>
    </w:p>
    <w:p>
      <w:pPr>
        <w:pStyle w:val="CoverDate"/>
      </w:pPr>
      <w:r>
        <w:rPr>
          <w:rStyle w:val="HideTWBExt"/>
        </w:rPr>
        <w:t>&lt;Date&gt;</w:t>
      </w:r>
      <w:r>
        <w:rPr>
          <w:rStyle w:val="HideTWBInt"/>
        </w:rPr>
        <w:t>{20/10/2025}</w:t>
      </w:r>
      <w:r>
        <w:t>20.10.2025</w:t>
      </w:r>
      <w:r>
        <w:rPr>
          <w:rStyle w:val="HideTWBExt"/>
        </w:rPr>
        <w:t>&lt;/Date&gt;</w:t>
      </w:r>
    </w:p>
    <w:p>
      <w:pPr>
        <w:pStyle w:val="CoverDocType24a"/>
      </w:pPr>
      <w:r>
        <w:rPr>
          <w:rStyle w:val="HideTWBExt"/>
        </w:rPr>
        <w:t>&lt;TitreType&gt;</w:t>
      </w:r>
      <w:r>
        <w:t>PARERE</w:t>
      </w:r>
      <w:r>
        <w:rPr>
          <w:rStyle w:val="HideTWBExt"/>
        </w:rPr>
        <w:t>&lt;/TitreType&gt;</w:t>
      </w:r>
    </w:p>
    <w:p>
      <w:pPr>
        <w:pStyle w:val="CoverNormal24a"/>
      </w:pPr>
      <w:r>
        <w:rPr>
          <w:rStyle w:val="HideTWBExt"/>
        </w:rPr>
        <w:t>&lt;CommissionResp&gt;</w:t>
      </w:r>
      <w:r>
        <w:t>a nome della commissione per i diritti delle donne e l'uguaglianza di genere</w:t>
      </w:r>
      <w:r>
        <w:rPr>
          <w:rStyle w:val="HideTWBExt"/>
        </w:rPr>
        <w:t>&lt;/CommissionResp&gt;</w:t>
      </w:r>
    </w:p>
    <w:p>
      <w:pPr>
        <w:pStyle w:val="CoverNormal24a"/>
      </w:pPr>
      <w:r>
        <w:rPr>
          <w:rStyle w:val="HideTWBExt"/>
        </w:rPr>
        <w:t>&lt;CommissionInt&gt;</w:t>
      </w:r>
      <w:r>
        <w:t>destinato alla commissione per lo sviluppo</w:t>
      </w:r>
      <w:r>
        <w:rPr>
          <w:rStyle w:val="HideTWBExt"/>
        </w:rPr>
        <w:t>&lt;/CommissionInt&gt;</w:t>
      </w:r>
    </w:p>
    <w:p>
      <w:pPr>
        <w:pStyle w:val="CoverNormal"/>
      </w:pPr>
      <w:r>
        <w:rPr>
          <w:rStyle w:val="HideTWBExt"/>
        </w:rPr>
        <w:t>&lt;Titre&gt;</w:t>
      </w:r>
      <w:r>
        <w:t>sull'aiuto umanitario in un periodo di policrisi – Riaffermare i nostri principi per una risposta più efficace e ambiziosa alle crisi umanitarie</w:t>
      </w:r>
      <w:r>
        <w:rPr>
          <w:rStyle w:val="HideTWBExt"/>
        </w:rPr>
        <w:t>&lt;/Titre&gt;</w:t>
      </w:r>
    </w:p>
    <w:p>
      <w:pPr>
        <w:pStyle w:val="CoverNormal24a"/>
      </w:pPr>
      <w:r>
        <w:rPr>
          <w:rStyle w:val="HideTWBExt"/>
        </w:rPr>
        <w:t>&lt;DocRef&gt;</w:t>
      </w:r>
      <w:r>
        <w:t>(2025/2085(INI))</w:t>
      </w:r>
      <w:r>
        <w:rPr>
          <w:rStyle w:val="HideTWBExt"/>
        </w:rPr>
        <w:t>&lt;/DocRef&gt;</w:t>
      </w:r>
    </w:p>
    <w:p>
      <w:pPr>
        <w:pStyle w:val="CoverNormal24a"/>
      </w:pPr>
      <w:r>
        <w:t>Relatrice per parere:</w:t>
      </w:r>
      <w:r>
        <w:t xml:space="preserve"> </w:t>
      </w:r>
      <w:r>
        <w:rPr>
          <w:rStyle w:val="HideTWBExt"/>
        </w:rPr>
        <w:t>&lt;Depute&gt;</w:t>
      </w:r>
      <w:r>
        <w:t>Lina Gálvez</w:t>
      </w:r>
      <w:r>
        <w:rPr>
          <w:rStyle w:val="HideTWBExt"/>
        </w:rPr>
        <w:t>&lt;/Depute&gt;</w:t>
      </w:r>
    </w:p>
    <w:p>
      <w:r>
        <w:br w:type="page"/>
      </w:r>
      <w:r>
        <w:t>PA_NonLeg</w:t>
      </w:r>
    </w:p>
    <w:p>
      <w:pPr>
        <w:sectPr>
          <w:footerReference w:type="even" r:id="rId6"/>
          <w:footerReference w:type="default" r:id="rId7"/>
          <w:footerReference w:type="first" r:id="rId8"/>
          <w:footnotePr>
            <w:numRestart w:val="eachSect"/>
          </w:footnotePr>
          <w:pgSz w:w="11909" w:h="16834"/>
          <w:pgMar w:top="1134" w:right="1417" w:bottom="1417" w:left="1417" w:header="1134" w:footer="567"/>
          <w:cols w:space="720"/>
          <w:titlePg/>
        </w:sectPr>
      </w:pPr>
    </w:p>
    <w:p>
      <w:pPr>
        <w:pStyle w:val="PageHeadingNotTOC"/>
      </w:pPr>
      <w:r>
        <w:t>EMENDAMENTI</w:t>
      </w:r>
    </w:p>
    <w:p>
      <w:pPr>
        <w:pStyle w:val="Normal12a"/>
      </w:pPr>
      <w:r>
        <w:t>La commissione per i diritti delle donne e l'uguaglianza di genere</w:t>
      </w:r>
      <w:r>
        <w:t xml:space="preserve"> </w:t>
      </w:r>
      <w:r>
        <w:t>presenta alla commissione per lo sviluppo, competente per il merito, quanto segue</w:t>
      </w:r>
      <w:r>
        <w:t xml:space="preserve"> </w:t>
      </w:r>
      <w:r>
        <w:t>:</w:t>
      </w:r>
    </w:p>
    <w:p>
      <w:pPr>
        <w:pStyle w:val="AmNumberTabs"/>
      </w:pPr>
      <w:r>
        <w:rPr>
          <w:rStyle w:val="HideTWBExt"/>
        </w:rPr>
        <w:t>&lt;RepeatBlock-Amend&gt;</w:t>
      </w:r>
      <w:r>
        <w:rPr>
          <w:rStyle w:val="HideTWBExt"/>
        </w:rPr>
        <w:t>&lt;Amend&gt;</w:t>
      </w:r>
      <w:r>
        <w:t>Emendamento</w:t>
      </w:r>
      <w:r>
        <w:tab/>
      </w:r>
      <w:r>
        <w:tab/>
      </w:r>
      <w:r>
        <w:rPr>
          <w:rStyle w:val="HideTWBExt"/>
        </w:rPr>
        <w:t>&lt;NumAm&gt;</w:t>
      </w:r>
      <w:r>
        <w:t>1</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Visto 2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vista la Convenzione delle Nazioni Unite sui diritti delle persone con disabilità (CRPD), ratificata dall'UE e da tutti gli Stati membri,</w:t>
            </w:r>
          </w:p>
        </w:tc>
      </w:tr>
    </w:tbl>
    <w:p>
      <w:r>
        <w:rPr>
          <w:rStyle w:val="HideTWBExt"/>
        </w:rPr>
        <w:t>&lt;/Amend&gt;</w:t>
      </w:r>
    </w:p>
    <w:p>
      <w:pPr>
        <w:pStyle w:val="AmNumberTabs"/>
      </w:pPr>
      <w:r>
        <w:rPr>
          <w:rStyle w:val="HideTWBExt"/>
        </w:rPr>
        <w:t>&lt;Amend&gt;</w:t>
      </w:r>
      <w:r>
        <w:t>Emendamento</w:t>
      </w:r>
      <w:r>
        <w:tab/>
      </w:r>
      <w:r>
        <w:tab/>
      </w:r>
      <w:r>
        <w:rPr>
          <w:rStyle w:val="HideTWBExt"/>
        </w:rPr>
        <w:t>&lt;NumAm&gt;</w:t>
      </w:r>
      <w:r>
        <w:t>2</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Visto 5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visto il piano d'azione dell'Unione europea sulla parità di genere III (GAP III) per il periodo 2021-2025,</w:t>
            </w:r>
          </w:p>
        </w:tc>
      </w:tr>
    </w:tbl>
    <w:p>
      <w:r>
        <w:rPr>
          <w:rStyle w:val="HideTWBExt"/>
        </w:rPr>
        <w:t>&lt;/Amend&gt;</w:t>
      </w:r>
    </w:p>
    <w:p>
      <w:pPr>
        <w:pStyle w:val="AmNumberTabs"/>
      </w:pPr>
      <w:r>
        <w:rPr>
          <w:rStyle w:val="HideTWBExt"/>
        </w:rPr>
        <w:t>&lt;Amend&gt;</w:t>
      </w:r>
      <w:r>
        <w:t>Emendamento</w:t>
      </w:r>
      <w:r>
        <w:tab/>
      </w:r>
      <w:r>
        <w:tab/>
      </w:r>
      <w:r>
        <w:rPr>
          <w:rStyle w:val="HideTWBExt"/>
        </w:rPr>
        <w:t>&lt;NumAm&gt;</w:t>
      </w:r>
      <w:r>
        <w:t>3</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Visto 6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visto l'approccio strategico dell'UE in materia di donne, pace e sicurezza,</w:t>
            </w:r>
          </w:p>
        </w:tc>
      </w:tr>
    </w:tbl>
    <w:p>
      <w:r>
        <w:rPr>
          <w:rStyle w:val="HideTWBExt"/>
        </w:rPr>
        <w:t>&lt;/Amend&gt;</w:t>
      </w:r>
    </w:p>
    <w:p>
      <w:pPr>
        <w:pStyle w:val="AmNumberTabs"/>
      </w:pPr>
      <w:r>
        <w:rPr>
          <w:rStyle w:val="HideTWBExt"/>
        </w:rPr>
        <w:t>&lt;Amend&gt;</w:t>
      </w:r>
      <w:r>
        <w:t>Emendamento</w:t>
      </w:r>
      <w:r>
        <w:tab/>
      </w:r>
      <w:r>
        <w:tab/>
      </w:r>
      <w:r>
        <w:rPr>
          <w:rStyle w:val="HideTWBExt"/>
        </w:rPr>
        <w:t>&lt;NumAm&gt;</w:t>
      </w:r>
      <w:r>
        <w:t>4</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Visto 6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visti la Conferenza internazionale sulla popolazione e lo sviluppo (ICPD), tenutasi al Cairo nel 1994, il relativo programma d'azione e gli esiti delle successive conferenze di revisione,</w:t>
            </w:r>
          </w:p>
        </w:tc>
      </w:tr>
    </w:tbl>
    <w:p>
      <w:r>
        <w:rPr>
          <w:rStyle w:val="HideTWBExt"/>
        </w:rPr>
        <w:t>&lt;/Amend&gt;</w:t>
      </w:r>
    </w:p>
    <w:p>
      <w:pPr>
        <w:pStyle w:val="AmNumberTabs"/>
      </w:pPr>
      <w:r>
        <w:rPr>
          <w:rStyle w:val="HideTWBExt"/>
        </w:rPr>
        <w:t>&lt;Amend&gt;</w:t>
      </w:r>
      <w:r>
        <w:t>Emendamento</w:t>
      </w:r>
      <w:r>
        <w:tab/>
      </w:r>
      <w:r>
        <w:tab/>
      </w:r>
      <w:r>
        <w:rPr>
          <w:rStyle w:val="HideTWBExt"/>
        </w:rPr>
        <w:t>&lt;NumAm&gt;</w:t>
      </w:r>
      <w:r>
        <w:t>5</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Visto 6 quater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visti la piattaforma d'azione di Pechino e gli esiti delle successive conferenze di revisione,</w:t>
            </w:r>
          </w:p>
        </w:tc>
      </w:tr>
    </w:tbl>
    <w:p>
      <w:r>
        <w:rPr>
          <w:rStyle w:val="HideTWBExt"/>
        </w:rPr>
        <w:t>&lt;/Amend&gt;</w:t>
      </w:r>
    </w:p>
    <w:p>
      <w:pPr>
        <w:pStyle w:val="AmNumberTabs"/>
      </w:pPr>
      <w:r>
        <w:rPr>
          <w:rStyle w:val="HideTWBExt"/>
        </w:rPr>
        <w:t>&lt;Amend&gt;</w:t>
      </w:r>
      <w:r>
        <w:t>Emendamento</w:t>
      </w:r>
      <w:r>
        <w:tab/>
      </w:r>
      <w:r>
        <w:tab/>
      </w:r>
      <w:r>
        <w:rPr>
          <w:rStyle w:val="HideTWBExt"/>
        </w:rPr>
        <w:t>&lt;NumAm&gt;</w:t>
      </w:r>
      <w:r>
        <w:t>6</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Visto 6 quinquies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viste le conclusioni del Consiglio del 10 dicembre 2018 in materia di donne, pace e sicurezza,</w:t>
            </w:r>
          </w:p>
        </w:tc>
      </w:tr>
    </w:tbl>
    <w:p>
      <w:r>
        <w:rPr>
          <w:rStyle w:val="HideTWBExt"/>
        </w:rPr>
        <w:t>&lt;/Amend&gt;</w:t>
      </w:r>
    </w:p>
    <w:p>
      <w:pPr>
        <w:pStyle w:val="AmNumberTabs"/>
      </w:pPr>
      <w:r>
        <w:rPr>
          <w:rStyle w:val="HideTWBExt"/>
        </w:rPr>
        <w:t>&lt;Amend&gt;</w:t>
      </w:r>
      <w:r>
        <w:t>Emendamento</w:t>
      </w:r>
      <w:r>
        <w:tab/>
      </w:r>
      <w:r>
        <w:tab/>
      </w:r>
      <w:r>
        <w:rPr>
          <w:rStyle w:val="HideTWBExt"/>
        </w:rPr>
        <w:t>&lt;NumAm&gt;</w:t>
      </w:r>
      <w:r>
        <w:t>7</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Visto 7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vista la sua risoluzione del 24 giugno 2021 sulla situazione della salute sessuale e riproduttiva e relativi diritti nell'UE, nel quadro della salute delle donne</w:t>
            </w:r>
            <w:r>
              <w:rPr>
                <w:vertAlign w:val="superscript"/>
              </w:rPr>
              <w:t>1a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GU C 81 del 18.2.2022, pag. 43.</w:t>
            </w:r>
          </w:p>
        </w:tc>
      </w:tr>
    </w:tbl>
    <w:p>
      <w:r>
        <w:rPr>
          <w:rStyle w:val="HideTWBExt"/>
        </w:rPr>
        <w:t>&lt;/Amend&gt;</w:t>
      </w:r>
    </w:p>
    <w:p>
      <w:pPr>
        <w:pStyle w:val="AmNumberTabs"/>
      </w:pPr>
      <w:r>
        <w:rPr>
          <w:rStyle w:val="HideTWBExt"/>
        </w:rPr>
        <w:t>&lt;Amend&gt;</w:t>
      </w:r>
      <w:r>
        <w:t>Emendamento</w:t>
      </w:r>
      <w:r>
        <w:tab/>
      </w:r>
      <w:r>
        <w:tab/>
      </w:r>
      <w:r>
        <w:rPr>
          <w:rStyle w:val="HideTWBExt"/>
        </w:rPr>
        <w:t>&lt;NumAm&gt;</w:t>
      </w:r>
      <w:r>
        <w:t>8</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Visto 9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vista la risoluzione 1325 del Consiglio di sicurezza delle Nazioni Unite in materia di donne, pace e sicurezza,</w:t>
            </w:r>
          </w:p>
        </w:tc>
      </w:tr>
    </w:tbl>
    <w:p>
      <w:r>
        <w:rPr>
          <w:rStyle w:val="HideTWBExt"/>
        </w:rPr>
        <w:t>&lt;/Amend&gt;</w:t>
      </w:r>
    </w:p>
    <w:p>
      <w:pPr>
        <w:pStyle w:val="AmNumberTabs"/>
      </w:pPr>
      <w:r>
        <w:rPr>
          <w:rStyle w:val="HideTWBExt"/>
        </w:rPr>
        <w:t>&lt;Amend&gt;</w:t>
      </w:r>
      <w:r>
        <w:t>Emendamento</w:t>
      </w:r>
      <w:r>
        <w:tab/>
      </w:r>
      <w:r>
        <w:tab/>
      </w:r>
      <w:r>
        <w:rPr>
          <w:rStyle w:val="HideTWBExt"/>
        </w:rPr>
        <w:t>&lt;NumAm&gt;</w:t>
      </w:r>
      <w:r>
        <w:t>9</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Visto 19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w:t>
            </w:r>
            <w:r>
              <w:tab/>
            </w:r>
            <w:r>
              <w:rPr>
                <w:b/>
                <w:i/>
              </w:rPr>
              <w:t>vista la sua risoluzione del 29 novembre 2018 sulla situazione delle donne con disabilità</w:t>
            </w:r>
            <w:r>
              <w:rPr>
                <w:vertAlign w:val="superscript"/>
              </w:rPr>
              <w:t>1a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GU C 363 del 28.10.2020, pag. 164.</w:t>
            </w:r>
          </w:p>
        </w:tc>
      </w:tr>
    </w:tbl>
    <w:p>
      <w:r>
        <w:rPr>
          <w:rStyle w:val="HideTWBExt"/>
        </w:rPr>
        <w:t>&lt;/Amend&gt;</w:t>
      </w:r>
    </w:p>
    <w:p>
      <w:pPr>
        <w:pStyle w:val="AmNumberTabs"/>
      </w:pPr>
      <w:r>
        <w:rPr>
          <w:rStyle w:val="HideTWBExt"/>
        </w:rPr>
        <w:t>&lt;Amend&gt;</w:t>
      </w:r>
      <w:r>
        <w:t>Emendamento</w:t>
      </w:r>
      <w:r>
        <w:tab/>
      </w:r>
      <w:r>
        <w:tab/>
      </w:r>
      <w:r>
        <w:rPr>
          <w:rStyle w:val="HideTWBExt"/>
        </w:rPr>
        <w:t>&lt;NumAm&gt;</w:t>
      </w:r>
      <w:r>
        <w:t>10</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Considerando -A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w:t>
            </w:r>
            <w:r>
              <w:tab/>
            </w:r>
            <w:r>
              <w:rPr>
                <w:b/>
                <w:i/>
              </w:rPr>
              <w:t>considerando che le società caratterizzate dalla parità di genere sono più sane, sicure, giuste e prospere per tutti e tutte; che l'uguaglianza di genere e il conseguimento della parità di diritti per le donne sono presupposti inderogabili della democrazia e il rispetto dello Stato di diritto;</w:t>
            </w:r>
          </w:p>
        </w:tc>
      </w:tr>
    </w:tbl>
    <w:p>
      <w:r>
        <w:rPr>
          <w:rStyle w:val="HideTWBExt"/>
        </w:rPr>
        <w:t>&lt;/Amend&gt;</w:t>
      </w:r>
    </w:p>
    <w:p>
      <w:pPr>
        <w:pStyle w:val="AmNumberTabs"/>
      </w:pPr>
      <w:r>
        <w:rPr>
          <w:rStyle w:val="HideTWBExt"/>
        </w:rPr>
        <w:t>&lt;Amend&gt;</w:t>
      </w:r>
      <w:r>
        <w:t>Emendamento</w:t>
      </w:r>
      <w:r>
        <w:tab/>
      </w:r>
      <w:r>
        <w:tab/>
      </w:r>
      <w:r>
        <w:rPr>
          <w:rStyle w:val="HideTWBExt"/>
        </w:rPr>
        <w:t>&lt;NumAm&gt;</w:t>
      </w:r>
      <w:r>
        <w:t>11</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Considerando A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bis.</w:t>
            </w:r>
            <w:r>
              <w:tab/>
            </w:r>
            <w:r>
              <w:rPr>
                <w:b/>
                <w:i/>
              </w:rPr>
              <w:t>considerando che le donne e le ragazze che vivono in contesti di crisi umanitaria sono vittime di gravi disuguaglianze di genere, come ad esempio un accesso limitato alle risorse, tra cui agli alimenti, la mancanza di istruzione, lavoro e salute, tra cui la salute sessuale e riproduttiva e relativi diritti, nonché un accresciuto rischio di violenza di genere; che la vita in siffatte condizioni aggrava altresì la vulnerabilità dei minori; che le donne con disabilità confrontate a crisi umanitarie sono maggiormente esposte al rischio di esclusione, discriminazione e violenza;</w:t>
            </w:r>
          </w:p>
        </w:tc>
      </w:tr>
    </w:tbl>
    <w:p>
      <w:r>
        <w:rPr>
          <w:rStyle w:val="HideTWBExt"/>
        </w:rPr>
        <w:t>&lt;/Amend&gt;</w:t>
      </w:r>
    </w:p>
    <w:p>
      <w:pPr>
        <w:pStyle w:val="AmNumberTabs"/>
      </w:pPr>
      <w:r>
        <w:rPr>
          <w:rStyle w:val="HideTWBExt"/>
        </w:rPr>
        <w:t>&lt;Amend&gt;</w:t>
      </w:r>
      <w:r>
        <w:t>Emendamento</w:t>
      </w:r>
      <w:r>
        <w:tab/>
      </w:r>
      <w:r>
        <w:tab/>
      </w:r>
      <w:r>
        <w:rPr>
          <w:rStyle w:val="HideTWBExt"/>
        </w:rPr>
        <w:t>&lt;NumAm&gt;</w:t>
      </w:r>
      <w:r>
        <w:t>12</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Considerando A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A ter.</w:t>
            </w:r>
            <w:r>
              <w:tab/>
            </w:r>
            <w:r>
              <w:rPr>
                <w:b/>
                <w:i/>
              </w:rPr>
              <w:t>considerando che la situazione in Afghanistan mette ancora a più dura prova risorse umanitarie già sotto pressione, oltre ad aggravare la difficile situazione di milioni di persone, tra cui donne e ragazze, che sopravvivono a stento;</w:t>
            </w:r>
          </w:p>
        </w:tc>
      </w:tr>
    </w:tbl>
    <w:p>
      <w:r>
        <w:rPr>
          <w:rStyle w:val="HideTWBExt"/>
        </w:rPr>
        <w:t>&lt;/Amend&gt;</w:t>
      </w:r>
    </w:p>
    <w:p>
      <w:pPr>
        <w:pStyle w:val="AmNumberTabs"/>
      </w:pPr>
      <w:r>
        <w:rPr>
          <w:rStyle w:val="HideTWBExt"/>
        </w:rPr>
        <w:t>&lt;Amend&gt;</w:t>
      </w:r>
      <w:r>
        <w:t>Emendamento</w:t>
      </w:r>
      <w:r>
        <w:tab/>
      </w:r>
      <w:r>
        <w:tab/>
      </w:r>
      <w:r>
        <w:rPr>
          <w:rStyle w:val="HideTWBExt"/>
        </w:rPr>
        <w:t>&lt;NumAm&gt;</w:t>
      </w:r>
      <w:r>
        <w:t>13</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Considerando B</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B.</w:t>
            </w:r>
            <w:r>
              <w:tab/>
            </w:r>
            <w:r>
              <w:t>considerando che il sistema umanitario deve far fronte un'enorme crisi dei finanziamenti; che lo smantellamento dei programmi dell'Agenzia statunitense per lo sviluppo internazionale (USAID)</w:t>
            </w:r>
            <w:r>
              <w:rPr>
                <w:vertAlign w:val="superscript"/>
              </w:rPr>
              <w:t>6</w:t>
            </w:r>
            <w:r>
              <w:t xml:space="preserve"> e la riduzione degli aiuti esteri provenienti da altri donatori chiave, tra cui diversi Stati membri dell'UE, hanno portato a un calo senza precedenti dei finanziamenti mondiali destinati a iniziative umanitarie, sanitarie </w:t>
            </w:r>
            <w:r>
              <w:rPr>
                <w:b/>
                <w:i/>
              </w:rPr>
              <w:t>e</w:t>
            </w:r>
            <w:r>
              <w:t xml:space="preserve"> climatiche; che tali tagli stanno avendo conseguenze devastanti sulla salute mondiale, il che sta aggravando ulteriormente il rischio di epidemie di malattie infettive, e sulla sicurezza alimentare; che tali tagli colpiscono in modo sproporzionato le donne e le ragazze; che tali tagli mettono ulteriormente a rischio la sicurezza e il benessere dei rifugiati;</w:t>
            </w:r>
          </w:p>
        </w:tc>
        <w:tc>
          <w:tcPr>
            <w:tcW w:w="4876" w:type="dxa"/>
            <w:tcBorders>
              <w:top w:val="nil"/>
              <w:left w:val="nil"/>
              <w:bottom w:val="nil"/>
              <w:right w:val="nil"/>
            </w:tcBorders>
          </w:tcPr>
          <w:p>
            <w:pPr>
              <w:pStyle w:val="Normal6a"/>
            </w:pPr>
            <w:r>
              <w:t>B.</w:t>
            </w:r>
            <w:r>
              <w:tab/>
            </w:r>
            <w:r>
              <w:t>considerando che il sistema umanitario deve far fronte un'enorme crisi dei finanziamenti; che lo smantellamento dei programmi dell'Agenzia statunitense per lo sviluppo internazionale (USAID)</w:t>
            </w:r>
            <w:r>
              <w:rPr>
                <w:vertAlign w:val="superscript"/>
              </w:rPr>
              <w:t>6</w:t>
            </w:r>
            <w:r>
              <w:t xml:space="preserve"> e la riduzione degli aiuti esteri provenienti da altri donatori chiave, tra cui diversi Stati membri dell'UE, hanno portato a un calo senza precedenti dei finanziamenti mondiali destinati a iniziative umanitarie, sanitarie, climatiche</w:t>
            </w:r>
            <w:r>
              <w:rPr>
                <w:b/>
                <w:i/>
              </w:rPr>
              <w:t xml:space="preserve"> e sulla parità di genere</w:t>
            </w:r>
            <w:r>
              <w:t>;</w:t>
            </w:r>
            <w:r>
              <w:rPr>
                <w:b/>
                <w:i/>
              </w:rPr>
              <w:t xml:space="preserve"> che il calo degli aiuti non fa che aggravare le crisi umanitarie;</w:t>
            </w:r>
            <w:r>
              <w:t xml:space="preserve"> che tali tagli stanno avendo conseguenze devastanti sulla salute mondiale, il che sta aggravando ulteriormente il rischio di epidemie di malattie infettive</w:t>
            </w:r>
            <w:r>
              <w:rPr>
                <w:b/>
                <w:i/>
              </w:rPr>
              <w:t>, gravidanze indesiderate e di ragazze minorenni, mortalità</w:t>
            </w:r>
            <w:r>
              <w:t xml:space="preserve"> e </w:t>
            </w:r>
            <w:r>
              <w:rPr>
                <w:b/>
                <w:i/>
              </w:rPr>
              <w:t>morbilità materna, nonché</w:t>
            </w:r>
            <w:r>
              <w:t xml:space="preserve"> sulla sicurezza alimentare; che tali tagli colpiscono in modo sproporzionato le donne e le ragazze</w:t>
            </w:r>
            <w:r>
              <w:rPr>
                <w:b/>
                <w:i/>
              </w:rPr>
              <w:t>, come pure le persone LGBTIQ+</w:t>
            </w:r>
            <w:r>
              <w:t>; che tali tagli mettono ulteriormente a rischio la sicurezza e il benessere dei rifugiati;</w:t>
            </w:r>
            <w:r>
              <w:rPr>
                <w:b/>
                <w:i/>
              </w:rPr>
              <w:t xml:space="preserve"> che il congelamento dei finanziamenti statunitensi ha gravemente perturbato gli sforzi umanitari, ostacolando l'attuazione di progetti, la gestione del personale e la capacità di aiutare donne e ragazze, producendo effetti particolarmente deleteri sul coinvolgimento delle donne nella risposta umanitaria; che investire nella parità di genere permette di salvare vite umane nei contesti umanitari; che vi sono prove del fatto che una programmazione umanitaria attenta alla dimensione di genere garantisce rendimenti elevati, equivalenti a 8 dollari per ogni dollaro investito</w:t>
            </w:r>
            <w:r>
              <w:rPr>
                <w:vertAlign w:val="superscript"/>
              </w:rPr>
              <w:t>6a</w:t>
            </w:r>
            <w:r>
              <w:rPr>
                <w:b/>
                <w:i/>
              </w:rPr>
              <w:t>; che l'attuale strategia globale dell'UE in materia di salute, adottata dalla Commissione nel 2022, fa della salute mondiale un pilastro essenziale della politica esterna dell'UE e una priorità di investimento nell'ambito della strategia Global Gateway;</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6</w:t>
            </w:r>
            <w:r>
              <w:t xml:space="preserve"> </w:t>
            </w:r>
            <w:r>
              <w:t>La Casa Bianca, "Reevaluating and Realigning United States Foreign Aid" (Rivalutazione e riallineamento degli aiuti esteri degli Stati Uniti), 20 gennaio 2025.</w:t>
            </w:r>
          </w:p>
        </w:tc>
        <w:tc>
          <w:tcPr>
            <w:tcW w:w="4876" w:type="dxa"/>
            <w:tcBorders>
              <w:top w:val="nil"/>
              <w:left w:val="nil"/>
              <w:bottom w:val="nil"/>
              <w:right w:val="nil"/>
            </w:tcBorders>
          </w:tcPr>
          <w:p>
            <w:pPr>
              <w:pStyle w:val="Normal6a"/>
            </w:pPr>
            <w:r>
              <w:rPr>
                <w:vertAlign w:val="superscript"/>
              </w:rPr>
              <w:t>6</w:t>
            </w:r>
            <w:r>
              <w:t xml:space="preserve"> </w:t>
            </w:r>
            <w:r>
              <w:t>La Casa Bianca, "Reevaluating and Realigning United States Foreign Aid" (Rivalutazione e riallineamento degli aiuti esteri degli Stati Uniti), 20 gennaio 2025.</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6a</w:t>
            </w:r>
            <w:r>
              <w:t xml:space="preserve"> </w:t>
            </w:r>
            <w:r>
              <w:rPr>
                <w:b/>
                <w:i/>
              </w:rPr>
              <w:t>https://www.unwomen.org/en/articles/facts-and-figures/facts-and-figures-humanitarian-action.</w:t>
            </w:r>
          </w:p>
        </w:tc>
      </w:tr>
    </w:tbl>
    <w:p>
      <w:r>
        <w:rPr>
          <w:rStyle w:val="HideTWBExt"/>
        </w:rPr>
        <w:t>&lt;/Amend&gt;</w:t>
      </w:r>
    </w:p>
    <w:p>
      <w:pPr>
        <w:pStyle w:val="AmNumberTabs"/>
      </w:pPr>
      <w:r>
        <w:rPr>
          <w:rStyle w:val="HideTWBExt"/>
        </w:rPr>
        <w:t>&lt;Amend&gt;</w:t>
      </w:r>
      <w:r>
        <w:t>Emendamento</w:t>
      </w:r>
      <w:r>
        <w:tab/>
      </w:r>
      <w:r>
        <w:tab/>
      </w:r>
      <w:r>
        <w:rPr>
          <w:rStyle w:val="HideTWBExt"/>
        </w:rPr>
        <w:t>&lt;NumAm&gt;</w:t>
      </w:r>
      <w:r>
        <w:t>14</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Considerando B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bis.</w:t>
            </w:r>
            <w:r>
              <w:tab/>
            </w:r>
            <w:r>
              <w:rPr>
                <w:b/>
                <w:i/>
              </w:rPr>
              <w:t>considerando che esistono sistemi globali a livello unionale e internazionale per la prestazione di aiuti umanitari; che, sebbene già esista un'assistenza umanitaria attenta alla dimensione di genere, permane nondimeno una serie di sfide crescenti riguardo alla fissazione delle priorità; che per "policrisi" si intende una serie complessa e interconnessa di crisi che si verificano simultaneamente</w:t>
            </w:r>
            <w:r>
              <w:rPr>
                <w:vertAlign w:val="superscript"/>
              </w:rPr>
              <w:t>1a</w:t>
            </w:r>
            <w:r>
              <w:rPr>
                <w:b/>
                <w:i/>
              </w:rPr>
              <w:t>; che le donne, le ragazze e le persone LGBTIQ+ in tutto il mondo e, in contesti specifici, i migranti e i profughi sono colpiti in modo sproporzionato dalla povertà, dalle crisi umanitarie, dal cambiamento climatico, dai conflitti, dalle guerre, dall'estremismo, dal terrorismo e dalla violenza sessuale legata ai conflitti, tra cui lo stupro come arma di guerra, lo sfruttamento sessuale, le malattie sessualmente trasmissibili, le gravidanze indesiderate e l'accesso limitato a risorse critiche quali un alloggio sicuro, cibo e acqua, e hanno maggiori probabilità di subire altre violazioni dei diritti umani che, secondo le segnalazioni di alcune ONG, sono perpetrate impunemente; che il persistere della pratica delle mutilazioni genitali femminili continua a destare grave preoccupazione, in particolare nel contesto di una policrisi, che acuisce le vulnerabilità delle donne e delle ragazze e richiede una ferma solidarietà nei confronti delle vittime; che in tempi di policrisi è importante prestare aiuti umanitari mirati alle donne e alle ragazze, tutelarle e garantirne la sopravvivenza, tra cui la protezione dalla violenza di genere, l'attenuazione generale dei rischi, la garanzia di accesso all'assistenza sanitaria, il sostegno ai mezzi di sussistenza e la partecipazione alla vita sociale e ai processi decisionali;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https://policy-lab.ec.europa.eu/news/unraveling-polycrisis-foresight-and-innovation-2025-03-26_en.</w:t>
            </w:r>
          </w:p>
        </w:tc>
      </w:tr>
    </w:tbl>
    <w:p>
      <w:r>
        <w:rPr>
          <w:rStyle w:val="HideTWBExt"/>
        </w:rPr>
        <w:t>&lt;/Amend&gt;</w:t>
      </w:r>
    </w:p>
    <w:p>
      <w:pPr>
        <w:pStyle w:val="AmNumberTabs"/>
      </w:pPr>
      <w:r>
        <w:rPr>
          <w:rStyle w:val="HideTWBExt"/>
        </w:rPr>
        <w:t>&lt;Amend&gt;</w:t>
      </w:r>
      <w:r>
        <w:t>Emendamento</w:t>
      </w:r>
      <w:r>
        <w:tab/>
      </w:r>
      <w:r>
        <w:tab/>
      </w:r>
      <w:r>
        <w:rPr>
          <w:rStyle w:val="HideTWBExt"/>
        </w:rPr>
        <w:t>&lt;NumAm&gt;</w:t>
      </w:r>
      <w:r>
        <w:t>15</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Considerando B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ter.</w:t>
            </w:r>
            <w:r>
              <w:tab/>
            </w:r>
            <w:r>
              <w:rPr>
                <w:b/>
                <w:i/>
              </w:rPr>
              <w:t>considerando che i tagli agli aiuti esteri e all'assistenza umanitaria hanno ricadute devastanti sulla salute, sulla parità di genere e sui diritti umani a livello mondiale; che le organizzazioni nazionali e locali guidate da donne e per i diritti delle donne sono tra quelle colpite più gravemente, in quanto attori fondamentali in contesti di crisi e che subiscono repressione, violenze e crescenti restrizioni in molte parti del mondo; che, allo stesso tempo, i tagli in questione incidono in maniera sproporzionata sulle donne, sulle ragazze, sulle persone con disabilità e su coloro che vivono in zone rurali e remote, esacerbando ulteriormente le disuguaglianze esistenti e ostacolandone l'accesso ai servizi sanitari, a un riparo sicuro e alle infrastrutture di base; che tali tagli interessano per lo più progetti legati alla salute sessuale, colpendo in maniera sproporzionata i gruppi emarginati, in particolare le donne e le ragazze, accrescendo così, tra l'altro, il rischio di focolai di malattie infettive, in particolare il rischio di una nuova crisi mondiale dell'HIV; che il ripristino della politica di Città del Messico (norma "global gag") negli Stati Uniti avrà incidenze drammatiche sulla salute sessuale e riproduttiva e sui relativi diritti in tutto il mondo, colpendo milioni di persone, in particolare quelle emarginate; che la precedente norma "global gag" (2017-2021) ha provocato la morte di circa 108 000 madri e bambini e 360 000 nuove infezioni da HIV</w:t>
            </w:r>
            <w:r>
              <w:rPr>
                <w:vertAlign w:val="superscript"/>
              </w:rPr>
              <w:t>1a</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1a</w:t>
            </w:r>
            <w:r>
              <w:t xml:space="preserve"> </w:t>
            </w:r>
            <w:r>
              <w:rPr>
                <w:b/>
                <w:i/>
              </w:rPr>
              <w:t>https://www.pnas.org/doi/full/10.1073/pnas.2123177119.</w:t>
            </w:r>
          </w:p>
        </w:tc>
      </w:tr>
    </w:tbl>
    <w:p>
      <w:r>
        <w:rPr>
          <w:rStyle w:val="HideTWBExt"/>
        </w:rPr>
        <w:t>&lt;/Amend&gt;</w:t>
      </w:r>
    </w:p>
    <w:p>
      <w:pPr>
        <w:pStyle w:val="AmNumberTabs"/>
      </w:pPr>
      <w:r>
        <w:rPr>
          <w:rStyle w:val="HideTWBExt"/>
        </w:rPr>
        <w:t>&lt;Amend&gt;</w:t>
      </w:r>
      <w:r>
        <w:t>Emendamento</w:t>
      </w:r>
      <w:r>
        <w:tab/>
      </w:r>
      <w:r>
        <w:tab/>
      </w:r>
      <w:r>
        <w:rPr>
          <w:rStyle w:val="HideTWBExt"/>
        </w:rPr>
        <w:t>&lt;NumAm&gt;</w:t>
      </w:r>
      <w:r>
        <w:t>16</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Considerando B quater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quater.</w:t>
            </w:r>
            <w:r>
              <w:tab/>
            </w:r>
            <w:r>
              <w:rPr>
                <w:b/>
                <w:i/>
              </w:rPr>
              <w:t>considerando che la violenza contro le donne, in tutte le sue declinazioni (fisica, sessuale, psicologica, economica o online), rappresenta una violazione dei diritti umani, una forma estrema di discriminazione nei confronti delle donne e uno dei principali ostacoli al conseguimento della parità di genere;</w:t>
            </w:r>
          </w:p>
        </w:tc>
      </w:tr>
    </w:tbl>
    <w:p>
      <w:r>
        <w:rPr>
          <w:rStyle w:val="HideTWBExt"/>
        </w:rPr>
        <w:t>&lt;/Amend&gt;</w:t>
      </w:r>
    </w:p>
    <w:p>
      <w:pPr>
        <w:pStyle w:val="AmNumberTabs"/>
      </w:pPr>
      <w:r>
        <w:rPr>
          <w:rStyle w:val="HideTWBExt"/>
        </w:rPr>
        <w:t>&lt;Amend&gt;</w:t>
      </w:r>
      <w:r>
        <w:t>Emendamento</w:t>
      </w:r>
      <w:r>
        <w:tab/>
      </w:r>
      <w:r>
        <w:tab/>
      </w:r>
      <w:r>
        <w:rPr>
          <w:rStyle w:val="HideTWBExt"/>
        </w:rPr>
        <w:t>&lt;NumAm&gt;</w:t>
      </w:r>
      <w:r>
        <w:t>17</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Considerando B quinquies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quinquies.</w:t>
            </w:r>
            <w:r>
              <w:tab/>
            </w:r>
            <w:r>
              <w:rPr>
                <w:b/>
                <w:i/>
              </w:rPr>
              <w:t>considerando che le donne e le persone LGBTIQ+ che affrontano forme molteplici e sovrapposte di discriminazione basate sulla razza, sulla disabilità, sullo status migratorio, sull'identità di genere, sull'orientamento sessuale o sul contesto socioeconomico sono spesso trascurate negli interventi umanitari e più esposte a violenza ed esclusione;</w:t>
            </w:r>
          </w:p>
        </w:tc>
      </w:tr>
    </w:tbl>
    <w:p>
      <w:r>
        <w:rPr>
          <w:rStyle w:val="HideTWBExt"/>
        </w:rPr>
        <w:t>&lt;/Amend&gt;</w:t>
      </w:r>
    </w:p>
    <w:p>
      <w:pPr>
        <w:pStyle w:val="AmNumberTabs"/>
      </w:pPr>
      <w:r>
        <w:rPr>
          <w:rStyle w:val="HideTWBExt"/>
        </w:rPr>
        <w:t>&lt;Amend&gt;</w:t>
      </w:r>
      <w:r>
        <w:t>Emendamento</w:t>
      </w:r>
      <w:r>
        <w:tab/>
      </w:r>
      <w:r>
        <w:tab/>
      </w:r>
      <w:r>
        <w:rPr>
          <w:rStyle w:val="HideTWBExt"/>
        </w:rPr>
        <w:t>&lt;NumAm&gt;</w:t>
      </w:r>
      <w:r>
        <w:t>18</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Considerando B sexies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sexies.</w:t>
            </w:r>
            <w:r>
              <w:tab/>
            </w:r>
            <w:r>
              <w:rPr>
                <w:b/>
                <w:i/>
              </w:rPr>
              <w:t>considerando che i movimenti anti-gender strumentalizzano sempre più le crisi umanitarie per contrastare la parità di genere e delegittimare le organizzazioni femminili, anche nei paesi partner dell'UE;</w:t>
            </w:r>
          </w:p>
        </w:tc>
      </w:tr>
    </w:tbl>
    <w:p>
      <w:r>
        <w:rPr>
          <w:rStyle w:val="HideTWBExt"/>
        </w:rPr>
        <w:t>&lt;/Amend&gt;</w:t>
      </w:r>
    </w:p>
    <w:p>
      <w:pPr>
        <w:pStyle w:val="AmNumberTabs"/>
      </w:pPr>
      <w:r>
        <w:rPr>
          <w:rStyle w:val="HideTWBExt"/>
        </w:rPr>
        <w:t>&lt;Amend&gt;</w:t>
      </w:r>
      <w:r>
        <w:t>Emendamento</w:t>
      </w:r>
      <w:r>
        <w:tab/>
      </w:r>
      <w:r>
        <w:tab/>
      </w:r>
      <w:r>
        <w:rPr>
          <w:rStyle w:val="HideTWBExt"/>
        </w:rPr>
        <w:t>&lt;NumAm&gt;</w:t>
      </w:r>
      <w:r>
        <w:t>19</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Considerando B septies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septies.</w:t>
            </w:r>
            <w:r>
              <w:tab/>
            </w:r>
            <w:r>
              <w:rPr>
                <w:b/>
                <w:i/>
              </w:rPr>
              <w:t>considerando che, secondo le Nazioni Unite, nel 2023 oltre 600 milioni di donne e ragazze vivevano entro 50 chilometri da una zona di conflitto, ossia oltre il 50 % in più rispetto a dieci anni fa;</w:t>
            </w:r>
          </w:p>
        </w:tc>
      </w:tr>
    </w:tbl>
    <w:p>
      <w:r>
        <w:rPr>
          <w:rStyle w:val="HideTWBExt"/>
        </w:rPr>
        <w:t>&lt;/Amend&gt;</w:t>
      </w:r>
    </w:p>
    <w:p>
      <w:pPr>
        <w:pStyle w:val="AmNumberTabs"/>
      </w:pPr>
      <w:r>
        <w:rPr>
          <w:rStyle w:val="HideTWBExt"/>
        </w:rPr>
        <w:t>&lt;Amend&gt;</w:t>
      </w:r>
      <w:r>
        <w:t>Emendamento</w:t>
      </w:r>
      <w:r>
        <w:tab/>
      </w:r>
      <w:r>
        <w:tab/>
      </w:r>
      <w:r>
        <w:rPr>
          <w:rStyle w:val="HideTWBExt"/>
        </w:rPr>
        <w:t>&lt;NumAm&gt;</w:t>
      </w:r>
      <w:r>
        <w:t>20</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Considerando B octies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B octies.</w:t>
            </w:r>
            <w:r>
              <w:tab/>
            </w:r>
            <w:r>
              <w:rPr>
                <w:b/>
                <w:i/>
              </w:rPr>
              <w:t>considerando che l'inaccessibilità fisica, tra cui la mancanza di infrastrutture e trasporti sicuri, limita notevolmente la capacità delle donne e delle ragazze di beneficiare di aiuti umanitari, assistenza sanitaria e protezione;</w:t>
            </w:r>
          </w:p>
        </w:tc>
      </w:tr>
    </w:tbl>
    <w:p>
      <w:r>
        <w:rPr>
          <w:rStyle w:val="HideTWBExt"/>
        </w:rPr>
        <w:t>&lt;/Amend&gt;</w:t>
      </w:r>
    </w:p>
    <w:p>
      <w:pPr>
        <w:pStyle w:val="AmNumberTabs"/>
      </w:pPr>
      <w:r>
        <w:rPr>
          <w:rStyle w:val="HideTWBExt"/>
        </w:rPr>
        <w:t>&lt;Amend&gt;</w:t>
      </w:r>
      <w:r>
        <w:t>Emendamento</w:t>
      </w:r>
      <w:r>
        <w:tab/>
      </w:r>
      <w:r>
        <w:tab/>
      </w:r>
      <w:r>
        <w:rPr>
          <w:rStyle w:val="HideTWBExt"/>
        </w:rPr>
        <w:t>&lt;NumAm&gt;</w:t>
      </w:r>
      <w:r>
        <w:t>21</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Considerando C</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C.</w:t>
            </w:r>
            <w:r>
              <w:tab/>
            </w:r>
            <w:r>
              <w:t>considerando che i conflitti e i cambiamenti climatici costituiscono i due principali fattori all'origine dell'aumento delle esigenze umanitarie e sono entrambi causati dall'uomo e reversibili attraverso un'azione concertata e collettiva; che i cambiamenti climatici e il degrado ambientale sono causa di maggiori instabilità e conflitti, rischi legati al clima, catastrofi naturali, scarsità di risorse, compresa l'insicurezza idrica e alimentare, sfollamenti interni e migrazioni forzate;</w:t>
            </w:r>
          </w:p>
        </w:tc>
        <w:tc>
          <w:tcPr>
            <w:tcW w:w="4876" w:type="dxa"/>
            <w:tcBorders>
              <w:top w:val="nil"/>
              <w:left w:val="nil"/>
              <w:bottom w:val="nil"/>
              <w:right w:val="nil"/>
            </w:tcBorders>
          </w:tcPr>
          <w:p>
            <w:pPr>
              <w:pStyle w:val="Normal6a"/>
            </w:pPr>
            <w:r>
              <w:t>C.</w:t>
            </w:r>
            <w:r>
              <w:tab/>
            </w:r>
            <w:r>
              <w:t>considerando che i conflitti e i cambiamenti climatici costituiscono i due principali fattori all'origine dell'aumento delle esigenze umanitarie e sono entrambi causati dall'uomo e reversibili attraverso un'azione concertata e collettiva</w:t>
            </w:r>
            <w:r>
              <w:rPr>
                <w:b/>
                <w:i/>
              </w:rPr>
              <w:t>, oltre a impattare maggiormente le popolazioni e i paesi più poveri</w:t>
            </w:r>
            <w:r>
              <w:t>; che i cambiamenti climatici</w:t>
            </w:r>
            <w:r>
              <w:rPr>
                <w:b/>
                <w:i/>
              </w:rPr>
              <w:t>, la perdita di biodiversità</w:t>
            </w:r>
            <w:r>
              <w:t xml:space="preserve"> e il degrado ambientale sono causa di maggiori instabilità e conflitti, rischi legati al clima, catastrofi naturali, scarsità di risorse, compresa l'insicurezza idrica e alimentare, sfollamenti interni e migrazioni forzate</w:t>
            </w:r>
            <w:r>
              <w:rPr>
                <w:b/>
                <w:i/>
              </w:rPr>
              <w:t>, colpendo così in maniera sproporzionata le donne e i gruppi vulnerabili</w:t>
            </w:r>
            <w:r>
              <w:t>;</w:t>
            </w:r>
          </w:p>
        </w:tc>
      </w:tr>
    </w:tbl>
    <w:p>
      <w:r>
        <w:rPr>
          <w:rStyle w:val="HideTWBExt"/>
        </w:rPr>
        <w:t>&lt;/Amend&gt;</w:t>
      </w:r>
    </w:p>
    <w:p>
      <w:pPr>
        <w:pStyle w:val="AmNumberTabs"/>
      </w:pPr>
      <w:r>
        <w:rPr>
          <w:rStyle w:val="HideTWBExt"/>
        </w:rPr>
        <w:t>&lt;Amend&gt;</w:t>
      </w:r>
      <w:r>
        <w:t>Emendamento</w:t>
      </w:r>
      <w:r>
        <w:tab/>
      </w:r>
      <w:r>
        <w:tab/>
      </w:r>
      <w:r>
        <w:rPr>
          <w:rStyle w:val="HideTWBExt"/>
        </w:rPr>
        <w:t>&lt;NumAm&gt;</w:t>
      </w:r>
      <w:r>
        <w:t>22</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Considerando C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C bis.</w:t>
            </w:r>
            <w:r>
              <w:tab/>
            </w:r>
            <w:r>
              <w:rPr>
                <w:b/>
                <w:i/>
              </w:rPr>
              <w:t>considerando che la situazione umanitaria in Sudan non è solo una catastrofe per il suo popolo, ma anche un fallimento globale dell'azione, della responsabilità e degli aiuti umanitari, e che sono le donne e le ragazze a subire maggiormente la tragedia in corso;</w:t>
            </w:r>
          </w:p>
        </w:tc>
      </w:tr>
    </w:tbl>
    <w:p>
      <w:r>
        <w:rPr>
          <w:rStyle w:val="HideTWBExt"/>
        </w:rPr>
        <w:t>&lt;/Amend&gt;</w:t>
      </w:r>
    </w:p>
    <w:p>
      <w:pPr>
        <w:pStyle w:val="AmNumberTabs"/>
      </w:pPr>
      <w:r>
        <w:rPr>
          <w:rStyle w:val="HideTWBExt"/>
        </w:rPr>
        <w:t>&lt;Amend&gt;</w:t>
      </w:r>
      <w:r>
        <w:t>Emendamento</w:t>
      </w:r>
      <w:r>
        <w:tab/>
      </w:r>
      <w:r>
        <w:tab/>
      </w:r>
      <w:r>
        <w:rPr>
          <w:rStyle w:val="HideTWBExt"/>
        </w:rPr>
        <w:t>&lt;NumAm&gt;</w:t>
      </w:r>
      <w:r>
        <w:t>23</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Considerando D</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D.</w:t>
            </w:r>
            <w:r>
              <w:tab/>
            </w:r>
            <w:r>
              <w:t xml:space="preserve">considerando che </w:t>
            </w:r>
            <w:r>
              <w:rPr>
                <w:b/>
                <w:i/>
              </w:rPr>
              <w:t>in numerosi contesti</w:t>
            </w:r>
            <w:r>
              <w:t xml:space="preserve"> esiste un'allarmante impossibilità di accesso all'aiuto umanitario, aggravata dall'accentuarsi di tendenze pericolose e corrosive nell'interpretazione e nell'applicazione del diritto internazionale umanitario;</w:t>
            </w:r>
          </w:p>
        </w:tc>
        <w:tc>
          <w:tcPr>
            <w:tcW w:w="4876" w:type="dxa"/>
            <w:tcBorders>
              <w:top w:val="nil"/>
              <w:left w:val="nil"/>
              <w:bottom w:val="nil"/>
              <w:right w:val="nil"/>
            </w:tcBorders>
          </w:tcPr>
          <w:p>
            <w:pPr>
              <w:pStyle w:val="Normal6a"/>
            </w:pPr>
            <w:r>
              <w:t>D.</w:t>
            </w:r>
            <w:r>
              <w:tab/>
            </w:r>
            <w:r>
              <w:t xml:space="preserve">considerando che esiste un'allarmante impossibilità di accesso </w:t>
            </w:r>
            <w:r>
              <w:rPr>
                <w:b/>
                <w:i/>
              </w:rPr>
              <w:t>senza restrizioni</w:t>
            </w:r>
            <w:r>
              <w:t xml:space="preserve"> all'aiuto umanitario </w:t>
            </w:r>
            <w:r>
              <w:rPr>
                <w:b/>
                <w:i/>
              </w:rPr>
              <w:t>per le persone in difficoltà, anche durante i conflitti, le catastrofi naturali, gli eventi climatici, le epidemie e lungo le rotte dei migranti</w:t>
            </w:r>
            <w:r>
              <w:t xml:space="preserve">, aggravata dall'accentuarsi di tendenze pericolose e corrosive nell'interpretazione e nell'applicazione del diritto internazionale </w:t>
            </w:r>
            <w:r>
              <w:rPr>
                <w:b/>
                <w:i/>
              </w:rPr>
              <w:t>dei diritti umani, del diritto internazionale</w:t>
            </w:r>
            <w:r>
              <w:t xml:space="preserve"> umanitario </w:t>
            </w:r>
            <w:r>
              <w:rPr>
                <w:b/>
                <w:i/>
              </w:rPr>
              <w:t>e dei principi umanitari;</w:t>
            </w:r>
            <w:r>
              <w:rPr>
                <w:b/>
                <w:i/>
              </w:rPr>
              <w:t xml:space="preserve"> che gli operatori dei diritti umani delle Nazioni Unite hanno segnalato l'inazione della comunità internazionale; che vi è un numero senza precedenti di attacchi contro gli operatori umanitari e la popolazione e le infrastrutture civili in situazioni di crisi e di conflitto; </w:t>
            </w:r>
            <w:r>
              <w:rPr>
                <w:b/>
                <w:i/>
              </w:rPr>
              <w:t>che le donne, le ragazze, le persone LGBTIQ+, i migranti e i rifugiati sono colpiti in modo sproporzionato da numerose crisi umanitarie in tutto il mondo</w:t>
            </w:r>
            <w:r>
              <w:rPr>
                <w:b/>
                <w:i/>
                <w:vertAlign w:val="superscript"/>
              </w:rPr>
              <w:t>1 bis</w:t>
            </w:r>
            <w:r>
              <w:rPr>
                <w:b/>
                <w:i/>
              </w:rPr>
              <w:t>, tra cui la più grave crisi umanitaria, degli sfollamenti e alimentare che si sta attualmente verificando in Sudan, il conflitto e gli sfollamenti in corso a Gaza, le conseguenze del terremoto in Myanmar/Birmania, i focolai di colera nella Repubblica democratica del Congo, le gravi carenze alimentari e idriche nel Corno d'Africa, i conflitti prolungati in Siria e nello Yemen e la crisi dei rifugiati in Sud Sudan</w:t>
            </w:r>
            <w: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vertAlign w:val="superscript"/>
              </w:rPr>
              <w:t>1 bis</w:t>
            </w:r>
            <w:r>
              <w:t xml:space="preserve"> </w:t>
            </w:r>
            <w:r>
              <w:rPr>
                <w:b/>
                <w:i/>
              </w:rPr>
              <w:t>https://www.oxfam.org.uk/documents/715/Rights_Resilience_Response.pdf.</w:t>
            </w:r>
          </w:p>
        </w:tc>
      </w:tr>
    </w:tbl>
    <w:p>
      <w:r>
        <w:rPr>
          <w:rStyle w:val="HideTWBExt"/>
        </w:rPr>
        <w:t>&lt;/Amend&gt;</w:t>
      </w:r>
    </w:p>
    <w:p>
      <w:pPr>
        <w:pStyle w:val="AmNumberTabs"/>
      </w:pPr>
      <w:r>
        <w:rPr>
          <w:rStyle w:val="HideTWBExt"/>
        </w:rPr>
        <w:t>&lt;Amend&gt;</w:t>
      </w:r>
      <w:r>
        <w:t>Emendamento</w:t>
      </w:r>
      <w:r>
        <w:tab/>
      </w:r>
      <w:r>
        <w:tab/>
      </w:r>
      <w:r>
        <w:rPr>
          <w:rStyle w:val="HideTWBExt"/>
        </w:rPr>
        <w:t>&lt;NumAm&gt;</w:t>
      </w:r>
      <w:r>
        <w:t>24</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Considerando D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bis.</w:t>
            </w:r>
            <w:r>
              <w:tab/>
            </w:r>
            <w:r>
              <w:rPr>
                <w:b/>
                <w:i/>
              </w:rPr>
              <w:t>considerando che più del 18 % delle donne e delle ragazze afghane non ha accesso o ha solo un accesso limitato alle operatrici umanitarie; che le operatrici umanitarie sono le uniche persone ad avere il permesso di parlare con le donne e le ragazze per poter valutare le loro esigenze e la fornitura di aiuti;</w:t>
            </w:r>
          </w:p>
        </w:tc>
      </w:tr>
    </w:tbl>
    <w:p>
      <w:r>
        <w:rPr>
          <w:rStyle w:val="HideTWBExt"/>
        </w:rPr>
        <w:t>&lt;/Amend&gt;</w:t>
      </w:r>
    </w:p>
    <w:p>
      <w:pPr>
        <w:pStyle w:val="AmNumberTabs"/>
      </w:pPr>
      <w:r>
        <w:rPr>
          <w:rStyle w:val="HideTWBExt"/>
        </w:rPr>
        <w:t>&lt;Amend&gt;</w:t>
      </w:r>
      <w:r>
        <w:t>Emendamento</w:t>
      </w:r>
      <w:r>
        <w:tab/>
      </w:r>
      <w:r>
        <w:tab/>
      </w:r>
      <w:r>
        <w:rPr>
          <w:rStyle w:val="HideTWBExt"/>
        </w:rPr>
        <w:t>&lt;NumAm&gt;</w:t>
      </w:r>
      <w:r>
        <w:t>25</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Considerando D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D ter.</w:t>
            </w:r>
            <w:r>
              <w:tab/>
            </w:r>
            <w:r>
              <w:rPr>
                <w:b/>
                <w:i/>
              </w:rPr>
              <w:t>considerando che gli aiuti umanitari dell'UE dovrebbero continuare a integrare e a tenere conto degli aspetti relativi alla dimensione di genere e all'età, prendendo in considerazione le esigenze specifiche, le vulnerabilità e le capacità di tutti;</w:t>
            </w:r>
          </w:p>
        </w:tc>
      </w:tr>
    </w:tbl>
    <w:p>
      <w:r>
        <w:rPr>
          <w:rStyle w:val="HideTWBExt"/>
        </w:rPr>
        <w:t>&lt;/Amend&gt;</w:t>
      </w:r>
    </w:p>
    <w:p>
      <w:pPr>
        <w:pStyle w:val="AmNumberTabs"/>
      </w:pPr>
      <w:r>
        <w:rPr>
          <w:rStyle w:val="HideTWBExt"/>
        </w:rPr>
        <w:t>&lt;Amend&gt;</w:t>
      </w:r>
      <w:r>
        <w:t>Emendamento</w:t>
      </w:r>
      <w:r>
        <w:tab/>
      </w:r>
      <w:r>
        <w:tab/>
      </w:r>
      <w:r>
        <w:rPr>
          <w:rStyle w:val="HideTWBExt"/>
        </w:rPr>
        <w:t>&lt;NumAm&gt;</w:t>
      </w:r>
      <w:r>
        <w:t>26</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 insiste sulla necessità che tutte le parti di un conflitto rispettino e garantiscano il rispetto del diritto internazionale umanitario e del diritto internazionale dei diritti umani; ribadisce la necessità di rafforzare la centralità dei principi umanitari nell'azione esterna dell'UE;</w:t>
            </w:r>
          </w:p>
        </w:tc>
        <w:tc>
          <w:tcPr>
            <w:tcW w:w="4876" w:type="dxa"/>
            <w:tcBorders>
              <w:top w:val="nil"/>
              <w:left w:val="nil"/>
              <w:bottom w:val="nil"/>
              <w:right w:val="nil"/>
            </w:tcBorders>
          </w:tcPr>
          <w:p>
            <w:pPr>
              <w:pStyle w:val="Normal6a"/>
            </w:pPr>
            <w:r>
              <w:t xml:space="preserve">1. insiste sulla necessità che tutte le parti di un conflitto rispettino e garantiscano il rispetto del diritto internazionale umanitario e del diritto internazionale dei diritti umani; </w:t>
            </w:r>
            <w:r>
              <w:rPr>
                <w:b/>
                <w:i/>
              </w:rPr>
              <w:t xml:space="preserve">osserva che lo stupro e altre forme di violenza sessuale sono utilizzati come armi di guerra e costituiscono crimini di guerra, crimini contro l'umanità o atti che afferiscono al crimine di genocidio; sottolinea il ruolo delle organizzazioni per i diritti delle donne nel fornire alle vittime l'accesso alla giustizia e ai servizi di sostegno; </w:t>
            </w:r>
            <w:r>
              <w:t xml:space="preserve">ribadisce la necessità di rafforzare </w:t>
            </w:r>
            <w:r>
              <w:rPr>
                <w:b/>
                <w:i/>
              </w:rPr>
              <w:t>saldamente</w:t>
            </w:r>
            <w:r>
              <w:t xml:space="preserve"> la centralità dei principi umanitari nell'azione esterna dell'UE;</w:t>
            </w:r>
            <w:r>
              <w:br/>
            </w:r>
          </w:p>
        </w:tc>
      </w:tr>
    </w:tbl>
    <w:p>
      <w:r>
        <w:rPr>
          <w:rStyle w:val="HideTWBExt"/>
        </w:rPr>
        <w:t>&lt;/Amend&gt;</w:t>
      </w:r>
    </w:p>
    <w:p>
      <w:pPr>
        <w:pStyle w:val="AmNumberTabs"/>
      </w:pPr>
      <w:r>
        <w:rPr>
          <w:rStyle w:val="HideTWBExt"/>
        </w:rPr>
        <w:t>&lt;Amend&gt;</w:t>
      </w:r>
      <w:r>
        <w:t>Emendamento</w:t>
      </w:r>
      <w:r>
        <w:tab/>
      </w:r>
      <w:r>
        <w:tab/>
      </w:r>
      <w:r>
        <w:rPr>
          <w:rStyle w:val="HideTWBExt"/>
        </w:rPr>
        <w:t>&lt;NumAm&gt;</w:t>
      </w:r>
      <w:r>
        <w:t>27</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1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 bis.</w:t>
            </w:r>
            <w:r>
              <w:tab/>
            </w:r>
            <w:r>
              <w:rPr>
                <w:b/>
                <w:i/>
              </w:rPr>
              <w:t>ricorda che l'UE è un'Unione basata sui valori e che la parità di genere è uno dei suoi principi fondamentali, sancito dall'articolo 2 TUE; sottolinea altresì che l'articolo 8 TFUE sancisce la responsabilità dell'UE di promuovere la parità di genere in tutte le sue azioni;</w:t>
            </w:r>
          </w:p>
        </w:tc>
      </w:tr>
    </w:tbl>
    <w:p>
      <w:r>
        <w:rPr>
          <w:rStyle w:val="HideTWBExt"/>
        </w:rPr>
        <w:t>&lt;/Amend&gt;</w:t>
      </w:r>
    </w:p>
    <w:p>
      <w:pPr>
        <w:pStyle w:val="AmNumberTabs"/>
      </w:pPr>
      <w:r>
        <w:rPr>
          <w:rStyle w:val="HideTWBExt"/>
        </w:rPr>
        <w:t>&lt;Amend&gt;</w:t>
      </w:r>
      <w:r>
        <w:t>Emendamento</w:t>
      </w:r>
      <w:r>
        <w:tab/>
      </w:r>
      <w:r>
        <w:tab/>
      </w:r>
      <w:r>
        <w:rPr>
          <w:rStyle w:val="HideTWBExt"/>
        </w:rPr>
        <w:t>&lt;NumAm&gt;</w:t>
      </w:r>
      <w:r>
        <w:t>28</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1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 ter.</w:t>
            </w:r>
            <w:r>
              <w:tab/>
            </w:r>
            <w:r>
              <w:rPr>
                <w:b/>
                <w:i/>
              </w:rPr>
              <w:t>sottolinea l'importanza di promuovere l'accesso alla salute sessuale e riproduttiva e ai relativi diritti a livello globale e l'impegno dell'UE a garantire l'accesso ai servizi di assistenza per la salute riproduttiva e materna, tra cui la contraccezione di emergenza, la profilassi post-esposizione, le cure per le infezioni sessualmente trasmesse e l'accesso all'aborto sicuro e legale per tutte le donne, comprese le donne sopravvissute a uno stupro, nell'ambito del loro diritto protetto alle cure mediche essenziali e della loro equa integrazione nei sistemi di assistenza sanitaria primaria e secondaria, come pure la gestione clinica dello stupro per le donne e le ragazze colpite da crisi umanitarie e per altre popolazioni vulnerabili, comprese quelle che subiscono discriminazioni intersezionali; esorta l'UE e i suoi partner umanitari a prevedere e a fornire efficacemente servizi di aborto sicuro all'interno del pacchetto di servizi iniziali minimi (minimum initial service package – MISP);</w:t>
            </w:r>
          </w:p>
        </w:tc>
      </w:tr>
    </w:tbl>
    <w:p>
      <w:r>
        <w:rPr>
          <w:rStyle w:val="HideTWBExt"/>
        </w:rPr>
        <w:t>&lt;/Amend&gt;</w:t>
      </w:r>
    </w:p>
    <w:p>
      <w:pPr>
        <w:pStyle w:val="AmNumberTabs"/>
      </w:pPr>
      <w:r>
        <w:rPr>
          <w:rStyle w:val="HideTWBExt"/>
        </w:rPr>
        <w:t>&lt;Amend&gt;</w:t>
      </w:r>
      <w:r>
        <w:t>Emendamento</w:t>
      </w:r>
      <w:r>
        <w:tab/>
      </w:r>
      <w:r>
        <w:tab/>
      </w:r>
      <w:r>
        <w:rPr>
          <w:rStyle w:val="HideTWBExt"/>
        </w:rPr>
        <w:t>&lt;NumAm&gt;</w:t>
      </w:r>
      <w:r>
        <w:t>29</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1 quater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 quater.</w:t>
            </w:r>
            <w:r>
              <w:tab/>
            </w:r>
            <w:r>
              <w:rPr>
                <w:b/>
                <w:i/>
              </w:rPr>
              <w:t>sottolinea l'importanza di garantire una prospettiva di genere quale parte integrante di tutte le azioni dell'UE in materia di aiuto umanitario e gestione delle crisi, compresa la politica estera; ricorda l'impegno dell'UE a favore degli obiettivi di sviluppo sostenibile (OSS), con particolare attenzione all'OSS 5 sul conseguimento della parità di genere e l'emancipazione delle donne e delle ragazze, elementi essenziali per creare società resilienti e inclusive; sottolinea che il conseguimento dell'OSS 5 è decisivo per raggiungere tutti gli altri OSS e pertanto determinante ai fini del conseguimento dei risultati stabiliti nell'agenda 2030;</w:t>
            </w:r>
          </w:p>
        </w:tc>
      </w:tr>
    </w:tbl>
    <w:p>
      <w:r>
        <w:rPr>
          <w:rStyle w:val="HideTWBExt"/>
        </w:rPr>
        <w:t>&lt;/Amend&gt;</w:t>
      </w:r>
    </w:p>
    <w:p>
      <w:pPr>
        <w:pStyle w:val="AmNumberTabs"/>
      </w:pPr>
      <w:r>
        <w:rPr>
          <w:rStyle w:val="HideTWBExt"/>
        </w:rPr>
        <w:t>&lt;Amend&gt;</w:t>
      </w:r>
      <w:r>
        <w:t>Emendamento</w:t>
      </w:r>
      <w:r>
        <w:tab/>
      </w:r>
      <w:r>
        <w:tab/>
      </w:r>
      <w:r>
        <w:rPr>
          <w:rStyle w:val="HideTWBExt"/>
        </w:rPr>
        <w:t>&lt;NumAm&gt;</w:t>
      </w:r>
      <w:r>
        <w:t>30</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1 quinquies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 quinquies.</w:t>
            </w:r>
            <w:r>
              <w:tab/>
            </w:r>
            <w:r>
              <w:rPr>
                <w:b/>
                <w:i/>
              </w:rPr>
              <w:t>esprime preoccupazione per il regresso della parità di genere e del quadro internazionale in materia di diritti umani, che si prefigge di proteggere le donne e le ragazze in situazioni di vulnerabilità o di emarginazione in tutto il mondo, comprese le persone LGBTIQ+; invita l'UE e tutti gli Stati membri dell'UE a intensificare gli sforzi per proteggere i valori fondamentali dell'UE e rafforzare il rispetto nei confronti dei diritti umani e del diritto internazionale;</w:t>
            </w:r>
          </w:p>
        </w:tc>
      </w:tr>
    </w:tbl>
    <w:p>
      <w:r>
        <w:rPr>
          <w:rStyle w:val="HideTWBExt"/>
        </w:rPr>
        <w:t>&lt;/Amend&gt;</w:t>
      </w:r>
    </w:p>
    <w:p>
      <w:pPr>
        <w:pStyle w:val="AmNumberTabs"/>
      </w:pPr>
      <w:r>
        <w:rPr>
          <w:rStyle w:val="HideTWBExt"/>
        </w:rPr>
        <w:t>&lt;Amend&gt;</w:t>
      </w:r>
      <w:r>
        <w:t>Emendamento</w:t>
      </w:r>
      <w:r>
        <w:tab/>
      </w:r>
      <w:r>
        <w:tab/>
      </w:r>
      <w:r>
        <w:rPr>
          <w:rStyle w:val="HideTWBExt"/>
        </w:rPr>
        <w:t>&lt;NumAm&gt;</w:t>
      </w:r>
      <w:r>
        <w:t>31</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1 sexies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 sexies.</w:t>
            </w:r>
            <w:r>
              <w:tab/>
            </w:r>
            <w:r>
              <w:rPr>
                <w:b/>
                <w:i/>
              </w:rPr>
              <w:t>sottolinea che le crisi umanitarie spesso aggravano le disuguaglianze di genere e le norme sociali discriminatorie preesistenti, limitando ulteriormente per le donne e le ragazze l'accesso ai servizi essenziali, il pieno esercizio dei diritti e l'autonomia personale;</w:t>
            </w:r>
          </w:p>
        </w:tc>
      </w:tr>
    </w:tbl>
    <w:p>
      <w:r>
        <w:rPr>
          <w:rStyle w:val="HideTWBExt"/>
        </w:rPr>
        <w:t>&lt;/Amend&gt;</w:t>
      </w:r>
    </w:p>
    <w:p>
      <w:pPr>
        <w:pStyle w:val="AmNumberTabs"/>
      </w:pPr>
      <w:r>
        <w:rPr>
          <w:rStyle w:val="HideTWBExt"/>
        </w:rPr>
        <w:t>&lt;Amend&gt;</w:t>
      </w:r>
      <w:r>
        <w:t>Emendamento</w:t>
      </w:r>
      <w:r>
        <w:tab/>
      </w:r>
      <w:r>
        <w:tab/>
      </w:r>
      <w:r>
        <w:rPr>
          <w:rStyle w:val="HideTWBExt"/>
        </w:rPr>
        <w:t>&lt;NumAm&gt;</w:t>
      </w:r>
      <w:r>
        <w:t>32</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1 septies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 septies.</w:t>
            </w:r>
            <w:r>
              <w:tab/>
            </w:r>
            <w:r>
              <w:rPr>
                <w:b/>
                <w:i/>
              </w:rPr>
              <w:t>esprime inquietudine per il fatto che le violazioni dei diritti umani e le violenze di genere continuino a essere diffuse nei contesti di conflitto, mentre gli sforzi di prevenzione e di sostegno alle persone sopravvissute e l'accesso alla giustizia continuino a essere insufficienti; è preoccupato per il fatto che, in un contesto di riduzione dei servizi, le organizzazioni guidate da donne e per i diritti delle donne temano che la violenza di genere possa restare impunita o aggravarsi;</w:t>
            </w:r>
          </w:p>
        </w:tc>
      </w:tr>
    </w:tbl>
    <w:p>
      <w:r>
        <w:rPr>
          <w:rStyle w:val="HideTWBExt"/>
        </w:rPr>
        <w:t>&lt;/Amend&gt;</w:t>
      </w:r>
    </w:p>
    <w:p>
      <w:pPr>
        <w:pStyle w:val="AmNumberTabs"/>
      </w:pPr>
      <w:r>
        <w:rPr>
          <w:rStyle w:val="HideTWBExt"/>
        </w:rPr>
        <w:t>&lt;Amend&gt;</w:t>
      </w:r>
      <w:r>
        <w:t>Emendamento</w:t>
      </w:r>
      <w:r>
        <w:tab/>
      </w:r>
      <w:r>
        <w:tab/>
      </w:r>
      <w:r>
        <w:rPr>
          <w:rStyle w:val="HideTWBExt"/>
        </w:rPr>
        <w:t>&lt;NumAm&gt;</w:t>
      </w:r>
      <w:r>
        <w:t>33</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1 octies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 octies.</w:t>
            </w:r>
            <w:r>
              <w:tab/>
            </w:r>
            <w:r>
              <w:rPr>
                <w:b/>
                <w:i/>
              </w:rPr>
              <w:t>esprime profonda preoccupazione per la distruzione delle infrastrutture sanitarie e il blocco sistematico degli aiuti umanitari a Gaza;  invita l'UE e gli Stati membri a garantire un accesso senza restrizioni ai servizi di salute sessuale e riproduttiva e di salute materna per tutte le donne e le ragazze colpite dal conflitto;</w:t>
            </w:r>
          </w:p>
        </w:tc>
      </w:tr>
    </w:tbl>
    <w:p>
      <w:r>
        <w:rPr>
          <w:rStyle w:val="HideTWBExt"/>
        </w:rPr>
        <w:t>&lt;/Amend&gt;</w:t>
      </w:r>
    </w:p>
    <w:p>
      <w:pPr>
        <w:pStyle w:val="AmNumberTabs"/>
      </w:pPr>
      <w:r>
        <w:rPr>
          <w:rStyle w:val="HideTWBExt"/>
        </w:rPr>
        <w:t>&lt;Amend&gt;</w:t>
      </w:r>
      <w:r>
        <w:t>Emendamento</w:t>
      </w:r>
      <w:r>
        <w:tab/>
      </w:r>
      <w:r>
        <w:tab/>
      </w:r>
      <w:r>
        <w:rPr>
          <w:rStyle w:val="HideTWBExt"/>
        </w:rPr>
        <w:t>&lt;NumAm&gt;</w:t>
      </w:r>
      <w:r>
        <w:t>34</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w:t>
            </w:r>
            <w:r>
              <w:tab/>
            </w:r>
            <w:r>
              <w:t xml:space="preserve">è allarmato per l'aumento delle violazioni del diritto internazionale umanitario verificatesi negli ultimi anni, alcune delle quali considerate metodi di guerra strategici, in particolare in Sudan, a Gaza, nella Repubblica democratica del Congo, in Ucraina e ad Haiti; </w:t>
            </w:r>
            <w:r>
              <w:rPr>
                <w:b/>
                <w:i/>
              </w:rPr>
              <w:t>sollecita un'azione</w:t>
            </w:r>
            <w:r>
              <w:t xml:space="preserve"> internazionale immediata </w:t>
            </w:r>
            <w:r>
              <w:rPr>
                <w:b/>
                <w:i/>
              </w:rPr>
              <w:t>allo scopo</w:t>
            </w:r>
            <w:r>
              <w:t xml:space="preserve"> di </w:t>
            </w:r>
            <w:r>
              <w:rPr>
                <w:b/>
                <w:i/>
              </w:rPr>
              <w:t>porre fine all'intollerabile crisi umanitaria</w:t>
            </w:r>
            <w:r>
              <w:t xml:space="preserve"> a Gaza, </w:t>
            </w:r>
            <w:r>
              <w:rPr>
                <w:b/>
                <w:i/>
              </w:rPr>
              <w:t>nel contesto del blocco imposto dal governo israeliano</w:t>
            </w:r>
            <w:r>
              <w:t>;</w:t>
            </w:r>
          </w:p>
        </w:tc>
        <w:tc>
          <w:tcPr>
            <w:tcW w:w="4876" w:type="dxa"/>
            <w:tcBorders>
              <w:top w:val="nil"/>
              <w:left w:val="nil"/>
              <w:bottom w:val="nil"/>
              <w:right w:val="nil"/>
            </w:tcBorders>
          </w:tcPr>
          <w:p>
            <w:pPr>
              <w:pStyle w:val="Normal6a"/>
            </w:pPr>
            <w:r>
              <w:t>2.</w:t>
            </w:r>
            <w:r>
              <w:tab/>
            </w:r>
            <w:r>
              <w:t xml:space="preserve">è allarmato per l'aumento delle violazioni del diritto internazionale umanitario verificatesi negli ultimi anni, alcune delle quali considerate metodi di guerra strategici, in particolare in Sudan, a Gaza, nella Repubblica democratica del Congo, in Ucraina e ad Haiti; </w:t>
            </w:r>
            <w:r>
              <w:rPr>
                <w:b/>
                <w:i/>
              </w:rPr>
              <w:t xml:space="preserve">evidenzia l'eccezionale gravità della crisi umanitaria a Gaza, in particolare per le donne, i bambini e altri gruppi vulnerabili, causata dal prolungato blocco e dai ripetuti attacchi su vasta scala perpetrati dal governo israeliano contro civili, ospedali, scuole e infrastrutture umanitarie; esprime seria preoccupazione per la catastrofica situazione umanitaria, specialmente per le donne e le ragazze, nella Striscia di Gaza, in particolare per la mancanza di cibo e la diffusa malnutrizione dovuta all'accesso insufficiente agli aiuti umanitari; </w:t>
            </w:r>
            <w:r>
              <w:rPr>
                <w:b/>
                <w:i/>
              </w:rPr>
              <w:t>ribadisce che i siti di distribuzione, i civili, gli operatori umanitari e il personale medico devono essere protetti e non devono diventare obiettivi dell'intervento militare;</w:t>
            </w:r>
            <w:r>
              <w:rPr>
                <w:b/>
                <w:i/>
              </w:rPr>
              <w:t xml:space="preserve"> </w:t>
            </w:r>
            <w:r>
              <w:rPr>
                <w:b/>
                <w:i/>
              </w:rPr>
              <w:t>evidenzia la necessità urgente di garantire a tutti gli organismi umanitari internazionali con esperienza un accesso integrale, rapido, sicuro e senza restrizioni alla Striscia di Gaza e alla totalità del suo territorio, in particolare per la fornitura di beni essenziali come cibo, acqua, forniture mediche e riparo, in linea con il diritto</w:t>
            </w:r>
            <w:r>
              <w:t xml:space="preserve"> internazionale</w:t>
            </w:r>
            <w:r>
              <w:rPr>
                <w:b/>
                <w:i/>
              </w:rPr>
              <w:t>, e chiede il ripristino immediato delle infrastrutture vitali;</w:t>
            </w:r>
            <w:r>
              <w:rPr>
                <w:b/>
                <w:i/>
              </w:rPr>
              <w:t xml:space="preserve"> </w:t>
            </w:r>
            <w:r>
              <w:rPr>
                <w:b/>
                <w:i/>
              </w:rPr>
              <w:t>pone in evidenza gli obblighi delle parti belligeranti in virtù del diritto internazionale umanitario per quanto riguarda la fornitura di aiuti umanitari;</w:t>
            </w:r>
            <w:r>
              <w:rPr>
                <w:b/>
                <w:i/>
              </w:rPr>
              <w:t xml:space="preserve"> sottolinea che la priorità dell'UE è chiara, vale a dire un cessate il fuoco immediato e permanente; </w:t>
            </w:r>
            <w:r>
              <w:rPr>
                <w:b/>
                <w:i/>
              </w:rPr>
              <w:t>chiede la liberazione</w:t>
            </w:r>
            <w:r>
              <w:t xml:space="preserve"> immediata </w:t>
            </w:r>
            <w:r>
              <w:rPr>
                <w:b/>
                <w:i/>
              </w:rPr>
              <w:t>e senza condizioni</w:t>
            </w:r>
            <w:r>
              <w:t xml:space="preserve"> di </w:t>
            </w:r>
            <w:r>
              <w:rPr>
                <w:b/>
                <w:i/>
              </w:rPr>
              <w:t>tutti gli ostaggi israeliani detenuti</w:t>
            </w:r>
            <w:r>
              <w:t xml:space="preserve"> a Gaza, </w:t>
            </w:r>
            <w:r>
              <w:rPr>
                <w:b/>
                <w:i/>
              </w:rPr>
              <w:t>sia vivi che deceduti;</w:t>
            </w:r>
            <w:r>
              <w:rPr>
                <w:b/>
                <w:i/>
              </w:rPr>
              <w:t xml:space="preserve"> </w:t>
            </w:r>
            <w:r>
              <w:rPr>
                <w:b/>
                <w:i/>
              </w:rPr>
              <w:t>osserva, tuttavia, che le continue morti di civili sono inaccettabili e che deve essere consentita la prestazione di aiuti essenziali, compresi quelli specifici per le donne e le ragazze</w:t>
            </w:r>
            <w:r>
              <w:t>;</w:t>
            </w:r>
          </w:p>
        </w:tc>
      </w:tr>
    </w:tbl>
    <w:p>
      <w:r>
        <w:rPr>
          <w:rStyle w:val="HideTWBExt"/>
        </w:rPr>
        <w:t>&lt;/Amend&gt;</w:t>
      </w:r>
    </w:p>
    <w:p>
      <w:pPr>
        <w:pStyle w:val="AmNumberTabs"/>
      </w:pPr>
      <w:r>
        <w:rPr>
          <w:rStyle w:val="HideTWBExt"/>
        </w:rPr>
        <w:t>&lt;Amend&gt;</w:t>
      </w:r>
      <w:r>
        <w:t>Emendamento</w:t>
      </w:r>
      <w:r>
        <w:tab/>
      </w:r>
      <w:r>
        <w:tab/>
      </w:r>
      <w:r>
        <w:rPr>
          <w:rStyle w:val="HideTWBExt"/>
        </w:rPr>
        <w:t>&lt;NumAm&gt;</w:t>
      </w:r>
      <w:r>
        <w:t>35</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2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bis.</w:t>
            </w:r>
            <w:r>
              <w:tab/>
            </w:r>
            <w:r>
              <w:rPr>
                <w:b/>
                <w:i/>
              </w:rPr>
              <w:t>osserva che l'aumento dei prezzi dei prodotti alimentari, dell'energia e dei fertilizzanti, causato dalla guerra a Gaza, dalla guerra di aggressione della Russia contro l'Ucraina e da altri conflitti, sta intensificando in modo significativo la necessità di aiuti umanitari; sottolinea che le complesse crisi geopolitiche hanno un impatto diretto sulla disponibilità di beni essenziali sui mercati globali, il che colpisce in particolare le popolazioni più vulnerabili, fra cui i bambini e le donne;</w:t>
            </w:r>
          </w:p>
        </w:tc>
      </w:tr>
    </w:tbl>
    <w:p>
      <w:r>
        <w:rPr>
          <w:rStyle w:val="HideTWBExt"/>
        </w:rPr>
        <w:t>&lt;/Amend&gt;</w:t>
      </w:r>
    </w:p>
    <w:p>
      <w:pPr>
        <w:pStyle w:val="AmNumberTabs"/>
      </w:pPr>
      <w:r>
        <w:rPr>
          <w:rStyle w:val="HideTWBExt"/>
        </w:rPr>
        <w:t>&lt;Amend&gt;</w:t>
      </w:r>
      <w:r>
        <w:t>Emendamento</w:t>
      </w:r>
      <w:r>
        <w:tab/>
      </w:r>
      <w:r>
        <w:tab/>
      </w:r>
      <w:r>
        <w:rPr>
          <w:rStyle w:val="HideTWBExt"/>
        </w:rPr>
        <w:t>&lt;NumAm&gt;</w:t>
      </w:r>
      <w:r>
        <w:t>36</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2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ter.</w:t>
            </w:r>
            <w:r>
              <w:tab/>
            </w:r>
            <w:r>
              <w:rPr>
                <w:b/>
                <w:i/>
              </w:rPr>
              <w:t>chiede altresì di mantenere e intensificare l'assistenza umanitaria dell'UE alla popolazione civile colpita dalla guerra di aggressione della Russia contro l'Ucraina, con particolare attenzione alle esigenze degli sfollati interni, dei rifugiati, degli anziani e dei minori, comprese le vittime di deportazioni forzate verso la Federazione russa e i territori occupati;</w:t>
            </w:r>
          </w:p>
        </w:tc>
      </w:tr>
    </w:tbl>
    <w:p>
      <w:r>
        <w:rPr>
          <w:rStyle w:val="HideTWBExt"/>
        </w:rPr>
        <w:t>&lt;/Amend&gt;</w:t>
      </w:r>
    </w:p>
    <w:p>
      <w:pPr>
        <w:pStyle w:val="AmNumberTabs"/>
      </w:pPr>
      <w:r>
        <w:rPr>
          <w:rStyle w:val="HideTWBExt"/>
        </w:rPr>
        <w:t>&lt;Amend&gt;</w:t>
      </w:r>
      <w:r>
        <w:t>Emendamento</w:t>
      </w:r>
      <w:r>
        <w:tab/>
      </w:r>
      <w:r>
        <w:tab/>
      </w:r>
      <w:r>
        <w:rPr>
          <w:rStyle w:val="HideTWBExt"/>
        </w:rPr>
        <w:t>&lt;NumAm&gt;</w:t>
      </w:r>
      <w:r>
        <w:t>37</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2 quater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quater.</w:t>
            </w:r>
            <w:r>
              <w:tab/>
            </w:r>
            <w:r>
              <w:rPr>
                <w:b/>
                <w:i/>
              </w:rPr>
              <w:t>deplora la mancanza di attenzione e di azione a livello internazionale per quanto riguarda le crisi nei paesi africani e in altri paesi in via di sviluppo, per cui si è creata una situazione in cui 6,7 milioni di persone in Sudan rischiano di subire violenze di genere; invita, pertanto, gli attori globali a garantire un migliore accesso al cibo, all'acqua pulita, all'assistenza medica e al sostegno psicologico, in particolare per le donne e i bambini; sottolinea l'importanza di promuovere in tutto il mondo i diritti delle donne e la parità di genere, fattori decisivi per la realizzazione dei diritti umani; evidenzia il fatto che, nonostante alcuni progressi, le donne e le ragazze continuano a subire discriminazioni e violenze di genere;</w:t>
            </w:r>
          </w:p>
        </w:tc>
      </w:tr>
    </w:tbl>
    <w:p>
      <w:r>
        <w:rPr>
          <w:rStyle w:val="HideTWBExt"/>
        </w:rPr>
        <w:t>&lt;/Amend&gt;</w:t>
      </w:r>
    </w:p>
    <w:p>
      <w:pPr>
        <w:pStyle w:val="AmNumberTabs"/>
      </w:pPr>
      <w:r>
        <w:rPr>
          <w:rStyle w:val="HideTWBExt"/>
        </w:rPr>
        <w:t>&lt;Amend&gt;</w:t>
      </w:r>
      <w:r>
        <w:t>Emendamento</w:t>
      </w:r>
      <w:r>
        <w:tab/>
      </w:r>
      <w:r>
        <w:tab/>
      </w:r>
      <w:r>
        <w:rPr>
          <w:rStyle w:val="HideTWBExt"/>
        </w:rPr>
        <w:t>&lt;NumAm&gt;</w:t>
      </w:r>
      <w:r>
        <w:t>38</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2 quinquies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 quinquies.</w:t>
            </w:r>
            <w:r>
              <w:tab/>
            </w:r>
            <w:r>
              <w:rPr>
                <w:b/>
                <w:i/>
              </w:rPr>
              <w:t>deplora il fatto che gli aiuti siano stati strumentalizzati da molti paesi, il che danneggia in modo sproporzionato donne e ragazze; sottolinea che, in quanto comunità internazionale, abbiamo l'obbligo di difendere il diritto internazionale umanitario, che è innegabilmente messo a dura prova in alcune regioni, il che aggrava ulteriormente le vulnerabilità delle donne e delle popolazioni emarginate;</w:t>
            </w:r>
          </w:p>
        </w:tc>
      </w:tr>
    </w:tbl>
    <w:p>
      <w:r>
        <w:rPr>
          <w:rStyle w:val="HideTWBExt"/>
        </w:rPr>
        <w:t>&lt;/Amend&gt;</w:t>
      </w:r>
    </w:p>
    <w:p>
      <w:pPr>
        <w:pStyle w:val="AmNumberTabs"/>
      </w:pPr>
      <w:r>
        <w:rPr>
          <w:rStyle w:val="HideTWBExt"/>
        </w:rPr>
        <w:t>&lt;Amend&gt;</w:t>
      </w:r>
      <w:r>
        <w:t>Emendamento</w:t>
      </w:r>
      <w:r>
        <w:tab/>
      </w:r>
      <w:r>
        <w:tab/>
      </w:r>
      <w:r>
        <w:rPr>
          <w:rStyle w:val="HideTWBExt"/>
        </w:rPr>
        <w:t>&lt;NumAm&gt;</w:t>
      </w:r>
      <w:r>
        <w:t>39</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3.</w:t>
            </w:r>
            <w:r>
              <w:tab/>
            </w:r>
            <w:r>
              <w:t>deplora la riduzione dello spazio umanitario e l'erosione dei principi umanitari, che rappresentano ostacoli significativi alla fornitura di assistenza vitale in diverse zone di conflitto; condanna fermamente l'allarmante aumento degli attacchi sferrati contro la popolazione civile e le infrastrutture necessarie per la sua sopravvivenza e contro gli operatori umanitari; chiede che i responsabili siano chiamati a rispondere delle loro azioni;</w:t>
            </w:r>
          </w:p>
        </w:tc>
        <w:tc>
          <w:tcPr>
            <w:tcW w:w="4876" w:type="dxa"/>
            <w:tcBorders>
              <w:top w:val="nil"/>
              <w:left w:val="nil"/>
              <w:bottom w:val="nil"/>
              <w:right w:val="nil"/>
            </w:tcBorders>
          </w:tcPr>
          <w:p>
            <w:pPr>
              <w:pStyle w:val="Normal6a"/>
            </w:pPr>
            <w:r>
              <w:t>3.</w:t>
            </w:r>
            <w:r>
              <w:tab/>
            </w:r>
            <w:r>
              <w:t xml:space="preserve">deplora la riduzione dello spazio umanitario e l'erosione dei principi umanitari, </w:t>
            </w:r>
            <w:r>
              <w:rPr>
                <w:b/>
                <w:i/>
              </w:rPr>
              <w:t>nonché il mancato rispetto delle istituzioni internazionali e dei mandati d'arresto della Corte penale internazionale,</w:t>
            </w:r>
            <w:r>
              <w:t xml:space="preserve"> che rappresentano ostacoli significativi alla fornitura di assistenza vitale in diverse zone di conflitto; condanna fermamente l'allarmante aumento degli attacchi sferrati contro la popolazione civile e le infrastrutture necessarie per la sua sopravvivenza e contro gli operatori umanitari; chiede che i responsabili siano chiamati a rispondere delle loro azioni;</w:t>
            </w:r>
          </w:p>
        </w:tc>
      </w:tr>
    </w:tbl>
    <w:p>
      <w:r>
        <w:rPr>
          <w:rStyle w:val="HideTWBExt"/>
        </w:rPr>
        <w:t>&lt;/Amend&gt;</w:t>
      </w:r>
    </w:p>
    <w:p>
      <w:pPr>
        <w:pStyle w:val="AmNumberTabs"/>
      </w:pPr>
      <w:r>
        <w:rPr>
          <w:rStyle w:val="HideTWBExt"/>
        </w:rPr>
        <w:t>&lt;Amend&gt;</w:t>
      </w:r>
      <w:r>
        <w:t>Emendamento</w:t>
      </w:r>
      <w:r>
        <w:tab/>
      </w:r>
      <w:r>
        <w:tab/>
      </w:r>
      <w:r>
        <w:rPr>
          <w:rStyle w:val="HideTWBExt"/>
        </w:rPr>
        <w:t>&lt;NumAm&gt;</w:t>
      </w:r>
      <w:r>
        <w:t>40</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4.</w:t>
            </w:r>
            <w:r>
              <w:tab/>
            </w:r>
            <w:r>
              <w:t xml:space="preserve">esprime profondo rammarico per </w:t>
            </w:r>
            <w:r>
              <w:rPr>
                <w:b/>
                <w:i/>
              </w:rPr>
              <w:t>l'intenzione</w:t>
            </w:r>
            <w:r>
              <w:t xml:space="preserve"> di alcuni Stati membri dell'UE di recedere dalla convenzione di Ottawa del 1997 e dalla convenzione di Oslo del 2008;</w:t>
            </w:r>
          </w:p>
        </w:tc>
        <w:tc>
          <w:tcPr>
            <w:tcW w:w="4876" w:type="dxa"/>
            <w:tcBorders>
              <w:top w:val="nil"/>
              <w:left w:val="nil"/>
              <w:bottom w:val="nil"/>
              <w:right w:val="nil"/>
            </w:tcBorders>
          </w:tcPr>
          <w:p>
            <w:pPr>
              <w:pStyle w:val="Normal6a"/>
            </w:pPr>
            <w:r>
              <w:t>4.</w:t>
            </w:r>
            <w:r>
              <w:tab/>
            </w:r>
            <w:r>
              <w:t xml:space="preserve">esprime profondo rammarico per </w:t>
            </w:r>
            <w:r>
              <w:rPr>
                <w:b/>
                <w:i/>
              </w:rPr>
              <w:t>il declassamento della priorità attribuita agli aiuti umanitari</w:t>
            </w:r>
            <w:r>
              <w:rPr>
                <w:b/>
                <w:i/>
              </w:rPr>
              <w:t xml:space="preserve">, in particolare per le donne e le ragazze, </w:t>
            </w:r>
            <w:r>
              <w:t>da parte</w:t>
            </w:r>
            <w:r>
              <w:t xml:space="preserve"> di alcuni Stati membri dell'UE</w:t>
            </w:r>
            <w:r>
              <w:rPr>
                <w:b/>
                <w:i/>
              </w:rPr>
              <w:t>, così come la loro intenzione</w:t>
            </w:r>
            <w:r>
              <w:t xml:space="preserve"> di recedere dalla convenzione di Ottawa del 1997 e dalla convenzione di Oslo del 2008;</w:t>
            </w:r>
          </w:p>
        </w:tc>
      </w:tr>
    </w:tbl>
    <w:p>
      <w:r>
        <w:rPr>
          <w:rStyle w:val="HideTWBExt"/>
        </w:rPr>
        <w:t>&lt;/Amend&gt;</w:t>
      </w:r>
    </w:p>
    <w:p>
      <w:pPr>
        <w:pStyle w:val="AmNumberTabs"/>
      </w:pPr>
      <w:r>
        <w:rPr>
          <w:rStyle w:val="HideTWBExt"/>
        </w:rPr>
        <w:t>&lt;Amend&gt;</w:t>
      </w:r>
      <w:r>
        <w:t>Emendamento</w:t>
      </w:r>
      <w:r>
        <w:tab/>
      </w:r>
      <w:r>
        <w:tab/>
      </w:r>
      <w:r>
        <w:rPr>
          <w:rStyle w:val="HideTWBExt"/>
        </w:rPr>
        <w:t>&lt;NumAm&gt;</w:t>
      </w:r>
      <w:r>
        <w:t>41</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5.</w:t>
            </w:r>
            <w:r>
              <w:tab/>
            </w:r>
            <w:r>
              <w:t>invita la Commissione a rafforzare le misure volte a prevenire le violazioni del diritto internazionale umanitario e a colmare le lacune esistenti nell'ambito del loro monitoraggio attraverso la raccolta di dati e attività di sensibilizzazione più efficaci e basate su dati concreti;</w:t>
            </w:r>
          </w:p>
        </w:tc>
        <w:tc>
          <w:tcPr>
            <w:tcW w:w="4876" w:type="dxa"/>
            <w:tcBorders>
              <w:top w:val="nil"/>
              <w:left w:val="nil"/>
              <w:bottom w:val="nil"/>
              <w:right w:val="nil"/>
            </w:tcBorders>
          </w:tcPr>
          <w:p>
            <w:pPr>
              <w:pStyle w:val="Normal6a"/>
            </w:pPr>
            <w:r>
              <w:t>5.</w:t>
            </w:r>
            <w:r>
              <w:tab/>
            </w:r>
            <w:r>
              <w:t xml:space="preserve">invita la Commissione </w:t>
            </w:r>
            <w:r>
              <w:rPr>
                <w:b/>
                <w:i/>
              </w:rPr>
              <w:t>e il Servizio europeo per l'azione esterna (SEAE)</w:t>
            </w:r>
            <w:r>
              <w:t xml:space="preserve"> a rafforzare le misure volte a prevenire le violazioni del diritto internazionale umanitario e a colmare le lacune esistenti nell'ambito del loro monitoraggio attraverso la raccolta di dati e attività di sensibilizzazione più efficaci e basate su dati concreti;</w:t>
            </w:r>
            <w:r>
              <w:rPr>
                <w:b/>
                <w:i/>
              </w:rPr>
              <w:t xml:space="preserve"> ribadisce la necessità che l'UE svolga un ruolo guida a livello multilaterale nella promozione dei diritti delle donne nella politica estera e in quella umanitaria; invita l'UE, i suoi Stati membri, la Commissione e il SEAE a impegnarsi a progredire verso una politica di sviluppo e umanitaria che comporti una visione attenta al genere e intersezionale, nonché a promuovere ulteriormente la parità di genere nella loro azione esterna; si compiace, a tal proposito, dell'aumento del numero delle persone di riferimento per le questioni di genere e della relativa formalizzazione, dato che il 99 % delle delegazioni dell'UE e l'87 % dei servizi centrali dispongono ormai di questa figura; sottolinea che i punti di contatto per le questioni di genere e relative all'età contribuiscono a mantenere l'attenzione sulla prevenzione della violenza di genere e sulla risposta alla stessa;</w:t>
            </w:r>
          </w:p>
        </w:tc>
      </w:tr>
    </w:tbl>
    <w:p>
      <w:r>
        <w:rPr>
          <w:rStyle w:val="HideTWBExt"/>
        </w:rPr>
        <w:t>&lt;/Amend&gt;</w:t>
      </w:r>
    </w:p>
    <w:p>
      <w:pPr>
        <w:pStyle w:val="AmNumberTabs"/>
      </w:pPr>
      <w:r>
        <w:rPr>
          <w:rStyle w:val="HideTWBExt"/>
        </w:rPr>
        <w:t>&lt;Amend&gt;</w:t>
      </w:r>
      <w:r>
        <w:t>Emendamento</w:t>
      </w:r>
      <w:r>
        <w:tab/>
      </w:r>
      <w:r>
        <w:tab/>
      </w:r>
      <w:r>
        <w:rPr>
          <w:rStyle w:val="HideTWBExt"/>
        </w:rPr>
        <w:t>&lt;NumAm&gt;</w:t>
      </w:r>
      <w:r>
        <w:t>42</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6.</w:t>
            </w:r>
            <w:r>
              <w:tab/>
            </w:r>
            <w:r>
              <w:t xml:space="preserve">invita ancora una volta </w:t>
            </w:r>
            <w:r>
              <w:rPr>
                <w:b/>
                <w:i/>
              </w:rPr>
              <w:t>alla</w:t>
            </w:r>
            <w:r>
              <w:t xml:space="preserve"> Commissione a sviluppare una strategia di diplomazia umanitaria dell'UE, in collaborazione con gli Stati membri e il Servizio europeo per l'azione esterna (SEAE), al fine di intensificare gli sforzi e garantire un approccio più sistematico e coordinato alla diplomazia umanitaria;</w:t>
            </w:r>
          </w:p>
        </w:tc>
        <w:tc>
          <w:tcPr>
            <w:tcW w:w="4876" w:type="dxa"/>
            <w:tcBorders>
              <w:top w:val="nil"/>
              <w:left w:val="nil"/>
              <w:bottom w:val="nil"/>
              <w:right w:val="nil"/>
            </w:tcBorders>
          </w:tcPr>
          <w:p>
            <w:pPr>
              <w:pStyle w:val="Normal6a"/>
            </w:pPr>
            <w:r>
              <w:t>6.</w:t>
            </w:r>
            <w:r>
              <w:tab/>
            </w:r>
            <w:r>
              <w:t>invita ancora una volta</w:t>
            </w:r>
            <w:r>
              <w:rPr>
                <w:b/>
                <w:i/>
              </w:rPr>
              <w:t>, con urgenza, la</w:t>
            </w:r>
            <w:r>
              <w:t xml:space="preserve"> Commissione a sviluppare una strategia di diplomazia umanitaria dell'UE, in collaborazione con gli Stati membri e il Servizio europeo per l'azione esterna (SEAE), al fine di intensificare gli sforzi e garantire un approccio più sistematico e coordinato alla diplomazia umanitaria;</w:t>
            </w:r>
          </w:p>
        </w:tc>
      </w:tr>
    </w:tbl>
    <w:p>
      <w:r>
        <w:rPr>
          <w:rStyle w:val="HideTWBExt"/>
        </w:rPr>
        <w:t>&lt;/Amend&gt;</w:t>
      </w:r>
    </w:p>
    <w:p>
      <w:pPr>
        <w:pStyle w:val="AmNumberTabs"/>
      </w:pPr>
      <w:r>
        <w:rPr>
          <w:rStyle w:val="HideTWBExt"/>
        </w:rPr>
        <w:t>&lt;Amend&gt;</w:t>
      </w:r>
      <w:r>
        <w:t>Emendamento</w:t>
      </w:r>
      <w:r>
        <w:tab/>
      </w:r>
      <w:r>
        <w:tab/>
      </w:r>
      <w:r>
        <w:rPr>
          <w:rStyle w:val="HideTWBExt"/>
        </w:rPr>
        <w:t>&lt;NumAm&gt;</w:t>
      </w:r>
      <w:r>
        <w:t>43</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6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 bis.</w:t>
            </w:r>
            <w:r>
              <w:tab/>
            </w:r>
            <w:r>
              <w:rPr>
                <w:b/>
                <w:i/>
              </w:rPr>
              <w:t>sottolinea la necessità di un accesso umanitario indipendente a tutte le strutture connesse alla migrazione, compresi i centri di trattenimento, i punti di crisi e le zone di frontiera informali, in cui le donne e le persone LGBTIQ+ sono esposte a maggiori rischi di violenza e sfruttamento ed è loro negato l'accesso ai servizi essenziali, fra cui l'assistenza sanitaria sessuale e riproduttiva; chiede meccanismi trasparenti di monitoraggio e responsabilità in tali contesti;</w:t>
            </w:r>
          </w:p>
        </w:tc>
      </w:tr>
    </w:tbl>
    <w:p>
      <w:r>
        <w:rPr>
          <w:rStyle w:val="HideTWBExt"/>
        </w:rPr>
        <w:t>&lt;/Amend&gt;</w:t>
      </w:r>
    </w:p>
    <w:p>
      <w:pPr>
        <w:pStyle w:val="AmNumberTabs"/>
      </w:pPr>
      <w:r>
        <w:rPr>
          <w:rStyle w:val="HideTWBExt"/>
        </w:rPr>
        <w:t>&lt;Amend&gt;</w:t>
      </w:r>
      <w:r>
        <w:t>Emendamento</w:t>
      </w:r>
      <w:r>
        <w:tab/>
      </w:r>
      <w:r>
        <w:tab/>
      </w:r>
      <w:r>
        <w:rPr>
          <w:rStyle w:val="HideTWBExt"/>
        </w:rPr>
        <w:t>&lt;NumAm&gt;</w:t>
      </w:r>
      <w:r>
        <w:t>44</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6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6 ter.</w:t>
            </w:r>
            <w:r>
              <w:tab/>
            </w:r>
            <w:r>
              <w:rPr>
                <w:b/>
                <w:i/>
              </w:rPr>
              <w:t>invita la Commissione e gli Stati membri a sviluppare programmi di risarcimento, comprese misure simboliche, materiali e psicosociali, per i sopravvissuti a violazioni dei diritti sessuali e riproduttivi in contesti umanitari, in conformità agli obblighi internazionali in materia di diritti umani; sottolinea la necessità di includere le comunità interessate, in particolare le donne e le ragazze, nella progettazione di tali meccanismi;</w:t>
            </w:r>
          </w:p>
        </w:tc>
      </w:tr>
    </w:tbl>
    <w:p>
      <w:r>
        <w:rPr>
          <w:rStyle w:val="HideTWBExt"/>
        </w:rPr>
        <w:t>&lt;/Amend&gt;</w:t>
      </w:r>
    </w:p>
    <w:p>
      <w:pPr>
        <w:pStyle w:val="AmNumberTabs"/>
      </w:pPr>
      <w:r>
        <w:rPr>
          <w:rStyle w:val="HideTWBExt"/>
        </w:rPr>
        <w:t>&lt;Amend&gt;</w:t>
      </w:r>
      <w:r>
        <w:t>Emendamento</w:t>
      </w:r>
      <w:r>
        <w:tab/>
      </w:r>
      <w:r>
        <w:tab/>
      </w:r>
      <w:r>
        <w:rPr>
          <w:rStyle w:val="HideTWBExt"/>
        </w:rPr>
        <w:t>&lt;NumAm&gt;</w:t>
      </w:r>
      <w:r>
        <w:t>45</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7</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7.</w:t>
            </w:r>
            <w:r>
              <w:tab/>
            </w:r>
            <w:r>
              <w:t>invita la Commissione e gli Stati membri ad aumentare considerevolmente i finanziamenti umanitari nel prossimo quadro finanziario pluriennale (QFP), in considerazione, in particolare, del crescente divario tra esigenze umanitarie e finanziamenti;</w:t>
            </w:r>
          </w:p>
        </w:tc>
        <w:tc>
          <w:tcPr>
            <w:tcW w:w="4876" w:type="dxa"/>
            <w:tcBorders>
              <w:top w:val="nil"/>
              <w:left w:val="nil"/>
              <w:bottom w:val="nil"/>
              <w:right w:val="nil"/>
            </w:tcBorders>
          </w:tcPr>
          <w:p>
            <w:pPr>
              <w:pStyle w:val="Normal6a"/>
            </w:pPr>
            <w:r>
              <w:t>7.</w:t>
            </w:r>
            <w:r>
              <w:tab/>
            </w:r>
            <w:r>
              <w:t xml:space="preserve">invita la Commissione e gli Stati membri ad aumentare considerevolmente i </w:t>
            </w:r>
            <w:r>
              <w:rPr>
                <w:b/>
                <w:i/>
              </w:rPr>
              <w:t>loro</w:t>
            </w:r>
            <w:r>
              <w:t xml:space="preserve"> finanziamenti umanitari</w:t>
            </w:r>
            <w:r>
              <w:rPr>
                <w:b/>
                <w:i/>
              </w:rPr>
              <w:t>, anche</w:t>
            </w:r>
            <w:r>
              <w:t xml:space="preserve"> nel prossimo quadro finanziario pluriennale (QFP), in considerazione, in particolare, del crescente divario tra esigenze umanitarie e finanziamenti</w:t>
            </w:r>
            <w:r>
              <w:rPr>
                <w:b/>
                <w:i/>
              </w:rPr>
              <w:t>, e chiede che finanziamenti specifici, sostenibili, flessibili e pluriennali siano stanziati per garantire che le esigenze di donne e ragazze, comprese le loro esigenze in materia di salute sessuale e riproduttiva, siano soddisfatte nella risposta umanitaria, anche attraverso il finanziamento delle organizzazioni per i diritti delle donne, che hanno maggiore accesso alle comunità colpite dalle crisi</w:t>
            </w:r>
            <w:r>
              <w:t>;</w:t>
            </w:r>
          </w:p>
        </w:tc>
      </w:tr>
    </w:tbl>
    <w:p>
      <w:r>
        <w:rPr>
          <w:rStyle w:val="HideTWBExt"/>
        </w:rPr>
        <w:t>&lt;/Amend&gt;</w:t>
      </w:r>
    </w:p>
    <w:p>
      <w:pPr>
        <w:pStyle w:val="AmNumberTabs"/>
      </w:pPr>
      <w:r>
        <w:rPr>
          <w:rStyle w:val="HideTWBExt"/>
        </w:rPr>
        <w:t>&lt;Amend&gt;</w:t>
      </w:r>
      <w:r>
        <w:t>Emendamento</w:t>
      </w:r>
      <w:r>
        <w:tab/>
      </w:r>
      <w:r>
        <w:tab/>
      </w:r>
      <w:r>
        <w:rPr>
          <w:rStyle w:val="HideTWBExt"/>
        </w:rPr>
        <w:t>&lt;NumAm&gt;</w:t>
      </w:r>
      <w:r>
        <w:t>46</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7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 bis.</w:t>
            </w:r>
            <w:r>
              <w:tab/>
            </w:r>
            <w:r>
              <w:rPr>
                <w:b/>
                <w:i/>
              </w:rPr>
              <w:t>invita la Commissione ad assicurare che i finanziamenti per gli aiuti umanitari siano destinati in via prioritaria ai progetti e alle organizzazioni che aiutano le donne e le ragazze vittime di conflitti e del riscaldamento globale, rifugiate o in situazione di bisogno umanitario che maggiormente rischiano di subire tagli ai loro finanziamenti</w:t>
            </w:r>
            <w:r>
              <w:rPr>
                <w:vertAlign w:val="superscript"/>
              </w:rPr>
              <w:t>1 bis</w:t>
            </w:r>
            <w:r>
              <w:rPr>
                <w:b/>
                <w:i/>
              </w:rPr>
              <w:t>;</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 bis</w:t>
            </w:r>
            <w:r>
              <w:t xml:space="preserve"> </w:t>
            </w:r>
            <w:r>
              <w:rPr>
                <w:b/>
                <w:i/>
              </w:rPr>
              <w:t>UN Women, At a breaking point: The impact of foreign aid cuts on women's organizations in humanitarian crises worldwide (A un punto di rottura: impatto dei tagli agli aiuti esteri sulle organizzazioni femminili nel contesto delle crisi umanitarie nel mondo), aprile 2025.</w:t>
            </w:r>
          </w:p>
        </w:tc>
      </w:tr>
    </w:tbl>
    <w:p>
      <w:r>
        <w:rPr>
          <w:rStyle w:val="HideTWBExt"/>
        </w:rPr>
        <w:t>&lt;/Amend&gt;</w:t>
      </w:r>
    </w:p>
    <w:p>
      <w:pPr>
        <w:pStyle w:val="AmNumberTabs"/>
      </w:pPr>
      <w:r>
        <w:rPr>
          <w:rStyle w:val="HideTWBExt"/>
        </w:rPr>
        <w:t>&lt;Amend&gt;</w:t>
      </w:r>
      <w:r>
        <w:t>Emendamento</w:t>
      </w:r>
      <w:r>
        <w:tab/>
      </w:r>
      <w:r>
        <w:tab/>
      </w:r>
      <w:r>
        <w:rPr>
          <w:rStyle w:val="HideTWBExt"/>
        </w:rPr>
        <w:t>&lt;NumAm&gt;</w:t>
      </w:r>
      <w:r>
        <w:t>47</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7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 ter.</w:t>
            </w:r>
            <w:r>
              <w:tab/>
            </w:r>
            <w:r>
              <w:rPr>
                <w:b/>
                <w:i/>
              </w:rPr>
              <w:t>chiede che tutti i progetti umanitari finanziati dall'UE includano indicatori e meccanismi di monitoraggio che tengano conto della dimensione di genere per garantire che gli aiuti raggiungano efficacemente le donne e le ragazze, rispondano alle loro esigenze specifiche e contribuiscano a promuovere la parità di genere; sottolinea che è importante elaborare risposte umanitarie mirate che tengano conto delle esigenze e della realtà delle donne che vivono nelle zone rurali colpite da crisi multiple;</w:t>
            </w:r>
          </w:p>
        </w:tc>
      </w:tr>
    </w:tbl>
    <w:p>
      <w:r>
        <w:rPr>
          <w:rStyle w:val="HideTWBExt"/>
        </w:rPr>
        <w:t>&lt;/Amend&gt;</w:t>
      </w:r>
    </w:p>
    <w:p>
      <w:pPr>
        <w:pStyle w:val="AmNumberTabs"/>
      </w:pPr>
      <w:r>
        <w:rPr>
          <w:rStyle w:val="HideTWBExt"/>
        </w:rPr>
        <w:t>&lt;Amend&gt;</w:t>
      </w:r>
      <w:r>
        <w:t>Emendamento</w:t>
      </w:r>
      <w:r>
        <w:tab/>
      </w:r>
      <w:r>
        <w:tab/>
      </w:r>
      <w:r>
        <w:rPr>
          <w:rStyle w:val="HideTWBExt"/>
        </w:rPr>
        <w:t>&lt;NumAm&gt;</w:t>
      </w:r>
      <w:r>
        <w:t>48</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7 quater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 quater.</w:t>
            </w:r>
            <w:r>
              <w:tab/>
            </w:r>
            <w:r>
              <w:rPr>
                <w:b/>
                <w:i/>
              </w:rPr>
              <w:t>sottolinea che è importante riservare negli sforzi volti a sostenere approcci innovativi al finanziamento umanitario un'attenzione particolare a quelli che contribuiscono all'emancipazione economica e sociale delle donne e delle ragazze; sottolinea l'importanza di una rendicontazione trasparente e di valutazioni indipendenti per valutare l'impatto di genere dell'azione umanitaria finanziata dall'UE;</w:t>
            </w:r>
          </w:p>
        </w:tc>
      </w:tr>
    </w:tbl>
    <w:p>
      <w:r>
        <w:rPr>
          <w:rStyle w:val="HideTWBExt"/>
        </w:rPr>
        <w:t>&lt;/Amend&gt;</w:t>
      </w:r>
    </w:p>
    <w:p>
      <w:pPr>
        <w:pStyle w:val="AmNumberTabs"/>
      </w:pPr>
      <w:r>
        <w:rPr>
          <w:rStyle w:val="HideTWBExt"/>
        </w:rPr>
        <w:t>&lt;Amend&gt;</w:t>
      </w:r>
      <w:r>
        <w:t>Emendamento</w:t>
      </w:r>
      <w:r>
        <w:tab/>
      </w:r>
      <w:r>
        <w:tab/>
      </w:r>
      <w:r>
        <w:rPr>
          <w:rStyle w:val="HideTWBExt"/>
        </w:rPr>
        <w:t>&lt;NumAm&gt;</w:t>
      </w:r>
      <w:r>
        <w:t>49</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7 quinquies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 quinquies.</w:t>
            </w:r>
            <w:r>
              <w:tab/>
            </w:r>
            <w:r>
              <w:rPr>
                <w:b/>
                <w:i/>
              </w:rPr>
              <w:t>esorta la Commissione a respingere la crescente tendenza al definanziamento degli aiuti umanitari e sottolinea che il sostegno non è una questione di capacità, bensì di volontà politica e di responsabilità morale; insiste sul fatto che la Commissione e l'UE nel suo insieme devono dare l'esempio e garantire finanziamenti solidi e sostenuti per gli sforzi umanitari;</w:t>
            </w:r>
          </w:p>
        </w:tc>
      </w:tr>
    </w:tbl>
    <w:p>
      <w:r>
        <w:rPr>
          <w:rStyle w:val="HideTWBExt"/>
        </w:rPr>
        <w:t>&lt;/Amend&gt;</w:t>
      </w:r>
    </w:p>
    <w:p>
      <w:pPr>
        <w:pStyle w:val="AmNumberTabs"/>
      </w:pPr>
      <w:r>
        <w:rPr>
          <w:rStyle w:val="HideTWBExt"/>
        </w:rPr>
        <w:t>&lt;Amend&gt;</w:t>
      </w:r>
      <w:r>
        <w:t>Emendamento</w:t>
      </w:r>
      <w:r>
        <w:tab/>
      </w:r>
      <w:r>
        <w:tab/>
      </w:r>
      <w:r>
        <w:rPr>
          <w:rStyle w:val="HideTWBExt"/>
        </w:rPr>
        <w:t>&lt;NumAm&gt;</w:t>
      </w:r>
      <w:r>
        <w:t>50</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7 sexies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 sexies.</w:t>
            </w:r>
            <w:r>
              <w:tab/>
            </w:r>
            <w:r>
              <w:rPr>
                <w:b/>
                <w:i/>
              </w:rPr>
              <w:t>deplora che gli aiuti umanitari e allo sviluppo forniti dall'UE sotto forma di sovvenzioni alle ONG riconosciute come operanti per l'interesse pubblico siano strumentalizzati e criticati dai movimenti reazionari e dai partiti nazionalisti all'interno dello stesso Parlamento europeo;</w:t>
            </w:r>
          </w:p>
        </w:tc>
      </w:tr>
    </w:tbl>
    <w:p>
      <w:r>
        <w:rPr>
          <w:rStyle w:val="HideTWBExt"/>
        </w:rPr>
        <w:t>&lt;/Amend&gt;</w:t>
      </w:r>
    </w:p>
    <w:p>
      <w:pPr>
        <w:pStyle w:val="AmNumberTabs"/>
      </w:pPr>
      <w:r>
        <w:rPr>
          <w:rStyle w:val="HideTWBExt"/>
        </w:rPr>
        <w:t>&lt;Amend&gt;</w:t>
      </w:r>
      <w:r>
        <w:t>Emendamento</w:t>
      </w:r>
      <w:r>
        <w:tab/>
      </w:r>
      <w:r>
        <w:tab/>
      </w:r>
      <w:r>
        <w:rPr>
          <w:rStyle w:val="HideTWBExt"/>
        </w:rPr>
        <w:t>&lt;NumAm&gt;</w:t>
      </w:r>
      <w:r>
        <w:t>51</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7 septies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7 septies.</w:t>
            </w:r>
            <w:r>
              <w:tab/>
            </w:r>
            <w:r>
              <w:rPr>
                <w:b/>
                <w:i/>
              </w:rPr>
              <w:t>sottolinea che l'aumento della spesa per la difesa non deve andare a scapito degli aiuti umanitari, in particolare a fronte delle crisi globali che colpiscono in modo sproporzionato donne e ragazze; evidenzia che i tagli ai finanziamenti umanitari rischiano di aggravare le disuguaglianze di genere e di compromettere il sostegno fondamentale per la salute, la sicurezza e il sostentamento delle donne in situazioni di conflitto e catastrofi naturali;</w:t>
            </w:r>
          </w:p>
        </w:tc>
      </w:tr>
    </w:tbl>
    <w:p>
      <w:r>
        <w:rPr>
          <w:rStyle w:val="HideTWBExt"/>
        </w:rPr>
        <w:t>&lt;/Amend&gt;</w:t>
      </w:r>
    </w:p>
    <w:p>
      <w:pPr>
        <w:pStyle w:val="AmNumberTabs"/>
      </w:pPr>
      <w:r>
        <w:rPr>
          <w:rStyle w:val="HideTWBExt"/>
        </w:rPr>
        <w:t>&lt;Amend&gt;</w:t>
      </w:r>
      <w:r>
        <w:t>Emendamento</w:t>
      </w:r>
      <w:r>
        <w:tab/>
      </w:r>
      <w:r>
        <w:tab/>
      </w:r>
      <w:r>
        <w:rPr>
          <w:rStyle w:val="HideTWBExt"/>
        </w:rPr>
        <w:t>&lt;NumAm&gt;</w:t>
      </w:r>
      <w:r>
        <w:t>52</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11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11.</w:t>
            </w:r>
            <w:r>
              <w:tab/>
            </w:r>
            <w:r>
              <w:t>invita gli Stati membri a rispettare l'impegno collettivo a destinare almeno lo 0,7 % del reddito nazionale lordo (RNL) all'aiuto pubblico allo sviluppo (APS) e a consacrare il 10 % di quest'ultimo all'azione umanitaria;</w:t>
            </w:r>
          </w:p>
        </w:tc>
        <w:tc>
          <w:tcPr>
            <w:tcW w:w="4876" w:type="dxa"/>
            <w:tcBorders>
              <w:top w:val="nil"/>
              <w:left w:val="nil"/>
              <w:bottom w:val="nil"/>
              <w:right w:val="nil"/>
            </w:tcBorders>
          </w:tcPr>
          <w:p>
            <w:pPr>
              <w:pStyle w:val="Normal6a"/>
            </w:pPr>
            <w:r>
              <w:t>11.</w:t>
            </w:r>
            <w:r>
              <w:tab/>
            </w:r>
            <w:r>
              <w:t>invita gli Stati membri a rispettare l'impegno collettivo a destinare almeno lo 0,7 % del reddito nazionale lordo (RNL) all'aiuto pubblico allo sviluppo (APS) e a consacrare il 10 % di quest'ultimo all'azione umanitaria;</w:t>
            </w:r>
            <w:r>
              <w:rPr>
                <w:b/>
                <w:i/>
              </w:rPr>
              <w:t xml:space="preserve"> invita la Commissione a garantire finanziamenti regolari, adeguati e sostenibili; chiede che gli aiuti umanitari siano finanziati principalmente da risorse pubbliche, compresi quelli per le organizzazioni a favore della parità di genere e dei diritti delle donne, dal momento che una riduzione dell'assistenza comprometterà gravemente l'accesso ai servizi salvavita forniti dalle organizzazioni guidate da donne e per i diritti delle donne; ribadisce l'importanza di investire nelle donne e nelle ragazze come investimento strategico con un impatto positivo a lungo termine per tutti che incide sulla prosperità sociale ed economica delle generazioni future; deplora la revoca dei finanziamenti dell'USAID e ne riconosce le ripercussioni devastanti sull'obiettivo della comunità mondiale di conseguire la parità di genere e di emancipare tutte le donne e le ragazze; ne deplora l'impatto negativo sul tasso di mortalità materna dovuto al minore accesso all'educazione sessuale e all'assistenza sanitaria riproduttiva; sottolinea che investire nella parità di genere salva vite umane nei contesti umanitari; chiede alla Commissione e agli Stati membri di colmare urgentemente le lacune lasciate dagli Stati Uniti, intensificando altresì il contributo dell'UE a sostegno di organizzazioni che forniscono servizi salvavita in contesti umanitari, anche nell'ambito della salute sessuale e riproduttiva e dei relativi diritti;</w:t>
            </w:r>
          </w:p>
        </w:tc>
      </w:tr>
    </w:tbl>
    <w:p>
      <w:r>
        <w:rPr>
          <w:rStyle w:val="HideTWBExt"/>
        </w:rPr>
        <w:t>&lt;/Amend&gt;</w:t>
      </w:r>
    </w:p>
    <w:p>
      <w:pPr>
        <w:pStyle w:val="AmNumberTabs"/>
      </w:pPr>
      <w:r>
        <w:rPr>
          <w:rStyle w:val="HideTWBExt"/>
        </w:rPr>
        <w:t>&lt;Amend&gt;</w:t>
      </w:r>
      <w:r>
        <w:t>Emendamento</w:t>
      </w:r>
      <w:r>
        <w:tab/>
      </w:r>
      <w:r>
        <w:tab/>
      </w:r>
      <w:r>
        <w:rPr>
          <w:rStyle w:val="HideTWBExt"/>
        </w:rPr>
        <w:t>&lt;NumAm&gt;</w:t>
      </w:r>
      <w:r>
        <w:t>53</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11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11 bis.</w:t>
            </w:r>
            <w:r>
              <w:tab/>
            </w:r>
            <w:r>
              <w:rPr>
                <w:b/>
                <w:i/>
              </w:rPr>
              <w:t>segnala la crescente riduzione della priorità riconosciuta ai finanziamenti per i diritti delle donne e il fatto che i movimenti di base e le organizzazioni per i diritti delle donne continuano a essere sistematicamente sottofinanziati, dal momento che ricevono meno dell'1 % dell'APS globale</w:t>
            </w:r>
            <w:r>
              <w:rPr>
                <w:vertAlign w:val="superscript"/>
              </w:rPr>
              <w:t>1 bis</w:t>
            </w:r>
            <w:r>
              <w:rPr>
                <w:b/>
                <w:i/>
              </w:rPr>
              <w:t>; sottolinea altresì che si assiste a un preoccupante aumento dei finanziamenti anti-gender intesi a contrastare i progressi compiuti negli ultimi decenni per quanto riguarda i diritti delle donne e delle persone LGBTIQ+; chiede alla Commissione di impegnarsi a destinare, nell'ambito del prossimo QFP, l'85 % dei finanziamenti dell'APS a progetti che integrano la dimensione di genere come obiettivo importante o principale e almeno il 20 % a progetti che sostengano azioni che hanno la parità di genere e i diritti e l'emancipazione delle donne e delle ragazze come obiettivo principale; chiede che vengano istituiti meccanismi di protezione e ricollocazione specifici dell'Unione europea per i difensori dei diritti delle donne e le organizzazioni femministe presi di mira a causa del loro operato nell'ambito dei diritti sessuali e riproduttivi e dell'uguaglianza di genere, in particolare in contesti di autoritarismo, conflitto e occupazione;</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 bis</w:t>
            </w:r>
            <w:r>
              <w:t xml:space="preserve"> </w:t>
            </w:r>
            <w:r>
              <w:rPr>
                <w:b/>
                <w:i/>
              </w:rPr>
              <w:t>Nota informativa del think tank ODI, dal titolo "Where next for feminist foreign policy on funding feminist movements?" (Quali sono i prossimi passi per una politica estera femminista in materia di finanziamento dei movimenti femministi?), https://media.odi.org/documents/ODI-ET-FundingMovements-PB-EN-May24-Final.pdf.</w:t>
            </w:r>
          </w:p>
        </w:tc>
      </w:tr>
    </w:tbl>
    <w:p>
      <w:r>
        <w:rPr>
          <w:rStyle w:val="HideTWBExt"/>
        </w:rPr>
        <w:t>&lt;/Amend&gt;</w:t>
      </w:r>
    </w:p>
    <w:p>
      <w:pPr>
        <w:pStyle w:val="AmNumberTabs"/>
      </w:pPr>
      <w:r>
        <w:rPr>
          <w:rStyle w:val="HideTWBExt"/>
        </w:rPr>
        <w:t>&lt;Amend&gt;</w:t>
      </w:r>
      <w:r>
        <w:t>Emendamento</w:t>
      </w:r>
      <w:r>
        <w:tab/>
      </w:r>
      <w:r>
        <w:tab/>
      </w:r>
      <w:r>
        <w:rPr>
          <w:rStyle w:val="HideTWBExt"/>
        </w:rPr>
        <w:t>&lt;NumAm&gt;</w:t>
      </w:r>
      <w:r>
        <w:t>54</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12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12. sottolinea che la diversità dei contesti fragili rende necessari approcci mirati e strumenti finanziari specifici che promuovano un'azione concertata tra gli attori che operano nel settore dell'aiuto umanitario, dello sviluppo e della pace, con particolare attenzione al coinvolgimento e alla responsabilizzazione degli attori locali;</w:t>
            </w:r>
          </w:p>
        </w:tc>
        <w:tc>
          <w:tcPr>
            <w:tcW w:w="4876" w:type="dxa"/>
            <w:tcBorders>
              <w:top w:val="nil"/>
              <w:left w:val="nil"/>
              <w:bottom w:val="nil"/>
              <w:right w:val="nil"/>
            </w:tcBorders>
          </w:tcPr>
          <w:p>
            <w:pPr>
              <w:pStyle w:val="Normal6a"/>
            </w:pPr>
            <w:r>
              <w:t xml:space="preserve">12. </w:t>
            </w:r>
            <w:r>
              <w:rPr>
                <w:b/>
                <w:i/>
              </w:rPr>
              <w:t xml:space="preserve">sottolinea il legame profondo tra i conflitti armati e le crisi umanitarie e climatiche, l'incremento della migrazione forzata e della tratta di esseri umani, nonché il rischio di sfruttamento, che colpiscono in modo sproporzionato le donne e le ragazze; mette in evidenza la necessità di rafforzare le misure volte a prevenire, individuare, proteggere e fornire supporto alle vittime, assicurandosi che tutte le azioni umanitarie includano la dimensione di genere e promuovano i diritti delle persone più vulnerabili, mediante un coordinamento efficace tra le pertinenti istituzioni dell'UE, gli Stati membri e le organizzazioni internazionali; esprime preoccupazione per il rischio accresciuto di tratta di esseri umani in contesti umanitari, dove i trafficanti sfruttano le circostanze vulnerabili e disperate delle popolazioni sfollate, in particolare donne e ragazze; evidenzia la necessità di misure di protezione che tengano conto della dimensione di genere, compresi meccanismi di segnalazione sicuri, l'accesso ai servizi essenziali e l'integrazione degli sforzi contro la tratta di esseri umani in tutte le fasi della risposta umanitaria; </w:t>
            </w:r>
            <w:r>
              <w:t>sottolinea che la diversità dei contesti fragili rende necessari approcci mirati e strumenti finanziari specifici che promuovano un'azione concertata tra gli attori che operano nel settore dell'aiuto umanitario, dello sviluppo e della pace, con particolare attenzione al coinvolgimento e alla responsabilizzazione degli attori locali;</w:t>
            </w:r>
            <w:r>
              <w:rPr>
                <w:b/>
                <w:i/>
              </w:rPr>
              <w:t xml:space="preserve"> evidenzia il fatto che, nei contesti di crisi umanitaria, le donne e le ragazze sono colpite in modo sproporzionato dal crollo dei servizi essenziali e che le loro esigenze di base sono spesso le prime a non essere più soddisfatte, benché ci si aspetti da loro che colmino le carenze che affliggono i servizi, ad esempio assumendosi maggiori responsabilità di assistenza e garantendo prodotti alimentari e acqua; sottolinea che le strategie umanitarie devono tenere conto delle esigenze specifiche delle giovani donne e delle donne anziane, che spesso si trovano ad affrontare vulnerabilità distinte, tra cui l'esclusione dai processi di pianificazione, l'accesso limitato a servizi su misura e un maggiore rischio di abuso o abbandono; chiede l'istituzione di programmi specifici per i giovani, in particolare donne e ragazze, volti a garantire loro l'accesso all'istruzione, alla salute mestruale, alla salute sessuale e riproduttiva e a un sostegno psicosociale;</w:t>
            </w:r>
            <w:r>
              <w:br/>
            </w:r>
          </w:p>
        </w:tc>
      </w:tr>
    </w:tbl>
    <w:p>
      <w:r>
        <w:rPr>
          <w:rStyle w:val="HideTWBExt"/>
        </w:rPr>
        <w:t>&lt;/Amend&gt;</w:t>
      </w:r>
    </w:p>
    <w:p>
      <w:pPr>
        <w:pStyle w:val="AmNumberTabs"/>
      </w:pPr>
      <w:r>
        <w:rPr>
          <w:rStyle w:val="HideTWBExt"/>
        </w:rPr>
        <w:t>&lt;Amend&gt;</w:t>
      </w:r>
      <w:r>
        <w:t>Emendamento</w:t>
      </w:r>
      <w:r>
        <w:tab/>
      </w:r>
      <w:r>
        <w:tab/>
      </w:r>
      <w:r>
        <w:rPr>
          <w:rStyle w:val="HideTWBExt"/>
        </w:rPr>
        <w:t>&lt;NumAm&gt;</w:t>
      </w:r>
      <w:r>
        <w:t>55</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12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 bis.</w:t>
            </w:r>
            <w:r>
              <w:tab/>
            </w:r>
            <w:r>
              <w:rPr>
                <w:b/>
                <w:i/>
              </w:rPr>
              <w:t>invita a garantire l'emancipazione economica delle donne e delle ragazze e a provvedere affinché abbiano un accesso costante a fonti di reddito, all'istruzione, agli alimenti e a spazi sicuri, nonché a riconoscere che l'assenza di tali elementi essenziali aumenta notevolmente il rischio di violenza economica di genere, sfruttamento e pratiche dannose, quali i matrimoni precoci, lo sfruttamento sessuale e la migrazione attraverso rotte non sicure;</w:t>
            </w:r>
          </w:p>
        </w:tc>
      </w:tr>
    </w:tbl>
    <w:p>
      <w:r>
        <w:rPr>
          <w:rStyle w:val="HideTWBExt"/>
        </w:rPr>
        <w:t>&lt;/Amend&gt;</w:t>
      </w:r>
    </w:p>
    <w:p>
      <w:pPr>
        <w:pStyle w:val="AmNumberTabs"/>
      </w:pPr>
      <w:r>
        <w:rPr>
          <w:rStyle w:val="HideTWBExt"/>
        </w:rPr>
        <w:t>&lt;Amend&gt;</w:t>
      </w:r>
      <w:r>
        <w:t>Emendamento</w:t>
      </w:r>
      <w:r>
        <w:tab/>
      </w:r>
      <w:r>
        <w:tab/>
      </w:r>
      <w:r>
        <w:rPr>
          <w:rStyle w:val="HideTWBExt"/>
        </w:rPr>
        <w:t>&lt;NumAm&gt;</w:t>
      </w:r>
      <w:r>
        <w:t>56</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12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12 ter.</w:t>
            </w:r>
            <w:r>
              <w:tab/>
            </w:r>
            <w:r>
              <w:rPr>
                <w:b/>
                <w:i/>
              </w:rPr>
              <w:t>mette in risalto, in particolare, la situazione in Afghanistan, che attraversa una crisi umanitaria grave e complessa, con oltre 23,7 milioni di persone bisognose di assistenza; osserva che è probabile che la situazione si deteriori ulteriormente a causa dell'espulsione di rifugiati dal Pakistan e dall'Iran, nonché dell'attuale instabilità nella regione; accoglie con favore l'impegno dell'UE di stanziare 266 milioni di EUR in aiuti e chiede azioni locali mirate per assistere donne e ragazze;</w:t>
            </w:r>
          </w:p>
        </w:tc>
      </w:tr>
    </w:tbl>
    <w:p>
      <w:r>
        <w:rPr>
          <w:rStyle w:val="HideTWBExt"/>
        </w:rPr>
        <w:t>&lt;/Amend&gt;</w:t>
      </w:r>
    </w:p>
    <w:p>
      <w:pPr>
        <w:pStyle w:val="AmNumberTabs"/>
      </w:pPr>
      <w:r>
        <w:rPr>
          <w:rStyle w:val="HideTWBExt"/>
        </w:rPr>
        <w:t>&lt;Amend&gt;</w:t>
      </w:r>
      <w:r>
        <w:t>Emendamento</w:t>
      </w:r>
      <w:r>
        <w:tab/>
      </w:r>
      <w:r>
        <w:tab/>
      </w:r>
      <w:r>
        <w:rPr>
          <w:rStyle w:val="HideTWBExt"/>
        </w:rPr>
        <w:t>&lt;NumAm&gt;</w:t>
      </w:r>
      <w:r>
        <w:t>57</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13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13.</w:t>
            </w:r>
            <w:r>
              <w:tab/>
            </w:r>
            <w:r>
              <w:t xml:space="preserve">invita la Commissione a presentare senza indugio </w:t>
            </w:r>
            <w:r>
              <w:rPr>
                <w:b/>
                <w:i/>
              </w:rPr>
              <w:t>un approccio ambizioso</w:t>
            </w:r>
            <w:r>
              <w:t xml:space="preserve"> e </w:t>
            </w:r>
            <w:r>
              <w:rPr>
                <w:b/>
                <w:i/>
              </w:rPr>
              <w:t>integrato alla</w:t>
            </w:r>
            <w:r>
              <w:t xml:space="preserve"> fragilità e a consultare il Parlamento in merito alla relativa preparazione e attuazione;</w:t>
            </w:r>
          </w:p>
        </w:tc>
        <w:tc>
          <w:tcPr>
            <w:tcW w:w="4876" w:type="dxa"/>
            <w:tcBorders>
              <w:top w:val="nil"/>
              <w:left w:val="nil"/>
              <w:bottom w:val="nil"/>
              <w:right w:val="nil"/>
            </w:tcBorders>
          </w:tcPr>
          <w:p>
            <w:pPr>
              <w:pStyle w:val="Normal6a"/>
            </w:pPr>
            <w:r>
              <w:t>13.</w:t>
            </w:r>
            <w:r>
              <w:tab/>
            </w:r>
            <w:r>
              <w:t xml:space="preserve">invita la Commissione </w:t>
            </w:r>
            <w:r>
              <w:rPr>
                <w:b/>
                <w:i/>
              </w:rPr>
              <w:t>e il SEAE</w:t>
            </w:r>
            <w:r>
              <w:t xml:space="preserve"> a presentare senza indugio </w:t>
            </w:r>
            <w:r>
              <w:rPr>
                <w:b/>
                <w:i/>
              </w:rPr>
              <w:t>una strategia ambiziosa</w:t>
            </w:r>
            <w:r>
              <w:t xml:space="preserve"> e </w:t>
            </w:r>
            <w:r>
              <w:rPr>
                <w:b/>
                <w:i/>
              </w:rPr>
              <w:t>integrata in materia di</w:t>
            </w:r>
            <w:r>
              <w:t xml:space="preserve"> fragilità</w:t>
            </w:r>
            <w:r>
              <w:rPr>
                <w:b/>
                <w:i/>
              </w:rPr>
              <w:t>, tenendo conto della dimensione di genere,</w:t>
            </w:r>
            <w:r>
              <w:t xml:space="preserve"> e a consultare il Parlamento in merito alla relativa preparazione e attuazione;</w:t>
            </w:r>
            <w:r>
              <w:rPr>
                <w:b/>
                <w:i/>
              </w:rPr>
              <w:t xml:space="preserve"> sottolinea che le donne nei contesti umanitari non dovrebbero essere considerate soltanto come vittime, ma anche come agenti di cambiamento che guidano attivamente la trasformazione positiva e plasmano il proprio destino; </w:t>
            </w:r>
            <w:r>
              <w:rPr>
                <w:b/>
                <w:i/>
              </w:rPr>
              <w:t>evidenzia che il loro potenziale, la loro conoscenza e le loro capacità devono essere debitamente considerati e integrati nella riforma delle politiche e pratiche umanitarie e di sicurezza, al fine di garantire risposte più inclusive, efficaci e sostenibili;</w:t>
            </w:r>
          </w:p>
        </w:tc>
      </w:tr>
    </w:tbl>
    <w:p>
      <w:r>
        <w:rPr>
          <w:rStyle w:val="HideTWBExt"/>
        </w:rPr>
        <w:t>&lt;/Amend&gt;</w:t>
      </w:r>
    </w:p>
    <w:p>
      <w:pPr>
        <w:pStyle w:val="AmNumberTabs"/>
      </w:pPr>
      <w:r>
        <w:rPr>
          <w:rStyle w:val="HideTWBExt"/>
        </w:rPr>
        <w:t>&lt;Amend&gt;</w:t>
      </w:r>
      <w:r>
        <w:t>Emendamento</w:t>
      </w:r>
      <w:r>
        <w:tab/>
      </w:r>
      <w:r>
        <w:tab/>
      </w:r>
      <w:r>
        <w:rPr>
          <w:rStyle w:val="HideTWBExt"/>
        </w:rPr>
        <w:t>&lt;NumAm&gt;</w:t>
      </w:r>
      <w:r>
        <w:t>58</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13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 bis.</w:t>
            </w:r>
            <w:r>
              <w:tab/>
            </w:r>
            <w:r>
              <w:rPr>
                <w:b/>
                <w:i/>
              </w:rPr>
              <w:t>sottolinea l'urgente necessità di integrare una progettazione inclusiva e attenta alla dimensione di genere in tutta la pianificazione umanitaria, prestando particolare attenzione alle esigenze specifiche delle donne e delle ragazze, tra cui le donne incinte e i gruppi emarginati, come le persone LGBTIQ+, le persone con disabilità e le persone soggette a discriminazione intersezionale, e di garantire la loro partecipazione significativa ai processi decisionali in ambito umanitario; evidenzia che le risposte umanitarie devono dare priorità alla sicurezza e alla dignità delle donne e di altri gruppi vulnerabili spesso trascurati nei contesti di crisi, nonché all'accesso ai servizi da parte loro; ritiene a tale proposito che la raccolta di dati disaggregati per età, genere e disabilità sia fondamentale per pianificare e valutare una risposta umanitaria efficace;</w:t>
            </w:r>
          </w:p>
        </w:tc>
      </w:tr>
    </w:tbl>
    <w:p>
      <w:r>
        <w:rPr>
          <w:rStyle w:val="HideTWBExt"/>
        </w:rPr>
        <w:t>&lt;/Amend&gt;</w:t>
      </w:r>
    </w:p>
    <w:p>
      <w:pPr>
        <w:pStyle w:val="AmNumberTabs"/>
      </w:pPr>
      <w:r>
        <w:rPr>
          <w:rStyle w:val="HideTWBExt"/>
        </w:rPr>
        <w:t>&lt;Amend&gt;</w:t>
      </w:r>
      <w:r>
        <w:t>Emendamento</w:t>
      </w:r>
      <w:r>
        <w:tab/>
      </w:r>
      <w:r>
        <w:tab/>
      </w:r>
      <w:r>
        <w:rPr>
          <w:rStyle w:val="HideTWBExt"/>
        </w:rPr>
        <w:t>&lt;NumAm&gt;</w:t>
      </w:r>
      <w:r>
        <w:t>59</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13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 ter.</w:t>
            </w:r>
            <w:r>
              <w:tab/>
            </w:r>
            <w:r>
              <w:rPr>
                <w:b/>
                <w:i/>
              </w:rPr>
              <w:t>ricorda l'indicatore per genere ed età della Commissione relativamente alle azioni umanitarie e sottolinea l'importanza degli orientamenti su come integrare la dimensione di genere e di età nelle azioni umanitarie e su come applicare l'indicatore ai progetti umanitari;</w:t>
            </w:r>
          </w:p>
        </w:tc>
      </w:tr>
    </w:tbl>
    <w:p>
      <w:r>
        <w:rPr>
          <w:rStyle w:val="HideTWBExt"/>
        </w:rPr>
        <w:t>&lt;/Amend&gt;</w:t>
      </w:r>
    </w:p>
    <w:p>
      <w:pPr>
        <w:pStyle w:val="AmNumberTabs"/>
      </w:pPr>
      <w:r>
        <w:rPr>
          <w:rStyle w:val="HideTWBExt"/>
        </w:rPr>
        <w:t>&lt;Amend&gt;</w:t>
      </w:r>
      <w:r>
        <w:t>Emendamento</w:t>
      </w:r>
      <w:r>
        <w:tab/>
      </w:r>
      <w:r>
        <w:tab/>
      </w:r>
      <w:r>
        <w:rPr>
          <w:rStyle w:val="HideTWBExt"/>
        </w:rPr>
        <w:t>&lt;NumAm&gt;</w:t>
      </w:r>
      <w:r>
        <w:t>60</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13 quater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 quater.</w:t>
            </w:r>
            <w:r>
              <w:tab/>
            </w:r>
            <w:r>
              <w:rPr>
                <w:b/>
                <w:i/>
              </w:rPr>
              <w:t>sottolinea l'importanza che l'UE continui a sviluppare politiche e orientamenti nei settori pertinenti dell'aiuto umanitario, basandosi sull'impatto avuto dalle sue politiche tematiche in settori quali la protezione, la dimensione di genere, la disabilità, il cibo, la nutrizione, la salute, compresi la salute mentale e il sostegno psicosociale, i rifugi, l'acqua, i servizi igienico-sanitari, l'istruzione in situazioni di emergenza, l'ambiente e i metodi di erogazione dell'aiuto; chiede maggiori investimenti per il sostegno alla salute mentale, compresa l'assistenza informata sui traumi per le donne, le ragazze e le persone LGBTIQ+ in contesti umanitari, riconoscendo le conseguenze psicologiche a lungo termine dei conflitti armati, degli sfollamenti e della violenza di genere;</w:t>
            </w:r>
          </w:p>
        </w:tc>
      </w:tr>
    </w:tbl>
    <w:p>
      <w:r>
        <w:rPr>
          <w:rStyle w:val="HideTWBExt"/>
        </w:rPr>
        <w:t>&lt;/Amend&gt;</w:t>
      </w:r>
    </w:p>
    <w:p>
      <w:pPr>
        <w:pStyle w:val="AmNumberTabs"/>
      </w:pPr>
      <w:r>
        <w:rPr>
          <w:rStyle w:val="HideTWBExt"/>
        </w:rPr>
        <w:t>&lt;Amend&gt;</w:t>
      </w:r>
      <w:r>
        <w:t>Emendamento</w:t>
      </w:r>
      <w:r>
        <w:tab/>
      </w:r>
      <w:r>
        <w:tab/>
      </w:r>
      <w:r>
        <w:rPr>
          <w:rStyle w:val="HideTWBExt"/>
        </w:rPr>
        <w:t>&lt;NumAm&gt;</w:t>
      </w:r>
      <w:r>
        <w:t>61</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13 quinquies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 quinquies.</w:t>
            </w:r>
            <w:r>
              <w:tab/>
            </w:r>
            <w:r>
              <w:rPr>
                <w:b/>
                <w:i/>
              </w:rPr>
              <w:t>incoraggia la Commissione a pubblicare orientamenti che chiedano di includere sistematicamente nelle risposte umanitarie la fornitura e il finanziamento di prodotti e servizi per la salute sessuale e riproduttiva, come indicato nel MISP per la salute sessuale e riproduttiva, comprese la prevenzione dell'HIV/AIDS, la salute riproduttiva, della madre e del neonato, la pianificazione familiare e la risposta a specifiche esigenze e vulnerabilità nutrizionali;</w:t>
            </w:r>
          </w:p>
        </w:tc>
      </w:tr>
    </w:tbl>
    <w:p>
      <w:r>
        <w:rPr>
          <w:rStyle w:val="HideTWBExt"/>
        </w:rPr>
        <w:t>&lt;/Amend&gt;</w:t>
      </w:r>
    </w:p>
    <w:p>
      <w:pPr>
        <w:pStyle w:val="AmNumberTabs"/>
      </w:pPr>
      <w:r>
        <w:rPr>
          <w:rStyle w:val="HideTWBExt"/>
        </w:rPr>
        <w:t>&lt;Amend&gt;</w:t>
      </w:r>
      <w:r>
        <w:t>Emendamento</w:t>
      </w:r>
      <w:r>
        <w:tab/>
      </w:r>
      <w:r>
        <w:tab/>
      </w:r>
      <w:r>
        <w:rPr>
          <w:rStyle w:val="HideTWBExt"/>
        </w:rPr>
        <w:t>&lt;NumAm&gt;</w:t>
      </w:r>
      <w:r>
        <w:t>62</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13 sexies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13 sexies.</w:t>
            </w:r>
            <w:r>
              <w:tab/>
            </w:r>
            <w:r>
              <w:rPr>
                <w:b/>
                <w:i/>
              </w:rPr>
              <w:t>invita la Commissione e il SEAE a continuare a fare della promozione della parità di genere e dei diritti e dell'emancipazione delle donne, compresa l'attuazione dell'OSS 5, una priorità in tutte le iniziative di azione esterna dell'UE, anche facendo leva sulla diplomazia e sui partenariati strategici per promuovere la parità di genere nell'agenda politica mondiale, e ad adottare un piano d'azione sulla parità di genere e sull'emancipazione femminile nell'azione esterna IV;</w:t>
            </w:r>
          </w:p>
        </w:tc>
      </w:tr>
    </w:tbl>
    <w:p>
      <w:r>
        <w:rPr>
          <w:rStyle w:val="HideTWBExt"/>
        </w:rPr>
        <w:t>&lt;/Amend&gt;</w:t>
      </w:r>
    </w:p>
    <w:p>
      <w:pPr>
        <w:pStyle w:val="AmNumberTabs"/>
      </w:pPr>
      <w:r>
        <w:rPr>
          <w:rStyle w:val="HideTWBExt"/>
        </w:rPr>
        <w:t>&lt;Amend&gt;</w:t>
      </w:r>
      <w:r>
        <w:t>Emendamento</w:t>
      </w:r>
      <w:r>
        <w:tab/>
      </w:r>
      <w:r>
        <w:tab/>
      </w:r>
      <w:r>
        <w:rPr>
          <w:rStyle w:val="HideTWBExt"/>
        </w:rPr>
        <w:t>&lt;NumAm&gt;</w:t>
      </w:r>
      <w:r>
        <w:t>63</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14</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14.</w:t>
            </w:r>
            <w:r>
              <w:tab/>
            </w:r>
            <w:r>
              <w:t>invita l'UE a progredire nell'attuazione del nesso tra azione umanitaria, sviluppo e pace sostenendo le organizzazioni locali e garantendo il loro pieno coinvolgimento nel ciclo del programma umanitario;</w:t>
            </w:r>
          </w:p>
        </w:tc>
        <w:tc>
          <w:tcPr>
            <w:tcW w:w="4876" w:type="dxa"/>
            <w:tcBorders>
              <w:top w:val="nil"/>
              <w:left w:val="nil"/>
              <w:bottom w:val="nil"/>
              <w:right w:val="nil"/>
            </w:tcBorders>
          </w:tcPr>
          <w:p>
            <w:pPr>
              <w:pStyle w:val="Normal6a"/>
            </w:pPr>
            <w:r>
              <w:t>14.</w:t>
            </w:r>
            <w:r>
              <w:tab/>
            </w:r>
            <w:r>
              <w:t>invita l'UE a progredire nell'attuazione del nesso tra azione umanitaria, sviluppo e pace sostenendo le organizzazioni locali e garantendo il loro pieno coinvolgimento nel ciclo del programma umanitario;</w:t>
            </w:r>
            <w:r>
              <w:rPr>
                <w:b/>
                <w:i/>
              </w:rPr>
              <w:t xml:space="preserve"> esorta la Commissione a includere le donne in tutti i processi decisionali, in particolare a livello locale; invita la Commissione a preservare i partenariati esistenti con le organizzazioni locali guidate da donne e per i diritti delle donne e, laddove siano necessari cambiamenti, a garantire una comunicazione tempestiva e trasparente a sostegno di transizioni dignitose in grado di limitare i danni e della continuità dei servizi; si oppone fermamente all'uso degli aiuti umanitari a scopo di sicurezza o controllo della migrazione, compresa l'esternalizzazione delle frontiere; sottolinea che tali pratiche compromettono i principi dell'azione umanitaria e danneggiano in misura sproporzionata le donne, le ragazze, le persone LGBTIQ+ e le comunità sfollate; ricorda che i respingimenti e le politiche volte a fermare i richiedenti asilo e i migranti che necessitano di protezione alle frontiere esterne dell'UE o prima che raggiungano le frontiere esterne dell'UE erodono i valori dell'UE, quali sanciti dai suoi trattati, e violano il diritto internazionale ed europeo in materia di aiuti umanitari e diritti umani;</w:t>
            </w:r>
          </w:p>
        </w:tc>
      </w:tr>
    </w:tbl>
    <w:p>
      <w:r>
        <w:rPr>
          <w:rStyle w:val="HideTWBExt"/>
        </w:rPr>
        <w:t>&lt;/Amend&gt;</w:t>
      </w:r>
    </w:p>
    <w:p>
      <w:pPr>
        <w:pStyle w:val="AmNumberTabs"/>
      </w:pPr>
      <w:r>
        <w:rPr>
          <w:rStyle w:val="HideTWBExt"/>
        </w:rPr>
        <w:t>&lt;Amend&gt;</w:t>
      </w:r>
      <w:r>
        <w:t>Emendamento</w:t>
      </w:r>
      <w:r>
        <w:tab/>
      </w:r>
      <w:r>
        <w:tab/>
      </w:r>
      <w:r>
        <w:rPr>
          <w:rStyle w:val="HideTWBExt"/>
        </w:rPr>
        <w:t>&lt;NumAm&gt;</w:t>
      </w:r>
      <w:r>
        <w:t>64</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15</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15.</w:t>
            </w:r>
            <w:r>
              <w:tab/>
            </w:r>
            <w:r>
              <w:t>invita la Commissione a rispettare l'impegno di destinare almeno il 25 % dei suoi finanziamenti umanitari ad attori locali entro il 2027;</w:t>
            </w:r>
          </w:p>
        </w:tc>
        <w:tc>
          <w:tcPr>
            <w:tcW w:w="4876" w:type="dxa"/>
            <w:tcBorders>
              <w:top w:val="nil"/>
              <w:left w:val="nil"/>
              <w:bottom w:val="nil"/>
              <w:right w:val="nil"/>
            </w:tcBorders>
          </w:tcPr>
          <w:p>
            <w:pPr>
              <w:pStyle w:val="Normal6a"/>
            </w:pPr>
            <w:r>
              <w:t>15.</w:t>
            </w:r>
            <w:r>
              <w:tab/>
            </w:r>
            <w:r>
              <w:t xml:space="preserve">invita la Commissione a rispettare l'impegno di destinare almeno il 25 % dei suoi finanziamenti umanitari ad attori locali entro il 2027 </w:t>
            </w:r>
            <w:r>
              <w:rPr>
                <w:b/>
                <w:i/>
              </w:rPr>
              <w:t>nel modo più diretto possibile, attribuendo particolare attenzione alle organizzazioni locali per i diritti delle donne;</w:t>
            </w:r>
            <w:r>
              <w:rPr>
                <w:b/>
                <w:i/>
              </w:rPr>
              <w:t xml:space="preserve"> </w:t>
            </w:r>
            <w:r>
              <w:rPr>
                <w:b/>
                <w:i/>
              </w:rPr>
              <w:t>esorta la Commissione ad agevolare, semplificare e armonizzare l'accesso ai fondi da parte degli attori locali e nazionali, in linea con gli impegni del "Grand Bargain"</w:t>
            </w:r>
            <w:r>
              <w:t>;</w:t>
            </w:r>
          </w:p>
        </w:tc>
      </w:tr>
    </w:tbl>
    <w:p>
      <w:r>
        <w:rPr>
          <w:rStyle w:val="HideTWBExt"/>
        </w:rPr>
        <w:t>&lt;/Amend&gt;</w:t>
      </w:r>
    </w:p>
    <w:p>
      <w:pPr>
        <w:pStyle w:val="AmNumberTabs"/>
      </w:pPr>
      <w:r>
        <w:rPr>
          <w:rStyle w:val="HideTWBExt"/>
        </w:rPr>
        <w:t>&lt;Amend&gt;</w:t>
      </w:r>
      <w:r>
        <w:t>Emendamento</w:t>
      </w:r>
      <w:r>
        <w:tab/>
      </w:r>
      <w:r>
        <w:tab/>
      </w:r>
      <w:r>
        <w:rPr>
          <w:rStyle w:val="HideTWBExt"/>
        </w:rPr>
        <w:t>&lt;NumAm&gt;</w:t>
      </w:r>
      <w:r>
        <w:t>65</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16</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16.</w:t>
            </w:r>
            <w:r>
              <w:tab/>
            </w:r>
            <w:r>
              <w:t>osserva che il ricorso a un'azione preventiva nei contesti maggiormente esposti alle crisi prima del verificarsi di crisi umanitarie costituisce un metodo efficace per prevenire o attenuare le future esigenze umanitarie;</w:t>
            </w:r>
          </w:p>
        </w:tc>
        <w:tc>
          <w:tcPr>
            <w:tcW w:w="4876" w:type="dxa"/>
            <w:tcBorders>
              <w:top w:val="nil"/>
              <w:left w:val="nil"/>
              <w:bottom w:val="nil"/>
              <w:right w:val="nil"/>
            </w:tcBorders>
          </w:tcPr>
          <w:p>
            <w:pPr>
              <w:pStyle w:val="Normal6a"/>
            </w:pPr>
            <w:r>
              <w:t>16.</w:t>
            </w:r>
            <w:r>
              <w:tab/>
            </w:r>
            <w:r>
              <w:t xml:space="preserve">osserva che il ricorso a un'azione preventiva nei contesti maggiormente esposti alle crisi prima del verificarsi di crisi umanitarie costituisce un metodo efficace per prevenire o attenuare le future esigenze umanitarie; </w:t>
            </w:r>
            <w:r>
              <w:rPr>
                <w:b/>
                <w:i/>
              </w:rPr>
              <w:t>sottolinea che tali approcci anticipatori devono includere sistematicamente una prospettiva di genere, garantendo che le esigenze, le capacità e la leadership specifiche delle donne e delle ragazze siano prese in considerazione e sostenute;</w:t>
            </w:r>
          </w:p>
        </w:tc>
      </w:tr>
    </w:tbl>
    <w:p>
      <w:r>
        <w:rPr>
          <w:rStyle w:val="HideTWBExt"/>
        </w:rPr>
        <w:t>&lt;/Amend&gt;</w:t>
      </w:r>
    </w:p>
    <w:p>
      <w:pPr>
        <w:pStyle w:val="AmNumberTabs"/>
      </w:pPr>
      <w:r>
        <w:rPr>
          <w:rStyle w:val="HideTWBExt"/>
        </w:rPr>
        <w:t>&lt;Amend&gt;</w:t>
      </w:r>
      <w:r>
        <w:t>Emendamento</w:t>
      </w:r>
      <w:r>
        <w:tab/>
      </w:r>
      <w:r>
        <w:tab/>
      </w:r>
      <w:r>
        <w:rPr>
          <w:rStyle w:val="HideTWBExt"/>
        </w:rPr>
        <w:t>&lt;NumAm&gt;</w:t>
      </w:r>
      <w:r>
        <w:t>66</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16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16 bis.</w:t>
            </w:r>
            <w:r>
              <w:tab/>
            </w:r>
            <w:r>
              <w:rPr>
                <w:b/>
                <w:i/>
              </w:rPr>
              <w:t>invita a garantire rifugi sicuri, spazi protetti e sostegno psicologico alle donne e alle ragazze vittime di violenza in contesti umanitari, fornendo nel contempo risorse adeguate e sostenibili;</w:t>
            </w:r>
          </w:p>
        </w:tc>
      </w:tr>
    </w:tbl>
    <w:p>
      <w:r>
        <w:rPr>
          <w:rStyle w:val="HideTWBExt"/>
        </w:rPr>
        <w:t>&lt;/Amend&gt;</w:t>
      </w:r>
    </w:p>
    <w:p>
      <w:pPr>
        <w:pStyle w:val="AmNumberTabs"/>
      </w:pPr>
      <w:r>
        <w:rPr>
          <w:rStyle w:val="HideTWBExt"/>
        </w:rPr>
        <w:t>&lt;Amend&gt;</w:t>
      </w:r>
      <w:r>
        <w:t>Emendamento</w:t>
      </w:r>
      <w:r>
        <w:tab/>
      </w:r>
      <w:r>
        <w:tab/>
      </w:r>
      <w:r>
        <w:rPr>
          <w:rStyle w:val="HideTWBExt"/>
        </w:rPr>
        <w:t>&lt;NumAm&gt;</w:t>
      </w:r>
      <w:r>
        <w:t>67</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18</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18.</w:t>
            </w:r>
            <w:r>
              <w:tab/>
            </w:r>
            <w:r>
              <w:t>incoraggia gli Stati membri a incrementare considerevolmente gli investimenti in azioni preventive integrate e condotte a livello locale;</w:t>
            </w:r>
          </w:p>
        </w:tc>
        <w:tc>
          <w:tcPr>
            <w:tcW w:w="4876" w:type="dxa"/>
            <w:tcBorders>
              <w:top w:val="nil"/>
              <w:left w:val="nil"/>
              <w:bottom w:val="nil"/>
              <w:right w:val="nil"/>
            </w:tcBorders>
          </w:tcPr>
          <w:p>
            <w:pPr>
              <w:pStyle w:val="Normal6a"/>
            </w:pPr>
            <w:r>
              <w:t>18.</w:t>
            </w:r>
            <w:r>
              <w:tab/>
            </w:r>
            <w:r>
              <w:rPr>
                <w:b/>
                <w:i/>
              </w:rPr>
              <w:t xml:space="preserve">invita l'UE a sviluppare un'azione umanitaria sensibile alla dimensione di genere, in linea con il nesso tra azione umanitaria, sviluppo e pace, spingendosi oltre agli aiuti a breve termine e investendo a lungo termine nella resilienza delle comunità alle crisi future, coinvolgendo persone di tutti i generi nella pianificazione della risposta alle emergenze e tenendo maggiormente in considerazione e affrontando le cause profonde; ricorda che l'UE deve conciliare aiuto umanitario e sviluppo per porre rimedio agli effetti prodotti dalle crisi e dai conflitti sugli studenti più vulnerabili, come le ragazze e le giovani donne; </w:t>
            </w:r>
            <w:r>
              <w:t>incoraggia gli Stati membri a incrementare considerevolmente gli investimenti in azioni preventive integrate e condotte a livello locale;</w:t>
            </w:r>
            <w:r>
              <w:rPr>
                <w:b/>
                <w:i/>
              </w:rPr>
              <w:t xml:space="preserve"> sottolinea che investire negli aiuti umanitari consente sia di evitare future crisi umanitarie sia di prevenire la necessità di effettuare investimenti più ingenti; invita la Commissione a presentare proposte più concrete su spese, programmi, monitoraggio e valutazione delle attività legate al genere nelle crisi umanitarie; sottolinea che l'accessibilità alle informazioni, ai servizi e all'assistenza umanitaria è essenziale per garantire una risposta inclusiva ed efficace a tutte le persone colpite dalle crisi, in special modo per i gruppi che si trovano in condizioni di vulnerabilità, come le persone con disabilità, i bambini e gli anziani;</w:t>
            </w:r>
          </w:p>
        </w:tc>
      </w:tr>
    </w:tbl>
    <w:p>
      <w:r>
        <w:rPr>
          <w:rStyle w:val="HideTWBExt"/>
        </w:rPr>
        <w:t>&lt;/Amend&gt;</w:t>
      </w:r>
    </w:p>
    <w:p>
      <w:pPr>
        <w:pStyle w:val="AmNumberTabs"/>
      </w:pPr>
      <w:r>
        <w:rPr>
          <w:rStyle w:val="HideTWBExt"/>
        </w:rPr>
        <w:t>&lt;Amend&gt;</w:t>
      </w:r>
      <w:r>
        <w:t>Emendamento</w:t>
      </w:r>
      <w:r>
        <w:tab/>
      </w:r>
      <w:r>
        <w:tab/>
      </w:r>
      <w:r>
        <w:rPr>
          <w:rStyle w:val="HideTWBExt"/>
        </w:rPr>
        <w:t>&lt;NumAm&gt;</w:t>
      </w:r>
      <w:r>
        <w:t>68</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18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 bis.</w:t>
            </w:r>
            <w:r>
              <w:tab/>
            </w:r>
            <w:r>
              <w:rPr>
                <w:b/>
                <w:i/>
              </w:rPr>
              <w:t>ribadisce che la strategia globale dell'UE in materia di salute si concentra sull'affrontare le cause profonde delle malattie, prestando particolare attenzione alle esigenze e ai diritti delle donne, dei bambini e dei giovani, compreso l'accesso universale alla salute sessuale e riproduttiva e ai relativi diritti; ribadisce che l'accesso delle donne all'assistenza sanitaria e al sostegno psicosociale rappresenta un aspetto fondamentale degli sforzi di soccorso e ripresa e una priorità nell'ambito del nesso tra azione umanitaria, sviluppo e pace;</w:t>
            </w:r>
          </w:p>
        </w:tc>
      </w:tr>
    </w:tbl>
    <w:p>
      <w:r>
        <w:rPr>
          <w:rStyle w:val="HideTWBExt"/>
        </w:rPr>
        <w:t>&lt;/Amend&gt;</w:t>
      </w:r>
    </w:p>
    <w:p>
      <w:pPr>
        <w:pStyle w:val="AmNumberTabs"/>
      </w:pPr>
      <w:r>
        <w:rPr>
          <w:rStyle w:val="HideTWBExt"/>
        </w:rPr>
        <w:t>&lt;Amend&gt;</w:t>
      </w:r>
      <w:r>
        <w:t>Emendamento</w:t>
      </w:r>
      <w:r>
        <w:tab/>
      </w:r>
      <w:r>
        <w:tab/>
      </w:r>
      <w:r>
        <w:rPr>
          <w:rStyle w:val="HideTWBExt"/>
        </w:rPr>
        <w:t>&lt;NumAm&gt;</w:t>
      </w:r>
      <w:r>
        <w:t>69</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18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 ter.</w:t>
            </w:r>
            <w:r>
              <w:tab/>
            </w:r>
            <w:r>
              <w:rPr>
                <w:b/>
                <w:i/>
              </w:rPr>
              <w:t>sottolinea l'importanza di agevolare il coinvolgimento delle donne colpite dalla crisi nella definizione delle misure di risposta e dei piani di ripresa che riguardano loro stesse, le loro famiglie e le loro comunità in generale;</w:t>
            </w:r>
          </w:p>
        </w:tc>
      </w:tr>
    </w:tbl>
    <w:p>
      <w:r>
        <w:rPr>
          <w:rStyle w:val="HideTWBExt"/>
        </w:rPr>
        <w:t>&lt;/Amend&gt;</w:t>
      </w:r>
    </w:p>
    <w:p>
      <w:pPr>
        <w:pStyle w:val="AmNumberTabs"/>
      </w:pPr>
      <w:r>
        <w:rPr>
          <w:rStyle w:val="HideTWBExt"/>
        </w:rPr>
        <w:t>&lt;Amend&gt;</w:t>
      </w:r>
      <w:r>
        <w:t>Emendamento</w:t>
      </w:r>
      <w:r>
        <w:tab/>
      </w:r>
      <w:r>
        <w:tab/>
      </w:r>
      <w:r>
        <w:rPr>
          <w:rStyle w:val="HideTWBExt"/>
        </w:rPr>
        <w:t>&lt;NumAm&gt;</w:t>
      </w:r>
      <w:r>
        <w:t>70</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18 quater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 quater.</w:t>
            </w:r>
            <w:r>
              <w:tab/>
            </w:r>
            <w:r>
              <w:rPr>
                <w:b/>
                <w:i/>
              </w:rPr>
              <w:t>accoglie con favore la disposizione contenuta nel Piano d'azione sulla parità di genere III relativa all'assistenza umanitaria a sostegno della preparazione, della prevenzione e della risposta alla violenza sessuale e di genere;</w:t>
            </w:r>
          </w:p>
        </w:tc>
      </w:tr>
    </w:tbl>
    <w:p>
      <w:r>
        <w:rPr>
          <w:rStyle w:val="HideTWBExt"/>
        </w:rPr>
        <w:t>&lt;/Amend&gt;</w:t>
      </w:r>
    </w:p>
    <w:p>
      <w:pPr>
        <w:pStyle w:val="AmNumberTabs"/>
      </w:pPr>
      <w:r>
        <w:rPr>
          <w:rStyle w:val="HideTWBExt"/>
        </w:rPr>
        <w:t>&lt;Amend&gt;</w:t>
      </w:r>
      <w:r>
        <w:t>Emendamento</w:t>
      </w:r>
      <w:r>
        <w:tab/>
      </w:r>
      <w:r>
        <w:tab/>
      </w:r>
      <w:r>
        <w:rPr>
          <w:rStyle w:val="HideTWBExt"/>
        </w:rPr>
        <w:t>&lt;NumAm&gt;</w:t>
      </w:r>
      <w:r>
        <w:t>71</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18 quinquies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 quinquies.</w:t>
            </w:r>
            <w:r>
              <w:tab/>
            </w:r>
            <w:r>
              <w:rPr>
                <w:b/>
                <w:i/>
              </w:rPr>
              <w:t>chiede inoltre di garantire un accesso sicuro all'istruzione per i bambini colpiti da crisi umanitarie, anche fornendo sostegno per scuole temporanee e programmi nutrizionali e assistenza psicologica;</w:t>
            </w:r>
          </w:p>
        </w:tc>
      </w:tr>
    </w:tbl>
    <w:p>
      <w:r>
        <w:rPr>
          <w:rStyle w:val="HideTWBExt"/>
        </w:rPr>
        <w:t>&lt;/Amend&gt;</w:t>
      </w:r>
    </w:p>
    <w:p>
      <w:pPr>
        <w:pStyle w:val="AmNumberTabs"/>
      </w:pPr>
      <w:r>
        <w:rPr>
          <w:rStyle w:val="HideTWBExt"/>
        </w:rPr>
        <w:t>&lt;Amend&gt;</w:t>
      </w:r>
      <w:r>
        <w:t>Emendamento</w:t>
      </w:r>
      <w:r>
        <w:tab/>
      </w:r>
      <w:r>
        <w:tab/>
      </w:r>
      <w:r>
        <w:rPr>
          <w:rStyle w:val="HideTWBExt"/>
        </w:rPr>
        <w:t>&lt;NumAm&gt;</w:t>
      </w:r>
      <w:r>
        <w:t>72</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18 sexies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18 sexies.</w:t>
            </w:r>
            <w:r>
              <w:tab/>
            </w:r>
            <w:r>
              <w:rPr>
                <w:b/>
                <w:i/>
              </w:rPr>
              <w:t>invita la Commissione a garantire che, nell'ambito della sua risposta alle crisi umanitarie, i kit di igiene mestruale rientrino tra le componenti di base delle sue misure di risposta alle emergenze;</w:t>
            </w:r>
          </w:p>
        </w:tc>
      </w:tr>
    </w:tbl>
    <w:p>
      <w:r>
        <w:rPr>
          <w:rStyle w:val="HideTWBExt"/>
        </w:rPr>
        <w:t>&lt;/Amend&gt;</w:t>
      </w:r>
    </w:p>
    <w:p>
      <w:pPr>
        <w:pStyle w:val="AmNumberTabs"/>
      </w:pPr>
      <w:r>
        <w:rPr>
          <w:rStyle w:val="HideTWBExt"/>
        </w:rPr>
        <w:t>&lt;Amend&gt;</w:t>
      </w:r>
      <w:r>
        <w:t>Emendamento</w:t>
      </w:r>
      <w:r>
        <w:tab/>
      </w:r>
      <w:r>
        <w:tab/>
      </w:r>
      <w:r>
        <w:rPr>
          <w:rStyle w:val="HideTWBExt"/>
        </w:rPr>
        <w:t>&lt;NumAm&gt;</w:t>
      </w:r>
      <w:r>
        <w:t>73</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19</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19.</w:t>
            </w:r>
            <w:r>
              <w:tab/>
            </w:r>
            <w:r>
              <w:t>si compiace dei progressi compiuti nell'attuazione della risoluzione 1325 (2000) del Consiglio di sicurezza delle Nazioni Unite e dell'agenda su donne, pace e sicurezza, che rappresentano uno strumento essenziale per garantire in qualsiasi momento il rispetto dei diritti di donne e ragazze;</w:t>
            </w:r>
          </w:p>
        </w:tc>
        <w:tc>
          <w:tcPr>
            <w:tcW w:w="4876" w:type="dxa"/>
            <w:tcBorders>
              <w:top w:val="nil"/>
              <w:left w:val="nil"/>
              <w:bottom w:val="nil"/>
              <w:right w:val="nil"/>
            </w:tcBorders>
          </w:tcPr>
          <w:p>
            <w:pPr>
              <w:pStyle w:val="Normal6a"/>
            </w:pPr>
            <w:r>
              <w:t>19.</w:t>
            </w:r>
            <w:r>
              <w:tab/>
            </w:r>
            <w:r>
              <w:t>si compiace dei progressi compiuti nell'attuazione della risoluzione 1325 (2000) del Consiglio di sicurezza delle Nazioni Unite e dell'agenda su donne, pace e sicurezza, che rappresentano uno strumento essenziale per garantire in qualsiasi momento il rispetto dei diritti di donne e ragazze;</w:t>
            </w:r>
            <w:r>
              <w:rPr>
                <w:b/>
                <w:i/>
              </w:rPr>
              <w:t xml:space="preserve"> sottolinea, tuttavia, che la violenza sessuale e di genere rimane un flagello spesso utilizzato nei conflitti come arma di guerra, nonostante le donne e le ragazze siano già le persone più esposte alle conseguenze dei conflitti armati e del riscaldamento globale;</w:t>
            </w:r>
          </w:p>
        </w:tc>
      </w:tr>
    </w:tbl>
    <w:p>
      <w:r>
        <w:rPr>
          <w:rStyle w:val="HideTWBExt"/>
        </w:rPr>
        <w:t>&lt;/Amend&gt;</w:t>
      </w:r>
    </w:p>
    <w:p>
      <w:pPr>
        <w:pStyle w:val="AmNumberTabs"/>
      </w:pPr>
      <w:r>
        <w:rPr>
          <w:rStyle w:val="HideTWBExt"/>
        </w:rPr>
        <w:t>&lt;Amend&gt;</w:t>
      </w:r>
      <w:r>
        <w:t>Emendamento</w:t>
      </w:r>
      <w:r>
        <w:tab/>
      </w:r>
      <w:r>
        <w:tab/>
      </w:r>
      <w:r>
        <w:rPr>
          <w:rStyle w:val="HideTWBExt"/>
        </w:rPr>
        <w:t>&lt;NumAm&gt;</w:t>
      </w:r>
      <w:r>
        <w:t>74</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19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 bis.</w:t>
            </w:r>
            <w:r>
              <w:tab/>
            </w:r>
            <w:r>
              <w:rPr>
                <w:b/>
                <w:i/>
              </w:rPr>
              <w:t>invita l'UE e gli Stati membri a dare priorità all'attuazione dell'agenda su donne, pace e sicurezza; insiste sull'importanza di rinnovare il piano d'azione dell'UE su donne, pace e sicurezza e di contrastare apertamente qualsiasi opposizione a questo programma a livello mondiale</w:t>
            </w:r>
            <w:r>
              <w:rPr>
                <w:vertAlign w:val="superscript"/>
              </w:rPr>
              <w:t>1 bis</w:t>
            </w:r>
            <w:r>
              <w:rPr>
                <w:b/>
                <w:i/>
              </w:rPr>
              <w:t>, garantendo nel contempo in via prioritaria l'accesso ai servizi essenziali per la salute sessuale e riproduttiva a tutte le donne colpite da conflitti e assicurando l'assunzione di responsabilità e il risarcimento in caso di violazioni connesse alla salute sessuale e riproduttiva e ai relativi diritti, conformemente alle norme e alle raccomandazioni internazionali in materia di diritti umani;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1 bis</w:t>
            </w:r>
            <w:r>
              <w:t xml:space="preserve"> </w:t>
            </w:r>
            <w:r>
              <w:rPr>
                <w:b/>
                <w:i/>
              </w:rPr>
              <w:t>https://www.europarl.europa.eu/RegData/etudes/BRIE/2025/769691/IUST_BRI(2025)769691_EN.pdf.</w:t>
            </w:r>
          </w:p>
        </w:tc>
      </w:tr>
    </w:tbl>
    <w:p>
      <w:r>
        <w:rPr>
          <w:rStyle w:val="HideTWBExt"/>
        </w:rPr>
        <w:t>&lt;/Amend&gt;</w:t>
      </w:r>
    </w:p>
    <w:p>
      <w:pPr>
        <w:pStyle w:val="AmNumberTabs"/>
      </w:pPr>
      <w:r>
        <w:rPr>
          <w:rStyle w:val="HideTWBExt"/>
        </w:rPr>
        <w:t>&lt;Amend&gt;</w:t>
      </w:r>
      <w:r>
        <w:t>Emendamento</w:t>
      </w:r>
      <w:r>
        <w:tab/>
      </w:r>
      <w:r>
        <w:tab/>
      </w:r>
      <w:r>
        <w:rPr>
          <w:rStyle w:val="HideTWBExt"/>
        </w:rPr>
        <w:t>&lt;NumAm&gt;</w:t>
      </w:r>
      <w:r>
        <w:t>75</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19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 ter.</w:t>
            </w:r>
            <w:r>
              <w:tab/>
            </w:r>
            <w:r>
              <w:rPr>
                <w:b/>
                <w:i/>
              </w:rPr>
              <w:t>invita la Commissione, il SEAE e gli Stati membri a intensificare gli sforzi affinché le strategie di prevenzione dei conflitti, mediazione e costruzione della pace tengano conto del contributo e delle esigenze specifiche delle donne e delle ragazze;</w:t>
            </w:r>
          </w:p>
        </w:tc>
      </w:tr>
    </w:tbl>
    <w:p>
      <w:r>
        <w:rPr>
          <w:rStyle w:val="HideTWBExt"/>
        </w:rPr>
        <w:t>&lt;/Amend&gt;</w:t>
      </w:r>
    </w:p>
    <w:p>
      <w:pPr>
        <w:pStyle w:val="AmNumberTabs"/>
      </w:pPr>
      <w:r>
        <w:rPr>
          <w:rStyle w:val="HideTWBExt"/>
        </w:rPr>
        <w:t>&lt;Amend&gt;</w:t>
      </w:r>
      <w:r>
        <w:t>Emendamento</w:t>
      </w:r>
      <w:r>
        <w:tab/>
      </w:r>
      <w:r>
        <w:tab/>
      </w:r>
      <w:r>
        <w:rPr>
          <w:rStyle w:val="HideTWBExt"/>
        </w:rPr>
        <w:t>&lt;NumAm&gt;</w:t>
      </w:r>
      <w:r>
        <w:t>76</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19 quater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 quater.</w:t>
            </w:r>
            <w:r>
              <w:tab/>
            </w:r>
            <w:r>
              <w:rPr>
                <w:b/>
                <w:i/>
              </w:rPr>
              <w:t>invita la Commissione a intensificare gli sforzi tesi a garantire che gli aiuti umanitari finanziati dall'UE rispondano adeguatamente alle esigenze di donne, ragazze, uomini e ragazzi, e ad assicurare che l'UE continui a promuovere l'integrazione della dimensione di genere aumentando le azioni incentrate su tale aspetto e facendo sì che tutte le iniziative del Global Gateway e di Team Europa siano sottoposte a un processo di revisione sensibile alla dimensione di genere;</w:t>
            </w:r>
          </w:p>
        </w:tc>
      </w:tr>
    </w:tbl>
    <w:p>
      <w:r>
        <w:rPr>
          <w:rStyle w:val="HideTWBExt"/>
        </w:rPr>
        <w:t>&lt;/Amend&gt;</w:t>
      </w:r>
    </w:p>
    <w:p>
      <w:pPr>
        <w:pStyle w:val="AmNumberTabs"/>
      </w:pPr>
      <w:r>
        <w:rPr>
          <w:rStyle w:val="HideTWBExt"/>
        </w:rPr>
        <w:t>&lt;Amend&gt;</w:t>
      </w:r>
      <w:r>
        <w:t>Emendamento</w:t>
      </w:r>
      <w:r>
        <w:tab/>
      </w:r>
      <w:r>
        <w:tab/>
      </w:r>
      <w:r>
        <w:rPr>
          <w:rStyle w:val="HideTWBExt"/>
        </w:rPr>
        <w:t>&lt;NumAm&gt;</w:t>
      </w:r>
      <w:r>
        <w:t>77</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19 quinquies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19 quinquies.</w:t>
            </w:r>
            <w:r>
              <w:tab/>
            </w:r>
            <w:r>
              <w:rPr>
                <w:b/>
                <w:i/>
              </w:rPr>
              <w:t>invita l'UE e tutti i suoi Stati membri a diventare firmatari del patto su donne, pace, sicurezza e azione umanitaria e a riferire in merito agli impegni assunti al riguardo, nel quadro di un approccio collaborativo e coeso alla costruzione di una stabilità e di una pace a lungo termine;</w:t>
            </w:r>
          </w:p>
        </w:tc>
      </w:tr>
    </w:tbl>
    <w:p>
      <w:r>
        <w:rPr>
          <w:rStyle w:val="HideTWBExt"/>
        </w:rPr>
        <w:t>&lt;/Amend&gt;</w:t>
      </w:r>
    </w:p>
    <w:p>
      <w:pPr>
        <w:pStyle w:val="AmNumberTabs"/>
      </w:pPr>
      <w:r>
        <w:rPr>
          <w:rStyle w:val="HideTWBExt"/>
        </w:rPr>
        <w:t>&lt;Amend&gt;</w:t>
      </w:r>
      <w:r>
        <w:t>Emendamento</w:t>
      </w:r>
      <w:r>
        <w:tab/>
      </w:r>
      <w:r>
        <w:tab/>
      </w:r>
      <w:r>
        <w:rPr>
          <w:rStyle w:val="HideTWBExt"/>
        </w:rPr>
        <w:t>&lt;NumAm&gt;</w:t>
      </w:r>
      <w:r>
        <w:t>78</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20</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20.</w:t>
            </w:r>
            <w:r>
              <w:tab/>
            </w:r>
            <w:r>
              <w:t>invita tutte le parti coinvolte in un conflitto armato ad adottare misure volte a proteggere le donne e le ragazze dalla violenza sessuale e di genere e da tutte le altre forme di violenza nelle situazioni di conflitto armato, nonché a promuovere la loro salute sessuale e riproduttiva e i loro diritti connessi;</w:t>
            </w:r>
          </w:p>
        </w:tc>
        <w:tc>
          <w:tcPr>
            <w:tcW w:w="4876" w:type="dxa"/>
            <w:tcBorders>
              <w:top w:val="nil"/>
              <w:left w:val="nil"/>
              <w:bottom w:val="nil"/>
              <w:right w:val="nil"/>
            </w:tcBorders>
          </w:tcPr>
          <w:p>
            <w:pPr>
              <w:pStyle w:val="Normal6a"/>
            </w:pPr>
            <w:r>
              <w:t>20.</w:t>
            </w:r>
            <w:r>
              <w:tab/>
            </w:r>
            <w:r>
              <w:t xml:space="preserve">invita tutte le parti coinvolte nei conflitti armati </w:t>
            </w:r>
            <w:r>
              <w:rPr>
                <w:b/>
                <w:i/>
              </w:rPr>
              <w:t>a integrare strategie di protezione in tutti gli aspetti dell'assistenza umanitaria e</w:t>
            </w:r>
            <w:r>
              <w:t xml:space="preserve"> ad adottare misure volte a proteggere le donne e le ragazze dalla violenza sessuale e di genere e da tutte le altre forme di violenza</w:t>
            </w:r>
            <w:r>
              <w:rPr>
                <w:b/>
                <w:i/>
              </w:rPr>
              <w:t>, dalla povertà e dallo sfollamento forzato</w:t>
            </w:r>
            <w:r>
              <w:t xml:space="preserve"> nelle situazioni di conflitto armato</w:t>
            </w:r>
            <w:r>
              <w:rPr>
                <w:b/>
                <w:i/>
              </w:rPr>
              <w:t>, compresi i matrimoni precoci e le gravidanze in età adolescenziale in contesti di crisi umanitarie, che comportano un'interruzione del percorso educativo e aggravano la povertà multidimensionale,</w:t>
            </w:r>
            <w:r>
              <w:t xml:space="preserve"> nonché a promuovere la loro salute sessuale e riproduttiva e i loro diritti connessi</w:t>
            </w:r>
            <w:r>
              <w:rPr>
                <w:b/>
                <w:i/>
              </w:rPr>
              <w:t>, in particolare per quanto riguarda le donne ucraine fuggite in paesi con politiche più restrittive in materia di salute sessuale e riproduttiva e di relativi diritti, che meritano di avere accesso a un aborto sicuro e legale dopo aver subito violenze sessuali come atto di guerra</w:t>
            </w:r>
            <w:r>
              <w:t>;</w:t>
            </w:r>
            <w:r>
              <w:rPr>
                <w:b/>
                <w:i/>
              </w:rPr>
              <w:t xml:space="preserve"> riconosce che questo tipo di violenza spesso si intensifica durante i conflitti e può essere impiegata sistematicamente come arma di guerra;</w:t>
            </w:r>
          </w:p>
        </w:tc>
      </w:tr>
    </w:tbl>
    <w:p>
      <w:r>
        <w:rPr>
          <w:rStyle w:val="HideTWBExt"/>
        </w:rPr>
        <w:t>&lt;/Amend&gt;</w:t>
      </w:r>
    </w:p>
    <w:p>
      <w:pPr>
        <w:pStyle w:val="AmNumberTabs"/>
      </w:pPr>
      <w:r>
        <w:rPr>
          <w:rStyle w:val="HideTWBExt"/>
        </w:rPr>
        <w:t>&lt;Amend&gt;</w:t>
      </w:r>
      <w:r>
        <w:t>Emendamento</w:t>
      </w:r>
      <w:r>
        <w:tab/>
      </w:r>
      <w:r>
        <w:tab/>
      </w:r>
      <w:r>
        <w:rPr>
          <w:rStyle w:val="HideTWBExt"/>
        </w:rPr>
        <w:t>&lt;NumAm&gt;</w:t>
      </w:r>
      <w:r>
        <w:t>79</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20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20 bis.</w:t>
            </w:r>
            <w:r>
              <w:tab/>
            </w:r>
            <w:r>
              <w:rPr>
                <w:b/>
                <w:i/>
              </w:rPr>
              <w:t>ricorda che gli accordi di pace raggiunti con la partecipazione delle donne hanno maggiori probabilità di risultare sostenibili ed efficaci; invita la Commissione a includere le donne in tutte le fasi del processo decisionale in contesti umanitari e postbellici;</w:t>
            </w:r>
          </w:p>
        </w:tc>
      </w:tr>
    </w:tbl>
    <w:p>
      <w:r>
        <w:rPr>
          <w:rStyle w:val="HideTWBExt"/>
        </w:rPr>
        <w:t>&lt;/Amend&gt;</w:t>
      </w:r>
    </w:p>
    <w:p>
      <w:pPr>
        <w:pStyle w:val="AmNumberTabs"/>
      </w:pPr>
      <w:r>
        <w:rPr>
          <w:rStyle w:val="HideTWBExt"/>
        </w:rPr>
        <w:t>&lt;Amend&gt;</w:t>
      </w:r>
      <w:r>
        <w:t>Emendamento</w:t>
      </w:r>
      <w:r>
        <w:tab/>
      </w:r>
      <w:r>
        <w:tab/>
      </w:r>
      <w:r>
        <w:rPr>
          <w:rStyle w:val="HideTWBExt"/>
        </w:rPr>
        <w:t>&lt;NumAm&gt;</w:t>
      </w:r>
      <w:r>
        <w:t>80</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21</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21.</w:t>
            </w:r>
            <w:r>
              <w:tab/>
            </w:r>
            <w:r>
              <w:t xml:space="preserve">mette </w:t>
            </w:r>
            <w:r>
              <w:rPr>
                <w:b/>
                <w:i/>
              </w:rPr>
              <w:t>il</w:t>
            </w:r>
            <w:r>
              <w:t xml:space="preserve"> luce il ruolo fondamentale svolto dalle donne nei contesti umanitari; deplora il fatto che le organizzazioni locali guidate da donne rientrino tra le più duramente colpite dai recenti tagli agli aiuti esteri e incoraggia un loro </w:t>
            </w:r>
            <w:r>
              <w:rPr>
                <w:b/>
                <w:i/>
              </w:rPr>
              <w:t>maggiore</w:t>
            </w:r>
            <w:r>
              <w:t xml:space="preserve"> coinvolgimento nella programmazione umanitaria</w:t>
            </w:r>
            <w:r>
              <w:rPr>
                <w:vertAlign w:val="superscript"/>
              </w:rPr>
              <w:t>7</w:t>
            </w:r>
            <w:r>
              <w:t>;</w:t>
            </w:r>
          </w:p>
        </w:tc>
        <w:tc>
          <w:tcPr>
            <w:tcW w:w="4876" w:type="dxa"/>
            <w:tcBorders>
              <w:top w:val="nil"/>
              <w:left w:val="nil"/>
              <w:bottom w:val="nil"/>
              <w:right w:val="nil"/>
            </w:tcBorders>
          </w:tcPr>
          <w:p>
            <w:pPr>
              <w:pStyle w:val="Normal6a"/>
            </w:pPr>
            <w:r>
              <w:t>21.</w:t>
            </w:r>
            <w:r>
              <w:tab/>
            </w:r>
            <w:r>
              <w:t xml:space="preserve">mette </w:t>
            </w:r>
            <w:r>
              <w:rPr>
                <w:b/>
                <w:i/>
              </w:rPr>
              <w:t>in</w:t>
            </w:r>
            <w:r>
              <w:t xml:space="preserve"> luce il ruolo fondamentale svolto dalle donne </w:t>
            </w:r>
            <w:r>
              <w:rPr>
                <w:b/>
                <w:i/>
              </w:rPr>
              <w:t>come operatori di prima linea</w:t>
            </w:r>
            <w:r>
              <w:t xml:space="preserve"> nei contesti umanitari; deplora il fatto che le organizzazioni locali guidate da donne </w:t>
            </w:r>
            <w:r>
              <w:rPr>
                <w:b/>
                <w:i/>
              </w:rPr>
              <w:t>e le organizzazioni LGBTIQ+</w:t>
            </w:r>
            <w:r>
              <w:t xml:space="preserve"> rientrino tra le più duramente colpite dai recenti tagli agli aiuti esteri e incoraggia un loro </w:t>
            </w:r>
            <w:r>
              <w:rPr>
                <w:b/>
                <w:i/>
              </w:rPr>
              <w:t>pieno, equo e significativo</w:t>
            </w:r>
            <w:r>
              <w:t xml:space="preserve"> coinvolgimento nella programmazione umanitaria</w:t>
            </w:r>
            <w:r>
              <w:rPr>
                <w:vertAlign w:val="superscript"/>
              </w:rPr>
              <w:t>7</w:t>
            </w:r>
            <w:r>
              <w:rPr>
                <w:b/>
                <w:i/>
              </w:rPr>
              <w:t>, anche mediante maggiori finanziamenti diretti e flessibili</w:t>
            </w:r>
            <w:r>
              <w:t>;</w:t>
            </w:r>
            <w:r>
              <w:rPr>
                <w:b/>
                <w:i/>
              </w:rPr>
              <w:t xml:space="preserve"> </w:t>
            </w:r>
            <w:r>
              <w:rPr>
                <w:b/>
                <w:i/>
              </w:rPr>
              <w:t>osserva con rammarico che quasi la metà (il 47 %) delle organizzazioni guidate da donne e delle organizzazioni femminili intervistate prevede, in caso gli attuali livelli di finanziamento persistano, di chiudere entro sei mesi, mentre più di un terzo (il 35 %) rimane prigioniero dell'incertezza, incapace di pianificare o continuare il proprio lavoro, e solo il 18 % ritiene di poter rimanere operativo per più di un anno</w:t>
            </w:r>
            <w:r>
              <w:rPr>
                <w:vertAlign w:val="superscript"/>
              </w:rPr>
              <w:t>7 bis</w:t>
            </w:r>
            <w:r>
              <w:rPr>
                <w:b/>
                <w:i/>
              </w:rPr>
              <w:t>; sottolinea l'importanza di garantire la sicurezza e l'accesso a servizi adeguati alle esigenze nei campi per rifugiati e nei centri di accoglienza, compresi servizi igienico-sanitari appropriati, assistenza sanitaria, sostegno psicosociale, assistenza alla maternità, assistenza legale e spazi sicuri; evidenzia il fatto che, in simili contesti, le donne e le ragazze sono spesso esposte a maggiori rischi e che la loro partecipazione significativa alla progettazione, alla pianificazione e alla gestione dei centri di accoglienza per rifugiati è essenziale per garantire che i servizi siano accessibili e adeguati e rispondano alle loro esigenze specifiche; invita la Commissione e gli attori umanitari ad abbattere gli ostacoli legati alla mobilità e ai trasporti che impediscono alle donne e alle ragazze di accedere agli aiuti, prevedendo un trasporto sicuro verso i centri sanitari, i punti di distribuzione e i rifugi;</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b/>
                <w:i/>
              </w:rPr>
              <w:t>_________________</w:t>
            </w:r>
          </w:p>
        </w:tc>
        <w:tc>
          <w:tcPr>
            <w:tcW w:w="4876" w:type="dxa"/>
            <w:tcBorders>
              <w:top w:val="nil"/>
              <w:left w:val="nil"/>
              <w:bottom w:val="nil"/>
              <w:right w:val="nil"/>
            </w:tcBorders>
          </w:tcPr>
          <w:p>
            <w:pPr>
              <w:pStyle w:val="Normal6a"/>
            </w:pPr>
            <w:r>
              <w:rPr>
                <w:b/>
                <w:i/>
              </w:rPr>
              <w:t>_________________</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rPr>
                <w:vertAlign w:val="superscript"/>
              </w:rPr>
              <w:t>7</w:t>
            </w:r>
            <w:r>
              <w:t xml:space="preserve"> </w:t>
            </w:r>
            <w:r>
              <w:t>UN Women, "Humanitarian funding cuts threaten women's rights: What's at stake and how to help" (I tagli ai finanziamenti umanitari minacciano i diritti delle donne: qual è la posta in gioco e come aiutare), 13 maggio 2025, https://www.unwomen.org/en/articles/explainer/humanitarian-funding-cuts-threaten-womens-rights-whats-at-stake-and-how-to-help.</w:t>
            </w:r>
          </w:p>
        </w:tc>
        <w:tc>
          <w:tcPr>
            <w:tcW w:w="4876" w:type="dxa"/>
            <w:tcBorders>
              <w:top w:val="nil"/>
              <w:left w:val="nil"/>
              <w:bottom w:val="nil"/>
              <w:right w:val="nil"/>
            </w:tcBorders>
          </w:tcPr>
          <w:p>
            <w:pPr>
              <w:pStyle w:val="Normal6a"/>
            </w:pPr>
            <w:r>
              <w:rPr>
                <w:vertAlign w:val="superscript"/>
              </w:rPr>
              <w:t>7</w:t>
            </w:r>
            <w:r>
              <w:t xml:space="preserve"> </w:t>
            </w:r>
            <w:r>
              <w:t>UN Women, "Humanitarian funding cuts threaten women's rights: What's at stake and how to help" (I tagli ai finanziamenti umanitari minacciano i diritti delle donne: qual è la posta in gioco e come aiutare), 13 maggio 2025, https://www.unwomen.org/en/articles/explainer/humanitarian-funding-cuts-threaten-womens-rights-whats-at-stake-and-how-to-help.</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tc>
        <w:tc>
          <w:tcPr>
            <w:tcW w:w="4876" w:type="dxa"/>
            <w:tcBorders>
              <w:top w:val="nil"/>
              <w:left w:val="nil"/>
              <w:bottom w:val="nil"/>
              <w:right w:val="nil"/>
            </w:tcBorders>
          </w:tcPr>
          <w:p>
            <w:pPr>
              <w:pStyle w:val="Normal6a"/>
            </w:pPr>
            <w:r>
              <w:rPr>
                <w:vertAlign w:val="superscript"/>
              </w:rPr>
              <w:t>7 bis</w:t>
            </w:r>
            <w:r>
              <w:t xml:space="preserve"> </w:t>
            </w:r>
            <w:r>
              <w:rPr>
                <w:b/>
                <w:i/>
              </w:rPr>
              <w:t>https://www.unwomen.org/sites/default/files/2025-05/at-a-breaking-point-the-impact-of-foreign-aid-cuts-on-womens-organizations-in-humanitarian-crises-worldwide-en.pdf.</w:t>
            </w:r>
          </w:p>
        </w:tc>
      </w:tr>
    </w:tbl>
    <w:p>
      <w:r>
        <w:rPr>
          <w:rStyle w:val="HideTWBExt"/>
        </w:rPr>
        <w:t>&lt;/Amend&gt;</w:t>
      </w:r>
    </w:p>
    <w:p>
      <w:pPr>
        <w:pStyle w:val="AmNumberTabs"/>
      </w:pPr>
      <w:r>
        <w:rPr>
          <w:rStyle w:val="HideTWBExt"/>
        </w:rPr>
        <w:t>&lt;Amend&gt;</w:t>
      </w:r>
      <w:r>
        <w:t>Emendamento</w:t>
      </w:r>
      <w:r>
        <w:tab/>
      </w:r>
      <w:r>
        <w:tab/>
      </w:r>
      <w:r>
        <w:rPr>
          <w:rStyle w:val="HideTWBExt"/>
        </w:rPr>
        <w:t>&lt;NumAm&gt;</w:t>
      </w:r>
      <w:r>
        <w:t>81</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21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 bis.</w:t>
            </w:r>
            <w:r>
              <w:tab/>
            </w:r>
            <w:r>
              <w:rPr>
                <w:b/>
                <w:i/>
              </w:rPr>
              <w:t>mette in evidenza le vulnerabilità specifiche delle donne che vivono in zone rurali, remote e colpite da conflitti, che spesso devono affrontare ulteriori ostacoli nell'accesso agli aiuti umanitari, compresi i servizi sanitari e il sostegno psicologico; chiede finanziamenti mirati e una programmazione inclusiva che rispondano tali sfide intersezionali;</w:t>
            </w:r>
          </w:p>
        </w:tc>
      </w:tr>
    </w:tbl>
    <w:p>
      <w:r>
        <w:rPr>
          <w:rStyle w:val="HideTWBExt"/>
        </w:rPr>
        <w:t>&lt;/Amend&gt;</w:t>
      </w:r>
    </w:p>
    <w:p>
      <w:pPr>
        <w:pStyle w:val="AmNumberTabs"/>
      </w:pPr>
      <w:r>
        <w:rPr>
          <w:rStyle w:val="HideTWBExt"/>
        </w:rPr>
        <w:t>&lt;Amend&gt;</w:t>
      </w:r>
      <w:r>
        <w:t>Emendamento</w:t>
      </w:r>
      <w:r>
        <w:tab/>
      </w:r>
      <w:r>
        <w:tab/>
      </w:r>
      <w:r>
        <w:rPr>
          <w:rStyle w:val="HideTWBExt"/>
        </w:rPr>
        <w:t>&lt;NumAm&gt;</w:t>
      </w:r>
      <w:r>
        <w:t>82</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21 ter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21 ter.</w:t>
            </w:r>
            <w:r>
              <w:tab/>
            </w:r>
            <w:r>
              <w:rPr>
                <w:b/>
                <w:i/>
              </w:rPr>
              <w:t>sottolinea l'importanza di salvaguardare la dignità di tutti gli individui in contesti umanitari, con particolare attenzione alle donne e alle ragazze, garantendo un accesso equo ai servizi e alle forniture essenziali, compresi assorbenti e prodotti per l'igiene mestruale, spazi sicuri e privati per l'allattamento al seno e l'assistenza materna, strutture igienico-sanitarie sensibili alla dimensione di genere e un'illuminazione adeguata per migliorare la sicurezza di sera;</w:t>
            </w:r>
          </w:p>
        </w:tc>
      </w:tr>
    </w:tbl>
    <w:p>
      <w:r>
        <w:rPr>
          <w:rStyle w:val="HideTWBExt"/>
        </w:rPr>
        <w:t>&lt;/Amend&gt;</w:t>
      </w:r>
    </w:p>
    <w:p>
      <w:pPr>
        <w:pStyle w:val="AmNumberTabs"/>
      </w:pPr>
      <w:r>
        <w:rPr>
          <w:rStyle w:val="HideTWBExt"/>
        </w:rPr>
        <w:t>&lt;Amend&gt;</w:t>
      </w:r>
      <w:r>
        <w:t>Emendamento</w:t>
      </w:r>
      <w:r>
        <w:tab/>
      </w:r>
      <w:r>
        <w:tab/>
      </w:r>
      <w:r>
        <w:rPr>
          <w:rStyle w:val="HideTWBExt"/>
        </w:rPr>
        <w:t>&lt;NumAm&gt;</w:t>
      </w:r>
      <w:r>
        <w:t>83</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22</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22.</w:t>
            </w:r>
            <w:r>
              <w:tab/>
            </w:r>
            <w:r>
              <w:t xml:space="preserve">incoraggia la Commissione, il SEAE e gli Stati membri a promuovere approcci </w:t>
            </w:r>
            <w:r>
              <w:rPr>
                <w:b/>
                <w:i/>
              </w:rPr>
              <w:t>sensibili alla</w:t>
            </w:r>
            <w:r>
              <w:t xml:space="preserve"> dimensione di genere negli interventi umanitari e a rafforzare il sostegno alla partecipazione delle donne ai processi decisionali in ambito umanitario, garantendo che le loro prospettive e esigenze siano considerate prioritarie nella progettazione e nella fornitura degli aiuti, in linea con gli obiettivi della risoluzione 1325 del Consiglio di sicurezza delle Nazioni Unite;</w:t>
            </w:r>
          </w:p>
        </w:tc>
        <w:tc>
          <w:tcPr>
            <w:tcW w:w="4876" w:type="dxa"/>
            <w:tcBorders>
              <w:top w:val="nil"/>
              <w:left w:val="nil"/>
              <w:bottom w:val="nil"/>
              <w:right w:val="nil"/>
            </w:tcBorders>
          </w:tcPr>
          <w:p>
            <w:pPr>
              <w:pStyle w:val="Normal6a"/>
            </w:pPr>
            <w:r>
              <w:t>22.</w:t>
            </w:r>
            <w:r>
              <w:tab/>
            </w:r>
            <w:r>
              <w:t xml:space="preserve">incoraggia la Commissione, il SEAE e gli Stati membri a promuovere approcci </w:t>
            </w:r>
            <w:r>
              <w:rPr>
                <w:b/>
                <w:i/>
              </w:rPr>
              <w:t>che tengano conto della</w:t>
            </w:r>
            <w:r>
              <w:t xml:space="preserve"> dimensione di genere negli interventi umanitari e a rafforzare il sostegno </w:t>
            </w:r>
            <w:r>
              <w:rPr>
                <w:b/>
                <w:i/>
              </w:rPr>
              <w:t>a una piena, equa e significativa</w:t>
            </w:r>
            <w:r>
              <w:t xml:space="preserve"> partecipazione delle donne</w:t>
            </w:r>
            <w:r>
              <w:rPr>
                <w:b/>
                <w:i/>
              </w:rPr>
              <w:t>, anche in posizioni di leadership a tutti i livelli,</w:t>
            </w:r>
            <w:r>
              <w:t xml:space="preserve"> ai processi decisionali in ambito umanitario, </w:t>
            </w:r>
            <w:r>
              <w:rPr>
                <w:b/>
                <w:i/>
              </w:rPr>
              <w:t>elaborando nel contempo strategie di sviluppo sensibili alla dimensione di genere che consentano loro di emergere in maniera sicura e di assumere ruoli di guida in contesti di crisi</w:t>
            </w:r>
            <w:r>
              <w:t xml:space="preserve"> e garantendo che le loro prospettive e esigenze siano considerate prioritarie nella progettazione e nella fornitura degli aiuti, in linea con gli obiettivi della risoluzione 1325 del Consiglio di sicurezza delle Nazioni Unite;</w:t>
            </w:r>
            <w:r>
              <w:rPr>
                <w:b/>
                <w:i/>
              </w:rPr>
              <w:t xml:space="preserve"> invita a garantire la piena, equa e significativa partecipazione delle donne in tutte le fasi del processo di pace, anche nell'ambito degli sforzi di mediazione, della prevenzione e risoluzione dei conflitti armati, del consolidamento della pace, della ricostruzione postbellica e dei negoziati per un cessate il fuoco, rafforzando nel contempo la protezione di tutte le donne a livello universale;</w:t>
            </w:r>
          </w:p>
        </w:tc>
      </w:tr>
    </w:tbl>
    <w:p>
      <w:r>
        <w:rPr>
          <w:rStyle w:val="HideTWBExt"/>
        </w:rPr>
        <w:t>&lt;/Amend&gt;</w:t>
      </w:r>
    </w:p>
    <w:p>
      <w:pPr>
        <w:pStyle w:val="AmNumberTabs"/>
      </w:pPr>
      <w:r>
        <w:rPr>
          <w:rStyle w:val="HideTWBExt"/>
        </w:rPr>
        <w:t>&lt;Amend&gt;</w:t>
      </w:r>
      <w:r>
        <w:t>Emendamento</w:t>
      </w:r>
      <w:r>
        <w:tab/>
      </w:r>
      <w:r>
        <w:tab/>
      </w:r>
      <w:r>
        <w:rPr>
          <w:rStyle w:val="HideTWBExt"/>
        </w:rPr>
        <w:t>&lt;NumAm&gt;</w:t>
      </w:r>
      <w:r>
        <w:t>84</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22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22 bis.</w:t>
            </w:r>
            <w:r>
              <w:tab/>
            </w:r>
            <w:r>
              <w:rPr>
                <w:b/>
                <w:i/>
              </w:rPr>
              <w:t>esprime profonda preoccupazione in merito alla crescente influenza dei movimenti ultraconservatori, anti-gender e fondamentalisti religiosi, sia all'interno che all'esterno dell'UE, che mirano a indebolire i diritti fondamentali delle donne e delle ragazze, anche in contesti umanitari; sottolinea che tali movimenti spesso diffondono disinformazione, alimentano pregiudizi riguardo ai servizi per la salute sessuale e riproduttiva e indeboliscono la protezione delle donne dalla violenza di genere; invita la Commissione, il SEAE e gli Stati membri a garantire che i programmi umanitari finanziati dall'UE restino saldamente ancorati alle norme internazionali in materia di diritti umani e all'uguaglianza di genere e a sostenere attivamente le organizzazioni della società civile oggetto di attacchi da parte di attori che si oppongono ai diritti;</w:t>
            </w:r>
          </w:p>
        </w:tc>
      </w:tr>
    </w:tbl>
    <w:p>
      <w:r>
        <w:rPr>
          <w:rStyle w:val="HideTWBExt"/>
        </w:rPr>
        <w:t>&lt;/Amend&gt;</w:t>
      </w:r>
    </w:p>
    <w:p>
      <w:pPr>
        <w:pStyle w:val="AmNumberTabs"/>
      </w:pPr>
      <w:r>
        <w:rPr>
          <w:rStyle w:val="HideTWBExt"/>
        </w:rPr>
        <w:t>&lt;Amend&gt;</w:t>
      </w:r>
      <w:r>
        <w:t>Emendamento</w:t>
      </w:r>
      <w:r>
        <w:tab/>
      </w:r>
      <w:r>
        <w:tab/>
      </w:r>
      <w:r>
        <w:rPr>
          <w:rStyle w:val="HideTWBExt"/>
        </w:rPr>
        <w:t>&lt;NumAm&gt;</w:t>
      </w:r>
      <w:r>
        <w:t>85</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23</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r>
              <w:t>23.</w:t>
            </w:r>
            <w:r>
              <w:tab/>
            </w:r>
            <w:r>
              <w:t>invita ancora una volta gli Stati membri ad attuare pienamente la risoluzione 1325 del Consiglio di sicurezza delle Nazioni Unite;</w:t>
            </w:r>
          </w:p>
        </w:tc>
        <w:tc>
          <w:tcPr>
            <w:tcW w:w="4876" w:type="dxa"/>
            <w:tcBorders>
              <w:top w:val="nil"/>
              <w:left w:val="nil"/>
              <w:bottom w:val="nil"/>
              <w:right w:val="nil"/>
            </w:tcBorders>
          </w:tcPr>
          <w:p>
            <w:pPr>
              <w:pStyle w:val="Normal6a"/>
            </w:pPr>
            <w:r>
              <w:t>23.</w:t>
            </w:r>
            <w:r>
              <w:tab/>
            </w:r>
            <w:r>
              <w:t>invita ancora una volta gli Stati membri ad attuare pienamente la risoluzione 1325 del Consiglio di sicurezza delle Nazioni Unite;</w:t>
            </w:r>
            <w:r>
              <w:rPr>
                <w:b/>
                <w:i/>
              </w:rPr>
              <w:t xml:space="preserve"> incoraggia gli Stati membri ad aggiornare i loro piani d'azione nazionali conformemente alla risoluzione 1325 del Consiglio di sicurezza delle Nazioni Unite;</w:t>
            </w:r>
          </w:p>
        </w:tc>
      </w:tr>
    </w:tbl>
    <w:p>
      <w:r>
        <w:rPr>
          <w:rStyle w:val="HideTWBExt"/>
        </w:rPr>
        <w:t>&lt;/Amend&gt;</w:t>
      </w:r>
    </w:p>
    <w:p>
      <w:pPr>
        <w:pStyle w:val="AmNumberTabs"/>
      </w:pPr>
      <w:r>
        <w:rPr>
          <w:rStyle w:val="HideTWBExt"/>
        </w:rPr>
        <w:t>&lt;Amend&gt;</w:t>
      </w:r>
      <w:r>
        <w:t>Emendamento</w:t>
      </w:r>
      <w:r>
        <w:tab/>
      </w:r>
      <w:r>
        <w:tab/>
      </w:r>
      <w:r>
        <w:rPr>
          <w:rStyle w:val="HideTWBExt"/>
        </w:rPr>
        <w:t>&lt;NumAm&gt;</w:t>
      </w:r>
      <w:r>
        <w:t>86</w:t>
      </w:r>
      <w:r>
        <w:rPr>
          <w:rStyle w:val="HideTWBExt"/>
        </w:rPr>
        <w:t>&lt;/NumAm&gt;</w:t>
      </w:r>
    </w:p>
    <w:p>
      <w:pPr>
        <w:pStyle w:val="NormalBold12b"/>
      </w:pPr>
      <w:r>
        <w:rPr>
          <w:rStyle w:val="HideTWBExt"/>
        </w:rPr>
        <w:t>&lt;DocAmend&gt;</w:t>
      </w:r>
      <w:r>
        <w:t>Proposta di risoluzione</w:t>
      </w:r>
      <w:r>
        <w:rPr>
          <w:rStyle w:val="HideTWBExt"/>
        </w:rPr>
        <w:t>&lt;/DocAmend&gt;</w:t>
      </w:r>
    </w:p>
    <w:p>
      <w:pPr>
        <w:pStyle w:val="NormalBold"/>
      </w:pPr>
      <w:r>
        <w:rPr>
          <w:rStyle w:val="HideTWBExt"/>
        </w:rPr>
        <w:t>&lt;Article&gt;</w:t>
      </w:r>
      <w:r>
        <w:t>Paragrafo 23 bis (nuovo)</w:t>
      </w:r>
      <w:r>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
      <w:tblGrid>
        <w:gridCol w:w="4876"/>
        <w:gridCol w:w="4876"/>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PrEx>
        <w:trPr>
          <w:trHeight w:hRule="exact" w:val="240"/>
          <w:jc w:val="center"/>
        </w:trPr>
        <w:tc>
          <w:tcPr>
            <w:tcW w:w="9752" w:type="dxa"/>
            <w:gridSpan w:val="2"/>
            <w:tcBorders>
              <w:top w:val="nil"/>
              <w:left w:val="nil"/>
              <w:bottom w:val="nil"/>
              <w:right w:val="nil"/>
            </w:tcBorders>
            <w:vAlign w:val="top"/>
          </w:tcPr>
          <w:p/>
        </w:tc>
      </w:tr>
      <w:tr>
        <w:tblPrEx>
          <w:tblW w:w="0" w:type="auto"/>
          <w:jc w:val="center"/>
          <w:tblLayout w:type="fixed"/>
          <w:tblCellMar>
            <w:left w:w="340" w:type="dxa"/>
            <w:right w:w="340" w:type="dxa"/>
          </w:tblCellMar>
        </w:tblPrEx>
        <w:trPr>
          <w:trHeight w:val="240"/>
          <w:jc w:val="center"/>
        </w:trPr>
        <w:tc>
          <w:tcPr>
            <w:tcW w:w="4876" w:type="dxa"/>
            <w:tcBorders>
              <w:top w:val="nil"/>
              <w:left w:val="nil"/>
              <w:bottom w:val="nil"/>
              <w:right w:val="nil"/>
            </w:tcBorders>
          </w:tcPr>
          <w:p>
            <w:pPr>
              <w:pStyle w:val="AmColumnHeading"/>
            </w:pPr>
            <w:r>
              <w:t>Proposta di risoluzione</w:t>
            </w:r>
          </w:p>
        </w:tc>
        <w:tc>
          <w:tcPr>
            <w:tcW w:w="4876" w:type="dxa"/>
            <w:tcBorders>
              <w:top w:val="nil"/>
              <w:left w:val="nil"/>
              <w:bottom w:val="nil"/>
              <w:right w:val="nil"/>
            </w:tcBorders>
          </w:tcPr>
          <w:p>
            <w:pPr>
              <w:pStyle w:val="AmColumnHeading"/>
            </w:pPr>
            <w:r>
              <w:t>Emendamento</w:t>
            </w:r>
          </w:p>
        </w:tc>
      </w:tr>
      <w:tr>
        <w:tblPrEx>
          <w:tblW w:w="0" w:type="auto"/>
          <w:jc w:val="center"/>
          <w:tblLayout w:type="fixed"/>
          <w:tblCellMar>
            <w:left w:w="340" w:type="dxa"/>
            <w:right w:w="340" w:type="dxa"/>
          </w:tblCellMar>
        </w:tblPrEx>
        <w:trPr>
          <w:jc w:val="center"/>
        </w:trPr>
        <w:tc>
          <w:tcPr>
            <w:tcW w:w="4876" w:type="dxa"/>
            <w:tcBorders>
              <w:top w:val="nil"/>
              <w:left w:val="nil"/>
              <w:bottom w:val="nil"/>
              <w:right w:val="nil"/>
            </w:tcBorders>
          </w:tcPr>
          <w:p>
            <w:pPr>
              <w:pStyle w:val="Normal6a"/>
            </w:pPr>
          </w:p>
        </w:tc>
        <w:tc>
          <w:tcPr>
            <w:tcW w:w="4876" w:type="dxa"/>
            <w:tcBorders>
              <w:top w:val="nil"/>
              <w:left w:val="nil"/>
              <w:bottom w:val="nil"/>
              <w:right w:val="nil"/>
            </w:tcBorders>
          </w:tcPr>
          <w:p>
            <w:pPr>
              <w:pStyle w:val="Normal6a"/>
            </w:pPr>
            <w:r>
              <w:rPr>
                <w:b/>
                <w:i/>
              </w:rPr>
              <w:t>23 bis.</w:t>
            </w:r>
            <w:r>
              <w:tab/>
            </w:r>
            <w:r>
              <w:rPr>
                <w:b/>
                <w:i/>
              </w:rPr>
              <w:t>mette in guardia contro la violenza istituzionale e la negligenza da parte degli attori umanitari, in particolare dai programmi che non tengono conto della dimensione di genere, dagli ambienti non sicuri per le donne e le persone LGBTIQ+ e dalla mancata assunzione di responsabilità per gli abusi commessi; chiede norme vincolanti in materia di sensibilità alla dimensione di genere, sistemi di rendicontazione completi e politiche di tolleranza zero in tutte le operazioni umanitarie finanziate dall'UE;</w:t>
            </w:r>
          </w:p>
        </w:tc>
      </w:tr>
    </w:tbl>
    <w:p>
      <w:r>
        <w:rPr>
          <w:rStyle w:val="HideTWBExt"/>
        </w:rPr>
        <w:t>&lt;/Amend&gt;</w:t>
      </w:r>
    </w:p>
    <w:p>
      <w:r>
        <w:rPr>
          <w:rStyle w:val="HideTWBExt"/>
        </w:rPr>
        <w:t>&lt;/RepeatBlock-Amend&gt;</w:t>
      </w:r>
    </w:p>
    <w:p>
      <w:pPr>
        <w:sectPr>
          <w:footnotePr>
            <w:numRestart w:val="eachSect"/>
          </w:footnotePr>
          <w:type w:val="nextPage"/>
          <w:pgSz w:w="11909" w:h="16834"/>
          <w:pgMar w:top="1134" w:right="1417" w:bottom="1417" w:left="1417" w:header="1134" w:footer="567"/>
          <w:cols w:space="720"/>
        </w:sectPr>
      </w:pPr>
    </w:p>
    <w:p>
      <w:pPr>
        <w:pStyle w:val="PageHeading"/>
      </w:pPr>
      <w:r>
        <w:t>ALLEGATO: DICHIARAZIONE DEI CONTRIBUTI</w:t>
      </w:r>
    </w:p>
    <w:p>
      <w:pPr>
        <w:pStyle w:val="Normal12a"/>
      </w:pPr>
      <w:r>
        <w:rPr>
          <w:rStyle w:val="HideTWBExt"/>
        </w:rPr>
        <w:t>&lt;FootprintIntro&gt;</w:t>
      </w:r>
      <w:r>
        <w:rPr>
          <w:rStyle w:val="HideTWBExt"/>
        </w:rPr>
        <w:t>&lt;/FootprintIntro&gt;</w:t>
      </w:r>
    </w:p>
    <w:p>
      <w:pPr>
        <w:pStyle w:val="Normal12a"/>
      </w:pPr>
      <w:r>
        <w:t>La relatrice per parere dichiara, sotto la sua esclusiva responsabilità, di non aver incluso nel suo parere alcun contributo di rappresentanti di interessi che rientrano nell'ambito di applicazione dell'accordo interistituzionale su un registro per la trasparenza obbligatorio</w:t>
      </w:r>
      <w:r>
        <w:rPr>
          <w:rStyle w:val="FootnoteReference"/>
        </w:rPr>
        <w:footnoteReference w:customMarkFollows="1" w:id="2"/>
        <w:t xml:space="preserve">1</w:t>
      </w:r>
      <w:r>
        <w:t>, o di rappresentanti delle pubbliche autorità di paesi terzi, incluse le loro missioni diplomatiche e ambasciate, da enumerare nel presente allegato in virtù dell'allegato I, articolo 8, del regolamento.</w:t>
      </w:r>
    </w:p>
    <w:p>
      <w:pPr>
        <w:sectPr>
          <w:footnotePr>
            <w:numRestart w:val="eachSect"/>
          </w:footnotePr>
          <w:type w:val="nextPage"/>
          <w:pgSz w:w="11909" w:h="16834"/>
          <w:pgMar w:top="1134" w:right="1417" w:bottom="1417" w:left="1417" w:header="1134" w:footer="567"/>
          <w:cols w:space="720"/>
        </w:sectPr>
      </w:pPr>
    </w:p>
    <w:p>
      <w:pPr>
        <w:pStyle w:val="PageHeading"/>
      </w:pPr>
      <w:r>
        <w:t>INFORMAZIONI SULL'APPROVAZIONE IN SEDE DI COMMISSIONE COMPETENTE PER PARERE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0" w:type="dxa"/>
          <w:right w:w="140" w:type="dxa"/>
        </w:tblCellMar>
      </w:tblPr>
      <w:tblGrid>
        <w:gridCol w:w="3600"/>
        <w:gridCol w:w="6400"/>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0" w:type="dxa"/>
            <w:right w:w="140" w:type="dxa"/>
          </w:tblCellMar>
        </w:tblPrEx>
        <w:tc>
          <w:tcPr>
            <w:tcW w:w="3600" w:type="dxa"/>
          </w:tcPr>
          <w:p>
            <w:pPr>
              <w:pStyle w:val="ProcedureTableBold"/>
            </w:pPr>
            <w:r>
              <w:t>Approvazione</w:t>
            </w:r>
          </w:p>
        </w:tc>
        <w:tc>
          <w:tcPr>
            <w:tcW w:w="6400" w:type="dxa"/>
            <w:tcBorders>
              <w:left w:val="dotted" w:sz="4" w:space="0" w:color="auto"/>
            </w:tcBorders>
          </w:tcPr>
          <w:p>
            <w:pPr>
              <w:pStyle w:val="ProcedureTable"/>
            </w:pPr>
            <w:r>
              <w:t>13.10.2025</w:t>
            </w:r>
          </w:p>
        </w:tc>
      </w:tr>
      <w:tr>
        <w:tblPrEx>
          <w:tblW w:w="0" w:type="auto"/>
          <w:tblLayout w:type="fixed"/>
          <w:tblCellMar>
            <w:left w:w="140" w:type="dxa"/>
            <w:right w:w="140" w:type="dxa"/>
          </w:tblCellMar>
        </w:tblPrEx>
        <w:tc>
          <w:tcPr>
            <w:tcW w:w="3600" w:type="dxa"/>
          </w:tcPr>
          <w:p>
            <w:pPr>
              <w:pStyle w:val="ProcedureTableBold"/>
            </w:pPr>
            <w:r>
              <w:t>Esito della votazione finale</w:t>
            </w:r>
          </w:p>
        </w:tc>
        <w:tc>
          <w:tcPr>
            <w:tcW w:w="6400" w:type="dxa"/>
            <w:tcBorders>
              <w:left w:val="dotted" w:sz="4" w:space="0" w:color="auto"/>
            </w:tcBorders>
          </w:tcPr>
          <w:p>
            <w:r>
              <w:t>+</w:t>
            </w:r>
            <w:r>
              <w:tab/>
            </w:r>
            <w:r>
              <w:t>:</w:t>
            </w:r>
            <w:r>
              <w:tab/>
            </w:r>
            <w:r>
              <w:t>25</w:t>
            </w:r>
          </w:p>
          <w:p>
            <w:r>
              <w:t>-</w:t>
            </w:r>
            <w:r>
              <w:tab/>
            </w:r>
            <w:r>
              <w:t>:</w:t>
            </w:r>
            <w:r>
              <w:tab/>
            </w:r>
            <w:r>
              <w:t>8</w:t>
            </w:r>
          </w:p>
          <w:p>
            <w:r>
              <w:t>0</w:t>
            </w:r>
            <w:r>
              <w:tab/>
            </w:r>
            <w:r>
              <w:t>:</w:t>
            </w:r>
            <w:r>
              <w:tab/>
            </w:r>
            <w:r>
              <w:t>1</w:t>
            </w:r>
          </w:p>
        </w:tc>
      </w:tr>
      <w:tr>
        <w:tblPrEx>
          <w:tblW w:w="0" w:type="auto"/>
          <w:tblLayout w:type="fixed"/>
          <w:tblCellMar>
            <w:left w:w="140" w:type="dxa"/>
            <w:right w:w="140" w:type="dxa"/>
          </w:tblCellMar>
        </w:tblPrEx>
        <w:tc>
          <w:tcPr>
            <w:tcW w:w="3600" w:type="dxa"/>
          </w:tcPr>
          <w:p>
            <w:pPr>
              <w:pStyle w:val="ProcedureTableBold"/>
            </w:pPr>
            <w:r>
              <w:t>Membri titolari presenti al momento della votazione finale</w:t>
            </w:r>
          </w:p>
        </w:tc>
        <w:tc>
          <w:tcPr>
            <w:tcW w:w="6400" w:type="dxa"/>
            <w:tcBorders>
              <w:left w:val="dotted" w:sz="4" w:space="0" w:color="auto"/>
            </w:tcBorders>
          </w:tcPr>
          <w:p>
            <w:pPr>
              <w:pStyle w:val="ProcedureTable"/>
            </w:pPr>
            <w:r>
              <w:t>Margarita de la Pisa Carrión, Valérie Devaux, Heléne Fritzon, Lina Gálvez, Alexandra Geese, Chiara Gemma, Fernand Kartheiser, Arba Kokalari, Elena Kountoura, Sebastian Kruis, Judita Laššáková, Eleonora Meleti, Carolina Morace, Maria Noichl, Sirpa Pietikäinen, Giusi Princi, Emma Rafowicz, Joanna Scheuring-Wielgus, Benedetta Scuderi, Laurence Trochu, Marko Vešligaj, Maria Walsh, Lucia Yar</w:t>
            </w:r>
          </w:p>
        </w:tc>
      </w:tr>
      <w:tr>
        <w:tblPrEx>
          <w:tblW w:w="0" w:type="auto"/>
          <w:tblLayout w:type="fixed"/>
          <w:tblCellMar>
            <w:left w:w="140" w:type="dxa"/>
            <w:right w:w="140" w:type="dxa"/>
          </w:tblCellMar>
        </w:tblPrEx>
        <w:tc>
          <w:tcPr>
            <w:tcW w:w="3600" w:type="dxa"/>
          </w:tcPr>
          <w:p>
            <w:pPr>
              <w:pStyle w:val="ProcedureTableBold"/>
            </w:pPr>
            <w:r>
              <w:t>Supplenti presenti al momento della votazione finale</w:t>
            </w:r>
          </w:p>
        </w:tc>
        <w:tc>
          <w:tcPr>
            <w:tcW w:w="6400" w:type="dxa"/>
            <w:tcBorders>
              <w:left w:val="dotted" w:sz="4" w:space="0" w:color="auto"/>
            </w:tcBorders>
          </w:tcPr>
          <w:p>
            <w:pPr>
              <w:pStyle w:val="ProcedureTable"/>
            </w:pPr>
            <w:r>
              <w:t>Christine Anderson, Veronika Cifrová Ostrihoňová, Paulo Do Nascimento Cabral, Elisabeth Grossmann, Billy Kelleher, Katrin Langensiepen, Manuela Ripa, Beatrice Timgren, Marianne Vind</w:t>
            </w:r>
          </w:p>
        </w:tc>
      </w:tr>
      <w:tr>
        <w:tblPrEx>
          <w:tblW w:w="0" w:type="auto"/>
          <w:tblLayout w:type="fixed"/>
          <w:tblCellMar>
            <w:left w:w="140" w:type="dxa"/>
            <w:right w:w="140" w:type="dxa"/>
          </w:tblCellMar>
        </w:tblPrEx>
        <w:tc>
          <w:tcPr>
            <w:tcW w:w="3600" w:type="dxa"/>
          </w:tcPr>
          <w:p>
            <w:pPr>
              <w:pStyle w:val="ProcedureTableBold"/>
            </w:pPr>
            <w:r>
              <w:t>Deputati di cui all'art. 216, par. 7, del regolamento presenti al momento della votazione finale</w:t>
            </w:r>
          </w:p>
        </w:tc>
        <w:tc>
          <w:tcPr>
            <w:tcW w:w="6400" w:type="dxa"/>
            <w:tcBorders>
              <w:left w:val="dotted" w:sz="4" w:space="0" w:color="auto"/>
            </w:tcBorders>
          </w:tcPr>
          <w:p>
            <w:pPr>
              <w:pStyle w:val="ProcedureTable"/>
            </w:pPr>
            <w:r>
              <w:t>Peter Agius, Daniel Caspary</w:t>
            </w:r>
          </w:p>
        </w:tc>
      </w:tr>
    </w:tbl>
    <w:p>
      <w:pPr>
        <w:sectPr>
          <w:type w:val="nextPage"/>
          <w:pgSz w:w="11909" w:h="16834"/>
          <w:pgMar w:top="1134" w:right="1417" w:bottom="1417" w:left="1417" w:header="1134" w:footer="567"/>
          <w:cols w:space="720"/>
        </w:sectPr>
      </w:pPr>
    </w:p>
    <w:p>
      <w:pPr>
        <w:pStyle w:val="PageHeading"/>
      </w:pPr>
      <w:r>
        <w:t>VOTAZIONE FINALE PER APPELLO NOMINALE DA PARTE DELLA COMMISSIONE COMPETENTE PER PARERE</w:t>
      </w:r>
    </w:p>
    <w:tbl>
      <w:tblPr>
        <w:tblW w:w="0" w:type="auto"/>
        <w:tblBorders>
          <w:top w:val="double" w:sz="8" w:space="0" w:color="000000"/>
          <w:left w:val="double" w:sz="8" w:space="0" w:color="000000"/>
          <w:bottom w:val="double" w:sz="8" w:space="0" w:color="000000"/>
          <w:right w:val="double" w:sz="8" w:space="0" w:color="000000"/>
          <w:insideH w:val="single" w:sz="4" w:space="0" w:color="auto"/>
          <w:insideV w:val="single" w:sz="4" w:space="0" w:color="auto"/>
        </w:tblBorders>
        <w:tblLayout w:type="fixed"/>
        <w:tblCellMar>
          <w:top w:w="54" w:type="dxa"/>
          <w:left w:w="140" w:type="dxa"/>
          <w:bottom w:w="54" w:type="dxa"/>
          <w:right w:w="140" w:type="dxa"/>
        </w:tblCellMar>
      </w:tblPr>
      <w:tblGrid>
        <w:gridCol w:w="1600"/>
        <w:gridCol w:w="7600"/>
      </w:tblGrid>
      <w:tr>
        <w:tblPrEx>
          <w:tblW w:w="0" w:type="auto"/>
          <w:tblBorders>
            <w:top w:val="double" w:sz="8" w:space="0" w:color="000000"/>
            <w:left w:val="double" w:sz="8" w:space="0" w:color="000000"/>
            <w:bottom w:val="double" w:sz="8" w:space="0" w:color="000000"/>
            <w:right w:val="double" w:sz="8" w:space="0" w:color="000000"/>
            <w:insideH w:val="single" w:sz="4" w:space="0" w:color="auto"/>
            <w:insideV w:val="single" w:sz="4" w:space="0" w:color="auto"/>
          </w:tblBorders>
          <w:tblLayout w:type="fixed"/>
          <w:tblCellMar>
            <w:top w:w="54" w:type="dxa"/>
            <w:left w:w="140" w:type="dxa"/>
            <w:bottom w:w="54" w:type="dxa"/>
            <w:right w:w="140" w:type="dxa"/>
          </w:tblCellMar>
        </w:tblPrEx>
        <w:tc>
          <w:tcPr>
            <w:tcW w:w="1600" w:type="dxa"/>
            <w:shd w:val="clear" w:color="auto" w:fill="C0C0C0"/>
          </w:tcPr>
          <w:p>
            <w:pPr>
              <w:pStyle w:val="NormalBold"/>
            </w:pPr>
            <w:r>
              <w:t>25</w:t>
            </w:r>
          </w:p>
        </w:tc>
        <w:tc>
          <w:tcPr>
            <w:tcW w:w="7600" w:type="dxa"/>
            <w:shd w:val="clear" w:color="auto" w:fill="C0C0C0"/>
          </w:tcPr>
          <w:p>
            <w:pPr>
              <w:pStyle w:val="Arial14CentreBold"/>
            </w:pPr>
            <w:r>
              <w:t>+</w:t>
            </w:r>
          </w:p>
        </w:tc>
      </w:tr>
      <w:tr>
        <w:tblPrEx>
          <w:tblW w:w="0" w:type="auto"/>
          <w:tblLayout w:type="fixed"/>
          <w:tblCellMar>
            <w:top w:w="54" w:type="dxa"/>
            <w:left w:w="140" w:type="dxa"/>
            <w:bottom w:w="54" w:type="dxa"/>
            <w:right w:w="140" w:type="dxa"/>
          </w:tblCellMar>
        </w:tblPrEx>
        <w:tc>
          <w:tcPr>
            <w:tcW w:w="1600" w:type="dxa"/>
          </w:tcPr>
          <w:p>
            <w:pPr>
              <w:pStyle w:val="ProcedureTable"/>
            </w:pPr>
            <w:r>
              <w:t>PPE</w:t>
            </w:r>
          </w:p>
        </w:tc>
        <w:tc>
          <w:tcPr>
            <w:tcW w:w="7600" w:type="dxa"/>
          </w:tcPr>
          <w:p>
            <w:pPr>
              <w:pStyle w:val="ProcedureTable"/>
            </w:pPr>
            <w:r>
              <w:t>Caspary Daniel, Do Nascimento Cabral Paulo, Kokalari Arba, Meleti Eleonora, Pietikäinen Sirpa, Princi Giusi, Ripa Manuela, Walsh Maria</w:t>
            </w:r>
          </w:p>
        </w:tc>
      </w:tr>
      <w:tr>
        <w:tblPrEx>
          <w:tblW w:w="0" w:type="auto"/>
          <w:tblLayout w:type="fixed"/>
          <w:tblCellMar>
            <w:top w:w="54" w:type="dxa"/>
            <w:left w:w="140" w:type="dxa"/>
            <w:bottom w:w="54" w:type="dxa"/>
            <w:right w:w="140" w:type="dxa"/>
          </w:tblCellMar>
        </w:tblPrEx>
        <w:tc>
          <w:tcPr>
            <w:tcW w:w="1600" w:type="dxa"/>
          </w:tcPr>
          <w:p>
            <w:pPr>
              <w:pStyle w:val="ProcedureTable"/>
            </w:pPr>
            <w:r>
              <w:t>Renew</w:t>
            </w:r>
          </w:p>
        </w:tc>
        <w:tc>
          <w:tcPr>
            <w:tcW w:w="7600" w:type="dxa"/>
          </w:tcPr>
          <w:p>
            <w:pPr>
              <w:pStyle w:val="ProcedureTable"/>
            </w:pPr>
            <w:r>
              <w:t>Cifrová Ostrihonová Veronika, Devaux Valérie, Kelleher Billy, Yar Lucia</w:t>
            </w:r>
          </w:p>
        </w:tc>
      </w:tr>
      <w:tr>
        <w:tblPrEx>
          <w:tblW w:w="0" w:type="auto"/>
          <w:tblLayout w:type="fixed"/>
          <w:tblCellMar>
            <w:top w:w="54" w:type="dxa"/>
            <w:left w:w="140" w:type="dxa"/>
            <w:bottom w:w="54" w:type="dxa"/>
            <w:right w:w="140" w:type="dxa"/>
          </w:tblCellMar>
        </w:tblPrEx>
        <w:tc>
          <w:tcPr>
            <w:tcW w:w="1600" w:type="dxa"/>
          </w:tcPr>
          <w:p>
            <w:pPr>
              <w:pStyle w:val="ProcedureTable"/>
            </w:pPr>
            <w:r>
              <w:t>S&amp;D</w:t>
            </w:r>
          </w:p>
        </w:tc>
        <w:tc>
          <w:tcPr>
            <w:tcW w:w="7600" w:type="dxa"/>
          </w:tcPr>
          <w:p>
            <w:pPr>
              <w:pStyle w:val="ProcedureTable"/>
            </w:pPr>
            <w:r>
              <w:t>Fritzon Heléne, Gálvez Lina, Grossmann Elisabeth, Noichl Maria, Rafowicz Emma, Scheuring-Wielgus Joanna, Vesligaj Marko, Vind Marianne</w:t>
            </w:r>
          </w:p>
        </w:tc>
      </w:tr>
      <w:tr>
        <w:tblPrEx>
          <w:tblW w:w="0" w:type="auto"/>
          <w:tblLayout w:type="fixed"/>
          <w:tblCellMar>
            <w:top w:w="54" w:type="dxa"/>
            <w:left w:w="140" w:type="dxa"/>
            <w:bottom w:w="54" w:type="dxa"/>
            <w:right w:w="140" w:type="dxa"/>
          </w:tblCellMar>
        </w:tblPrEx>
        <w:tc>
          <w:tcPr>
            <w:tcW w:w="1600" w:type="dxa"/>
          </w:tcPr>
          <w:p>
            <w:pPr>
              <w:pStyle w:val="ProcedureTable"/>
            </w:pPr>
            <w:r>
              <w:t>The Left</w:t>
            </w:r>
          </w:p>
        </w:tc>
        <w:tc>
          <w:tcPr>
            <w:tcW w:w="7600" w:type="dxa"/>
          </w:tcPr>
          <w:p>
            <w:pPr>
              <w:pStyle w:val="ProcedureTable"/>
            </w:pPr>
            <w:r>
              <w:t>Kountoura Elena, Morace Carolina</w:t>
            </w:r>
          </w:p>
        </w:tc>
      </w:tr>
      <w:tr>
        <w:tblPrEx>
          <w:tblW w:w="0" w:type="auto"/>
          <w:tblLayout w:type="fixed"/>
          <w:tblCellMar>
            <w:top w:w="54" w:type="dxa"/>
            <w:left w:w="140" w:type="dxa"/>
            <w:bottom w:w="54" w:type="dxa"/>
            <w:right w:w="140" w:type="dxa"/>
          </w:tblCellMar>
        </w:tblPrEx>
        <w:tc>
          <w:tcPr>
            <w:tcW w:w="1600" w:type="dxa"/>
          </w:tcPr>
          <w:p>
            <w:pPr>
              <w:pStyle w:val="ProcedureTable"/>
            </w:pPr>
            <w:r>
              <w:t>Verts/ALE</w:t>
            </w:r>
          </w:p>
        </w:tc>
        <w:tc>
          <w:tcPr>
            <w:tcW w:w="7600" w:type="dxa"/>
          </w:tcPr>
          <w:p>
            <w:pPr>
              <w:pStyle w:val="ProcedureTable"/>
            </w:pPr>
            <w:r>
              <w:t>Geese Alexandra, Langensiepen Katrin, Scuderi Benedetta</w:t>
            </w:r>
          </w:p>
        </w:tc>
      </w:tr>
    </w:tbl>
    <w:p/>
    <w:tbl>
      <w:tblPr>
        <w:tblW w:w="0" w:type="auto"/>
        <w:tblBorders>
          <w:top w:val="double" w:sz="8" w:space="0" w:color="000000"/>
          <w:left w:val="double" w:sz="8" w:space="0" w:color="000000"/>
          <w:bottom w:val="double" w:sz="8" w:space="0" w:color="000000"/>
          <w:right w:val="double" w:sz="8" w:space="0" w:color="000000"/>
          <w:insideH w:val="single" w:sz="4" w:space="0" w:color="auto"/>
          <w:insideV w:val="single" w:sz="4" w:space="0" w:color="auto"/>
        </w:tblBorders>
        <w:tblLayout w:type="fixed"/>
        <w:tblCellMar>
          <w:top w:w="54" w:type="dxa"/>
          <w:left w:w="140" w:type="dxa"/>
          <w:bottom w:w="54" w:type="dxa"/>
          <w:right w:w="140" w:type="dxa"/>
        </w:tblCellMar>
      </w:tblPr>
      <w:tblGrid>
        <w:gridCol w:w="1600"/>
        <w:gridCol w:w="7600"/>
      </w:tblGrid>
      <w:tr>
        <w:tblPrEx>
          <w:tblW w:w="0" w:type="auto"/>
          <w:tblBorders>
            <w:top w:val="double" w:sz="8" w:space="0" w:color="000000"/>
            <w:left w:val="double" w:sz="8" w:space="0" w:color="000000"/>
            <w:bottom w:val="double" w:sz="8" w:space="0" w:color="000000"/>
            <w:right w:val="double" w:sz="8" w:space="0" w:color="000000"/>
            <w:insideH w:val="single" w:sz="4" w:space="0" w:color="auto"/>
            <w:insideV w:val="single" w:sz="4" w:space="0" w:color="auto"/>
          </w:tblBorders>
          <w:tblLayout w:type="fixed"/>
          <w:tblCellMar>
            <w:top w:w="54" w:type="dxa"/>
            <w:left w:w="140" w:type="dxa"/>
            <w:bottom w:w="54" w:type="dxa"/>
            <w:right w:w="140" w:type="dxa"/>
          </w:tblCellMar>
        </w:tblPrEx>
        <w:tc>
          <w:tcPr>
            <w:tcW w:w="1600" w:type="dxa"/>
            <w:shd w:val="clear" w:color="auto" w:fill="C0C0C0"/>
          </w:tcPr>
          <w:p>
            <w:pPr>
              <w:pStyle w:val="NormalBold"/>
            </w:pPr>
            <w:r>
              <w:t>8</w:t>
            </w:r>
          </w:p>
        </w:tc>
        <w:tc>
          <w:tcPr>
            <w:tcW w:w="7600" w:type="dxa"/>
            <w:shd w:val="clear" w:color="auto" w:fill="C0C0C0"/>
          </w:tcPr>
          <w:p>
            <w:pPr>
              <w:pStyle w:val="Arial14CentreBold"/>
            </w:pPr>
            <w:r>
              <w:t>-</w:t>
            </w:r>
          </w:p>
        </w:tc>
      </w:tr>
      <w:tr>
        <w:tblPrEx>
          <w:tblW w:w="0" w:type="auto"/>
          <w:tblLayout w:type="fixed"/>
          <w:tblCellMar>
            <w:top w:w="54" w:type="dxa"/>
            <w:left w:w="140" w:type="dxa"/>
            <w:bottom w:w="54" w:type="dxa"/>
            <w:right w:w="140" w:type="dxa"/>
          </w:tblCellMar>
        </w:tblPrEx>
        <w:tc>
          <w:tcPr>
            <w:tcW w:w="1600" w:type="dxa"/>
          </w:tcPr>
          <w:p>
            <w:pPr>
              <w:pStyle w:val="ProcedureTable"/>
            </w:pPr>
            <w:r>
              <w:t>ECR</w:t>
            </w:r>
          </w:p>
        </w:tc>
        <w:tc>
          <w:tcPr>
            <w:tcW w:w="7600" w:type="dxa"/>
          </w:tcPr>
          <w:p>
            <w:pPr>
              <w:pStyle w:val="ProcedureTable"/>
            </w:pPr>
            <w:r>
              <w:t>Gemma Chiara, Timgren Beatrice, Trochu Laurence</w:t>
            </w:r>
          </w:p>
        </w:tc>
      </w:tr>
      <w:tr>
        <w:tblPrEx>
          <w:tblW w:w="0" w:type="auto"/>
          <w:tblLayout w:type="fixed"/>
          <w:tblCellMar>
            <w:top w:w="54" w:type="dxa"/>
            <w:left w:w="140" w:type="dxa"/>
            <w:bottom w:w="54" w:type="dxa"/>
            <w:right w:w="140" w:type="dxa"/>
          </w:tblCellMar>
        </w:tblPrEx>
        <w:tc>
          <w:tcPr>
            <w:tcW w:w="1600" w:type="dxa"/>
          </w:tcPr>
          <w:p>
            <w:pPr>
              <w:pStyle w:val="ProcedureTable"/>
            </w:pPr>
            <w:r>
              <w:t>ESN</w:t>
            </w:r>
          </w:p>
        </w:tc>
        <w:tc>
          <w:tcPr>
            <w:tcW w:w="7600" w:type="dxa"/>
          </w:tcPr>
          <w:p>
            <w:pPr>
              <w:pStyle w:val="ProcedureTable"/>
            </w:pPr>
            <w:r>
              <w:t>Anderson Christine</w:t>
            </w:r>
          </w:p>
        </w:tc>
      </w:tr>
      <w:tr>
        <w:tblPrEx>
          <w:tblW w:w="0" w:type="auto"/>
          <w:tblLayout w:type="fixed"/>
          <w:tblCellMar>
            <w:top w:w="54" w:type="dxa"/>
            <w:left w:w="140" w:type="dxa"/>
            <w:bottom w:w="54" w:type="dxa"/>
            <w:right w:w="140" w:type="dxa"/>
          </w:tblCellMar>
        </w:tblPrEx>
        <w:tc>
          <w:tcPr>
            <w:tcW w:w="1600" w:type="dxa"/>
          </w:tcPr>
          <w:p>
            <w:pPr>
              <w:pStyle w:val="ProcedureTable"/>
            </w:pPr>
            <w:r>
              <w:t>NI</w:t>
            </w:r>
          </w:p>
        </w:tc>
        <w:tc>
          <w:tcPr>
            <w:tcW w:w="7600" w:type="dxa"/>
          </w:tcPr>
          <w:p>
            <w:pPr>
              <w:pStyle w:val="ProcedureTable"/>
            </w:pPr>
            <w:r>
              <w:t>Kartheiser Fernand, Lassáková Judita</w:t>
            </w:r>
          </w:p>
        </w:tc>
      </w:tr>
      <w:tr>
        <w:tblPrEx>
          <w:tblW w:w="0" w:type="auto"/>
          <w:tblLayout w:type="fixed"/>
          <w:tblCellMar>
            <w:top w:w="54" w:type="dxa"/>
            <w:left w:w="140" w:type="dxa"/>
            <w:bottom w:w="54" w:type="dxa"/>
            <w:right w:w="140" w:type="dxa"/>
          </w:tblCellMar>
        </w:tblPrEx>
        <w:tc>
          <w:tcPr>
            <w:tcW w:w="1600" w:type="dxa"/>
          </w:tcPr>
          <w:p>
            <w:pPr>
              <w:pStyle w:val="ProcedureTable"/>
            </w:pPr>
            <w:r>
              <w:t>PfE</w:t>
            </w:r>
          </w:p>
        </w:tc>
        <w:tc>
          <w:tcPr>
            <w:tcW w:w="7600" w:type="dxa"/>
          </w:tcPr>
          <w:p>
            <w:pPr>
              <w:pStyle w:val="ProcedureTable"/>
            </w:pPr>
            <w:r>
              <w:t>Kruis Sebastian, de la Pisa Carrión Margarita</w:t>
            </w:r>
          </w:p>
        </w:tc>
      </w:tr>
    </w:tbl>
    <w:p/>
    <w:tbl>
      <w:tblPr>
        <w:tblW w:w="0" w:type="auto"/>
        <w:tblBorders>
          <w:top w:val="double" w:sz="8" w:space="0" w:color="000000"/>
          <w:left w:val="double" w:sz="8" w:space="0" w:color="000000"/>
          <w:bottom w:val="double" w:sz="8" w:space="0" w:color="000000"/>
          <w:right w:val="double" w:sz="8" w:space="0" w:color="000000"/>
          <w:insideH w:val="single" w:sz="4" w:space="0" w:color="auto"/>
          <w:insideV w:val="single" w:sz="4" w:space="0" w:color="auto"/>
        </w:tblBorders>
        <w:tblLayout w:type="fixed"/>
        <w:tblCellMar>
          <w:top w:w="54" w:type="dxa"/>
          <w:left w:w="140" w:type="dxa"/>
          <w:bottom w:w="54" w:type="dxa"/>
          <w:right w:w="140" w:type="dxa"/>
        </w:tblCellMar>
      </w:tblPr>
      <w:tblGrid>
        <w:gridCol w:w="1600"/>
        <w:gridCol w:w="7600"/>
      </w:tblGrid>
      <w:tr>
        <w:tblPrEx>
          <w:tblW w:w="0" w:type="auto"/>
          <w:tblBorders>
            <w:top w:val="double" w:sz="8" w:space="0" w:color="000000"/>
            <w:left w:val="double" w:sz="8" w:space="0" w:color="000000"/>
            <w:bottom w:val="double" w:sz="8" w:space="0" w:color="000000"/>
            <w:right w:val="double" w:sz="8" w:space="0" w:color="000000"/>
            <w:insideH w:val="single" w:sz="4" w:space="0" w:color="auto"/>
            <w:insideV w:val="single" w:sz="4" w:space="0" w:color="auto"/>
          </w:tblBorders>
          <w:tblLayout w:type="fixed"/>
          <w:tblCellMar>
            <w:top w:w="54" w:type="dxa"/>
            <w:left w:w="140" w:type="dxa"/>
            <w:bottom w:w="54" w:type="dxa"/>
            <w:right w:w="140" w:type="dxa"/>
          </w:tblCellMar>
        </w:tblPrEx>
        <w:tc>
          <w:tcPr>
            <w:tcW w:w="1600" w:type="dxa"/>
            <w:shd w:val="clear" w:color="auto" w:fill="C0C0C0"/>
          </w:tcPr>
          <w:p>
            <w:pPr>
              <w:pStyle w:val="NormalBold"/>
            </w:pPr>
            <w:r>
              <w:t>1</w:t>
            </w:r>
          </w:p>
        </w:tc>
        <w:tc>
          <w:tcPr>
            <w:tcW w:w="7600" w:type="dxa"/>
            <w:shd w:val="clear" w:color="auto" w:fill="C0C0C0"/>
          </w:tcPr>
          <w:p>
            <w:pPr>
              <w:pStyle w:val="Arial14CentreBold"/>
            </w:pPr>
            <w:r>
              <w:t>0</w:t>
            </w:r>
          </w:p>
        </w:tc>
      </w:tr>
      <w:tr>
        <w:tblPrEx>
          <w:tblW w:w="0" w:type="auto"/>
          <w:tblLayout w:type="fixed"/>
          <w:tblCellMar>
            <w:top w:w="54" w:type="dxa"/>
            <w:left w:w="140" w:type="dxa"/>
            <w:bottom w:w="54" w:type="dxa"/>
            <w:right w:w="140" w:type="dxa"/>
          </w:tblCellMar>
        </w:tblPrEx>
        <w:tc>
          <w:tcPr>
            <w:tcW w:w="1600" w:type="dxa"/>
          </w:tcPr>
          <w:p>
            <w:pPr>
              <w:pStyle w:val="ProcedureTable"/>
            </w:pPr>
            <w:r>
              <w:t>PPE</w:t>
            </w:r>
          </w:p>
        </w:tc>
        <w:tc>
          <w:tcPr>
            <w:tcW w:w="7600" w:type="dxa"/>
          </w:tcPr>
          <w:p>
            <w:pPr>
              <w:pStyle w:val="ProcedureTable"/>
            </w:pPr>
            <w:r>
              <w:t>Agius Peter</w:t>
            </w:r>
          </w:p>
        </w:tc>
      </w:tr>
    </w:tbl>
    <w:p/>
    <w:p>
      <w:r>
        <w:t>Significato dei simboli utilizzati:</w:t>
      </w:r>
    </w:p>
    <w:p>
      <w:pPr>
        <w:pStyle w:val="NormalTab"/>
      </w:pPr>
      <w:r>
        <w:t>+</w:t>
      </w:r>
      <w:r>
        <w:t xml:space="preserve">  :  </w:t>
      </w:r>
      <w:r>
        <w:t>favorevoli</w:t>
      </w:r>
    </w:p>
    <w:p>
      <w:pPr>
        <w:pStyle w:val="NormalTab"/>
      </w:pPr>
      <w:r>
        <w:t>-</w:t>
      </w:r>
      <w:r>
        <w:t xml:space="preserve">  :  </w:t>
      </w:r>
      <w:r>
        <w:t>contrari</w:t>
      </w:r>
    </w:p>
    <w:p>
      <w:pPr>
        <w:pStyle w:val="NormalTab"/>
      </w:pPr>
      <w:r>
        <w:t>0</w:t>
      </w:r>
      <w:r>
        <w:t xml:space="preserve">  :  </w:t>
      </w:r>
      <w:r>
        <w:t>astenuti</w:t>
      </w:r>
    </w:p>
    <w:sectPr>
      <w:type w:val="nextPage"/>
      <w:pgSz w:w="11909" w:h="16834"/>
      <w:pgMar w:top="1134" w:right="1417" w:bottom="1417" w:left="1417" w:header="1134" w:footer="567"/>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t>PE</w:t>
    </w:r>
    <w:r>
      <w:rPr>
        <w:rStyle w:val="HideTWBExt"/>
      </w:rPr>
      <w:t>&lt;NoPE&gt;</w:t>
    </w:r>
    <w:r>
      <w:t>774.481</w:t>
    </w:r>
    <w:r>
      <w:rPr>
        <w:rStyle w:val="HideTWBExt"/>
      </w:rPr>
      <w:t>&lt;/NoPE&gt;</w:t>
    </w:r>
    <w:r>
      <w:rPr>
        <w:rStyle w:val="HideTWBExt"/>
      </w:rPr>
      <w:t>&lt;Version&gt;</w:t>
    </w:r>
    <w:r>
      <w:t>v02-00</w:t>
    </w:r>
    <w:r>
      <w:rPr>
        <w:rStyle w:val="HideTWBExt"/>
      </w:rPr>
      <w:t>&lt;/Version&gt;</w:t>
    </w:r>
    <w:r>
      <w:tab/>
    </w:r>
    <w:r>
      <w:fldChar w:fldCharType="begin"/>
    </w:r>
    <w:r>
      <w:instrText xml:space="preserve"> PAGE </w:instrText>
    </w:r>
    <w:r>
      <w:fldChar w:fldCharType="separate"/>
    </w:r>
    <w:r>
      <w:t>48</w:t>
    </w:r>
    <w:r>
      <w:fldChar w:fldCharType="end"/>
    </w:r>
    <w:r>
      <w:t>/</w:t>
    </w:r>
    <w:r>
      <w:fldChar w:fldCharType="begin"/>
    </w:r>
    <w:r>
      <w:instrText xml:space="preserve"> NUMPAGES </w:instrText>
    </w:r>
    <w:r>
      <w:fldChar w:fldCharType="separate"/>
    </w:r>
    <w:r>
      <w:t>49</w:t>
    </w:r>
    <w:r>
      <w:fldChar w:fldCharType="end"/>
    </w:r>
    <w:r>
      <w:tab/>
    </w:r>
    <w:r>
      <w:rPr>
        <w:rStyle w:val="HideTWBExt"/>
      </w:rPr>
      <w:t>&lt;PathFdR&gt;</w:t>
    </w:r>
    <w:r>
      <w:t>AD\1329163IT.docx</w:t>
    </w:r>
    <w:r>
      <w:rPr>
        <w:rStyle w:val="HideTWBExt"/>
      </w:rPr>
      <w:t>&lt;/PathFdR&gt;</w:t>
    </w:r>
  </w:p>
  <w:p>
    <w:pPr>
      <w:pStyle w:val="EPFooter2"/>
    </w:pPr>
    <w:r>
      <w:t>IT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AD\1329163IT.docx</w:t>
    </w:r>
    <w:r>
      <w:rPr>
        <w:rStyle w:val="HideTWBExt"/>
      </w:rPr>
      <w:t>&lt;/PathFdR&gt;</w:t>
    </w:r>
    <w:r>
      <w:tab/>
    </w:r>
    <w:r>
      <w:fldChar w:fldCharType="begin"/>
    </w:r>
    <w:r>
      <w:instrText xml:space="preserve"> PAGE </w:instrText>
    </w:r>
    <w:r>
      <w:fldChar w:fldCharType="separate"/>
    </w:r>
    <w:r>
      <w:t>49</w:t>
    </w:r>
    <w:r>
      <w:fldChar w:fldCharType="end"/>
    </w:r>
    <w:r>
      <w:t>/</w:t>
    </w:r>
    <w:r>
      <w:fldChar w:fldCharType="begin"/>
    </w:r>
    <w:r>
      <w:instrText xml:space="preserve"> NUMPAGES </w:instrText>
    </w:r>
    <w:r>
      <w:fldChar w:fldCharType="separate"/>
    </w:r>
    <w:r>
      <w:t>49</w:t>
    </w:r>
    <w:r>
      <w:fldChar w:fldCharType="end"/>
    </w:r>
    <w:r>
      <w:tab/>
    </w:r>
    <w:r>
      <w:t>PE</w:t>
    </w:r>
    <w:r>
      <w:rPr>
        <w:rStyle w:val="HideTWBExt"/>
      </w:rPr>
      <w:t>&lt;NoPE&gt;</w:t>
    </w:r>
    <w:r>
      <w:t>774.481</w:t>
    </w:r>
    <w:r>
      <w:rPr>
        <w:rStyle w:val="HideTWBExt"/>
      </w:rPr>
      <w:t>&lt;/NoPE&gt;</w:t>
    </w:r>
    <w:r>
      <w:rPr>
        <w:rStyle w:val="HideTWBExt"/>
      </w:rPr>
      <w:t>&lt;Version&gt;</w:t>
    </w:r>
    <w:r>
      <w:t>v02-00</w:t>
    </w:r>
    <w:r>
      <w:rPr>
        <w:rStyle w:val="HideTWBExt"/>
      </w:rPr>
      <w:t>&lt;/Version&gt;</w:t>
    </w:r>
  </w:p>
  <w:p>
    <w:pPr>
      <w:pStyle w:val="EPFooter2"/>
    </w:pPr>
    <w:r>
      <w:tab/>
    </w:r>
    <w:r>
      <w:tab/>
    </w:r>
    <w:r>
      <w:t>IT</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EPFooter"/>
    </w:pPr>
    <w:r>
      <w:rPr>
        <w:rStyle w:val="HideTWBExt"/>
      </w:rPr>
      <w:t>&lt;PathFdR&gt;</w:t>
    </w:r>
    <w:r>
      <w:t>AD\1329163IT.docx</w:t>
    </w:r>
    <w:r>
      <w:rPr>
        <w:rStyle w:val="HideTWBExt"/>
      </w:rPr>
      <w:t>&lt;/PathFdR&gt;</w:t>
    </w:r>
    <w:r>
      <w:tab/>
    </w:r>
    <w:r>
      <w:tab/>
    </w:r>
    <w:r>
      <w:t>PE</w:t>
    </w:r>
    <w:r>
      <w:rPr>
        <w:rStyle w:val="HideTWBExt"/>
      </w:rPr>
      <w:t>&lt;NoPE&gt;</w:t>
    </w:r>
    <w:r>
      <w:t>774.481</w:t>
    </w:r>
    <w:r>
      <w:rPr>
        <w:rStyle w:val="HideTWBExt"/>
      </w:rPr>
      <w:t>&lt;/NoPE&gt;</w:t>
    </w:r>
    <w:r>
      <w:rPr>
        <w:rStyle w:val="HideTWBExt"/>
      </w:rPr>
      <w:t>&lt;Version&gt;</w:t>
    </w:r>
    <w:r>
      <w:t>v02-00</w:t>
    </w:r>
    <w:r>
      <w:rPr>
        <w:rStyle w:val="HideTWBExt"/>
      </w:rPr>
      <w:t>&lt;/Version&gt;</w:t>
    </w:r>
  </w:p>
  <w:p>
    <w:pPr>
      <w:pStyle w:val="EPFooter2"/>
    </w:pPr>
    <w:r>
      <w:t>IT</w:t>
    </w:r>
    <w:r>
      <w:tab/>
    </w:r>
    <w:r>
      <w:rPr>
        <w:rStyle w:val="EPFooter2Motto"/>
      </w:rPr>
      <w:t>Unita nella diversità</w:t>
    </w:r>
    <w:r>
      <w:tab/>
    </w:r>
    <w:r>
      <w:t>IT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pPr>
        <w:spacing w:after="0" w:line="240" w:lineRule="auto"/>
      </w:pPr>
      <w:r>
        <w:separator/>
      </w:r>
    </w:p>
  </w:footnote>
  <w:footnote w:type="continuationSeparator" w:id="1">
    <w:p>
      <w:pPr>
        <w:spacing w:after="0" w:line="240" w:lineRule="auto"/>
      </w:pPr>
      <w:r>
        <w:continuationSeparator/>
      </w:r>
    </w:p>
  </w:footnote>
  <w:footnote w:id="2">
    <w:p>
      <w:pPr>
        <w:pStyle w:val="FootnoteText"/>
      </w:pPr>
      <w:r>
        <w:rPr>
          <w:vertAlign w:val="superscript"/>
        </w:rPr>
        <w:t>1</w:t>
      </w:r>
      <w:r>
        <w:t xml:space="preserve"> </w:t>
      </w:r>
      <w:r>
        <w:t xml:space="preserve">Accordo interistituzionale del 20 maggio 2021 tra il Parlamento europeo, il Consiglio dell'Unione europea e la Commissione europea su un registro per la trasparenza obbligatorio (GU L 207 dell'11.6.2021, pag. 1, ELI: </w:t>
      </w:r>
      <w:hyperlink r:id="rId1" w:tgtFrame="http://data.europa.eu/eli/agree_interinstit/2021/611/oj" w:history="1">
        <w:r>
          <w:rPr>
            <w:rStyle w:val="Hyperlink"/>
          </w:rPr>
          <w:t>http://data.europa.eu/eli/agree_interinstit/2021/611/oj</w:t>
        </w:r>
      </w:hyperlink>
      <w:r>
        <w:t>).</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evenAndOddHeaders/>
  <w:noPunctuationKerning/>
  <w:characterSpacingControl w:val="doNotCompress"/>
  <w:footnotePr>
    <w:numRestart w:val="eachSect"/>
    <w:footnote w:id="0"/>
    <w:footnote w:id="1"/>
  </w:foot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docVars>
    <w:docVar w:name="restartBrut" w:val="{\rtf1\adeflang1025\ansi\ansicpg1257\uc1\adeff0\deff0\stshfdbch0\stshfloch0\stshfhich0\stshfbi0\deflang1063\deflangfe1041\themelang2057\themelangfe1041\themelangcs1108{\fonttbl{\f0\fbidi \froman\fcharset0\fprq2{\*\panose 02020603050405020304}Times New Roman;}{\f1\fbidi \fswiss\fcharset0\fprq2{\*\panose 020b0604020202020204}Arial;}&#13;_x000a_{\f34\fbidi \froman\fcharset0\fprq2{\*\panose 02040503050406030204}Cambria Math;}{\f38\fbidi \fswiss\fcharset128\fprq2{\*\panose 020b0300000000000000}Yu Gothic Light{\*\falt \'9f\'e0\'83\'53\'83\'56\'83\'62\'83\'4e Light};}&#13;_x000a_{\f163\fbidi \fswiss\fcharset128\fprq2 @Yu Gothic Light;}{\flomajor\f31500\fbidi \froman\fcharset0\fprq2{\*\panose 02020603050405020304}Times New Roman;}&#13;_x000a_{\fdbmajor\f31501\fbidi \fswiss\fcharset128\fprq2{\*\panose 020b0300000000000000}Yu Gothic Light{\*\falt \'9f\'e0\'83\'53\'83\'56\'83\'62\'83\'4e Light};}{\fhimajor\f31502\fbidi \fswiss\fcharset0\fprq2{\*\panose 020f0302020204030204}Calibri Light;}&#13;_x000a_{\fbimajor\f31503\fbidi \fswiss\fcharset0\fprq2 DokChampa;}{\flominor\f31504\fbidi \froman\fcharset0\fprq2{\*\panose 02020603050405020304}Times New Roman;}&#13;_x000a_{\fdbminor\f31505\fbidi \froman\fcharset128\fprq0{\*\panose 00000000000000000000}Yu Mincho{\*\falt \'9f\'e0\'96\'be\'92\'a9};}{\fhiminor\f31506\fbidi \fswiss\fcharset0\fprq2{\*\panose 020f0502020204030204}Calibri;}&#13;_x000a_{\fbiminor\f31507\fbidi \fswiss\fcharset0\fprq2 DokChampa;}{\f335\fbidi \froman\fcharset238\fprq2 Times New Roman CE;}{\f336\fbidi \froman\fcharset204\fprq2 Times New Roman Cyr;}{\f338\fbidi \froman\fcharset161\fprq2 Times New Roman Greek;}&#13;_x000a_{\f339\fbidi \froman\fcharset162\fprq2 Times New Roman Tur;}{\f340\fbidi \froman\fcharset177\fprq2 Times New Roman (Hebrew);}{\f341\fbidi \froman\fcharset178\fprq2 Times New Roman (Arabic);}{\f342\fbidi \froman\fcharset186\fprq2 Times New Roman Baltic;}&#13;_x000a_{\f343\fbidi \froman\fcharset163\fprq2 Times New Roman (Vietnamese);}{\f345\fbidi \fswiss\fcharset238\fprq2 Arial CE;}{\f346\fbidi \fswiss\fcharset204\fprq2 Arial Cyr;}{\f348\fbidi \fswiss\fcharset161\fprq2 Arial Greek;}&#13;_x000a_{\f349\fbidi \fswiss\fcharset162\fprq2 Arial Tur;}{\f350\fbidi \fswiss\fcharset177\fprq2 Arial (Hebrew);}{\f351\fbidi \fswiss\fcharset178\fprq2 Arial (Arabic);}{\f352\fbidi \fswiss\fcharset186\fprq2 Arial Baltic;}&#13;_x000a_{\f353\fbidi \fswiss\fcharset163\fprq2 Arial (Vietnamese);}{\f675\fbidi \froman\fcharset238\fprq2 Cambria Math CE;}{\f676\fbidi \froman\fcharset204\fprq2 Cambria Math Cyr;}{\f678\fbidi \froman\fcharset161\fprq2 Cambria Math Greek;}&#13;_x000a_{\f679\fbidi \froman\fcharset162\fprq2 Cambria Math Tur;}{\f682\fbidi \froman\fcharset186\fprq2 Cambria Math Baltic;}{\f683\fbidi \froman\fcharset163\fprq2 Cambria Math (Vietnamese);}&#13;_x000a_{\f717\fbidi \fswiss\fcharset0\fprq2 Yu Gothic Light Western{\*\falt \'9f\'e0\'83\'53\'83\'56\'83\'62\'83\'4e Light};}{\f715\fbidi \fswiss\fcharset238\fprq2 Yu Gothic Light CE{\*\falt \'9f\'e0\'83\'53\'83\'56\'83\'62\'83\'4e Light};}&#13;_x000a_{\f716\fbidi \fswiss\fcharset204\fprq2 Yu Gothic Light Cyr{\*\falt \'9f\'e0\'83\'53\'83\'56\'83\'62\'83\'4e Light};}{\f718\fbidi \fswiss\fcharset161\fprq2 Yu Gothic Light Greek{\*\falt \'9f\'e0\'83\'53\'83\'56\'83\'62\'83\'4e Light};}&#13;_x000a_{\f719\fbidi \fswiss\fcharset162\fprq2 Yu Gothic Light Tur{\*\falt \'9f\'e0\'83\'53\'83\'56\'83\'62\'83\'4e Light};}{\f722\fbidi \fswiss\fcharset186\fprq2 Yu Gothic Light Baltic{\*\falt \'9f\'e0\'83\'53\'83\'56\'83\'62\'83\'4e Light};}&#13;_x000a_{\f1967\fbidi \fswiss\fcharset0\fprq2 @Yu Gothic Light Western;}{\f1965\fbidi \fswiss\fcharset238\fprq2 @Yu Gothic Light CE;}{\f1966\fbidi \fswiss\fcharset204\fprq2 @Yu Gothic Light Cyr;}{\f1968\fbidi \fswiss\fcharset161\fprq2 @Yu Gothic Light Greek;}&#13;_x000a_{\f1969\fbidi \fswiss\fcharset162\fprq2 @Yu Gothic Light Tur;}{\f1972\fbidi \fswiss\fcharset186\fprq2 @Yu Gothic Light Baltic;}{\flomajor\f31508\fbidi \froman\fcharset238\fprq2 Times New Roman CE;}&#13;_x000a_{\flomajor\f31509\fbidi \froman\fcharset204\fprq2 Times New Roman Cyr;}{\flomajor\f31511\fbidi \froman\fcharset161\fprq2 Times New Roman Greek;}{\flomajor\f31512\fbidi \froman\fcharset162\fprq2 Times New Roman Tur;}&#13;_x000a_{\flomajor\f31513\fbidi \froman\fcharset177\fprq2 Times New Roman (Hebrew);}{\flomajor\f31514\fbidi \froman\fcharset178\fprq2 Times New Roman (Arabic);}{\flomajor\f31515\fbidi \froman\fcharset186\fprq2 Times New Roman Baltic;}&#13;_x000a_{\flomajor\f31516\fbidi \froman\fcharset163\fprq2 Times New Roman (Vietnamese);}{\fdbmajor\f31520\fbidi \fswiss\fcharset0\fprq2 Yu Gothic Light Western{\*\falt \'9f\'e0\'83\'53\'83\'56\'83\'62\'83\'4e Light};}&#13;_x000a_{\fdbmajor\f31518\fbidi \fswiss\fcharset238\fprq2 Yu Gothic Light CE{\*\falt \'9f\'e0\'83\'53\'83\'56\'83\'62\'83\'4e Light};}{\fdbmajor\f31519\fbidi \fswiss\fcharset204\fprq2 Yu Gothic Light Cyr{\*\falt \'9f\'e0\'83\'53\'83\'56\'83\'62\'83\'4e Light};}&#13;_x000a_{\fdbmajor\f31521\fbidi \fswiss\fcharset161\fprq2 Yu Gothic Light Greek{\*\falt \'9f\'e0\'83\'53\'83\'56\'83\'62\'83\'4e Light};}&#13;_x000a_{\fdbmajor\f31522\fbidi \fswiss\fcharset162\fprq2 Yu Gothic Light Tur{\*\falt \'9f\'e0\'83\'53\'83\'56\'83\'62\'83\'4e Light};}&#13;_x000a_{\fdbmajor\f31525\fbidi \fswiss\fcharset186\fprq2 Yu Gothic Light Baltic{\*\falt \'9f\'e0\'83\'53\'83\'56\'83\'62\'83\'4e Light};}{\fhimajor\f31528\fbidi \fswiss\fcharset238\fprq2 Calibri Light CE;}&#13;_x000a_{\fhimajor\f31529\fbidi \fswiss\fcharset204\fprq2 Calibri Light Cyr;}{\fhimajor\f31531\fbidi \fswiss\fcharset161\fprq2 Calibri Light Greek;}{\fhimajor\f31532\fbidi \fswiss\fcharset162\fprq2 Calibri Light Tur;}&#13;_x000a_{\fhimajor\f31533\fbidi \fswiss\fcharset177\fprq2 Calibri Light (Hebrew);}{\fhimajor\f31534\fbidi \fswiss\fcharset178\fprq2 Calibri Light (Arabic);}{\fhimajor\f31535\fbidi \fswiss\fcharset186\fprq2 Calibri Light Baltic;}&#13;_x000a_{\fhimajor\f31536\fbidi \fswiss\fcharset163\fprq2 Calibri Light (Vietnamese);}{\fbimajor\f31547\fbidi \fswiss\fcharset222\fprq2 DokChampa (Thai);}{\flominor\f31548\fbidi \froman\fcharset238\fprq2 Times New Roman CE;}&#13;_x000a_{\flominor\f31549\fbidi \froman\fcharset204\fprq2 Times New Roman Cyr;}{\flominor\f31551\fbidi \froman\fcharset161\fprq2 Times New Roman Greek;}{\flominor\f31552\fbidi \froman\fcharset162\fprq2 Times New Roman Tur;}&#13;_x000a_{\flominor\f31553\fbidi \froman\fcharset177\fprq2 Times New Roman (Hebrew);}{\flominor\f31554\fbidi \froman\fcharset178\fprq2 Times New Roman (Arabic);}{\flominor\f31555\fbidi \froman\fcharset186\fprq2 Times New Roman Baltic;}&#13;_x000a_{\flominor\f31556\fbidi \froman\fcharset163\fprq2 Times New Roman (Vietnamese);}{\fhiminor\f31568\fbidi \fswiss\fcharset238\fprq2 Calibri CE;}{\fhiminor\f31569\fbidi \fswiss\fcharset204\fprq2 Calibri Cyr;}&#13;_x000a_{\fhiminor\f31571\fbidi \fswiss\fcharset161\fprq2 Calibri Greek;}{\fhiminor\f31572\fbidi \fswiss\fcharset162\fprq2 Calibri Tur;}{\fhiminor\f31573\fbidi \fswiss\fcharset177\fprq2 Calibri (Hebrew);}&#13;_x000a_{\fhiminor\f31574\fbidi \fswiss\fcharset178\fprq2 Calibri (Arabic);}{\fhiminor\f31575\fbidi \fswiss\fcharset186\fprq2 Calibri Baltic;}{\fhiminor\f31576\fbidi \fswiss\fcharset163\fprq2 Calibri (Vietnamese);}&#13;_x000a_{\fbiminor\f31587\fbidi \fswiss\fcharset222\fprq2 DokChampa (Thai);}}{\colortbl;\red0\green0\blue0;\red0\green0\blue255;\red0\green255\blue255;\red0\green255\blue0;\red255\green0\blue255;\red255\green0\blue0;\red255\green255\blue0;&#13;_x000a_\red255\green255\blue255;\red0\green0\blue128;\red0\green128\blue128;\red0\green128\blue0;\red128\green0\blue128;\red128\green0\blue0;\red128\green128\blue0;\red128\green128\blue128;\red192\green192\blue192;&#13;_x000a_\caccentone\ctint255\cshade191\red46\green116\blue181;}{\*\defchp \lang2057\langfe2057\langnp2057\langfenp2057 }{\*\defpap \ql \li0\ri0\widctlpar\wrapdefault\aspalpha\aspnum\faauto\adjustright\rin0\lin0\itap0 }\noqfpromote {\stylesheet{&#13;_x000a_\ql \li0\ri0\widctlpar\wrapdefault\aspalpha\aspnum\faauto\adjustright\rin0\lin0\itap0 \rtlch\fcs1 \af0\afs20\alang1025 \ltrch\fcs0 \fs24\lang2057\langfe2057\cgrid\langnp2057\langfenp2057 \snext0 \sqformat \spriority0 \styrsid7823322 Normal;}{&#13;_x000a_\s1\ql \li0\ri0\sb240\keep\keepn\widctlpar\wrapdefault\aspalpha\aspnum\faauto\outlinelevel0\adjustright\rin0\lin0\itap0 \rtlch\fcs1 \af31503\afs32\alang1025 \ltrch\fcs0 &#13;_x000a_\fs32\cf17\lang2057\langfe2057\loch\f31502\hich\af31502\dbch\af31501\cgrid\langnp2057\langfenp2057 \sbasedon0 \snext0 \slink15 \ssemihidden \sqformat \spriority0 \styrsid223860 heading 1;}{\*\cs10 \additive \ssemihidden \sunhideused \spriority1 &#13;_x000a_Default Paragraph Font;}{\*\ts11\tsrowd\trftsWidthB3\trpaddl108\trpaddr108\trpaddfl3\trpaddft3\trpaddfb3\trpaddfr3\tblind0\tblindtype3\tsvertalt\tsbrdrt\tsbrdrl\tsbrdrb\tsbrdrr\tsbrdrdgl\tsbrdrdgr\tsbrdrh\tsbrdrv &#13;_x000a_\ql \li0\ri0\widctlpar\wrapdefault\aspalpha\aspnum\faauto\adjustright\rin0\lin0\itap0 \rtlch\fcs1 \af0\afs20\alang1025 \ltrch\fcs0 \fs20\lang2057\langfe2057\cgrid\langnp2057\langfenp2057 \snext11 \ssemihidden \sunhideused Normal Table;}{\*\cs15 \additive &#13;_x000a_\rtlch\fcs1 \af31503\afs32 \ltrch\fcs0 \fs32\cf17\loch\f31502\hich\af31502\dbch\af31501 \sbasedon10 \slink1 \slocked \ssemihidden \spriority0 \styrsid11549030 Heading 1 Char;}{&#13;_x000a_\s16\ql \li0\ri0\sa240\widctlpar\wrapdefault\aspalpha\aspnum\faauto\adjustright\rin0\lin0\itap0 \rtlch\fcs1 \af0\afs20\alang1025 \ltrch\fcs0 \fs24\lang2057\langfe2057\cgrid\langnp2057\langfenp2057 &#13;_x000a_\sbasedon0 \snext0 \ssemihidden \sunhideused \sqformat \spriority39 \styrsid223860 TOC Heading;}{\*\cs17 \additive \v\f1\fs20\cf9\lang1024\langfe1024\noproof \spriority0 \styrsid2242834 HideTWBExt;}{&#13;_x000a_\s18\ql \li0\ri0\nowidctlpar\wrapdefault\aspalpha\aspnum\faauto\adjustright\rin0\lin0\itap0 \rtlch\fcs1 \af0\afs20\alang1025 \ltrch\fcs0 \b\fs24\lang2057\langfe2057\cgrid\langnp2057\langfenp2057 \sbasedon0 \snext18 \spriority0 \styrsid2242834 NormalBold;}&#13;_x000a_{\s19\qr \li0\ri0\sb240\sa240\nowidctlpar\wrapdefault\aspalpha\aspnum\faauto\adjustright\rin0\lin0\itap0 \rtlch\fcs1 \af0\afs20\alang1025 \ltrch\fcs0 \fs24\lang2057\langfe2057\cgrid\langnp2057\langfenp2057 \sbasedon0 \snext19 \spriority0 \styrsid2242834 &#13;_x000a_AmOrLang;}{\s20\ql \li0\ri0\sa120\nowidctlpar\wrapdefault\aspalpha\aspnum\faauto\adjustright\rin0\lin0\itap0 \rtlch\fcs1 \af0\afs20\alang1025 \ltrch\fcs0 \fs24\lang2057\langfe2057\cgrid\langnp2057\langfenp2057 &#13;_x000a_\sbasedon0 \snext20 \spriority0 \styrsid2242834 Normal6a;}{\s21\qc \li0\ri0\sa240\nowidctlpar\wrapdefault\aspalpha\aspnum\faauto\adjustright\rin0\lin0\itap0 \rtlch\fcs1 \af0\afs20\alang1025 \ltrch\fcs0 &#13;_x000a_\i\fs24\lang2057\langfe2057\cgrid\langnp2057\langfenp2057 \sbasedon0 \snext21 \spriority0 \styrsid2242834 AmColumnHeading;}{\s22\ql \li0\ri0\sb240\nowidctlpar&#13;_x000a_\tx879\tx936\tx1021\tx1077\tx1134\tx1191\tx1247\tx1304\tx1361\tx1418\tx1474\tx1531\tx1588\tx1644\tx1701\tx1758\tx1814\tx1871\tx2070\tx2126\tx3374\tx3430\wrapdefault\aspalpha\aspnum\faauto\adjustright\rin0\lin0\itap0 \rtlch\fcs1 \af0\afs20\alang1025 &#13;_x000a_\ltrch\fcs0 \b\fs24\lang2057\langfe2057\cgrid\langnp2057\langfenp2057 \sbasedon0 \snext22 \spriority0 \styrsid2242834 AmNumberTabs;}{\s23\ql \li0\ri0\sb240\nowidctlpar\wrapdefault\aspalpha\aspnum\faauto\adjustright\rin0\lin0\itap0 \rtlch\fcs1 &#13;_x000a_\af0\afs20\alang1025 \ltrch\fcs0 \b\fs24\lang2057\langfe2057\cgrid\langnp2057\langfenp2057 \sbasedon0 \snext23 \spriority0 \styrsid2242834 NormalBold12b;}}{\*\rsidtbl \rsid24658\rsid223860\rsid735077\rsid1718133\rsid2242834\rsid2892074\rsid3565327&#13;_x000a_\rsid4666813\rsid6641733\rsid7823322\rsid9582763\rsid9636012\rsid10377208\rsid11215221\rsid11549030\rsid12154954\rsid14382809\rsid14424199\rsid15204470\rsid15285974\rsid15950462\rsid16324206\rsid16662270}{\mmathPr\mmathFont34\mbrkBin0\mbrkBinSub0&#13;_x000a_\msmallFrac0\mdispDef1\mlMargin0\mrMargin0\mdefJc1\mwrapIndent1440\mintLim0\mnaryLim1}{\info{\author nmonkuniene}{\operator MONKUNIENE Neringa}{\creatim\yr2024\mo5\dy23\hr11\min2}{\revtim\yr2024\mo5\dy23\hr11\min2}{\version1}{\edmins0}{\nofpages1}&#13;_x000a_{\nofwords120}{\nofchars69}{\nofcharsws188}{\vern109}}{\*\xmlnstbl {\xmlns1 http://schemas.microsoft.com/office/word/2003/wordml}}\paperw11906\paperh16838\margl1418\margr1418\margt1134\margb1418\gutter0\ltrsect &#13;_x000a_\facingp\widowctrl\ftnbj\aenddoc\ftnrestart\hyphhotz396\trackmoves0\trackformatting1\donotembedsysfont1\relyonvml0\donotembedlingdata0\grfdocevents0\validatexml1\showplaceholdtext0\ignoremixedcontent0\saveinvalidxml0&#13;_x000a_\showxmlerrors1\margmirror\noxlattoyen\expshrtn\noultrlspc\dntblnsbdb\nospaceforul\formshade\horzdoc\dghspace180\dgvspace180\dghorigin1701\dgvorigin1984\dghshow0\dgvshow0&#13;_x000a_\jexpand\viewkind4\viewscale100\pgbrdrhead\pgbrdrfoot\splytwnine\ftnlytwnine\htmautsp\nolnhtadjtbl\useltbaln\alntblind\lytcalctblwd\lyttblrtgr\lnbrkrule\nobrkwrptbl\snaptogridincell\allowfieldendsel\wrppunct&#13;_x000a_\asianbrkrule\nojkernpunct\rsidroot2242834\newtblstyruls\nogrowautofit\usenormstyforlist\noindnmbrts\felnbrelev\nocxsptable\indrlsweleven\noafcnsttbl\afelev\utinl\hwelev\spltpgpar\notcvasp\notbrkcnstfrctbl\notvatxbx\krnprsnet\cachedcolbal &#13;_x000a_\nouicompat \fet0{\*\wgrffmtfilter 013f}\nofeaturethrottle1\ilfomacatclnup0{\*\template C:\\Users\\NMONKU~1\\AppData\\Local\\Temp\\Blank1.dotx}{\*\ftnsep \ltrpar \pard\plain \ltrpar&#13;_x000a_\ql \li0\ri0\widctlpar\wrapdefault\aspalpha\aspnum\faauto\adjustright\rin0\lin0\itap0 \rtlch\fcs1 \af0\afs20\alang1025 \ltrch\fcs0 \fs24\lang2057\langfe2057\cgrid\langnp2057\langfenp2057 {\rtlch\fcs1 \af0 \ltrch\fcs0 \insrsid9582763 \chftnsep &#13;_x000a_\par }}{\*\ftnsepc \ltrpar \pard\plain \ltrpar\ql \li0\ri0\widctlpar\wrapdefault\aspalpha\aspnum\faauto\adjustright\rin0\lin0\itap0 \rtlch\fcs1 \af0\afs20\alang1025 \ltrch\fcs0 \fs24\lang2057\langfe2057\cgrid\langnp2057\langfenp2057 {\rtlch\fcs1 \af0 &#13;_x000a_\ltrch\fcs0 \insrsid9582763 \chftnsepc &#13;_x000a_\par }}{\*\aftnsep \ltrpar \pard\plain \ltrpar\ql \li0\ri0\widctlpar\wrapdefault\aspalpha\aspnum\faauto\adjustright\rin0\lin0\itap0 \rtlch\fcs1 \af0\afs20\alang1025 \ltrch\fcs0 \fs24\lang2057\langfe2057\cgrid\langnp2057\langfenp2057 {\rtlch\fcs1 \af0 &#13;_x000a_\ltrch\fcs0 \insrsid9582763 \chftnsep &#13;_x000a_\par }}{\*\aftnsepc \ltrpar \pard\plain \ltrpar\ql \li0\ri0\widctlpar\wrapdefault\aspalpha\aspnum\faauto\adjustright\rin0\lin0\itap0 \rtlch\fcs1 \af0\afs20\alang1025 \ltrch\fcs0 \fs24\lang2057\langfe2057\cgrid\langnp2057\langfenp2057 {\rtlch\fcs1 \af0 &#13;_x000a_\ltrch\fcs0 \insrsid9582763 \chftnsepc &#13;_x000a_\par }}\ltrpar \sectd \ltrsect\psz9\linex0\headery1134\footery567\endnhere\titlepg\sectlinegrid326\sectdefaultcl\sectrsid10377208\sftnbj\sftnrestart {\headerl \ltrpar \pard\plain \ltrpar&#13;_x000a_\ql \li0\ri0\widctlpar\wrapdefault\aspalpha\aspnum\faauto\adjustright\rin0\lin0\itap0 \rtlch\fcs1 \af0\afs20\alang1025 \ltrch\fcs0 \fs24\lang2057\langfe2057\cgrid\langnp2057\langfenp2057 {\rtlch\fcs1 \af0 \ltrch\fcs0 \insrsid1718133 &#13;_x000a_\par }}{\headerr \ltrpar \pard\plain \ltrpar\ql \li0\ri0\widctlpar\wrapdefault\aspalpha\aspnum\faauto\adjustright\rin0\lin0\itap0 \rtlch\fcs1 \af0\afs20\alang1025 \ltrch\fcs0 \fs24\lang2057\langfe2057\cgrid\langnp2057\langfenp2057 {\rtlch\fcs1 \af0 &#13;_x000a_\ltrch\fcs0 \insrsid1718133 &#13;_x000a_\par }}{\footerl \ltrpar \pard\plain \ltrpar\ql \li0\ri0\widctlpar\wrapdefault\aspalpha\aspnum\faauto\adjustright\rin0\lin0\itap0 \rtlch\fcs1 \af0\afs20\alang1025 \ltrch\fcs0 \fs24\lang2057\langfe2057\cgrid\langnp2057\langfenp2057 {\rtlch\fcs1 \af0 &#13;_x000a_\ltrch\fcs0 \insrsid1718133 &#13;_x000a_\par }}{\footerr \ltrpar \pard\plain \ltrpar\ql \li0\ri0\widctlpar\wrapdefault\aspalpha\aspnum\faauto\adjustright\rin0\lin0\itap0 \rtlch\fcs1 \af0\afs20\alang1025 \ltrch\fcs0 \fs24\lang2057\langfe2057\cgrid\langnp2057\langfenp2057 {\rtlch\fcs1 \af0 &#13;_x000a_\ltrch\fcs0 \insrsid1718133 &#13;_x000a_\par }}{\headerf \ltrpar \pard\plain \ltrpar\ql \li0\ri0\widctlpar\wrapdefault\aspalpha\aspnum\faauto\adjustright\rin0\lin0\itap0 \rtlch\fcs1 \af0\afs20\alang1025 \ltrch\fcs0 \fs24\lang2057\langfe2057\cgrid\langnp2057\langfenp2057 {\rtlch\fcs1 \af0 &#13;_x000a_\ltrch\fcs0 \insrsid1718133 &#13;_x000a_\par }}{\footerf \ltrpar \pard\plain \ltrpar\ql \li0\ri0\widctlpar\wrapdefault\aspalpha\aspnum\faauto\adjustright\rin0\lin0\itap0 \rtlch\fcs1 \af0\afs20\alang1025 \ltrch\fcs0 \fs24\lang2057\langfe2057\cgrid\langnp2057\langfenp2057 {\rtlch\fcs1 \af0 &#13;_x000a_\ltrch\fcs0 \insrsid1718133 &#13;_x000a_\par }}{\*\pnseclvl1\pnucrm\pnqc\pnstart1\pnindent720\pnhang {\pntxta .}}{\*\pnseclvl2\pnucltr\pnqc\pnstart1\pnindent720\pnhang {\pntxta .}}{\*\pnseclvl3\pndec\pnqc\pnstart1\pnindent720\pnhang {\pntxta .}}{\*\pnseclvl4\pnlcltr\pnqc\pnstart1\pnindent720\pnhang &#13;_x000a_{\pntxta )}}{\*\pnseclvl5\pndec\pnqc\pnstart1\pnindent720\pnhang {\pntxtb (}{\pntxta )}}{\*\pnseclvl6\pnlcltr\pnqc\pnstart1\pnindent720\pnhang {\pntxtb (}{\pntxta )}}{\*\pnseclvl7\pnlcrm\pnqc\pnstart1\pnindent720\pnhang {\pntxtb (}{\pntxta )}}&#13;_x000a_{\*\pnseclvl8\pnlcltr\pnqc\pnstart1\pnindent720\pnhang {\pntxtb (}{\pntxta )}}{\*\pnseclvl9\pnlcrm\pnqc\pnstart1\pnindent720\pnhang {\pntxtb (}{\pntxta )}}\pard\plain \ltrpar\s22\ql \li0\ri0\sb240\keepn\nowidctlpar&#13;_x000a_\tx879\tx936\tx1021\tx1077\tx1134\tx1191\tx1247\tx1304\tx1361\tx1418\tx1474\tx1531\tx1588\tx1644\tx1701\tx1758\tx1814\tx1871\tx2070\tx2126\tx3374\tx3430\wrapdefault\aspalpha\aspnum\faauto\adjustright\rin0\lin0\itap0\pararsid2242834 \rtlch\fcs1 &#13;_x000a_\af0\afs20\alang1025 \ltrch\fcs0 \b\fs24\lang2057\langfe2057\cgrid\langnp2057\langfenp2057 {\rtlch\fcs1 \af0 \ltrch\fcs0 \cs17\b0\v\fs20\cf9\lang1024\langfe1024\loch\af1\hich\af1\dbch\af31501\noproof\langnp1036\insrsid2242834\charrsid4291528 &#13;_x000a_{\*\bkmkstart restart}\hich\af1\dbch\af31501\loch\f1 &lt;Amend&gt;}{\rtlch\fcs1 \af0 \ltrch\fcs0 \lang1036\langfe2057\langnp1036\insrsid2242834\charrsid4291528 [ZAMENDMENT]\tab \tab }{\rtlch\fcs1 \af0 \ltrch\fcs0 &#13;_x000a_\cs17\b0\v\fs20\cf9\lang1024\langfe1024\loch\af1\hich\af1\dbch\af31501\noproof\langnp1036\insrsid2242834\charrsid4291528 \hich\af1\dbch\af31501\loch\f1 &lt;NumAm&gt;}{\rtlch\fcs1 \af0 \ltrch\fcs0 \lang1036\langfe2057\langnp1036\insrsid2242834\charrsid4291528 &#13;_x000a_[ZNRAM]}{\rtlch\fcs1 \af0 \ltrch\fcs0 \cs17\b0\v\fs20\cf9\lang1024\langfe1024\loch\af1\hich\af1\dbch\af31501\noproof\langnp1036\insrsid2242834\charrsid4291528 \hich\af1\dbch\af31501\loch\f1 &lt;/NumAm&gt;}{\rtlch\fcs1 \af0 \ltrch\fcs0 &#13;_x000a_\lang1036\langfe2057\langnp1036\insrsid2242834\charrsid4291528 &#13;_x000a_\par }\pard\plain \ltrpar\s23\ql \li0\ri0\sb240\keepn\nowidctlpar\wrapdefault\aspalpha\aspnum\faauto\adjustright\rin0\lin0\itap0\pararsid2242834 \rtlch\fcs1 \af0\afs20\alang1025 \ltrch\fcs0 \b\fs24\lang2057\langfe2057\cgrid\langnp2057\langfenp2057 {&#13;_x000a_\rtlch\fcs1 \af0 \ltrch\fcs0 \cs17\b0\v\fs20\cf9\lang1024\langfe1024\loch\af1\hich\af1\dbch\af31501\noproof\langnp1036\insrsid2242834\charrsid4291528 \hich\af1\dbch\af31501\loch\f1 &lt;DocAmend&gt;}{\rtlch\fcs1 \af0 \ltrch\fcs0 &#13;_x000a_\lang1036\langfe2057\langnp1036\insrsid2242834\charrsid4291528 [}{\rtlch\fcs1 \af0 \ltrch\fcs0 \lang1036\langfe2057\langnp1036\insrsid2242834\charrsid3548259 ZPROPOSAL}{\rtlch\fcs1 \af0 \ltrch\fcs0 &#13;_x000a_\lang1036\langfe2057\langnp1036\insrsid2242834\charrsid4291528 ]}{\rtlch\fcs1 \af0 \ltrch\fcs0 \cs17\b0\v\fs20\cf9\lang1024\langfe1024\loch\af1\hich\af1\dbch\af31501\noproof\langnp1036\insrsid2242834\charrsid4291528 \hich\af1\dbch\af31501\loch\f1 &#13;_x000a_&lt;/DocAmend&gt;}{\rtlch\fcs1 \af0 \ltrch\fcs0 \lang1036\langfe2057\langnp1036\insrsid2242834\charrsid4291528 &#13;_x000a_\par }\pard\plain \ltrpar\s18\ql \li0\ri0\nowidctlpar\wrapdefault\aspalpha\aspnum\faauto\adjustright\rin0\lin0\itap0\pararsid2242834 \rtlch\fcs1 \af0\afs20\alang1025 \ltrch\fcs0 \b\fs24\lang2057\langfe2057\cgrid\langnp2057\langfenp2057 {\rtlch\fcs1 \af0 &#13;_x000a_\ltrch\fcs0 \cs17\b0\v\fs20\cf9\lang1024\langfe1024\loch\af1\hich\af1\dbch\af31501\noproof\langnp1036\insrsid2242834\charrsid4291528 \hich\af1\dbch\af31501\loch\f1 &lt;Article&gt;}{\rtlch\fcs1 \af0 \ltrch\fcs0 &#13;_x000a_\lang1036\langfe2057\langnp1036\insrsid2242834\charrsid4291528 [ZAMPART]}{\rtlch\fcs1 \af0 \ltrch\fcs0 \cs17\b0\v\fs20\cf9\lang1024\langfe1024\loch\af1\hich\af1\dbch\af31501\noproof\langnp1036\insrsid2242834\charrsid4291528 \hich\af1\dbch\af31501\loch\f1 &#13;_x000a_&lt;/Article&gt;}{\rtlch\fcs1 \af0 \ltrch\fcs0 \lang1036\langfe2057\langnp1036\insrsid2242834\charrsid4291528 &#13;_x000a_\par \ltrrow}\trowd \irow0\irowband0\ltrrow\ts11\trqc\trgaph340\trleft0\trftsWidth3\trwWidth9752\trftsWidthB3\trpaddl340\trpaddr340\trpaddfl3\trpaddft3\trpaddfb3\trpaddfr3\tblrsid9505846\tblind0\tblindtype3 \clvertalt\clbrdrt\brdrtbl \clbrdrl\brdrtbl \clbrdrb&#13;_x000a_\brdrtbl \clbrdrr\brdrtbl \cltxlrtb\clftsWidth3\clwWidth9752\clshdrawnil \cellx9752\pard\plain \ltrpar\ql \li0\ri0\keepn\widctlpar\intbl\wrapdefault\aspalpha\aspnum\faauto\adjustright\rin0\lin0\pararsid9505846 \rtlch\fcs1 \af0\afs20\alang1025 \ltrch\fcs0 &#13;_x000a_\fs24\lang2057\langfe2057\cgrid\langnp2057\langfenp2057 {\rtlch\fcs1 \af0 \ltrch\fcs0 \lang1036\langfe2057\langnp1036\insrsid2242834\charrsid4291528 \cell }\pard\plain \ltrpar&#13;_x000a_\ql \li0\ri0\widctlpar\intbl\wrapdefault\aspalpha\aspnum\faauto\adjustright\rin0\lin0 \rtlch\fcs1 \af0\afs20\alang1025 \ltrch\fcs0 \fs24\lang2057\langfe2057\cgrid\langnp2057\langfenp2057 {\rtlch\fcs1 \af0 \ltrch\fcs0 \insrsid2242834\charrsid4291528 &#13;_x000a_\trowd \irow0\irowband0\ltrrow\ts11\trqc\trgaph340\trleft0\trftsWidth3\trwWidth9752\trftsWidthB3\trpaddl340\trpaddr340\trpaddfl3\trpaddft3\trpaddfb3\trpaddfr3\tblrsid9505846\tblind0\tblindtype3 \clvertalt\clbrdrt\brdrtbl \clbrdrl\brdrtbl \clbrdrb\brdrtbl &#13;_x000a_\clbrdrr\brdrtbl \cltxlrtb\clftsWidth3\clwWidth9752\clshdrawnil \cellx9752\row \ltrrow}\trowd \irow1\irowband1\ltrrow&#13;_x000a_\ts11\trqc\trgaph340\trleft0\trftsWidth3\trwWidth9752\trftsWidthB3\trpaddl340\trpaddr340\trpaddfl3\trpaddft3\trpaddfb3\trpaddfr3\tblrsid9505846\tblind0\tblindtype3 \clvertalt\clbrdrt\brdrtbl \clbrdrl\brdrtbl \clbrdrb\brdrtbl \clbrdrr\brdrtbl &#13;_x000a_\cltxlrtb\clftsWidth3\clwWidth4876\clshdrawnil \cellx4876\clvertalt\clbrdrt\brdrtbl \clbrdrl\brdrtbl \clbrdrb\brdrtbl \clbrdrr\brdrtbl \cltxlrtb\clftsWidth3\clwWidth4876\clshdrawnil \cellx9752\pard\plain \ltrpar&#13;_x000a_\s21\qc \li0\ri0\sa240\keepn\nowidctlpar\intbl\wrapdefault\aspalpha\aspnum\faauto\adjustright\rin0\lin0\pararsid9505846 \rtlch\fcs1 \af0\afs20\alang1025 \ltrch\fcs0 \i\fs24\lang2057\langfe2057\cgrid\langnp2057\langfenp2057 {\rtlch\fcs1 \af0 \ltrch\fcs0 &#13;_x000a_\insrsid2242834\charrsid6708014 [ZLEFT]\cell [ZRIGHT]\cell }\pard\plain \ltrpar\ql \li0\ri0\widctlpar\intbl\wrapdefault\aspalpha\aspnum\faauto\adjustright\rin0\lin0 \rtlch\fcs1 \af0\afs20\alang1025 \ltrch\fcs0 &#13;_x000a_\fs24\lang2057\langfe2057\cgrid\langnp2057\langfenp2057 {\rtlch\fcs1 \af0 \ltrch\fcs0 \insrsid2242834\charrsid6708014 \trowd \irow1\irowband1\ltrrow&#13;_x000a_\ts11\trqc\trgaph340\trleft0\trftsWidth3\trwWidth9752\trftsWidthB3\trpaddl340\trpaddr340\trpaddfl3\trpaddft3\trpaddfb3\trpaddfr3\tblrsid9505846\tblind0\tblindtype3 \clvertalt\clbrdrt\brdrtbl \clbrdrl\brdrtbl \clbrdrb\brdrtbl \clbrdrr\brdrtbl &#13;_x000a_\cltxlrtb\clftsWidth3\clwWidth4876\clshdrawnil \cellx4876\clvertalt\clbrdrt\brdrtbl \clbrdrl\brdrtbl \clbrdrb\brdrtbl \clbrdrr\brdrtbl \cltxlrtb\clftsWidth3\clwWidth4876\clshdrawnil \cellx9752\row \ltrrow}\pard\plain \ltrpar&#13;_x000a_\s20\ql \li0\ri0\sa120\nowidctlpar\intbl\wrapdefault\aspalpha\aspnum\faauto\adjustright\rin0\lin0\pararsid9505846 \rtlch\fcs1 \af0\afs20\alang1025 \ltrch\fcs0 \fs24\lang2057\langfe2057\cgrid\langnp2057\langfenp2057 {\rtlch\fcs1 \af0 \ltrch\fcs0 &#13;_x000a_\insrsid2242834\charrsid6708014 [ZTEXTL]\cell [ZTEXTR]}{\rtlch\fcs1 \af0\afs24 \ltrch\fcs0 \insrsid2242834\charrsid6708014 \cell }\pard\plain \ltrpar\ql \li0\ri0\widctlpar\intbl\wrapdefault\aspalpha\aspnum\faauto\adjustright\rin0\lin0 \rtlch\fcs1 &#13;_x000a_\af0\afs20\alang1025 \ltrch\fcs0 \fs24\lang2057\langfe2057\cgrid\langnp2057\langfenp2057 {\rtlch\fcs1 \af0 \ltrch\fcs0 \insrsid2242834\charrsid6708014 \trowd \irow2\irowband2\lastrow \ltrrow&#13;_x000a_\ts11\trqc\trgaph340\trleft0\trftsWidth3\trwWidth9752\trftsWidthB3\trpaddl340\trpaddr340\trpaddfl3\trpaddft3\trpaddfb3\trpaddfr3\tblrsid9505846\tblind0\tblindtype3 \clvertalt\clbrdrt\brdrtbl \clbrdrl\brdrtbl \clbrdrb\brdrtbl \clbrdrr\brdrtbl &#13;_x000a_\cltxlrtb\clftsWidth3\clwWidth4876\clshdrawnil \cellx4876\clvertalt\clbrdrt\brdrtbl \clbrdrl\brdrtbl \clbrdrb\brdrtbl \clbrdrr\brdrtbl \cltxlrtb\clftsWidth3\clwWidth4876\clshdrawnil \cellx9752\row }\pard\plain \ltrpar&#13;_x000a_\s19\qr \li0\ri0\sb240\sa240\nowidctlpar\wrapdefault\aspalpha\aspnum\faauto\adjustright\rin0\lin0\itap0\pararsid2242834 \rtlch\fcs1 \af0\afs20\alang1025 \ltrch\fcs0 \fs24\lang2057\langfe2057\cgrid\langnp2057\langfenp2057 {\rtlch\fcs1 \af0 \ltrch\fcs0 &#13;_x000a_\insrsid2242834\charrsid6708014 Or. }{\rtlch\fcs1 \af0 \ltrch\fcs0 \cs17\v\fs20\cf9\lang1024\langfe1024\loch\af1\hich\af1\dbch\af31501\noproof\insrsid2242834\charrsid6708014 \hich\af1\dbch\af31501\loch\f1 &lt;Original&gt;}{\rtlch\fcs1 \af0 \ltrch\fcs0 &#13;_x000a_\insrsid2242834\charrsid6708014 [ZORLANG]}{\rtlch\fcs1 \af0 \ltrch\fcs0 \cs17\v\fs20\cf9\lang1024\langfe1024\loch\af1\hich\af1\dbch\af31501\noproof\insrsid2242834\charrsid6708014 \hich\af1\dbch\af31501\loch\f1 &lt;/Original&gt;}{\rtlch\fcs1 \af0 \ltrch\fcs0 &#13;_x000a_\insrsid2242834\charrsid6708014 &#13;_x000a_\par }\pard\plain \ltrpar\ql \li0\ri0\widctlpar\wrapdefault\aspalpha\aspnum\faauto\adjustright\rin0\lin0\itap0\pararsid2242834 \rtlch\fcs1 \af0\afs20\alang1025 \ltrch\fcs0 \fs24\lang2057\langfe2057\cgrid\langnp2057\langfenp2057 {\rtlch\fcs1 \af0 \ltrch\fcs0 &#13;_x000a_\cs17\v\fs20\cf9\lang1024\langfe1024\loch\af1\hich\af1\dbch\af31501\noproof\insrsid2242834\charrsid6708014 \hich\af1\dbch\af31501\loch\f1 &lt;/Amend&gt;}{\rtlch\fcs1 \af0 \ltrch\fcs0 \insrsid24658\charrsid16324206 {\*\bkmkend restart}&#13;_x000a_\par }{\*\themedata 504b030414000600080000002100e9de0fbfff0000001c020000130000005b436f6e74656e745f54797065735d2e786d6cac91cb4ec3301045f748fc83e52d4a&#13;_x000a_9cb2400825e982c78ec7a27cc0c8992416c9d8b2a755fbf74cd25442a820166c2cd933f79e3be372bd1f07b5c3989ca74aaff2422b24eb1b475da5df374fd9ad&#13;_x000a_5689811a183c61a50f98f4babebc2837878049899a52a57be670674cb23d8e90721f90a4d2fa3802cb35762680fd800ecd7551dc18eb899138e3c943d7e503b6&#13;_x000a_b01d583deee5f99824e290b4ba3f364eac4a430883b3c092d4eca8f946c916422ecab927f52ea42b89a1cd59c254f919b0e85e6535d135a8de20f20b8c12c3b0&#13;_x000a_0c895fcf6720192de6bf3b9e89ecdbd6596cbcdd8eb28e7c365ecc4ec1ff1460f53fe813d3cc7f5b7f020000ffff0300504b030414000600080000002100a5d6&#13;_x000a_a7e7c0000000360100000b0000005f72656c732f2e72656c73848fcf6ac3300c87ef85bd83d17d51d2c31825762fa590432fa37d00e1287f68221bdb1bebdb4f&#13;_x000a_c7060abb0884a4eff7a93dfeae8bf9e194e720169aaa06c3e2433fcb68e1763dbf7f82c985a4a725085b787086a37bdbb55fbc50d1a33ccd311ba548b6309512&#13;_x000a_0f88d94fbc52ae4264d1c910d24a45db3462247fa791715fd71f989e19e0364cd3f51652d73760ae8fa8c9ffb3c330cc9e4fc17faf2ce545046e37944c69e462&#13;_x000a_a1a82fe353bd90a865aad41ed0b5b8f9d6fd010000ffff0300504b0304140006000800000021006b799616830000008a0000001c0000007468656d652f746865&#13;_x000a_6d652f7468656d654d616e616765722e786d6c0ccc4d0ac3201040e17da17790d93763bb284562b2cbaebbf600439c1a41c7a0d29fdbd7e5e38337cedf14d59b&#13;_x000a_4b0d592c9c070d8a65cd2e88b7f07c2ca71ba8da481cc52c6ce1c715e6e97818c9b48d13df49c873517d23d59085adb5dd20d6b52bd521ef2cdd5eb9246a3d8b&#13;_x000a_4757e8d3f729e245eb2b260a0238fd010000ffff0300504b03041400060008000000210007b740aaca0600008f1a0000160000007468656d652f7468656d652f&#13;_x000a_7468656d65312e786d6cec595b8bdb46147e2ff43f08bd3bbe49be2cf1065bb69336bb49889d943cceda636bb2238dd18c776342a0244f7d2914d2d28706fad6&#13;_x000a_87521a68a0a12ffd310b1bdaf447f4cc489667ec71f6420aa1640d8b34face996fce39face48ba7aed51449d239c70c2e2965bbe52721d1c8fd898c4d3967b6f&#13;_x000a_d82f345c870b148f1165316eb90bccdd6bbb9f7e7215ed881047d801fb98efa0961b0a31db2916f9088611bfc26638866b13964448c069322d8e13740c7e235a&#13;_x000a_ac944ab5628448ec3a318ac0ededc9848cb033942edddda5f31e85d358703930a2c940bac68685c28e0fcb12c1173ca089738468cb8579c6ec78881f09d7a188&#13;_x000a_0bb8d0724beacf2dee5e2da29dcc888a2db69a5d5ffd657699c1f8b0a2e64ca607f9a49ee77bb576ee5f01a8d8c4f5eabd5aaf96fb5300341ac14a532eba4fbf&#13;_x000a_d3ec74fd0cab81d2438bef6ebd5b2d1b78cd7f758373db973f03af40a97f6f03dfef07104503af4029dedfc07b5ebd1278065e81527c6d035f2fb5bb5eddc02b&#13;_x000a_5048497cb8812ef9b56ab05c6d0e99307ac30a6ffa5ebf5ec99caf50500d7975c929262c16db6a2d420f59d2078004522448ec88c50c4fd008aa3840941c24c4&#13;_x000a_d923d3100a6f8662c661b85429f54b55f82f7f9e3a5211413b1869d6921730e11b43928fc34709998996fb39787535c8e9ebd7274f5f9d3cfdfde4d9b393a7bf&#13;_x000a_66732b5786dd0d144f75bbb73f7df3cf8b2f9dbf7ffbf1edf36fd3a9d7f15cc7bff9e5ab377ffcf92ef7b0e255284ebf7bf9e6d5cbd3efbffeebe7e716efed04&#13;_x000a_1de8f0218930776ee163e72e8b608116fef820b998c5304444b768c7538e622467b1f8ef89d040df5a208a2cb80e36e3783f01a9b101afcf1f1a8407613217c4&#13;_x000a_e2f1661819c07dc6688725d628dc947369611ecee3a97df264aee3ee2274649b3b40b191e5de7c061a4b6c2e83101b34ef50140b34c531168ebcc60e31b6acee&#13;_x000a_0121465cf7c928619c4d84f380381d44ac21199203a39a56463748047959d80842be8dd8ecdf773a8cda56ddc5472612ee0d442de487981a61bc8ee602453697&#13;_x000a_4314513de07b48843692834532d2713d2e20d3534c99d31b63ce6d36b71358af96f49b2033f6b4efd345642213410e6d3ef710633ab2cb0e831045331b7640e2&#13;_x000a_50c77ec60fa144917387091b7c9f9977883c873ca0786bbaef136ca4fb6c35b8070aab535a1588bc324f2cb9bc8e9951bf83059d20aca4061a80a1eb1189cf14&#13;_x000a_f93579f7ff3b7907113dfde1856545ef47d2ed8e8d7c5c50ccdb09b1de4d37d6247c1b6e5db803968cc987afdb5d348fef60b855369bd747d9fe28dbeeff5eb6&#13;_x000a_b7ddcfef5fac57fa0cd22db7ade9765d6ddea3ad7bf709a174201614ef71b57de7d095c67d189476eab915e7cf72b3100ee59d0c1318b86982948d9330f10511&#13;_x000a_e1204433d8e3975de964ca33d753eecc1887adbf1ab6fa96783a8ff6d9387d642d97e5e3692a1e1c89d578c9cfc7e17143a4e85a7df51896bb576ca7ea717949&#13;_x000a_40da5e8484369949a26a21515f0eca20a98773089a85845ad97b61d1b4b06848f7cb546db0006a795660dbe4c066abe5fa1e9880113c55218ac7324f69aa97d9&#13;_x000a_55c97c9f99de164ca302600fb1ac8055a69b92ebd6e5c9d5a5a5768e4c1b24b4723349a8c8a81ec64334c65975cad1f3d0b868ae9bab941af46428d47c505a2b&#13;_x000a_1af5c6bb585c36d760b7ae0d34d69582c6ce71cbad557d2899119ab5dc093cfac3613483dae172bb8be814de9f8d4492def097519659c24517f1300db8129d54&#13;_x000a_0d222270e25012b55cb9fc3c0d34561aa2b8952b20081f2cb926c8ca87460e926e26194f267824f4b46b2332d2e929287caa15d6abcafcf26069c9e690ee4138&#13;_x000a_3e760ee83cb98ba0c4fc7a5906704c38bc012aa7d11c1378a5990bd9aafed61a5326bbfa3b455543e938a2b310651d4517f314aea43ca7a3cef2186867d99a21&#13;_x000a_a05a48b2467830950d560faad14df3ae9172d8da75cf369291d34473d5330d55915dd3ae62c60ccb36b016cbcb35798dd532c4a0697a874fa57b5d729b4bad5b&#13;_x000a_db27e45d02029ec7cfd275cfd110346aabc90c6a92f1a60c4bcdce46cddeb15ce019d4ced32434d5af2dddaec52def11d6e960f0529d1fecd6ab168626cb7da5&#13;_x000a_8ab4faf6a17f9e60070f413cbaf022784e0557a9848f0f09820dd140ed4952d9805be491c86e0d3872e60969b98f4b7edb0b2a7e502835fc5ec1ab7aa542c36f&#13;_x000a_570b6ddfaf967b7eb9d4ed549e4063116154f6d3ef2e7d780d4517d9d71735bef105265abe69bb32625191a92f2c45455c7d812957b67f81710888cee35aa5df&#13;_x000a_ac363bb542b3daee17bc6ea7516806b54ea15b0beadd7e37f01bcdfe13d7395260af5d0dbc5aaf51a89583a0e0d54a927ea359a87b954adbabb71b3daffd24db&#13;_x000a_c6c0ca53f9c86201e155bc76ff050000ffff0300504b0304140006000800000021000dd1909fb60000001b010000270000007468656d652f7468656d652f5f72&#13;_x000a_656c732f7468656d654d616e616765722e786d6c2e72656c73848f4d0ac2301484f78277086f6fd3ba109126dd88d0add40384e4350d363f2451eced0dae2c08&#13;_x000a_2e8761be9969bb979dc9136332de3168aa1a083ae995719ac16db8ec8e4052164e89d93b64b060828e6f37ed1567914b284d262452282e3198720e274a939cd0&#13;_x000a_8a54f980ae38a38f56e422a3a641c8bbd048f7757da0f19b017cc524bd62107bd5001996509affb3fd381a89672f1f165dfe514173d9850528a2c6cce0239baa&#13;_x000a_4c04ca5bbabac4df000000ffff0300504b01022d0014000600080000002100e9de0fbfff0000001c0200001300000000000000000000000000000000005b436f&#13;_x000a_6e74656e745f54797065735d2e786d6c504b01022d0014000600080000002100a5d6a7e7c0000000360100000b00000000000000000000000000300100005f72&#13;_x000a_656c732f2e72656c73504b01022d00140006000800000021006b799616830000008a0000001c00000000000000000000000000190200007468656d652f746865&#13;_x000a_6d652f7468656d654d616e616765722e786d6c504b01022d001400060008000000210007b740aaca0600008f1a00001600000000000000000000000000d60200&#13;_x000a_007468656d652f7468656d652f7468656d65312e786d6c504b01022d00140006000800000021000dd1909fb60000001b01000027000000000000000000000000&#13;_x000a_00d40900007468656d652f7468656d652f5f72656c732f7468656d654d616e616765722e786d6c2e72656c73504b050600000000050005005d010000cf0a00000000}&#13;_x000a_{\*\colorschememapping 3c3f786d6c2076657273696f6e3d22312e302220656e636f64696e673d225554462d3822207374616e64616c6f6e653d22796573223f3e0d0a3c613a636c724d&#13;_x000a_617020786d6c6e733a613d22687474703a2f2f736368656d61732e6f70656e786d6c666f726d6174732e6f72672f64726177696e676d6c2f323030362f6d6169&#13;_x000a_6e22206267313d226c743122207478313d22646b3122206267323d226c743222207478323d22646b322220616363656e74313d22616363656e74312220616363&#13;_x000a_656e74323d22616363656e74322220616363656e74333d22616363656e74332220616363656e74343d22616363656e74342220616363656e74353d22616363656e74352220616363656e74363d22616363656e74362220686c696e6b3d22686c696e6b2220666f6c486c696e6b3d22666f6c486c696e6b222f3e}&#13;_x000a_{\*\latentstyles\lsdstimax371\lsdlockeddef0\lsdsemihiddendef0\lsdunhideuseddef0\lsdqformatdef0\lsdprioritydef0{\lsdlockedexcept \lsdqformat1 \lsdlocked0 Normal;\lsdqformat1 \lsdlocked0 heading 1;&#13;_x000a_\lsdsemihidden1 \lsdunhideused1 \lsdqformat1 \lsdlocked0 heading 2;\lsdsemihidden1 \lsdunhideused1 \lsdqformat1 \lsdlocked0 heading 3;\lsdsemihidden1 \lsdunhideused1 \lsdqformat1 \lsdlocked0 heading 4;&#13;_x000a_\lsdsemihidden1 \lsdunhideused1 \lsdqformat1 \lsdlocked0 heading 5;\lsdsemihidden1 \lsdunhideused1 \lsdqformat1 \lsdlocked0 heading 6;\lsdsemihidden1 \lsdunhideused1 \lsdqformat1 \lsdlocked0 heading 7;&#13;_x000a_\lsdsemihidden1 \lsdunhideused1 \lsdqformat1 \lsdlocked0 heading 8;\lsdsemihidden1 \lsdunhideused1 \lsdqformat1 \lsdlocked0 heading 9;\lsdsemihidden1 \lsdunhideused1 \lsdqformat1 \lsdlocked0 caption;\lsdqformat1 \lsdlocked0 Title;&#13;_x000a_\lsdqformat1 \lsdlocked0 Subtitle;\lsdqformat1 \lsdlocked0 Strong;\lsdqformat1 \lsdlocked0 Emphasis;\lsdsemihidden1 \lsdunhideused1 \lsdlocked0 Normal Table;\lsdsemihidden1 \lsdunhideused1 \lsdlocked0 Table Simple 1;&#13;_x000a_\lsdsemihidden1 \lsdunhideused1 \lsdlocked0 Table Simple 2;\lsdsemihidden1 \lsdunhideused1 \lsdlocked0 Table Simple 3;\lsdsemihidden1 \lsdunhideused1 \lsdlocked0 Table Classic 1;\lsdsemihidden1 \lsdunhideused1 \lsdlocked0 Table Classic 2;&#13;_x000a_\lsdsemihidden1 \lsdunhideused1 \lsdlocked0 Table Classic 3;\lsdsemihidden1 \lsdunhideused1 \lsdlocked0 Table Classic 4;\lsdsemihidden1 \lsdunhideused1 \lsdlocked0 Table Colorful 1;\lsdsemihidden1 \lsdunhideused1 \lsdlocked0 Table Colorful 2;&#13;_x000a_\lsdsemihidden1 \lsdunhideused1 \lsdlocked0 Table Colorful 3;\lsdsemihidden1 \lsdunhideused1 \lsdlocked0 Table Columns 1;\lsdsemihidden1 \lsdunhideused1 \lsdlocked0 Table Columns 2;\lsdsemihidden1 \lsdunhideused1 \lsdlocked0 Table Columns 3;&#13;_x000a_\lsdsemihidden1 \lsdunhideused1 \lsdlocked0 Table Columns 4;\lsdsemihidden1 \lsdunhideused1 \lsdlocked0 Table Columns 5;\lsdsemihidden1 \lsdunhideused1 \lsdlocked0 Table Grid 1;\lsdsemihidden1 \lsdunhideused1 \lsdlocked0 Table Grid 2;&#13;_x000a_\lsdsemihidden1 \lsdunhideused1 \lsdlocked0 Table Grid 3;\lsdsemihidden1 \lsdunhideused1 \lsdlocked0 Table Grid 4;\lsdsemihidden1 \lsdunhideused1 \lsdlocked0 Table Grid 5;\lsdsemihidden1 \lsdunhideused1 \lsdlocked0 Table Grid 6;&#13;_x000a_\lsdsemihidden1 \lsdunhideused1 \lsdlocked0 Table Grid 7;\lsdsemihidden1 \lsdunhideused1 \lsdlocked0 Table Grid 8;\lsdsemihidden1 \lsdunhideused1 \lsdlocked0 Table List 1;\lsdsemihidden1 \lsdunhideused1 \lsdlocked0 Table List 2;&#13;_x000a_\lsdsemihidden1 \lsdunhideused1 \lsdlocked0 Table List 3;\lsdsemihidden1 \lsdunhideused1 \lsdlocked0 Table List 4;\lsdsemihidden1 \lsdunhideused1 \lsdlocked0 Table List 5;\lsdsemihidden1 \lsdunhideused1 \lsdlocked0 Table List 6;&#13;_x000a_\lsdsemihidden1 \lsdunhideused1 \lsdlocked0 Table List 7;\lsdsemihidden1 \lsdunhideused1 \lsdlocked0 Table List 8;\lsdsemihidden1 \lsdunhideused1 \lsdlocked0 Table 3D effects 1;\lsdsemihidden1 \lsdunhideused1 \lsdlocked0 Table 3D effects 2;&#13;_x000a_\lsdsemihidden1 \lsdunhideused1 \lsdlocked0 Table 3D effects 3;\lsdsemihidden1 \lsdunhideused1 \lsdlocked0 Table Contemporary;\lsdsemihidden1 \lsdunhideused1 \lsdlocked0 Table Elegant;\lsdsemihidden1 \lsdunhideused1 \lsdlocked0 Table Professional;&#13;_x000a_\lsdsemihidden1 \lsdunhideused1 \lsdlocked0 Table Subtle 1;\lsdsemihidden1 \lsdunhideused1 \lsdlocked0 Table Subtle 2;\lsdsemihidden1 \lsdunhideused1 \lsdlocked0 Table Web 1;\lsdsemihidden1 \lsdunhideused1 \lsdlocked0 Table Web 2;&#13;_x000a_\lsdsemihidden1 \lsdunhideused1 \lsdlocked0 Table Web 3;\lsdsemihidden1 \lsdunhideused1 \lsdlocked0 Table Theme;\lsdsemihidden1 \lsdpriority99 \lsdlocked0 Placeholder Text;\lsdqformat1 \lsdpriority1 \lsdlocked0 No Spacing;&#13;_x000a_\lsdpriority60 \lsdlocked0 Light Shading;\lsdpriority61 \lsdlocked0 Light List;\lsdpriority62 \lsdlocked0 Light Grid;\lsdpriority63 \lsdlocked0 Medium Shading 1;\lsdpriority64 \lsdlocked0 Medium Shading 2;\lsdpriority65 \lsdlocked0 Medium List 1;&#13;_x000a_\lsdpriority66 \lsdlocked0 Medium List 2;\lsdpriority67 \lsdlocked0 Medium Grid 1;\lsdpriority68 \lsdlocked0 Medium Grid 2;\lsdpriority69 \lsdlocked0 Medium Grid 3;\lsdpriority70 \lsdlocked0 Dark List;\lsdpriority71 \lsdlocked0 Colorful Shading;&#13;_x000a_\lsdpriority72 \lsdlocked0 Colorful List;\lsdpriority73 \lsdlocked0 Colorful Grid;\lsdpriority60 \lsdlocked0 Light Shading Accent 1;\lsdpriority61 \lsdlocked0 Light List Accent 1;\lsdpriority62 \lsdlocked0 Light Grid Accent 1;&#13;_x000a_\lsdpriority63 \lsdlocked0 Medium Shading 1 Accent 1;\lsdpriority64 \lsdlocked0 Medium Shading 2 Accent 1;\lsdpriority65 \lsdlocked0 Medium List 1 Accent 1;\lsdsemihidden1 \lsdpriority99 \lsdlocked0 Revision;&#13;_x000a_\lsdqformat1 \lsdpriority34 \lsdlocked0 List Paragraph;\lsdqformat1 \lsdpriority29 \lsdlocked0 Quote;\lsdqformat1 \lsdpriority30 \lsdlocked0 Intense Quote;\lsdpriority66 \lsdlocked0 Medium List 2 Accent 1;\lsdpriority67 \lsdlocked0 Medium Grid 1 Accent 1;&#13;_x000a_\lsdpriority68 \lsdlocked0 Medium Grid 2 Accent 1;\lsdpriority69 \lsdlocked0 Medium Grid 3 Accent 1;\lsdpriority70 \lsdlocked0 Dark List Accent 1;\lsdpriority71 \lsdlocked0 Colorful Shading Accent 1;\lsdpriority72 \lsdlocked0 Colorful List Accent 1;&#13;_x000a_\lsdpriority73 \lsdlocked0 Colorful Grid Accent 1;\lsdpriority60 \lsdlocked0 Light Shading Accent 2;\lsdpriority61 \lsdlocked0 Light List Accent 2;\lsdpriority62 \lsdlocked0 Light Grid Accent 2;\lsdpriority63 \lsdlocked0 Medium Shading 1 Accent 2;&#13;_x000a_\lsdpriority64 \lsdlocked0 Medium Shading 2 Accent 2;\lsdpriority65 \lsdlocked0 Medium List 1 Accent 2;\lsdpriority66 \lsdlocked0 Medium List 2 Accent 2;\lsdpriority67 \lsdlocked0 Medium Grid 1 Accent 2;\lsdpriority68 \lsdlocked0 Medium Grid 2 Accent 2;&#13;_x000a_\lsdpriority69 \lsdlocked0 Medium Grid 3 Accent 2;\lsdpriority70 \lsdlocked0 Dark List Accent 2;\lsdpriority71 \lsdlocked0 Colorful Shading Accent 2;\lsdpriority72 \lsdlocked0 Colorful List Accent 2;\lsdpriority73 \lsdlocked0 Colorful Grid Accent 2;&#13;_x000a_\lsdpriority60 \lsdlocked0 Light Shading Accent 3;\lsdpriority61 \lsdlocked0 Light List Accent 3;\lsdpriority62 \lsdlocked0 Light Grid Accent 3;\lsdpriority63 \lsdlocked0 Medium Shading 1 Accent 3;\lsdpriority64 \lsdlocked0 Medium Shading 2 Accent 3;&#13;_x000a_\lsdpriority65 \lsdlocked0 Medium List 1 Accent 3;\lsdpriority66 \lsdlocked0 Medium List 2 Accent 3;\lsdpriority67 \lsdlocked0 Medium Grid 1 Accent 3;\lsdpriority68 \lsdlocked0 Medium Grid 2 Accent 3;\lsdpriority69 \lsdlocked0 Medium Grid 3 Accent 3;&#13;_x000a_\lsdpriority70 \lsdlocked0 Dark List Accent 3;\lsdpriority71 \lsdlocked0 Colorful Shading Accent 3;\lsdpriority72 \lsdlocked0 Colorful List Accent 3;\lsdpriority73 \lsdlocked0 Colorful Grid Accent 3;\lsdpriority60 \lsdlocked0 Light Shading Accent 4;&#13;_x000a_\lsdpriority61 \lsdlocked0 Light List Accent 4;\lsdpriority62 \lsdlocked0 Light Grid Accent 4;\lsdpriority63 \lsdlocked0 Medium Shading 1 Accent 4;\lsdpriority64 \lsdlocked0 Medium Shading 2 Accent 4;\lsdpriority65 \lsdlocked0 Medium List 1 Accent 4;&#13;_x000a_\lsdpriority66 \lsdlocked0 Medium List 2 Accent 4;\lsdpriority67 \lsdlocked0 Medium Grid 1 Accent 4;\lsdpriority68 \lsdlocked0 Medium Grid 2 Accent 4;\lsdpriority69 \lsdlocked0 Medium Grid 3 Accent 4;\lsdpriority70 \lsdlocked0 Dark List Accent 4;&#13;_x000a_\lsdpriority71 \lsdlocked0 Colorful Shading Accent 4;\lsdpriority72 \lsdlocked0 Colorful List Accent 4;\lsdpriority73 \lsdlocked0 Colorful Grid Accent 4;\lsdpriority60 \lsdlocked0 Light Shading Accent 5;\lsdpriority61 \lsdlocked0 Light List Accent 5;&#13;_x000a_\lsdpriority62 \lsdlocked0 Light Grid Accent 5;\lsdpriority63 \lsdlocked0 Medium Shading 1 Accent 5;\lsdpriority64 \lsdlocked0 Medium Shading 2 Accent 5;\lsdpriority65 \lsdlocked0 Medium List 1 Accent 5;\lsdpriority66 \lsdlocked0 Medium List 2 Accent 5;&#13;_x000a_\lsdpriority67 \lsdlocked0 Medium Grid 1 Accent 5;\lsdpriority68 \lsdlocked0 Medium Grid 2 Accent 5;\lsdpriority69 \lsdlocked0 Medium Grid 3 Accent 5;\lsdpriority70 \lsdlocked0 Dark List Accent 5;\lsdpriority71 \lsdlocked0 Colorful Shading Accent 5;&#13;_x000a_\lsdpriority72 \lsdlocked0 Colorful List Accent 5;\lsdpriority73 \lsdlocked0 Colorful Grid Accent 5;\lsdpriority60 \lsdlocked0 Light Shading Accent 6;\lsdpriority61 \lsdlocked0 Light List Accent 6;\lsdpriority62 \lsdlocked0 Light Grid Accent 6;&#13;_x000a_\lsdpriority63 \lsdlocked0 Medium Shading 1 Accent 6;\lsdpriority64 \lsdlocked0 Medium Shading 2 Accent 6;\lsdpriority65 \lsdlocked0 Medium List 1 Accent 6;\lsdpriority66 \lsdlocked0 Medium List 2 Accent 6;&#13;_x000a_\lsdpriority67 \lsdlocked0 Medium Grid 1 Accent 6;\lsdpriority68 \lsdlocked0 Medium Grid 2 Accent 6;\lsdpriority69 \lsdlocked0 Medium Grid 3 Accent 6;\lsdpriority70 \lsdlocked0 Dark List Accent 6;\lsdpriority71 \lsdlocked0 Colorful Shading Accent 6;&#13;_x000a_\lsdpriority72 \lsdlocked0 Colorful List Accent 6;\lsdpriority73 \lsdlocked0 Colorful Grid Accent 6;\lsdqformat1 \lsdpriority19 \lsdlocked0 Subtle Emphasis;\lsdqformat1 \lsdpriority21 \lsdlocked0 Intense Emphasis;&#13;_x000a_\lsdqformat1 \lsdpriority31 \lsdlocked0 Subtle Reference;\lsdqformat1 \lsdpriority32 \lsdlocked0 Intense Reference;\lsdqformat1 \lsdpriority33 \lsdlocked0 Book Title;\lsdsemihidden1 \lsdunhideused1 \lsdpriority37 \lsdlocked0 Bibliography;&#13;_x000a_\lsdsemihidden1 \lsdunhideused1 \lsdqformat1 \lsdpriority39 \lsdlocked0 TOC Heading;\lsdpriority41 \lsdlocked0 Plain Table 1;\lsdpriority42 \lsdlocked0 Plain Table 2;\lsdpriority43 \lsdlocked0 Plain Table 3;\lsdpriority44 \lsdlocked0 Plain Table 4;&#13;_x000a_\lsdpriority45 \lsdlocked0 Plain Table 5;\lsdpriority40 \lsdlocked0 Grid Table Light;\lsdpriority46 \lsdlocked0 Grid Table 1 Light;\lsdpriority47 \lsdlocked0 Grid Table 2;\lsdpriority48 \lsdlocked0 Grid Table 3;\lsdpriority49 \lsdlocked0 Grid Table 4;&#13;_x000a_\lsdpriority50 \lsdlocked0 Grid Table 5 Dark;\lsdpriority51 \lsdlocked0 Grid Table 6 Colorful;\lsdpriority52 \lsdlocked0 Grid Table 7 Colorful;\lsdpriority46 \lsdlocked0 Grid Table 1 Light Accent 1;\lsdpriority47 \lsdlocked0 Grid Table 2 Accent 1;&#13;_x000a_\lsdpriority48 \lsdlocked0 Grid Table 3 Accent 1;\lsdpriority49 \lsdlocked0 Grid Table 4 Accent 1;\lsdpriority50 \lsdlocked0 Grid Table 5 Dark Accent 1;\lsdpriority51 \lsdlocked0 Grid Table 6 Colorful Accent 1;&#13;_x000a_\lsdpriority52 \lsdlocked0 Grid Table 7 Colorful Accent 1;\lsdpriority46 \lsdlocked0 Grid Table 1 Light Accent 2;\lsdpriority47 \lsdlocked0 Grid Table 2 Accent 2;\lsdpriority48 \lsdlocked0 Grid Table 3 Accent 2;&#13;_x000a_\lsdpriority49 \lsdlocked0 Grid Table 4 Accent 2;\lsdpriority50 \lsdlocked0 Grid Table 5 Dark Accent 2;\lsdpriority51 \lsdlocked0 Grid Table 6 Colorful Accent 2;\lsdpriority52 \lsdlocked0 Grid Table 7 Colorful Accent 2;&#13;_x000a_\lsdpriority46 \lsdlocked0 Grid Table 1 Light Accent 3;\lsdpriority47 \lsdlocked0 Grid Table 2 Accent 3;\lsdpriority48 \lsdlocked0 Grid Table 3 Accent 3;\lsdpriority49 \lsdlocked0 Grid Table 4 Accent 3;&#13;_x000a_\lsdpriority50 \lsdlocked0 Grid Table 5 Dark Accent 3;\lsdpriority51 \lsdlocked0 Grid Table 6 Colorful Accent 3;\lsdpriority52 \lsdlocked0 Grid Table 7 Colorful Accent 3;\lsdpriority46 \lsdlocked0 Grid Table 1 Light Accent 4;&#13;_x000a_\lsdpriority47 \lsdlocked0 Grid Table 2 Accent 4;\lsdpriority48 \lsdlocked0 Grid Table 3 Accent 4;\lsdpriority49 \lsdlocked0 Grid Table 4 Accent 4;\lsdpriority50 \lsdlocked0 Grid Table 5 Dark Accent 4;&#13;_x000a_\lsdpriority51 \lsdlocked0 Grid Table 6 Colorful Accent 4;\lsdpriority52 \lsdlocked0 Grid Table 7 Colorful Accent 4;\lsdpriority46 \lsdlocked0 Grid Table 1 Light Accent 5;\lsdpriority47 \lsdlocked0 Grid Table 2 Accent 5;&#13;_x000a_\lsdpriority48 \lsdlocked0 Grid Table 3 Accent 5;\lsdpriority49 \lsdlocked0 Grid Table 4 Accent 5;\lsdpriority50 \lsdlocked0 Grid Table 5 Dark Accent 5;\lsdpriority51 \lsdlocked0 Grid Table 6 Colorful Accent 5;&#13;_x000a_\lsdpriority52 \lsdlocked0 Grid Table 7 Colorful Accent 5;\lsdpriority46 \lsdlocked0 Grid Table 1 Light Accent 6;\lsdpriority47 \lsdlocked0 Grid Table 2 Accent 6;\lsdpriority48 \lsdlocked0 Grid Table 3 Accent 6;&#13;_x000a_\lsdpriority49 \lsdlocked0 Grid Table 4 Accent 6;\lsdpriority50 \lsdlocked0 Grid Table 5 Dark Accent 6;\lsdpriority51 \lsdlocked0 Grid Table 6 Colorful Accent 6;\lsdpriority52 \lsdlocked0 Grid Table 7 Colorful Accent 6;&#13;_x000a_\lsdpriority46 \lsdlocked0 List Table 1 Light;\lsdpriority47 \lsdlocked0 List Table 2;\lsdpriority48 \lsdlocked0 List Table 3;\lsdpriority49 \lsdlocked0 List Table 4;\lsdpriority50 \lsdlocked0 List Table 5 Dark;&#13;_x000a_\lsdpriority51 \lsdlocked0 List Table 6 Colorful;\lsdpriority52 \lsdlocked0 List Table 7 Colorful;\lsdpriority46 \lsdlocked0 List Table 1 Light Accent 1;\lsdpriority47 \lsdlocked0 List Table 2 Accent 1;\lsdpriority48 \lsdlocked0 List Table 3 Accent 1;&#13;_x000a_\lsdpriority49 \lsdlocked0 List Table 4 Accent 1;\lsdpriority50 \lsdlocked0 List Table 5 Dark Accent 1;\lsdpriority51 \lsdlocked0 List Table 6 Colorful Accent 1;\lsdpriority52 \lsdlocked0 List Table 7 Colorful Accent 1;&#13;_x000a_\lsdpriority46 \lsdlocked0 List Table 1 Light Accent 2;\lsdpriority47 \lsdlocked0 List Table 2 Accent 2;\lsdpriority48 \lsdlocked0 List Table 3 Accent 2;\lsdpriority49 \lsdlocked0 List Table 4 Accent 2;&#13;_x000a_\lsdpriority50 \lsdlocked0 List Table 5 Dark Accent 2;\lsdpriority51 \lsdlocked0 List Table 6 Colorful Accent 2;\lsdpriority52 \lsdlocked0 List Table 7 Colorful Accent 2;\lsdpriority46 \lsdlocked0 List Table 1 Light Accent 3;&#13;_x000a_\lsdpriority47 \lsdlocked0 List Table 2 Accent 3;\lsdpriority48 \lsdlocked0 List Table 3 Accent 3;\lsdpriority49 \lsdlocked0 List Table 4 Accent 3;\lsdpriority50 \lsdlocked0 List Table 5 Dark Accent 3;&#13;_x000a_\lsdpriority51 \lsdlocked0 List Table 6 Colorful Accent 3;\lsdpriority52 \lsdlocked0 List Table 7 Colorful Accent 3;\lsdpriority46 \lsdlocked0 List Table 1 Light Accent 4;\lsdpriority47 \lsdlocked0 List Table 2 Accent 4;&#13;_x000a_\lsdpriority48 \lsdlocked0 List Table 3 Accent 4;\lsdpriority49 \lsdlocked0 List Table 4 Accent 4;\lsdpriority50 \lsdlocked0 List Table 5 Dark Accent 4;\lsdpriority51 \lsdlocked0 List Table 6 Colorful Accent 4;&#13;_x000a_\lsdpriority52 \lsdlocked0 List Table 7 Colorful Accent 4;\lsdpriority46 \lsdlocked0 List Table 1 Light Accent 5;\lsdpriority47 \lsdlocked0 List Table 2 Accent 5;\lsdpriority48 \lsdlocked0 List Table 3 Accent 5;&#13;_x000a_\lsdpriority49 \lsdlocked0 List Table 4 Accent 5;\lsdpriority50 \lsdlocked0 List Table 5 Dark Accent 5;\lsdpriority51 \lsdlocked0 List Table 6 Colorful Accent 5;\lsdpriority52 \lsdlocked0 List Table 7 Colorful Accent 5;&#13;_x000a_\lsdpriority46 \lsdlocked0 List Table 1 Light Accent 6;\lsdpriority47 \lsdlocked0 List Table 2 Accent 6;\lsdpriority48 \lsdlocked0 List Table 3 Accent 6;\lsdpriority49 \lsdlocked0 List Table 4 Accent 6;&#13;_x000a_\lsdpriority50 \lsdlocked0 List Table 5 Dark Accent 6;\lsdpriority51 \lsdlocked0 List Table 6 Colorful Accent 6;\lsdpriority52 \lsdlocked0 List Table 7 Colorful Accent 6;}}{\*\datastore 010500000200000018000000&#13;_x000a_4d73786d6c322e534158584d4c5265616465722e362e3000000000000000000000060000&#13;_x000a_d0cf11e0a1b11ae1000000000000000000000000000000003e000300feff090006000000000000000000000001000000010000000000000000100000feffffff00000000feffffff0000000000000000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dfffffffe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ffffffffffffffffffffffffffffffffffffffffffffffffffffffffffffffffffffffffffffffffffffffffffffffffffffffffffffffffffffffffffffffffffffffffffffffffffffffffffffffffffffffffffffffffffffffffffffffffffffffffffffffffffffffffffff&#13;_x000a_ffffffffffffffffffffffffffffffff52006f006f007400200045006e00740072007900000000000000000000000000000000000000000000000000000000000000000000000000000000000000000016000500ffffffffffffffffffffffff0c6ad98892f1d411a65f0040963251e500000000000000000000000060b4&#13;_x000a_ebf4efacda01feffffff00000000000000000000000000000000000000000000000000000000000000000000000000000000000000000000000000000000000000000000000000000000000000000000000000000000ffffffffffffffffffffffff00000000000000000000000000000000000000000000000000000000&#13;_x000a_00000000000000000000000000000000000000000000000000000000000000000000000000000000000000000000000000000000000000000000000000000000000000000000000000000000000000000000000000000000ffffffffffffffffffffffff0000000000000000000000000000000000000000000000000000&#13;_x000a_000000000000000000000000000000000000000000000000000000000000000000000000000000000000000000000000000000000000000000000000000000000000000000000000000000000000000000000000000000000000ffffffffffffffffffffffff000000000000000000000000000000000000000000000000&#13;_x000a_0000000000000000000000000000000000000000000000000105000000000000}}"/>
  </w:docVar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it-IT"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pPr>
    <w:rPr>
      <w:sz w:val="24"/>
      <w:szCs w:val="24"/>
    </w:rPr>
  </w:style>
  <w:style w:type="paragraph" w:styleId="Heading1">
    <w:name w:val="heading 1"/>
    <w:basedOn w:val="Normal"/>
    <w:next w:val="Normal"/>
    <w:qFormat/>
    <w:rsid w:val="00EF7B96"/>
    <w:pPr>
      <w:keepNext/>
      <w:spacing w:before="240" w:after="60"/>
      <w:outlineLvl w:val="0"/>
    </w:pPr>
    <w:rPr>
      <w:rFonts w:ascii="Arial" w:hAnsi="Arial" w:cs="Arial"/>
      <w:b/>
      <w:bCs/>
      <w:kern w:val="32"/>
      <w:sz w:val="32"/>
      <w:szCs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Normal6a">
    <w:name w:val="Normal6a"/>
    <w:basedOn w:val="Normal"/>
    <w:pPr>
      <w:widowControl/>
      <w:spacing w:after="120"/>
    </w:pPr>
  </w:style>
  <w:style w:type="paragraph" w:customStyle="1" w:styleId="AmJustText">
    <w:name w:val="AmJustText"/>
    <w:basedOn w:val="Normal"/>
    <w:pPr>
      <w:widowControl/>
      <w:spacing w:after="240"/>
    </w:pPr>
    <w:rPr>
      <w:i/>
    </w:rPr>
  </w:style>
  <w:style w:type="paragraph" w:customStyle="1" w:styleId="AmCrossRef">
    <w:name w:val="AmCrossRef"/>
    <w:basedOn w:val="Normal"/>
    <w:pPr>
      <w:widowControl/>
      <w:spacing w:before="240" w:after="240"/>
      <w:jc w:val="center"/>
    </w:pPr>
    <w:rPr>
      <w:i/>
    </w:rPr>
  </w:style>
  <w:style w:type="paragraph" w:customStyle="1" w:styleId="AmOrLang">
    <w:name w:val="AmOrLang"/>
    <w:basedOn w:val="Normal"/>
    <w:pPr>
      <w:widowControl/>
      <w:spacing w:before="240" w:after="240"/>
      <w:jc w:val="right"/>
    </w:pPr>
  </w:style>
  <w:style w:type="paragraph" w:customStyle="1" w:styleId="AmColumnHeading">
    <w:name w:val="AmColumnHeading"/>
    <w:basedOn w:val="Normal"/>
    <w:pPr>
      <w:widowControl/>
      <w:spacing w:after="240"/>
      <w:jc w:val="center"/>
    </w:pPr>
    <w:rPr>
      <w:i/>
    </w:r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NormalBold">
    <w:name w:val="NormalBold"/>
    <w:basedOn w:val="Normal"/>
    <w:pPr>
      <w:widowControl/>
    </w:pPr>
    <w:rPr>
      <w:b/>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Name">
    <w:name w:val="EPName"/>
    <w:basedOn w:val="Normal"/>
    <w:pPr>
      <w:widowControl/>
      <w:spacing w:before="80" w:after="80"/>
    </w:pPr>
    <w:rPr>
      <w:rFonts w:ascii="Arial Narrow" w:eastAsia="Arial" w:hAnsi="Arial Narrow" w:cs="Arial"/>
      <w:b/>
      <w:sz w:val="32"/>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4"/>
        <w:tab w:val="right" w:pos="9920"/>
      </w:tabs>
      <w:ind w:left="-840" w:right="-840"/>
    </w:pPr>
    <w:rPr>
      <w:rFonts w:ascii="Arial" w:eastAsia="Arial" w:hAnsi="Arial" w:cs="Arial"/>
      <w:b/>
      <w:sz w:val="48"/>
    </w:rPr>
  </w:style>
  <w:style w:type="paragraph" w:customStyle="1" w:styleId="Normal12a">
    <w:name w:val="Normal12a"/>
    <w:basedOn w:val="Normal"/>
    <w:pPr>
      <w:widowControl/>
      <w:spacing w:after="240"/>
    </w:pPr>
  </w:style>
  <w:style w:type="paragraph" w:styleId="TOCHeading">
    <w:name w:val="TOC Heading"/>
    <w:basedOn w:val="Normal"/>
    <w:next w:val="Normal"/>
    <w:uiPriority w:val="39"/>
    <w:unhideWhenUsed/>
    <w:qFormat/>
    <w:rsid w:val="000200DD"/>
    <w:pPr>
      <w:keepNext/>
      <w:widowControl/>
      <w:spacing w:before="240" w:after="240"/>
      <w:jc w:val="center"/>
      <w:outlineLvl w:val="9"/>
    </w:pPr>
    <w:rPr>
      <w:rFonts w:ascii="Arial" w:hAnsi="Arial"/>
      <w:b/>
    </w:rPr>
  </w:style>
  <w:style w:type="character" w:customStyle="1" w:styleId="HideTWBInt">
    <w:name w:val="HideTWBInt"/>
    <w:rPr>
      <w:rFonts w:ascii="Arial" w:hAnsi="Arial"/>
      <w:vanish/>
      <w:color w:val="808080"/>
      <w:sz w:val="20"/>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hAnsi="Arial"/>
      <w:b/>
    </w:r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Date">
    <w:name w:val="CoverDate"/>
    <w:basedOn w:val="Normal"/>
    <w:pPr>
      <w:widowControl/>
      <w:spacing w:before="240" w:after="1200"/>
    </w:pPr>
  </w:style>
  <w:style w:type="paragraph" w:customStyle="1" w:styleId="NormalHanging12a">
    <w:name w:val="NormalHanging12a"/>
    <w:basedOn w:val="Normal"/>
    <w:pPr>
      <w:widowControl/>
      <w:overflowPunct/>
      <w:spacing w:after="240"/>
      <w:ind w:left="566" w:hanging="566"/>
    </w:p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hAnsi="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hAnsi="Arial"/>
      <w:sz w:val="16"/>
    </w:rPr>
  </w:style>
  <w:style w:type="paragraph" w:customStyle="1" w:styleId="EPTerm">
    <w:name w:val="EPTerm"/>
    <w:basedOn w:val="Normal"/>
    <w:next w:val="Normal"/>
    <w:pPr>
      <w:widowControl/>
      <w:spacing w:after="80"/>
    </w:pPr>
    <w:rPr>
      <w:rFonts w:ascii="Arial" w:eastAsia="Arial" w:hAnsi="Arial" w:cs="Arial"/>
      <w:sz w:val="20"/>
    </w:rPr>
  </w:style>
  <w:style w:type="paragraph" w:customStyle="1" w:styleId="EPLogo">
    <w:name w:val="EPLogo"/>
    <w:basedOn w:val="Normal"/>
    <w:pPr>
      <w:widowControl/>
      <w:jc w:val="right"/>
    </w:pPr>
  </w:style>
  <w:style w:type="paragraph" w:customStyle="1" w:styleId="EPFooter">
    <w:name w:val="EPFooter"/>
    <w:basedOn w:val="Normal"/>
    <w:pPr>
      <w:widowControl/>
      <w:tabs>
        <w:tab w:val="center" w:pos="4534"/>
        <w:tab w:val="right" w:pos="9070"/>
      </w:tabs>
      <w:spacing w:before="240" w:after="240"/>
    </w:pPr>
    <w:rPr>
      <w:sz w:val="22"/>
    </w:rPr>
  </w:style>
  <w:style w:type="paragraph" w:customStyle="1" w:styleId="PageHeadingNotTOC">
    <w:name w:val="PageHeadingNotTOC"/>
    <w:basedOn w:val="Normal"/>
    <w:pPr>
      <w:keepNext/>
      <w:widowControl/>
      <w:spacing w:after="480"/>
      <w:jc w:val="center"/>
    </w:pPr>
    <w:rPr>
      <w:rFonts w:ascii="Arial" w:eastAsia="Arial" w:hAnsi="Arial" w:cs="Arial"/>
      <w:b/>
    </w:rPr>
  </w:style>
  <w:style w:type="paragraph" w:customStyle="1" w:styleId="AmDocTypeTab">
    <w:name w:val="AmDocTypeTab"/>
    <w:basedOn w:val="Normal"/>
    <w:pPr>
      <w:widowControl/>
      <w:tabs>
        <w:tab w:val="right" w:pos="9070"/>
      </w:tabs>
    </w:pPr>
    <w:rPr>
      <w:b/>
    </w:rPr>
  </w:style>
  <w:style w:type="paragraph" w:customStyle="1" w:styleId="AmDateTab">
    <w:name w:val="AmDateTab"/>
    <w:basedOn w:val="Normal"/>
    <w:pPr>
      <w:widowControl/>
      <w:tabs>
        <w:tab w:val="right" w:pos="9070"/>
      </w:tabs>
    </w:pPr>
  </w:style>
  <w:style w:type="character" w:customStyle="1" w:styleId="EPFooter2Motto">
    <w:name w:val="EPFooter2Motto"/>
    <w:rPr>
      <w:rFonts w:ascii="Arial" w:hAnsi="Arial"/>
      <w:b/>
      <w:i/>
      <w:color w:val="C0C0C0"/>
      <w:sz w:val="22"/>
    </w:rPr>
  </w:style>
  <w:style w:type="paragraph" w:customStyle="1" w:styleId="PMissingStyle">
    <w:name w:val="P_MissingStyle"/>
    <w:basedOn w:val="Normal"/>
    <w:pPr>
      <w:widowControl/>
      <w:spacing w:after="0" w:line="240" w:lineRule="auto"/>
    </w:pPr>
    <w:rPr>
      <w:rFonts w:ascii="Times New Roman" w:eastAsia="Times New Roman" w:hAnsi="Times New Roman" w:cs="Times New Roman"/>
      <w:color w:val="FFFFFF"/>
      <w:sz w:val="24"/>
    </w:rPr>
  </w:style>
  <w:style w:type="character" w:customStyle="1" w:styleId="CMissingStyle">
    <w:name w:val="C_MissingStyle"/>
    <w:rPr>
      <w:color w:val="FFFFFF"/>
      <w:sz w:val="22"/>
    </w:rPr>
  </w:style>
  <w:style w:type="paragraph" w:customStyle="1" w:styleId="Normal24a">
    <w:name w:val="Normal24a"/>
    <w:basedOn w:val="Normal"/>
    <w:pPr>
      <w:widowControl/>
      <w:spacing w:after="480"/>
    </w:pPr>
  </w:style>
  <w:style w:type="character" w:customStyle="1" w:styleId="FooterChar">
    <w:name w:val="Footer Char"/>
    <w:rPr>
      <w:rFonts w:ascii="Times New Roman" w:eastAsia="Times New Roman" w:hAnsi="Times New Roman" w:cs="Times New Roman"/>
      <w:sz w:val="24"/>
    </w:rPr>
  </w:style>
  <w:style w:type="paragraph" w:customStyle="1" w:styleId="NormalHanging">
    <w:name w:val="NormalHanging"/>
    <w:basedOn w:val="Normal"/>
    <w:pPr>
      <w:widowControl/>
      <w:overflowPunct/>
      <w:spacing w:after="240" w:line="240" w:lineRule="auto"/>
      <w:ind w:left="566" w:hanging="566"/>
    </w:pPr>
    <w:rPr>
      <w:rFonts w:ascii="Times New Roman" w:eastAsia="Times New Roman" w:hAnsi="Times New Roman" w:cs="Times New Roman"/>
      <w:sz w:val="24"/>
    </w:rPr>
  </w:style>
  <w:style w:type="paragraph" w:customStyle="1" w:styleId="Arial14CentreBold">
    <w:name w:val="Arial14CentreBold"/>
    <w:basedOn w:val="Normal"/>
    <w:pPr>
      <w:widowControl/>
      <w:spacing w:after="0" w:line="240" w:lineRule="auto"/>
      <w:jc w:val="center"/>
    </w:pPr>
    <w:rPr>
      <w:rFonts w:ascii="Arial" w:eastAsia="Arial" w:hAnsi="Arial" w:cs="Arial"/>
      <w:b/>
      <w:sz w:val="28"/>
    </w:rPr>
  </w:style>
  <w:style w:type="paragraph" w:customStyle="1" w:styleId="ProcedureTable">
    <w:name w:val="ProcedureTable"/>
    <w:basedOn w:val="Normal"/>
    <w:pPr>
      <w:widowControl/>
      <w:spacing w:after="0" w:line="240" w:lineRule="auto"/>
    </w:pPr>
    <w:rPr>
      <w:rFonts w:ascii="Times New Roman" w:eastAsia="Times New Roman" w:hAnsi="Times New Roman" w:cs="Times New Roman"/>
      <w:sz w:val="20"/>
    </w:rPr>
  </w:style>
  <w:style w:type="paragraph" w:customStyle="1" w:styleId="ProcedureTableBold">
    <w:name w:val="ProcedureTableBold"/>
    <w:basedOn w:val="Normal"/>
    <w:pPr>
      <w:widowControl/>
      <w:spacing w:after="0" w:line="240" w:lineRule="auto"/>
    </w:pPr>
    <w:rPr>
      <w:rFonts w:ascii="Times New Roman" w:eastAsia="Times New Roman" w:hAnsi="Times New Roman" w:cs="Times New Roman"/>
      <w:b/>
      <w:sz w:val="20"/>
    </w:rPr>
  </w:style>
  <w:style w:type="paragraph" w:customStyle="1" w:styleId="NormalTab">
    <w:name w:val="NormalTab"/>
    <w:basedOn w:val="Normal"/>
    <w:pPr>
      <w:widowControl/>
      <w:tabs>
        <w:tab w:val="center" w:pos="284"/>
        <w:tab w:val="left" w:pos="424"/>
      </w:tabs>
      <w:spacing w:after="0" w:line="240" w:lineRule="auto"/>
    </w:pPr>
    <w:rPr>
      <w:rFonts w:ascii="Times New Roman" w:eastAsia="Times New Roman" w:hAnsi="Times New Roman" w:cs="Times New Roman"/>
      <w:sz w:val="24"/>
    </w:rPr>
  </w:style>
  <w:style w:type="paragraph" w:customStyle="1" w:styleId="PageHeading">
    <w:name w:val="PageHeading"/>
    <w:basedOn w:val="Normal"/>
    <w:pPr>
      <w:keepNext/>
      <w:widowControl/>
      <w:spacing w:after="480"/>
      <w:jc w:val="center"/>
    </w:pPr>
    <w:rPr>
      <w:rFonts w:ascii="Arial" w:eastAsia="Arial" w:hAnsi="Arial" w:cs="Arial"/>
      <w:b/>
    </w:rPr>
  </w:style>
  <w:style w:type="paragraph" w:customStyle="1" w:styleId="NormalCenter12a">
    <w:name w:val="NormalCenter12a"/>
    <w:basedOn w:val="Normal"/>
    <w:pPr>
      <w:widowControl/>
      <w:spacing w:after="240"/>
      <w:jc w:val="center"/>
    </w:pPr>
  </w:style>
  <w:style w:type="paragraph" w:customStyle="1" w:styleId="EPFooterLandscape">
    <w:name w:val="EPFooterLandscape"/>
    <w:pPr>
      <w:widowControl/>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widowControl/>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themeColor="bg2" w:themeFill="bg2"/>
    </w:rPr>
  </w:style>
  <w:style w:type="paragraph" w:customStyle="1" w:styleId="NormalCenter">
    <w:name w:val="NormalCenter"/>
    <w:basedOn w:val="Normal"/>
    <w:pPr>
      <w:widowControl/>
      <w:spacing w:after="0" w:line="240" w:lineRule="auto"/>
      <w:jc w:val="center"/>
    </w:pPr>
    <w:rPr>
      <w:rFonts w:ascii="Times New Roman" w:eastAsia="Times New Roman" w:hAnsi="Times New Roman" w:cs="Times New Roman"/>
      <w:sz w:val="24"/>
    </w:rPr>
  </w:style>
  <w:style w:type="character" w:styleId="FootnoteReference">
    <w:name w:val="footnote reference"/>
    <w:basedOn w:val="DefaultParagraphFont"/>
    <w:rsid w:val="00805BCE"/>
    <w:rPr>
      <w:vertAlign w:val="superscript"/>
    </w:rPr>
  </w:style>
  <w:style w:type="paragraph" w:styleId="FootnoteText">
    <w:name w:val="footnote text"/>
    <w:basedOn w:val="Normal"/>
    <w:rsid w:val="00805BCE"/>
    <w:rPr>
      <w:sz w:val="20"/>
      <w:szCs w:val="20"/>
    </w:rPr>
  </w:style>
  <w:style w:type="character" w:styleId="Hyperlink">
    <w:name w:val="Hyperlink"/>
    <w:basedOn w:val="DefaultParagraphFont"/>
    <w:rsid w:val="00EF7B96"/>
    <w:rPr>
      <w:color w:val="0000FF"/>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image" Target="media/image1.png" /><Relationship Id="rId6" Type="http://schemas.openxmlformats.org/officeDocument/2006/relationships/footer" Target="footer1.xml" /><Relationship Id="rId7" Type="http://schemas.openxmlformats.org/officeDocument/2006/relationships/footer" Target="footer2.xml" /><Relationship Id="rId8" Type="http://schemas.openxmlformats.org/officeDocument/2006/relationships/footer" Target="footer3.xml" /><Relationship Id="rId9" Type="http://schemas.openxmlformats.org/officeDocument/2006/relationships/theme" Target="theme/theme1.xml" /></Relationships>
</file>

<file path=word/_rels/footnotes.xml.rels><?xml version="1.0" encoding="utf-8" standalone="yes"?><Relationships xmlns="http://schemas.openxmlformats.org/package/2006/relationships"><Relationship Id="rId1" Type="http://schemas.openxmlformats.org/officeDocument/2006/relationships/hyperlink" Target="http://data.europa.eu/eli/agree_interinstit/2021/611/oj"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49</Pages>
  <Words>10105</Words>
  <Characters>60883</Characters>
  <Application>Microsoft Office Word</Application>
  <DocSecurity>0</DocSecurity>
  <Lines>1</Lines>
  <Paragraphs>624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70472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c:title>
  <dc:creator>European Parliament</dc:creator>
  <cp:lastModifiedBy>European Parliament</cp:lastModifiedBy>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lt;FdR&gt;">
    <vt:lpwstr>1329163</vt:lpwstr>
  </property>
  <property fmtid="{D5CDD505-2E9C-101B-9397-08002B2CF9AE}" pid="4" name="&lt;Model&gt;">
    <vt:lpwstr>PA_NonLeg</vt:lpwstr>
  </property>
  <property fmtid="{D5CDD505-2E9C-101B-9397-08002B2CF9AE}" pid="5" name="&lt;Type&gt;">
    <vt:lpwstr>AD</vt:lpwstr>
  </property>
  <property fmtid="{D5CDD505-2E9C-101B-9397-08002B2CF9AE}" pid="6" name="dmxml.render.id">
    <vt:lpwstr>278179</vt:lpwstr>
  </property>
  <property fmtid="{D5CDD505-2E9C-101B-9397-08002B2CF9AE}" pid="7" name="dmxml.render.traceId">
    <vt:lpwstr>6909d9afaf2ee3c9953bc1a3c099e0e9</vt:lpwstr>
  </property>
  <property fmtid="{D5CDD505-2E9C-101B-9397-08002B2CF9AE}" pid="8" name="FooterPath">
    <vt:lpwstr>AD\1329163IT.doc</vt:lpwstr>
  </property>
  <property fmtid="{D5CDD505-2E9C-101B-9397-08002B2CF9AE}" pid="9" name="PE Number">
    <vt:lpwstr>774.481</vt:lpwstr>
  </property>
  <property fmtid="{D5CDD505-2E9C-101B-9397-08002B2CF9AE}" pid="10" name="UID">
    <vt:lpwstr>eu.europa.europarl-DIN1-2025-0000182003_01.07-it-01.00_text-xml</vt:lpwstr>
  </property>
</Properties>
</file>