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Eiropas Parlaments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{FEMM}</w:t>
      </w:r>
      <w:r>
        <w:t>Sieviešu tiesību un dzimumu līdztiesības komiteja</w:t>
      </w:r>
      <w:r>
        <w:rPr>
          <w:rStyle w:val="HideTWBExt"/>
        </w:rPr>
        <w:t>&lt;/Commission&gt;</w:t>
      </w:r>
    </w:p>
    <w:p>
      <w:pPr>
        <w:pStyle w:val="LineBottom"/>
      </w:pPr>
      <w:r>
        <w:t xml:space="preserve"> </w:t>
      </w:r>
    </w:p>
    <w:p>
      <w:pPr>
        <w:pStyle w:val="CoverReference"/>
      </w:pPr>
      <w:r>
        <w:rPr>
          <w:rStyle w:val="HideTWBExt"/>
        </w:rPr>
        <w:t>&lt;RefProc&gt;</w:t>
      </w:r>
      <w:r>
        <w:t>2025/2085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{20/10/2025}</w:t>
      </w:r>
      <w:r>
        <w:t>20.10.2025</w:t>
      </w:r>
      <w:r>
        <w:rPr>
          <w:rStyle w:val="HideTWBExt"/>
        </w:rPr>
        <w:t>&lt;/Date&gt;</w:t>
      </w:r>
    </w:p>
    <w:p>
      <w:pPr>
        <w:pStyle w:val="CoverDocType24a"/>
      </w:pPr>
      <w:r>
        <w:rPr>
          <w:rStyle w:val="HideTWBExt"/>
        </w:rPr>
        <w:t>&lt;TitreType&gt;</w:t>
      </w:r>
      <w:r>
        <w:t>ATZINUMS</w:t>
      </w:r>
      <w:r>
        <w:rPr>
          <w:rStyle w:val="HideTWBExt"/>
        </w:rPr>
        <w:t>&lt;/TitreType&gt;</w:t>
      </w:r>
    </w:p>
    <w:p>
      <w:pPr>
        <w:pStyle w:val="CoverNormal24a"/>
      </w:pPr>
      <w:r>
        <w:rPr>
          <w:rStyle w:val="HideTWBExt"/>
        </w:rPr>
        <w:t>&lt;CommissionResp&gt;</w:t>
      </w:r>
      <w:r>
        <w:t>Sniegusi Sieviešu tiesību un dzimumu līdztiesības komiteja</w:t>
      </w:r>
      <w:r>
        <w:rPr>
          <w:rStyle w:val="HideTWBExt"/>
        </w:rPr>
        <w:t>&lt;/CommissionResp&gt;</w:t>
      </w:r>
    </w:p>
    <w:p>
      <w:pPr>
        <w:pStyle w:val="CoverNormal24a"/>
      </w:pPr>
      <w:r>
        <w:rPr>
          <w:rStyle w:val="HideTWBExt"/>
        </w:rPr>
        <w:t>&lt;CommissionInt&gt;</w:t>
      </w:r>
      <w:r>
        <w:t>Attīstības komitejai</w:t>
      </w:r>
      <w:r>
        <w:rPr>
          <w:rStyle w:val="HideTWBExt"/>
        </w:rPr>
        <w:t>&lt;/CommissionInt&gt;</w:t>
      </w:r>
    </w:p>
    <w:p>
      <w:pPr>
        <w:pStyle w:val="CoverNormal"/>
      </w:pPr>
      <w:r>
        <w:rPr>
          <w:rStyle w:val="HideTWBExt"/>
        </w:rPr>
        <w:t>&lt;Titre&gt;</w:t>
      </w:r>
      <w:r>
        <w:t>par humāno palīdzību polikrīzes laikā: nelokāma turēšanās pie mūsu principiem nolūkā efektīvāk un vērienīgāk reaģēt uz humanitārajām krīzēm</w:t>
      </w:r>
      <w:r>
        <w:rPr>
          <w:rStyle w:val="HideTWBExt"/>
        </w:rPr>
        <w:t>&lt;/Titre&gt;</w:t>
      </w:r>
    </w:p>
    <w:p>
      <w:pPr>
        <w:pStyle w:val="CoverNormal24a"/>
      </w:pPr>
      <w:r>
        <w:rPr>
          <w:rStyle w:val="HideTWBExt"/>
        </w:rPr>
        <w:t>&lt;DocRef&gt;</w:t>
      </w:r>
      <w:r>
        <w:t>(2025/2085(INI))</w:t>
      </w:r>
      <w:r>
        <w:rPr>
          <w:rStyle w:val="HideTWBExt"/>
        </w:rPr>
        <w:t>&lt;/DocRef&gt;</w:t>
      </w:r>
    </w:p>
    <w:p>
      <w:pPr>
        <w:pStyle w:val="CoverNormal24a"/>
      </w:pPr>
      <w:r>
        <w:t>Atzinumu sagatavoja</w:t>
      </w:r>
      <w:r>
        <w:t xml:space="preserve">: </w:t>
      </w:r>
      <w:r>
        <w:rPr>
          <w:rStyle w:val="HideTWBExt"/>
        </w:rPr>
        <w:t>&lt;Depute&gt;</w:t>
      </w:r>
      <w:r>
        <w:t>Lina Gálvez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GROZĪJUMI</w:t>
      </w:r>
    </w:p>
    <w:p>
      <w:pPr>
        <w:pStyle w:val="Normal12a"/>
      </w:pPr>
      <w:r>
        <w:t>Sieviešu tiesību un dzimumu līdztiesības komiteja</w:t>
      </w:r>
      <w:r>
        <w:t xml:space="preserve"> </w:t>
      </w:r>
      <w:r>
        <w:t>iesniedz par jautājumu atbildīgajai Attīstības komitejai turpmāk minēto</w:t>
      </w:r>
      <w:r>
        <w:t xml:space="preserve"> </w:t>
      </w:r>
      <w:r>
        <w:t>:</w:t>
      </w:r>
    </w:p>
    <w:p>
      <w:pPr>
        <w:pStyle w:val="AmNumberTabs"/>
      </w:pPr>
      <w:r>
        <w:rPr>
          <w:rStyle w:val="HideTWBExt"/>
        </w:rPr>
        <w:t>&lt;RepeatBlock-Amend&gt;</w:t>
      </w:r>
      <w:r>
        <w:rPr>
          <w:rStyle w:val="HideTWBExt"/>
        </w:rPr>
        <w:t>&lt;Amend&gt;</w:t>
      </w:r>
      <w:r>
        <w:t>Grozījums Nr.</w:t>
      </w:r>
      <w:r>
        <w:tab/>
      </w:r>
      <w:r>
        <w:tab/>
      </w:r>
      <w:r>
        <w:rPr>
          <w:rStyle w:val="HideTWBExt"/>
        </w:rPr>
        <w:t>&lt;NumAm&gt;</w:t>
      </w:r>
      <w:r>
        <w:t>1</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2.a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ANO Konvenciju par personu ar invaliditāti tiesībām, ko ratificējusi ES un visas tās dalībvalstis,</w:t>
            </w:r>
          </w:p>
        </w:tc>
      </w:tr>
    </w:tbl>
    <w:p>
      <w:r>
        <w:rPr>
          <w:rStyle w:val="HideTWBExt"/>
        </w:rPr>
        <w:t>&lt;/Amend&gt;</w:t>
      </w:r>
    </w:p>
    <w:p>
      <w:pPr>
        <w:pStyle w:val="AmNumberTabs"/>
      </w:pPr>
      <w:r>
        <w:rPr>
          <w:rStyle w:val="HideTWBExt"/>
        </w:rPr>
        <w:t>&lt;Amend&gt;</w:t>
      </w:r>
      <w:r>
        <w:t>Grozījums Nr.</w:t>
      </w:r>
      <w:r>
        <w:tab/>
      </w:r>
      <w:r>
        <w:tab/>
      </w:r>
      <w:r>
        <w:rPr>
          <w:rStyle w:val="HideTWBExt"/>
        </w:rPr>
        <w:t>&lt;NumAm&gt;</w:t>
      </w:r>
      <w:r>
        <w:t>2</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5.a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ES Dzimumu līdztiesības rīcības plānu III (GAP III) 2021.–2025. gadam,</w:t>
            </w:r>
          </w:p>
        </w:tc>
      </w:tr>
    </w:tbl>
    <w:p>
      <w:r>
        <w:rPr>
          <w:rStyle w:val="HideTWBExt"/>
        </w:rPr>
        <w:t>&lt;/Amend&gt;</w:t>
      </w:r>
    </w:p>
    <w:p>
      <w:pPr>
        <w:pStyle w:val="AmNumberTabs"/>
      </w:pPr>
      <w:r>
        <w:rPr>
          <w:rStyle w:val="HideTWBExt"/>
        </w:rPr>
        <w:t>&lt;Amend&gt;</w:t>
      </w:r>
      <w:r>
        <w:t>Grozījums Nr.</w:t>
      </w:r>
      <w:r>
        <w:tab/>
      </w:r>
      <w:r>
        <w:tab/>
      </w:r>
      <w:r>
        <w:rPr>
          <w:rStyle w:val="HideTWBExt"/>
        </w:rPr>
        <w:t>&lt;NumAm&gt;</w:t>
      </w:r>
      <w:r>
        <w:t>3</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6.a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ES stratēģisko pieeju sievietēm, mieram un drošībai,</w:t>
            </w:r>
          </w:p>
        </w:tc>
      </w:tr>
    </w:tbl>
    <w:p>
      <w:r>
        <w:rPr>
          <w:rStyle w:val="HideTWBExt"/>
        </w:rPr>
        <w:t>&lt;/Amend&gt;</w:t>
      </w:r>
    </w:p>
    <w:p>
      <w:pPr>
        <w:pStyle w:val="AmNumberTabs"/>
      </w:pPr>
      <w:r>
        <w:rPr>
          <w:rStyle w:val="HideTWBExt"/>
        </w:rPr>
        <w:t>&lt;Amend&gt;</w:t>
      </w:r>
      <w:r>
        <w:t>Grozījums Nr.</w:t>
      </w:r>
      <w:r>
        <w:tab/>
      </w:r>
      <w:r>
        <w:tab/>
      </w:r>
      <w:r>
        <w:rPr>
          <w:rStyle w:val="HideTWBExt"/>
        </w:rPr>
        <w:t>&lt;NumAm&gt;</w:t>
      </w:r>
      <w:r>
        <w:t>4</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6.b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1994. gadā Kairā notikušo Starptautisko konferenci par iedzīvotājiem un attīstību (ICPD), tās rīcības programmu un pārskatīšanas konferenču rezultātus,</w:t>
            </w:r>
          </w:p>
        </w:tc>
      </w:tr>
    </w:tbl>
    <w:p>
      <w:r>
        <w:rPr>
          <w:rStyle w:val="HideTWBExt"/>
        </w:rPr>
        <w:t>&lt;/Amend&gt;</w:t>
      </w:r>
    </w:p>
    <w:p>
      <w:pPr>
        <w:pStyle w:val="AmNumberTabs"/>
      </w:pPr>
      <w:r>
        <w:rPr>
          <w:rStyle w:val="HideTWBExt"/>
        </w:rPr>
        <w:t>&lt;Amend&gt;</w:t>
      </w:r>
      <w:r>
        <w:t>Grozījums Nr.</w:t>
      </w:r>
      <w:r>
        <w:tab/>
      </w:r>
      <w:r>
        <w:tab/>
      </w:r>
      <w:r>
        <w:rPr>
          <w:rStyle w:val="HideTWBExt"/>
        </w:rPr>
        <w:t>&lt;NumAm&gt;</w:t>
      </w:r>
      <w:r>
        <w:t>5</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6.c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Pekinas Rīcības platformu un tās pārskatīšanas konferenču rezultātus,</w:t>
            </w:r>
          </w:p>
        </w:tc>
      </w:tr>
    </w:tbl>
    <w:p>
      <w:r>
        <w:rPr>
          <w:rStyle w:val="HideTWBExt"/>
        </w:rPr>
        <w:t>&lt;/Amend&gt;</w:t>
      </w:r>
    </w:p>
    <w:p>
      <w:pPr>
        <w:pStyle w:val="AmNumberTabs"/>
      </w:pPr>
      <w:r>
        <w:rPr>
          <w:rStyle w:val="HideTWBExt"/>
        </w:rPr>
        <w:t>&lt;Amend&gt;</w:t>
      </w:r>
      <w:r>
        <w:t>Grozījums Nr.</w:t>
      </w:r>
      <w:r>
        <w:tab/>
      </w:r>
      <w:r>
        <w:tab/>
      </w:r>
      <w:r>
        <w:rPr>
          <w:rStyle w:val="HideTWBExt"/>
        </w:rPr>
        <w:t>&lt;NumAm&gt;</w:t>
      </w:r>
      <w:r>
        <w:t>6</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6.d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Padomes 2018. gada 10. decembra secinājumus par sievietēm, mieru un drošību,</w:t>
            </w:r>
          </w:p>
        </w:tc>
      </w:tr>
    </w:tbl>
    <w:p>
      <w:r>
        <w:rPr>
          <w:rStyle w:val="HideTWBExt"/>
        </w:rPr>
        <w:t>&lt;/Amend&gt;</w:t>
      </w:r>
    </w:p>
    <w:p>
      <w:pPr>
        <w:pStyle w:val="AmNumberTabs"/>
      </w:pPr>
      <w:r>
        <w:rPr>
          <w:rStyle w:val="HideTWBExt"/>
        </w:rPr>
        <w:t>&lt;Amend&gt;</w:t>
      </w:r>
      <w:r>
        <w:t>Grozījums Nr.</w:t>
      </w:r>
      <w:r>
        <w:tab/>
      </w:r>
      <w:r>
        <w:tab/>
      </w:r>
      <w:r>
        <w:rPr>
          <w:rStyle w:val="HideTWBExt"/>
        </w:rPr>
        <w:t>&lt;NumAm&gt;</w:t>
      </w:r>
      <w:r>
        <w:t>7</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7.a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ņemot vērā Parlamenta 2021. gada 24. jūnija rezolūciju par seksuālās un reproduktīvās veselības un tiesību uz to stāvokli Eiropas Savienībā sieviešu veselības kontekstā</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OV C 81, 18.2.2022., 43. lpp.</w:t>
            </w:r>
          </w:p>
        </w:tc>
      </w:tr>
    </w:tbl>
    <w:p>
      <w:r>
        <w:rPr>
          <w:rStyle w:val="HideTWBExt"/>
        </w:rPr>
        <w:t>&lt;/Amend&gt;</w:t>
      </w:r>
    </w:p>
    <w:p>
      <w:pPr>
        <w:pStyle w:val="AmNumberTabs"/>
      </w:pPr>
      <w:r>
        <w:rPr>
          <w:rStyle w:val="HideTWBExt"/>
        </w:rPr>
        <w:t>&lt;Amend&gt;</w:t>
      </w:r>
      <w:r>
        <w:t>Grozījums Nr.</w:t>
      </w:r>
      <w:r>
        <w:tab/>
      </w:r>
      <w:r>
        <w:tab/>
      </w:r>
      <w:r>
        <w:rPr>
          <w:rStyle w:val="HideTWBExt"/>
        </w:rPr>
        <w:t>&lt;NumAm&gt;</w:t>
      </w:r>
      <w:r>
        <w:t>8</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9.a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ANO Drošības padomes Rezolūciju Nr. 1325 par sievietēm, mieru un drošību,</w:t>
            </w:r>
          </w:p>
        </w:tc>
      </w:tr>
    </w:tbl>
    <w:p>
      <w:r>
        <w:rPr>
          <w:rStyle w:val="HideTWBExt"/>
        </w:rPr>
        <w:t>&lt;/Amend&gt;</w:t>
      </w:r>
    </w:p>
    <w:p>
      <w:pPr>
        <w:pStyle w:val="AmNumberTabs"/>
      </w:pPr>
      <w:r>
        <w:rPr>
          <w:rStyle w:val="HideTWBExt"/>
        </w:rPr>
        <w:t>&lt;Amend&gt;</w:t>
      </w:r>
      <w:r>
        <w:t>Grozījums Nr.</w:t>
      </w:r>
      <w:r>
        <w:tab/>
      </w:r>
      <w:r>
        <w:tab/>
      </w:r>
      <w:r>
        <w:rPr>
          <w:rStyle w:val="HideTWBExt"/>
        </w:rPr>
        <w:t>&lt;NumAm&gt;</w:t>
      </w:r>
      <w:r>
        <w:t>9</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19.a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ņemot vērā 2018. gada 29. novembra rezolūciju par sieviešu ar invaliditāti stāvokli</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OV C 363, 28.10.2020., 164. lpp.</w:t>
            </w:r>
          </w:p>
        </w:tc>
      </w:tr>
    </w:tbl>
    <w:p>
      <w:r>
        <w:rPr>
          <w:rStyle w:val="HideTWBExt"/>
        </w:rPr>
        <w:t>&lt;/Amend&gt;</w:t>
      </w:r>
    </w:p>
    <w:p>
      <w:pPr>
        <w:pStyle w:val="AmNumberTabs"/>
      </w:pPr>
      <w:r>
        <w:rPr>
          <w:rStyle w:val="HideTWBExt"/>
        </w:rPr>
        <w:t>&lt;Amend&gt;</w:t>
      </w:r>
      <w:r>
        <w:t>Grozījums Nr.</w:t>
      </w:r>
      <w:r>
        <w:tab/>
      </w:r>
      <w:r>
        <w:tab/>
      </w:r>
      <w:r>
        <w:rPr>
          <w:rStyle w:val="HideTWBExt"/>
        </w:rPr>
        <w:t>&lt;NumAm&gt;</w:t>
      </w:r>
      <w:r>
        <w:t>10</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tā kā dzimumlīdztiesīgas sabiedrības ir veselīgākas, drošākas, taisnīgākas un labklājīgākas visiem; tā kā dzimumu līdztiesība un sieviešu vienlīdzīgu tiesību nodrošināšana ir priekšnosacījumi demokrātijai un tiesiskuma ievērošanai;</w:t>
            </w:r>
          </w:p>
        </w:tc>
      </w:tr>
    </w:tbl>
    <w:p>
      <w:r>
        <w:rPr>
          <w:rStyle w:val="HideTWBExt"/>
        </w:rPr>
        <w:t>&lt;/Amend&gt;</w:t>
      </w:r>
    </w:p>
    <w:p>
      <w:pPr>
        <w:pStyle w:val="AmNumberTabs"/>
      </w:pPr>
      <w:r>
        <w:rPr>
          <w:rStyle w:val="HideTWBExt"/>
        </w:rPr>
        <w:t>&lt;Amend&gt;</w:t>
      </w:r>
      <w:r>
        <w:t>Grozījums Nr.</w:t>
      </w:r>
      <w:r>
        <w:tab/>
      </w:r>
      <w:r>
        <w:tab/>
      </w:r>
      <w:r>
        <w:rPr>
          <w:rStyle w:val="HideTWBExt"/>
        </w:rPr>
        <w:t>&lt;NumAm&gt;</w:t>
      </w:r>
      <w:r>
        <w:t>11</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Aa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tā kā sievietes un meitenes, kas dzīvo humanitāras krīzes apstākļos, saskaras ar lielu dzimumu nevienlīdzību, piemēram, viņām ir ierobežota piekļuve resursiem, tostarp pārtikai, viņām ir liegtas tiesības uz izglītību, darbu, veselības aprūpi, tostarp seksuālās un reproduktīvās veselības tiesības, un viņām ir lielāks risks ciest no dzimumbalstītas un reproduktīvās vardarbības; tā kā dzīve šādos apstākļos padara neaizsargātākus arī bērnus; tā kā sievietes ar invaliditāti, saskaroties ar humanitārām krīzēm, ir pakļautas lielākam atstumtības, diskriminācijas un vardarbības riskam;</w:t>
            </w:r>
          </w:p>
        </w:tc>
      </w:tr>
    </w:tbl>
    <w:p>
      <w:r>
        <w:rPr>
          <w:rStyle w:val="HideTWBExt"/>
        </w:rPr>
        <w:t>&lt;/Amend&gt;</w:t>
      </w:r>
    </w:p>
    <w:p>
      <w:pPr>
        <w:pStyle w:val="AmNumberTabs"/>
      </w:pPr>
      <w:r>
        <w:rPr>
          <w:rStyle w:val="HideTWBExt"/>
        </w:rPr>
        <w:t>&lt;Amend&gt;</w:t>
      </w:r>
      <w:r>
        <w:t>Grozījums Nr.</w:t>
      </w:r>
      <w:r>
        <w:tab/>
      </w:r>
      <w:r>
        <w:tab/>
      </w:r>
      <w:r>
        <w:rPr>
          <w:rStyle w:val="HideTWBExt"/>
        </w:rPr>
        <w:t>&lt;NumAm&gt;</w:t>
      </w:r>
      <w:r>
        <w:t>12</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Ab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tā kā stāvoklis Afganistānā rada vēl lielāku spiedienu uz jau tā pārslogotajiem humānās palīdzības resursiem un pasliktina situāciju, kādā miljoniem cilvēku, tostarp sievietes un meitenes, cīnās par izdzīvošanu;</w:t>
            </w:r>
          </w:p>
        </w:tc>
      </w:tr>
    </w:tbl>
    <w:p>
      <w:r>
        <w:rPr>
          <w:rStyle w:val="HideTWBExt"/>
        </w:rPr>
        <w:t>&lt;/Amend&gt;</w:t>
      </w:r>
    </w:p>
    <w:p>
      <w:pPr>
        <w:pStyle w:val="AmNumberTabs"/>
      </w:pPr>
      <w:r>
        <w:rPr>
          <w:rStyle w:val="HideTWBExt"/>
        </w:rPr>
        <w:t>&lt;Amend&gt;</w:t>
      </w:r>
      <w:r>
        <w:t>Grozījums Nr.</w:t>
      </w:r>
      <w:r>
        <w:tab/>
      </w:r>
      <w:r>
        <w:tab/>
      </w:r>
      <w:r>
        <w:rPr>
          <w:rStyle w:val="HideTWBExt"/>
        </w:rPr>
        <w:t>&lt;NumAm&gt;</w:t>
      </w:r>
      <w:r>
        <w:t>13</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tā kā humānās palīdzības sistēma saskaras ar milzīgu finansējuma krīzi; tā kā ASV Starptautiskās attīstības aģentūras (USAID) programmu likvidēšana</w:t>
            </w:r>
            <w:r>
              <w:rPr>
                <w:vertAlign w:val="superscript"/>
              </w:rPr>
              <w:t>6</w:t>
            </w:r>
            <w:r>
              <w:t xml:space="preserve"> un tas, ka ir samazinājusies ārvalstu palīdzība no citiem nozīmīgiem līdzekļu devējiem, tostarp vairākām ES dalībvalstīm, ir izraisījis vēl nepieredzētu globālā finansējuma samazinājumu humanitārās, veselības un klimata jomas iniciatīvām; tā kā šī finansējuma samazinājums postoši ietekmē globālo veselību, tādējādi vēl vairāk palielinot infekcijas slimību uzliesmojumu risku, un nodrošinātību ar pārtiku; tā kā šis samazinājums nesamērīgi ietekmē sievietes un meitenes; tā kā šis samazinājums rada papildu draudus bēgļu drošībai un labbūtībai;</w:t>
            </w:r>
          </w:p>
        </w:tc>
        <w:tc>
          <w:tcPr>
            <w:tcW w:w="4876" w:type="dxa"/>
            <w:tcBorders>
              <w:top w:val="nil"/>
              <w:left w:val="nil"/>
              <w:bottom w:val="nil"/>
              <w:right w:val="nil"/>
            </w:tcBorders>
          </w:tcPr>
          <w:p>
            <w:pPr>
              <w:pStyle w:val="Normal6a"/>
            </w:pPr>
            <w:r>
              <w:rPr>
                <w:b/>
                <w:i/>
              </w:rPr>
              <w:t>B.</w:t>
            </w:r>
            <w:r>
              <w:tab/>
            </w:r>
            <w:r>
              <w:t>tā kā humānās palīdzības sistēma saskaras ar milzīgu finansējuma krīzi; tā kā ASV Starptautiskās attīstības aģentūras (USAID) programmu</w:t>
            </w:r>
            <w:r>
              <w:rPr>
                <w:vertAlign w:val="superscript"/>
              </w:rPr>
              <w:t>6</w:t>
            </w:r>
            <w:r>
              <w:t xml:space="preserve"> likvidēšana un tas, ka ir samazinājusies ārvalstu palīdzība no citiem nozīmīgiem līdzekļu devējiem, tostarp vairākām ES dalībvalstīm, ir izraisījis vēl nepieredzētu globālā finansējuma samazinājumu humanitārās, </w:t>
            </w:r>
            <w:r>
              <w:rPr>
                <w:b/>
                <w:i/>
              </w:rPr>
              <w:t>dzimumu līdztiesības,</w:t>
            </w:r>
            <w:r>
              <w:t xml:space="preserve"> veselības un klimata jomas iniciatīvām;</w:t>
            </w:r>
            <w:r>
              <w:rPr>
                <w:b/>
                <w:i/>
              </w:rPr>
              <w:t xml:space="preserve"> </w:t>
            </w:r>
            <w:r>
              <w:t xml:space="preserve">tā kā </w:t>
            </w:r>
            <w:r>
              <w:rPr>
                <w:b/>
                <w:i/>
              </w:rPr>
              <w:t>humānās palīdzības samazināšanās tikai saasina humanitārās krīzes;</w:t>
            </w:r>
            <w:r>
              <w:t xml:space="preserve"> </w:t>
            </w:r>
            <w:r>
              <w:rPr>
                <w:b/>
                <w:i/>
              </w:rPr>
              <w:t>tā kā</w:t>
            </w:r>
            <w:r>
              <w:t xml:space="preserve"> šī finansējuma samazinājums postoši ietekmē globālo veselību, tādējādi vēl vairāk palielinot infekcijas slimību uzliesmojumu risku, </w:t>
            </w:r>
            <w:r>
              <w:rPr>
                <w:b/>
                <w:i/>
              </w:rPr>
              <w:t>nevēlamas grūtniecības, nepilngadīgo grūtniecības, māšu mirstību, māšu saslimstību</w:t>
            </w:r>
            <w:r>
              <w:t xml:space="preserve"> un nodrošinātību ar pārtiku; tā kā šis samazinājums nesamērīgi ietekmē sievietes un meitenes</w:t>
            </w:r>
            <w:r>
              <w:rPr>
                <w:b/>
                <w:i/>
              </w:rPr>
              <w:t>, kā arī LGBTIQ+</w:t>
            </w:r>
            <w:r>
              <w:t>; tā kā šis samazinājums rada papildu draudus bēgļu drošībai un labbūtībai;</w:t>
            </w:r>
            <w:r>
              <w:rPr>
                <w:b/>
                <w:i/>
              </w:rPr>
              <w:t xml:space="preserve"> tā kā ASV finansējuma iesaldēšana ir iedragājusi centienus humānās palīdzības jomā, kavējot projektu īstenošanu, personāla jautājumu risināšanu un atbalsta sniegšanu sievietēm un meitenēm, un tas jo īpaši negatīvi ietekmējis sieviešu iesaistīšanos humānās palīdzības sniegšanas darbībās; tā kā, investējot dzimumu līdztiesībā, tiek glābtas dzīvības humanitāras krīzes vietās; </w:t>
            </w:r>
            <w:r>
              <w:rPr>
                <w:b/>
                <w:i/>
              </w:rPr>
              <w:t>tā kā pierādījumi liecina, ka dzimumvērīga humānās palīdzības plānošana ļoti atmaksājas, jo par katru ieguldīto ASV dolāru ļauj atgūt astoņus</w:t>
            </w:r>
            <w:r>
              <w:rPr>
                <w:b/>
                <w:i/>
                <w:vertAlign w:val="superscript"/>
              </w:rPr>
              <w:t>6a</w:t>
            </w:r>
            <w:r>
              <w:rPr>
                <w:b/>
                <w:i/>
              </w:rPr>
              <w:t>;</w:t>
            </w:r>
            <w:r>
              <w:rPr>
                <w:b/>
                <w:i/>
              </w:rPr>
              <w:t xml:space="preserve"> tā kā pašreizējā ES globālā veselības stratēģija, ko Komisija pieņēma 2022. gadā, nosaka, ka globālā veselība ir būtisks ES ārpolitikas pīlārs un “Global Gateway” investīciju prioritāte;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Baltais nams, “Reevualuation and Realigning United States Foreign Aid” , 2025. gada 20. janvāris.</w:t>
            </w:r>
          </w:p>
        </w:tc>
        <w:tc>
          <w:tcPr>
            <w:tcW w:w="4876" w:type="dxa"/>
            <w:tcBorders>
              <w:top w:val="nil"/>
              <w:left w:val="nil"/>
              <w:bottom w:val="nil"/>
              <w:right w:val="nil"/>
            </w:tcBorders>
          </w:tcPr>
          <w:p>
            <w:pPr>
              <w:pStyle w:val="Normal6a"/>
            </w:pPr>
            <w:r>
              <w:rPr>
                <w:vertAlign w:val="superscript"/>
              </w:rPr>
              <w:t>6</w:t>
            </w:r>
            <w:r>
              <w:t xml:space="preserve"> </w:t>
            </w:r>
            <w:r>
              <w:t>Baltais nams, “Reevualuation and Realigning United States Foreign Aid” , 2025. gada 20. janvāris.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https://www.unwomen.org/en/articles/facts-and-figures/facts-and-figures-humanitarian-action.</w:t>
            </w:r>
          </w:p>
        </w:tc>
      </w:tr>
    </w:tbl>
    <w:p>
      <w:r>
        <w:rPr>
          <w:rStyle w:val="HideTWBExt"/>
        </w:rPr>
        <w:t>&lt;/Amend&gt;</w:t>
      </w:r>
    </w:p>
    <w:p>
      <w:pPr>
        <w:pStyle w:val="AmNumberTabs"/>
      </w:pPr>
      <w:r>
        <w:rPr>
          <w:rStyle w:val="HideTWBExt"/>
        </w:rPr>
        <w:t>&lt;Amend&gt;</w:t>
      </w:r>
      <w:r>
        <w:t>Grozījums Nr.</w:t>
      </w:r>
      <w:r>
        <w:tab/>
      </w:r>
      <w:r>
        <w:tab/>
      </w:r>
      <w:r>
        <w:rPr>
          <w:rStyle w:val="HideTWBExt"/>
        </w:rPr>
        <w:t>&lt;NumAm&gt;</w:t>
      </w:r>
      <w:r>
        <w:t>14</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Ba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 xml:space="preserve">tā kā ES un starptautiskā līmenī pastāv visaptverošas sistēmas humānās palīdzības sniegšanai; tā kā, neraugoties uz to, ka ir ieviesta dzimumvērīga humānā palīdzība, joprojām pastāv daudzas problēmas attiecībā uz prioritāšu noteikšanu un šīm problēmā ir tendence palielināties; </w:t>
            </w:r>
            <w:r>
              <w:t>tā kā ar polikrīzi saprot sarežģītu vienlaicīgi un savstarpēji saistītu pastāvošu krīžu kopumu</w:t>
            </w:r>
            <w:r>
              <w:rPr>
                <w:vertAlign w:val="superscript"/>
              </w:rPr>
              <w:t>1a</w:t>
            </w:r>
            <w:r>
              <w:t>;</w:t>
            </w:r>
            <w:r>
              <w:rPr>
                <w:b/>
                <w:i/>
              </w:rPr>
              <w:t xml:space="preserve"> tā kā sievietes, meitenes un LGBTIQ+ personas visā pasaulē un noteiktās situācijās migrantus un bēgļus nesamērīgi skar nabadzība, humanitārās krīzes, klimata pārmaiņas, konflikti, kari, ekstrēmisms, terorisms un ar konfliktiem saistīta seksuāla vardarbība, tostarp izvarošana kā kara ierocis, seksuālā izmantošana, seksuāli transmisīvās slimības, nevēlama grūtniecība un ierobežota piekļuve kritiski svarīgiem resursiem, piemēram, drošai pajumtei, uzturam un ūdenim, un šiem cilvēkiem ir lielāka iespēja saskarties ar citiem cilvēktiesību pārkāpumiem, kas saskaņā ar dažu NVO ziņojumiem tiek izdarīti nesodīti; tā kā sieviešu dzimumorgānu kropļošanas prakses turpināšanās joprojām rada nopietnas bažas, jo īpaši polikrīzes kontekstā, jo tā saasina sieviešu un meiteņu neaizsargātību un prasa nelokāmu solidaritāti ar cietušajiem; tā kā polikrīzes laikā ir svarīgi sniegt mērķtiecīgu humāno palīdzību sievietēm un meitenēm, lai aizsargātu viņas un nodrošinātu viņu izdzīvošanu, tostarp aizsargājot viņas pret dzimumbalstītu vardarbību, vispārēji mazinot riskus un nodrošinot piekļuvi veselības aprūpes pakalpojumiem, iztikas atbalstu un līdzdalību sabiedriskajā dzīvē un lēmumu pieņemšanā;</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https://policy-lab.ec.europa.eu/news/unraveling-polycrisis-foresight-and-innovation-2025-03-26_en.</w:t>
            </w:r>
          </w:p>
        </w:tc>
      </w:tr>
    </w:tbl>
    <w:p>
      <w:r>
        <w:rPr>
          <w:rStyle w:val="HideTWBExt"/>
        </w:rPr>
        <w:t>&lt;/Amend&gt;</w:t>
      </w:r>
    </w:p>
    <w:p>
      <w:pPr>
        <w:pStyle w:val="AmNumberTabs"/>
      </w:pPr>
      <w:r>
        <w:rPr>
          <w:rStyle w:val="HideTWBExt"/>
        </w:rPr>
        <w:t>&lt;Amend&gt;</w:t>
      </w:r>
      <w:r>
        <w:t>Grozījums Nr.</w:t>
      </w:r>
      <w:r>
        <w:tab/>
      </w:r>
      <w:r>
        <w:tab/>
      </w:r>
      <w:r>
        <w:rPr>
          <w:rStyle w:val="HideTWBExt"/>
        </w:rPr>
        <w:t>&lt;NumAm&gt;</w:t>
      </w:r>
      <w:r>
        <w:t>15</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Bb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 xml:space="preserve">tā kā ārvalstu palīdzības un humānās palīdzības samazinājumi postoši ietekmē cilvēku veselību visā pasaulē, dzimumu līdztiesību un cilvēktiesības; tā kā tas vissmagāk skar vietējās un valstu līmeņa sieviešu un sieviešu tiesību organizācijas, jo tās ir galvenie dalībnieki krīzes situācijās un saskaras ar represijām, vardarbību un aizvien lielākiem ierobežojumiem daudzās pasaules daļās; tā kā tajā pašā laikā šī līdzekļu samazināšana nesamērīgi ietekmē sievietes, meitenes, personas ar invaliditāti un lauku un attālos apvidos dzīvojošos, vēl vairāk saasinot pastāvošo nevienlīdzību un kavējot viņu piekļuvi veselības aprūpes pakalpojumiem, drošai pajumtei un pamata infrastruktūrai; tā kā līdzekļu samazināšana galvenokārt ir vērsta pret projektiem, kas saistīti ar seksuālo veselību, nesamērīgi ietekmējot marginalizētas grupas, jo īpaši sievietes un meitenes, un tādējādi cita starpā palielina infekcijas slimību uzliesmojumu risku, jo īpaši jaunas globālas HIV krīzes risku; tā kā Mexico City Policy (Global Gag Rule) atjaunošana ASV ievērojami kaitēs seksuālajai un reproduktīvajai veselībai un tiesībām visā pasaulē, ietekmējot miljoniem cilvēku, jo īpaši tos, kas atrodas marginalizētās situācijās; </w:t>
            </w:r>
            <w:r>
              <w:t>tā kā iepriekšējais “Global Gag Rule” (2017.–2021. gads) izraisīja aptuveni 108 000 māšu un bērnu nāves gadījumu un 360 000 jaunu HIV infekciju</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https://www.pnas.org/doi/full/10.1073/pnas.2123177119.</w:t>
            </w:r>
          </w:p>
        </w:tc>
      </w:tr>
    </w:tbl>
    <w:p>
      <w:r>
        <w:rPr>
          <w:rStyle w:val="HideTWBExt"/>
        </w:rPr>
        <w:t>&lt;/Amend&gt;</w:t>
      </w:r>
    </w:p>
    <w:p>
      <w:pPr>
        <w:pStyle w:val="AmNumberTabs"/>
      </w:pPr>
      <w:r>
        <w:rPr>
          <w:rStyle w:val="HideTWBExt"/>
        </w:rPr>
        <w:t>&lt;Amend&gt;</w:t>
      </w:r>
      <w:r>
        <w:t>Grozījums Nr.</w:t>
      </w:r>
      <w:r>
        <w:tab/>
      </w:r>
      <w:r>
        <w:tab/>
      </w:r>
      <w:r>
        <w:rPr>
          <w:rStyle w:val="HideTWBExt"/>
        </w:rPr>
        <w:t>&lt;NumAm&gt;</w:t>
      </w:r>
      <w:r>
        <w:t>16</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Bc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tā kā vardarbība pret sievietēm visās tās izpausmēs (fiziskā, seksuālā, psiholoģiskā un ekonomiskā vardarbība vai kibervardarbība) ir cilvēktiesību pārkāpums, galējs sieviešu diskriminācijas veids un viens no galvenajiem šķēršļiem dzimumu līdztiesības sasniegšanā;</w:t>
            </w:r>
          </w:p>
        </w:tc>
      </w:tr>
    </w:tbl>
    <w:p>
      <w:r>
        <w:rPr>
          <w:rStyle w:val="HideTWBExt"/>
        </w:rPr>
        <w:t>&lt;/Amend&gt;</w:t>
      </w:r>
    </w:p>
    <w:p>
      <w:pPr>
        <w:pStyle w:val="AmNumberTabs"/>
      </w:pPr>
      <w:r>
        <w:rPr>
          <w:rStyle w:val="HideTWBExt"/>
        </w:rPr>
        <w:t>&lt;Amend&gt;</w:t>
      </w:r>
      <w:r>
        <w:t>Grozījums Nr.</w:t>
      </w:r>
      <w:r>
        <w:tab/>
      </w:r>
      <w:r>
        <w:tab/>
      </w:r>
      <w:r>
        <w:rPr>
          <w:rStyle w:val="HideTWBExt"/>
        </w:rPr>
        <w:t>&lt;NumAm&gt;</w:t>
      </w:r>
      <w:r>
        <w:t>17</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Bd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tā kā sievietes un LGBTIQ+ personas, kuras saskaras ar daudzējādiem diskriminācijas veidiem, kas pārklājas, savas rases, invaliditātes, migrācijas statusa, dzimumidentitātes, seksuālās orientācijas vai sociālekonomiskās izcelsmes dēļ, bieži vien netiek pamanītas humānās palīdzības pasākumos un ir vairāk pakļautas vardarbībai un atstumtībai;</w:t>
            </w:r>
          </w:p>
        </w:tc>
      </w:tr>
    </w:tbl>
    <w:p>
      <w:r>
        <w:rPr>
          <w:rStyle w:val="HideTWBExt"/>
        </w:rPr>
        <w:t>&lt;/Amend&gt;</w:t>
      </w:r>
    </w:p>
    <w:p>
      <w:pPr>
        <w:pStyle w:val="AmNumberTabs"/>
      </w:pPr>
      <w:r>
        <w:rPr>
          <w:rStyle w:val="HideTWBExt"/>
        </w:rPr>
        <w:t>&lt;Amend&gt;</w:t>
      </w:r>
      <w:r>
        <w:t>Grozījums Nr.</w:t>
      </w:r>
      <w:r>
        <w:tab/>
      </w:r>
      <w:r>
        <w:tab/>
      </w:r>
      <w:r>
        <w:rPr>
          <w:rStyle w:val="HideTWBExt"/>
        </w:rPr>
        <w:t>&lt;NumAm&gt;</w:t>
      </w:r>
      <w:r>
        <w:t>18</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Be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tā kā pret dzimumu līdztiesību vērstas kustības arvien vairāk izmanto humanitārās krīzes, lai vērstos pret dzimumu līdztiesību un deleģitimizētu sieviešu organizācijas, turklāt tas notiek arī ES partnervalstīs;</w:t>
            </w:r>
          </w:p>
        </w:tc>
      </w:tr>
    </w:tbl>
    <w:p>
      <w:r>
        <w:rPr>
          <w:rStyle w:val="HideTWBExt"/>
        </w:rPr>
        <w:t>&lt;/Amend&gt;</w:t>
      </w:r>
    </w:p>
    <w:p>
      <w:pPr>
        <w:pStyle w:val="AmNumberTabs"/>
      </w:pPr>
      <w:r>
        <w:rPr>
          <w:rStyle w:val="HideTWBExt"/>
        </w:rPr>
        <w:t>&lt;Amend&gt;</w:t>
      </w:r>
      <w:r>
        <w:t>Grozījums Nr.</w:t>
      </w:r>
      <w:r>
        <w:tab/>
      </w:r>
      <w:r>
        <w:tab/>
      </w:r>
      <w:r>
        <w:rPr>
          <w:rStyle w:val="HideTWBExt"/>
        </w:rPr>
        <w:t>&lt;NumAm&gt;</w:t>
      </w:r>
      <w:r>
        <w:t>19</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Bf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Bf.</w:t>
            </w:r>
            <w:r>
              <w:tab/>
            </w:r>
            <w:r>
              <w:rPr>
                <w:b/>
                <w:i/>
              </w:rPr>
              <w:t>tā kā saskaņā ar ANO datiem 2023. gadā vairāk nekā 600 miljoni sieviešu un meiteņu dzīvoja 50 kilometru attālumā no konflikta zonas, kas ir par vairāk nekā 50 % vairāk nekā pirms desmit gadiem;</w:t>
            </w:r>
          </w:p>
        </w:tc>
      </w:tr>
    </w:tbl>
    <w:p>
      <w:r>
        <w:rPr>
          <w:rStyle w:val="HideTWBExt"/>
        </w:rPr>
        <w:t>&lt;/Amend&gt;</w:t>
      </w:r>
    </w:p>
    <w:p>
      <w:pPr>
        <w:pStyle w:val="AmNumberTabs"/>
      </w:pPr>
      <w:r>
        <w:rPr>
          <w:rStyle w:val="HideTWBExt"/>
        </w:rPr>
        <w:t>&lt;Amend&gt;</w:t>
      </w:r>
      <w:r>
        <w:t>Grozījums Nr.</w:t>
      </w:r>
      <w:r>
        <w:tab/>
      </w:r>
      <w:r>
        <w:tab/>
      </w:r>
      <w:r>
        <w:rPr>
          <w:rStyle w:val="HideTWBExt"/>
        </w:rPr>
        <w:t>&lt;NumAm&gt;</w:t>
      </w:r>
      <w:r>
        <w:t>20</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Bg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Bg.</w:t>
            </w:r>
            <w:r>
              <w:tab/>
            </w:r>
            <w:r>
              <w:rPr>
                <w:b/>
                <w:i/>
              </w:rPr>
              <w:t>tā kā fiziska nepieejamība, tostarp droša transporta un infrastruktūras trūkums, ievērojami ierobežo sieviešu un meiteņu spēju piekļūt humānajai palīdzībai, veselības aprūpei un aizsardzībai;</w:t>
            </w:r>
          </w:p>
        </w:tc>
      </w:tr>
    </w:tbl>
    <w:p>
      <w:r>
        <w:rPr>
          <w:rStyle w:val="HideTWBExt"/>
        </w:rPr>
        <w:t>&lt;/Amend&gt;</w:t>
      </w:r>
    </w:p>
    <w:p>
      <w:pPr>
        <w:pStyle w:val="AmNumberTabs"/>
      </w:pPr>
      <w:r>
        <w:rPr>
          <w:rStyle w:val="HideTWBExt"/>
        </w:rPr>
        <w:t>&lt;Amend&gt;</w:t>
      </w:r>
      <w:r>
        <w:t>Grozījums Nr.</w:t>
      </w:r>
      <w:r>
        <w:tab/>
      </w:r>
      <w:r>
        <w:tab/>
      </w:r>
      <w:r>
        <w:rPr>
          <w:rStyle w:val="HideTWBExt"/>
        </w:rPr>
        <w:t>&lt;NumAm&gt;</w:t>
      </w:r>
      <w:r>
        <w:t>21</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tā kā konflikti un klimata pārmaiņas ir divi galvenie faktori, kas ir iemesls humanitāro vajadzību apmēra pieaugumam, abus ir izraisījusi cilvēka darbība un </w:t>
            </w:r>
            <w:r>
              <w:rPr>
                <w:b/>
                <w:i/>
              </w:rPr>
              <w:t>situāciju iespējams vērst par labu ar kolektīvu rīcību</w:t>
            </w:r>
            <w:r>
              <w:t>; tā kā klimata pārmaiņas un vides degradācija izraisa lielāku nestabilitāti un konfliktus, ar klimatu saistītus apdraudējumus, dabas katastrofas, resursu trūkumu, tostarp ūdens un pārtikas trūkumu, cilvēku pārvietošanu iekšzemē un piespiedu migrāciju;</w:t>
            </w:r>
          </w:p>
        </w:tc>
        <w:tc>
          <w:tcPr>
            <w:tcW w:w="4876" w:type="dxa"/>
            <w:tcBorders>
              <w:top w:val="nil"/>
              <w:left w:val="nil"/>
              <w:bottom w:val="nil"/>
              <w:right w:val="nil"/>
            </w:tcBorders>
          </w:tcPr>
          <w:p>
            <w:pPr>
              <w:pStyle w:val="Normal6a"/>
            </w:pPr>
            <w:r>
              <w:t>C.</w:t>
            </w:r>
            <w:r>
              <w:tab/>
            </w:r>
            <w:r>
              <w:t xml:space="preserve">tā kā konflikti un klimata pārmaiņas ir divi galvenie faktori, kas ir iemesls humanitāro vajadzību apmēra pieaugumam, abus ir izraisījusi </w:t>
            </w:r>
            <w:r>
              <w:rPr>
                <w:b/>
                <w:i/>
              </w:rPr>
              <w:t>apzināta un kolektīva</w:t>
            </w:r>
            <w:r>
              <w:t xml:space="preserve"> cilvēka darbība un </w:t>
            </w:r>
            <w:r>
              <w:rPr>
                <w:b/>
                <w:i/>
              </w:rPr>
              <w:t>tas visvairāk skar nabadzīgākās valstis un sabiedrības</w:t>
            </w:r>
            <w:r>
              <w:t>; tā kā klimata pārmaiņas</w:t>
            </w:r>
            <w:r>
              <w:rPr>
                <w:b/>
                <w:i/>
              </w:rPr>
              <w:t>, bioloģiskās daudzveidības izzušana</w:t>
            </w:r>
            <w:r>
              <w:t xml:space="preserve"> un vides degradācija izraisa lielāku nestabilitāti un konfliktus, ar klimatu saistītus apdraudējumus, dabas katastrofas, resursu trūkumu, tostarp ūdens un pārtikas trūkumu, cilvēku pārvietošanu iekšzemē un piespiedu migrāciju</w:t>
            </w:r>
            <w:r>
              <w:rPr>
                <w:b/>
                <w:i/>
              </w:rPr>
              <w:t>, kas visvairāk ietekmē sievietes un neaizsargātos sabiedrības locekļus</w:t>
            </w:r>
            <w:r>
              <w:t>;</w:t>
            </w:r>
          </w:p>
        </w:tc>
      </w:tr>
    </w:tbl>
    <w:p>
      <w:r>
        <w:rPr>
          <w:rStyle w:val="HideTWBExt"/>
        </w:rPr>
        <w:t>&lt;/Amend&gt;</w:t>
      </w:r>
    </w:p>
    <w:p>
      <w:pPr>
        <w:pStyle w:val="AmNumberTabs"/>
      </w:pPr>
      <w:r>
        <w:rPr>
          <w:rStyle w:val="HideTWBExt"/>
        </w:rPr>
        <w:t>&lt;Amend&gt;</w:t>
      </w:r>
      <w:r>
        <w:t>Grozījums Nr.</w:t>
      </w:r>
      <w:r>
        <w:tab/>
      </w:r>
      <w:r>
        <w:tab/>
      </w:r>
      <w:r>
        <w:rPr>
          <w:rStyle w:val="HideTWBExt"/>
        </w:rPr>
        <w:t>&lt;NumAm&gt;</w:t>
      </w:r>
      <w:r>
        <w:t>22</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Ca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tā kā humanitārā situācija Sudānā nav tikai katastrofa tās iedzīvotājiem, tā ir arī globāla bezdarbība un pārskatatbildības un humānās palīdzības izgāšanās, no kā šai traģēdijā vissmagāk cieš sievietes un meitenes;</w:t>
            </w:r>
          </w:p>
        </w:tc>
      </w:tr>
    </w:tbl>
    <w:p>
      <w:r>
        <w:rPr>
          <w:rStyle w:val="HideTWBExt"/>
        </w:rPr>
        <w:t>&lt;/Amend&gt;</w:t>
      </w:r>
    </w:p>
    <w:p>
      <w:pPr>
        <w:pStyle w:val="AmNumberTabs"/>
      </w:pPr>
      <w:r>
        <w:rPr>
          <w:rStyle w:val="HideTWBExt"/>
        </w:rPr>
        <w:t>&lt;Amend&gt;</w:t>
      </w:r>
      <w:r>
        <w:t>Grozījums Nr.</w:t>
      </w:r>
      <w:r>
        <w:tab/>
      </w:r>
      <w:r>
        <w:tab/>
      </w:r>
      <w:r>
        <w:rPr>
          <w:rStyle w:val="HideTWBExt"/>
        </w:rPr>
        <w:t>&lt;NumAm&gt;</w:t>
      </w:r>
      <w:r>
        <w:t>23</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tā kā satraucošā kārtā </w:t>
            </w:r>
            <w:r>
              <w:rPr>
                <w:b/>
                <w:i/>
              </w:rPr>
              <w:t>daudzās situācijās</w:t>
            </w:r>
            <w:r>
              <w:t xml:space="preserve"> humānajai palīdzībai </w:t>
            </w:r>
            <w:r>
              <w:rPr>
                <w:b/>
                <w:i/>
              </w:rPr>
              <w:t>nav iespējams piekļūt un šo situāciju vēl vairāk pasliktina tas, ka arvien biežāk var novērot bīstamas</w:t>
            </w:r>
            <w:r>
              <w:t xml:space="preserve"> un </w:t>
            </w:r>
            <w:r>
              <w:rPr>
                <w:b/>
                <w:i/>
              </w:rPr>
              <w:t>kaitnieciskas tendences</w:t>
            </w:r>
            <w:r>
              <w:t xml:space="preserve"> starptautisko humanitāro tiesību (SHT) </w:t>
            </w:r>
            <w:r>
              <w:rPr>
                <w:b/>
                <w:i/>
              </w:rPr>
              <w:t>interpretēšanā</w:t>
            </w:r>
            <w:r>
              <w:t xml:space="preserve"> un piemērošanā,</w:t>
            </w:r>
          </w:p>
        </w:tc>
        <w:tc>
          <w:tcPr>
            <w:tcW w:w="4876" w:type="dxa"/>
            <w:tcBorders>
              <w:top w:val="nil"/>
              <w:left w:val="nil"/>
              <w:bottom w:val="nil"/>
              <w:right w:val="nil"/>
            </w:tcBorders>
          </w:tcPr>
          <w:p>
            <w:pPr>
              <w:pStyle w:val="Normal6a"/>
            </w:pPr>
            <w:r>
              <w:t>D.</w:t>
            </w:r>
            <w:r>
              <w:tab/>
            </w:r>
            <w:r>
              <w:t xml:space="preserve">tā kā satraucošā kārtā </w:t>
            </w:r>
            <w:r>
              <w:rPr>
                <w:b/>
                <w:i/>
              </w:rPr>
              <w:t>trūkst piekļuves</w:t>
            </w:r>
            <w:r>
              <w:t xml:space="preserve"> humānajai palīdzībai </w:t>
            </w:r>
            <w:r>
              <w:rPr>
                <w:b/>
                <w:i/>
              </w:rPr>
              <w:t>tiem, kam tā vajadzīga, tostarp konfliktu, dabas katastrofu, klimatisko apstākļu un slimību uzliesmojumu situācijās un migrantu maršrutos, ko pastiprina bīstamu</w:t>
            </w:r>
            <w:r>
              <w:t xml:space="preserve"> un </w:t>
            </w:r>
            <w:r>
              <w:rPr>
                <w:b/>
                <w:i/>
              </w:rPr>
              <w:t>kaitniecisku tendenču pieaugums</w:t>
            </w:r>
            <w:r>
              <w:t xml:space="preserve"> starptautisko </w:t>
            </w:r>
            <w:r>
              <w:rPr>
                <w:b/>
                <w:i/>
              </w:rPr>
              <w:t>cilvēktiesību (IHRL),</w:t>
            </w:r>
            <w:r>
              <w:t xml:space="preserve"> humanitāro tiesību (SHT) </w:t>
            </w:r>
            <w:r>
              <w:rPr>
                <w:b/>
                <w:i/>
              </w:rPr>
              <w:t>un humanitāro principu interpretācijā</w:t>
            </w:r>
            <w:r>
              <w:t xml:space="preserve"> un piemērošanā</w:t>
            </w:r>
            <w:r>
              <w:rPr>
                <w:b/>
                <w:i/>
              </w:rPr>
              <w:t>;</w:t>
            </w:r>
            <w:r>
              <w:rPr>
                <w:b/>
                <w:i/>
              </w:rPr>
              <w:t xml:space="preserve"> tā kā tiesību jomā strādājošie ANO darbinieki ir norādījuši uz starptautiskās sabiedrības bezdarbību; tā kā krīžu un konfliktu situācijās notiek vēl nepieredzēts skaits uzbrukumu humānās palīdzības darbiniekiem, civiliedzīvotājiem un civilajai infrastruktūrai; </w:t>
            </w:r>
            <w:r>
              <w:rPr>
                <w:b/>
                <w:i/>
              </w:rPr>
              <w:t>tā kā sievietes, meitenes, LGBTIQ+ personas, migrantus un bēgļus nesamērīgi skar daudzas humanitārās krīzes visā pasaulē</w:t>
            </w:r>
            <w:r>
              <w:rPr>
                <w:b/>
                <w:i/>
                <w:vertAlign w:val="superscript"/>
              </w:rPr>
              <w:t>1a</w:t>
            </w:r>
            <w:r>
              <w:rPr>
                <w:b/>
                <w:i/>
              </w:rPr>
              <w:t>, tostarp pasaulē lielākā humanitārā, pārvietošanas un bada krīze Sudānā, notiekošais konflikts un pārvietošana Gazā, zemestrīces sekas Mjanmā, holeras uzliesmojumi Kongo Demokrātiskajā Republikā, smags pārtikas un ūdens trūkums Āfrikas ragā, ieilgušie konflikti Sīrijā un Jemenā un bēgļu krīze Dienvidsudānā;</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https://www.oxfam.org.uk/documents/715/Rights_Resilience_Response.pdf.</w:t>
            </w:r>
          </w:p>
        </w:tc>
      </w:tr>
    </w:tbl>
    <w:p>
      <w:r>
        <w:rPr>
          <w:rStyle w:val="HideTWBExt"/>
        </w:rPr>
        <w:t>&lt;/Amend&gt;</w:t>
      </w:r>
    </w:p>
    <w:p>
      <w:pPr>
        <w:pStyle w:val="AmNumberTabs"/>
      </w:pPr>
      <w:r>
        <w:rPr>
          <w:rStyle w:val="HideTWBExt"/>
        </w:rPr>
        <w:t>&lt;Amend&gt;</w:t>
      </w:r>
      <w:r>
        <w:t>Grozījums Nr.</w:t>
      </w:r>
      <w:r>
        <w:tab/>
      </w:r>
      <w:r>
        <w:tab/>
      </w:r>
      <w:r>
        <w:rPr>
          <w:rStyle w:val="HideTWBExt"/>
        </w:rPr>
        <w:t>&lt;NumAm&gt;</w:t>
      </w:r>
      <w:r>
        <w:t>24</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Da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tā kā vairāk nekā 18 % afgāņu sieviešu un meiteņu nav pieejamas vai tām ir tikai ierobežota piekļuve palīdzības sniedzējām; tā kā tikai sievietēm, kas sniedz palīdzību, ir atļauts sarunāties ar sievietēm un meitenēm, lai novērtētu viņu vajadzības un sniegtu palīdzību;</w:t>
            </w:r>
          </w:p>
        </w:tc>
      </w:tr>
    </w:tbl>
    <w:p>
      <w:r>
        <w:rPr>
          <w:rStyle w:val="HideTWBExt"/>
        </w:rPr>
        <w:t>&lt;/Amend&gt;</w:t>
      </w:r>
    </w:p>
    <w:p>
      <w:pPr>
        <w:pStyle w:val="AmNumberTabs"/>
      </w:pPr>
      <w:r>
        <w:rPr>
          <w:rStyle w:val="HideTWBExt"/>
        </w:rPr>
        <w:t>&lt;Amend&gt;</w:t>
      </w:r>
      <w:r>
        <w:t>Grozījums Nr.</w:t>
      </w:r>
      <w:r>
        <w:tab/>
      </w:r>
      <w:r>
        <w:tab/>
      </w:r>
      <w:r>
        <w:rPr>
          <w:rStyle w:val="HideTWBExt"/>
        </w:rPr>
        <w:t>&lt;NumAm&gt;</w:t>
      </w:r>
      <w:r>
        <w:t>25</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Db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tā kā ES humānajai palīdzībai arī turpmāk vajadzētu būt dzimumsensitīvai, pielāgotai vecumposmiem un tādai, kas ņem vērā dzimumu un vecumu un visu cilvēku īpašās vajadzības, neaizsargātību un spējas;</w:t>
            </w:r>
          </w:p>
        </w:tc>
      </w:tr>
    </w:tbl>
    <w:p>
      <w:r>
        <w:rPr>
          <w:rStyle w:val="HideTWBExt"/>
        </w:rPr>
        <w:t>&lt;/Amend&gt;</w:t>
      </w:r>
    </w:p>
    <w:p>
      <w:pPr>
        <w:pStyle w:val="AmNumberTabs"/>
      </w:pPr>
      <w:r>
        <w:rPr>
          <w:rStyle w:val="HideTWBExt"/>
        </w:rPr>
        <w:t>&lt;Amend&gt;</w:t>
      </w:r>
      <w:r>
        <w:t>Grozījums Nr.</w:t>
      </w:r>
      <w:r>
        <w:tab/>
      </w:r>
      <w:r>
        <w:tab/>
      </w:r>
      <w:r>
        <w:rPr>
          <w:rStyle w:val="HideTWBExt"/>
        </w:rPr>
        <w:t>&lt;NumAm&gt;</w:t>
      </w:r>
      <w:r>
        <w:t>26</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 uzstāj, ka visām kādā konfliktā iesaistītajām pusēm ir jāievēro SHT un starptautiskās cilvēktiesības un jānodrošina to ievērošana; uzstāj, ka ir jāpalielina humanitāro principu nozīme ES ārējā darbībā;</w:t>
            </w:r>
          </w:p>
        </w:tc>
        <w:tc>
          <w:tcPr>
            <w:tcW w:w="4876" w:type="dxa"/>
            <w:tcBorders>
              <w:top w:val="nil"/>
              <w:left w:val="nil"/>
              <w:bottom w:val="nil"/>
              <w:right w:val="nil"/>
            </w:tcBorders>
          </w:tcPr>
          <w:p>
            <w:pPr>
              <w:pStyle w:val="Normal6a"/>
            </w:pPr>
            <w:r>
              <w:t xml:space="preserve">1. uzstāj, ka visām kādā konfliktā iesaistītajām pusēm ir jāievēro SHT un starptautiskās cilvēktiesības un jānodrošina to ievērošana; </w:t>
            </w:r>
            <w:r>
              <w:rPr>
                <w:b/>
                <w:i/>
              </w:rPr>
              <w:t xml:space="preserve">norāda, ka izvarošana un citi seksuālās vardarbības veidi tiek izmantoti kā kara ieroči un ir klasificējami kā kara noziegumi, noziegumi pret cilvēci un darbības, kas veicina genocīdu; uzsver sieviešu tiesību organizāciju lomu tiesu iestāžu un atbalsta pakalpojumu pieejamības nodrošināšanā cietušajiem; </w:t>
            </w:r>
            <w:r>
              <w:t xml:space="preserve">uzstāj, ka ir </w:t>
            </w:r>
            <w:r>
              <w:t>nopietni</w:t>
            </w:r>
            <w:r>
              <w:t xml:space="preserve"> jāpalielina humanitāro principu nozīme ES ārējā darbībā;</w:t>
            </w:r>
            <w:r>
              <w:br/>
            </w:r>
          </w:p>
        </w:tc>
      </w:tr>
    </w:tbl>
    <w:p>
      <w:r>
        <w:rPr>
          <w:rStyle w:val="HideTWBExt"/>
        </w:rPr>
        <w:t>&lt;/Amend&gt;</w:t>
      </w:r>
    </w:p>
    <w:p>
      <w:pPr>
        <w:pStyle w:val="AmNumberTabs"/>
      </w:pPr>
      <w:r>
        <w:rPr>
          <w:rStyle w:val="HideTWBExt"/>
        </w:rPr>
        <w:t>&lt;Amend&gt;</w:t>
      </w:r>
      <w:r>
        <w:t>Grozījums Nr.</w:t>
      </w:r>
      <w:r>
        <w:tab/>
      </w:r>
      <w:r>
        <w:tab/>
      </w:r>
      <w:r>
        <w:rPr>
          <w:rStyle w:val="HideTWBExt"/>
        </w:rPr>
        <w:t>&lt;NumAm&gt;</w:t>
      </w:r>
      <w:r>
        <w:t>27</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atgādina, ka ES ir uz vērtībām balstīta Savienība, kurā dzimumu līdztiesība ir viens no tās pamatprincipiem, kā noteikts LES 2. pantā; turklāt uzsver, ka LESD 8. pantā ir noteikts ES pienākums veicināt dzimumu līdztiesību visās tās darbībās;</w:t>
            </w:r>
          </w:p>
        </w:tc>
      </w:tr>
    </w:tbl>
    <w:p>
      <w:r>
        <w:rPr>
          <w:rStyle w:val="HideTWBExt"/>
        </w:rPr>
        <w:t>&lt;/Amend&gt;</w:t>
      </w:r>
    </w:p>
    <w:p>
      <w:pPr>
        <w:pStyle w:val="AmNumberTabs"/>
      </w:pPr>
      <w:r>
        <w:rPr>
          <w:rStyle w:val="HideTWBExt"/>
        </w:rPr>
        <w:t>&lt;Amend&gt;</w:t>
      </w:r>
      <w:r>
        <w:t>Grozījums Nr.</w:t>
      </w:r>
      <w:r>
        <w:tab/>
      </w:r>
      <w:r>
        <w:tab/>
      </w:r>
      <w:r>
        <w:rPr>
          <w:rStyle w:val="HideTWBExt"/>
        </w:rPr>
        <w:t>&lt;NumAm&gt;</w:t>
      </w:r>
      <w:r>
        <w:t>28</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uzsver, ka ir svarīgi veicināt seksuālās un reproduktīvās veselības pieejamību un tiesības visā pasaulē un ES apņemties nodrošināt piekļuvi reproduktīvās un mātes veselības aprūpes pakalpojumiem, tostarp ārkārtas kontracepcijai, pēcekspozīcijas profilaksei, seksuāli transmisīvo infekciju ārstēšanai un drošu un legālu abortu pieejamībai ikvienai, tostarp izvarošanas pārdzīvojušajām, kā daļu no viņu aizsargātajām tiesībām uz pamata medicīnisko aprūpi un viņu taisnīgu integrāciju primārās un sekundārās veselības aprūpes sistēmās, kā arī izvarošanas seku klīnisko pārvaldību sievietēm un meitenēm, ko skārušas humanitārās krīzes, un citām neaizsargātām iedzīvotāju grupām, tostarp personām, kuras saskaras ar intersekcionālu diskrimināciju; mudina ES un tās humānās palīdzības partnerus minimālā sākotnējā pakalpojumu paketē (MISP) iekļaut un efektīvi sniegt droša aborta pakalpojumus;</w:t>
            </w:r>
          </w:p>
        </w:tc>
      </w:tr>
    </w:tbl>
    <w:p>
      <w:r>
        <w:rPr>
          <w:rStyle w:val="HideTWBExt"/>
        </w:rPr>
        <w:t>&lt;/Amend&gt;</w:t>
      </w:r>
    </w:p>
    <w:p>
      <w:pPr>
        <w:pStyle w:val="AmNumberTabs"/>
      </w:pPr>
      <w:r>
        <w:rPr>
          <w:rStyle w:val="HideTWBExt"/>
        </w:rPr>
        <w:t>&lt;Amend&gt;</w:t>
      </w:r>
      <w:r>
        <w:t>Grozījums Nr.</w:t>
      </w:r>
      <w:r>
        <w:tab/>
      </w:r>
      <w:r>
        <w:tab/>
      </w:r>
      <w:r>
        <w:rPr>
          <w:rStyle w:val="HideTWBExt"/>
        </w:rPr>
        <w:t>&lt;NumAm&gt;</w:t>
      </w:r>
      <w:r>
        <w:t>29</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uzsver, ka ir svarīgi nodrošināt, ka dzimumresponsīva perspektīva ir neatņemama sastāvdaļa visās ES humānās palīdzības un krīžu pārvarēšanas darbībās, tostarp ārpolitikā; atgādina par ES apņemšanos sasniegt ilgtspējīgas attīstības mērķus (IAM), īpašu uzmanību pievēršot 5. IAM par dzimumu līdztiesību un pilnvērtīgu iespēju nodrošināšanu sievietēm un meitenēm, kas ir būtiski noturīgas un iekļaujošas sabiedrības veidošanai; uzsver, ka 5. IAM sasniegšana ir būtiski svarīga, lai sasniegtu visus pārējos IAM, un tāpēc šim mērķim ir būtiska nozīme 2030. gada programmā noteikto rezultātu sasniegšanā;</w:t>
            </w:r>
          </w:p>
        </w:tc>
      </w:tr>
    </w:tbl>
    <w:p>
      <w:r>
        <w:rPr>
          <w:rStyle w:val="HideTWBExt"/>
        </w:rPr>
        <w:t>&lt;/Amend&gt;</w:t>
      </w:r>
    </w:p>
    <w:p>
      <w:pPr>
        <w:pStyle w:val="AmNumberTabs"/>
      </w:pPr>
      <w:r>
        <w:rPr>
          <w:rStyle w:val="HideTWBExt"/>
        </w:rPr>
        <w:t>&lt;Amend&gt;</w:t>
      </w:r>
      <w:r>
        <w:t>Grozījums Nr.</w:t>
      </w:r>
      <w:r>
        <w:tab/>
      </w:r>
      <w:r>
        <w:tab/>
      </w:r>
      <w:r>
        <w:rPr>
          <w:rStyle w:val="HideTWBExt"/>
        </w:rPr>
        <w:t>&lt;NumAm&gt;</w:t>
      </w:r>
      <w:r>
        <w:t>30</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pauž bažas par spēcīgo negatīvo reakciju pret dzimumu līdztiesību un starptautisko cilvēktiesību regulējumu, kura mērķis ir aizsargāt sievietes un meitenes neaizsargātās vai marginalizētās situācijās visā pasaulē, tostarp aizsargāt LGBTIQ+ personas; aicina ES un visas ES dalībvalstis pastiprināt centienus aizsargāt ES pamatvērtības un stiprināt cilvēktiesību un starptautisko tiesību ievērošanu;</w:t>
            </w:r>
          </w:p>
        </w:tc>
      </w:tr>
    </w:tbl>
    <w:p>
      <w:r>
        <w:rPr>
          <w:rStyle w:val="HideTWBExt"/>
        </w:rPr>
        <w:t>&lt;/Amend&gt;</w:t>
      </w:r>
    </w:p>
    <w:p>
      <w:pPr>
        <w:pStyle w:val="AmNumberTabs"/>
      </w:pPr>
      <w:r>
        <w:rPr>
          <w:rStyle w:val="HideTWBExt"/>
        </w:rPr>
        <w:t>&lt;Amend&gt;</w:t>
      </w:r>
      <w:r>
        <w:t>Grozījums Nr.</w:t>
      </w:r>
      <w:r>
        <w:tab/>
      </w:r>
      <w:r>
        <w:tab/>
      </w:r>
      <w:r>
        <w:rPr>
          <w:rStyle w:val="HideTWBExt"/>
        </w:rPr>
        <w:t>&lt;NumAm&gt;</w:t>
      </w:r>
      <w:r>
        <w:t>31</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1.e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norāda, ka humanitārās krīzes bieži vien saasina jau pastāvošu dzimumu nevienlīdzību un diskriminējošas sociālās normas, vēl vairāk ierobežojot sieviešu un meiteņu piekļuvi pamatpakalpojumiem, viņu tiesību pilnīgu īstenošanu un personīgo autonomiju;</w:t>
            </w:r>
          </w:p>
        </w:tc>
      </w:tr>
    </w:tbl>
    <w:p>
      <w:r>
        <w:rPr>
          <w:rStyle w:val="HideTWBExt"/>
        </w:rPr>
        <w:t>&lt;/Amend&gt;</w:t>
      </w:r>
    </w:p>
    <w:p>
      <w:pPr>
        <w:pStyle w:val="AmNumberTabs"/>
      </w:pPr>
      <w:r>
        <w:rPr>
          <w:rStyle w:val="HideTWBExt"/>
        </w:rPr>
        <w:t>&lt;Amend&gt;</w:t>
      </w:r>
      <w:r>
        <w:t>Grozījums Nr.</w:t>
      </w:r>
      <w:r>
        <w:tab/>
      </w:r>
      <w:r>
        <w:tab/>
      </w:r>
      <w:r>
        <w:rPr>
          <w:rStyle w:val="HideTWBExt"/>
        </w:rPr>
        <w:t>&lt;NumAm&gt;</w:t>
      </w:r>
      <w:r>
        <w:t>32</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1.f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1.f</w:t>
            </w:r>
            <w:r>
              <w:tab/>
            </w:r>
            <w:r>
              <w:rPr>
                <w:b/>
                <w:i/>
              </w:rPr>
              <w:t>pauž bažas par to, ka vietās, kur notiek konflikti, joprojām ir plaši izplatīti cilvēktiesību pārkāpumi un dzimumbalstīta vardarbība, savukārt prevencijas centieni novērst un atbalsts cietušajiem, kā arī garantēt piekļuvi tiesu iestādēm ir nepietiekami; pauž bažas par to, ka, sarūkot pieejamo pakalpojumu klāstam, dzimumbalstītas vardarbības problēma var tikt ignorēta vai saasināties, par ko baidās sieviešu vadītas organizācijas un sieviešu tiesību organizācijas;</w:t>
            </w:r>
          </w:p>
        </w:tc>
      </w:tr>
    </w:tbl>
    <w:p>
      <w:r>
        <w:rPr>
          <w:rStyle w:val="HideTWBExt"/>
        </w:rPr>
        <w:t>&lt;/Amend&gt;</w:t>
      </w:r>
    </w:p>
    <w:p>
      <w:pPr>
        <w:pStyle w:val="AmNumberTabs"/>
      </w:pPr>
      <w:r>
        <w:rPr>
          <w:rStyle w:val="HideTWBExt"/>
        </w:rPr>
        <w:t>&lt;Amend&gt;</w:t>
      </w:r>
      <w:r>
        <w:t>Grozījums Nr.</w:t>
      </w:r>
      <w:r>
        <w:tab/>
      </w:r>
      <w:r>
        <w:tab/>
      </w:r>
      <w:r>
        <w:rPr>
          <w:rStyle w:val="HideTWBExt"/>
        </w:rPr>
        <w:t>&lt;NumAm&gt;</w:t>
      </w:r>
      <w:r>
        <w:t>33</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1.g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1.g</w:t>
            </w:r>
            <w:r>
              <w:tab/>
            </w:r>
            <w:r>
              <w:rPr>
                <w:b/>
                <w:i/>
              </w:rPr>
              <w:t>pauž dziļas bažas par veselības aprūpes infrastruktūras iznīcināšanu un humānās palīdzības sistemātisku bloķēšanu Gazā;  aicina ES un dalībvalstis nodrošināt neierobežotu piekļuvi seksuālās un reproduktīvās veselības un mātes veselības pakalpojumiem visām sievietēm un meitenēm, kuras skāris konflikts;</w:t>
            </w:r>
          </w:p>
        </w:tc>
      </w:tr>
    </w:tbl>
    <w:p>
      <w:r>
        <w:rPr>
          <w:rStyle w:val="HideTWBExt"/>
        </w:rPr>
        <w:t>&lt;/Amend&gt;</w:t>
      </w:r>
    </w:p>
    <w:p>
      <w:pPr>
        <w:pStyle w:val="AmNumberTabs"/>
      </w:pPr>
      <w:r>
        <w:rPr>
          <w:rStyle w:val="HideTWBExt"/>
        </w:rPr>
        <w:t>&lt;Amend&gt;</w:t>
      </w:r>
      <w:r>
        <w:t>Grozījums Nr.</w:t>
      </w:r>
      <w:r>
        <w:tab/>
      </w:r>
      <w:r>
        <w:tab/>
      </w:r>
      <w:r>
        <w:rPr>
          <w:rStyle w:val="HideTWBExt"/>
        </w:rPr>
        <w:t>&lt;NumAm&gt;</w:t>
      </w:r>
      <w:r>
        <w:t>34</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pauž satraukumu par to, ka pēdējo gadu laikā notiek arvien vairāk SHT pārkāpumu — un daži no tiem saskaņā ar ziņoto informāciju tiek izmantoti kā stratēģiskas karadarbības metodes —, jo īpaši Sudānā, Gazā, Kongo Demokrātiskajā Republikā, Ukrainā un Haiti; aicina nekavējoties </w:t>
            </w:r>
            <w:r>
              <w:rPr>
                <w:b/>
                <w:i/>
              </w:rPr>
              <w:t>veikt starptautiska mēroga pasākumus</w:t>
            </w:r>
            <w:r>
              <w:t xml:space="preserve">, lai </w:t>
            </w:r>
            <w:r>
              <w:rPr>
                <w:b/>
                <w:i/>
              </w:rPr>
              <w:t>izbeigtu neciešamo humanitāro krīzi</w:t>
            </w:r>
            <w:r>
              <w:t xml:space="preserve"> Gazā, </w:t>
            </w:r>
            <w:r>
              <w:rPr>
                <w:b/>
                <w:i/>
              </w:rPr>
              <w:t>ņemot vērā Izraēlas valdības īstenoto blokādi</w:t>
            </w:r>
            <w:r>
              <w:t>;</w:t>
            </w:r>
          </w:p>
        </w:tc>
        <w:tc>
          <w:tcPr>
            <w:tcW w:w="4876" w:type="dxa"/>
            <w:tcBorders>
              <w:top w:val="nil"/>
              <w:left w:val="nil"/>
              <w:bottom w:val="nil"/>
              <w:right w:val="nil"/>
            </w:tcBorders>
          </w:tcPr>
          <w:p>
            <w:pPr>
              <w:pStyle w:val="Normal6a"/>
            </w:pPr>
            <w:r>
              <w:t>2.</w:t>
            </w:r>
            <w:r>
              <w:tab/>
            </w:r>
            <w:r>
              <w:t xml:space="preserve">pauž satraukumu par to, ka pēdējo gadu laikā notiek arvien vairāk SHT pārkāpumu — un daži no tiem saskaņā ar ziņoto informāciju tiek izmantoti kā stratēģiskas karadarbības metodes —, jo īpaši Sudānā, Gazā, Kongo Demokrātiskajā Republikā, Ukrainā un Haiti; </w:t>
            </w:r>
            <w:r>
              <w:rPr>
                <w:b/>
                <w:i/>
              </w:rPr>
              <w:t xml:space="preserve">uzsver humanitārās krīzes ārkārtējo smagumu Gazā, īpaši sievietēm, bērniem un citām neaizsargātām grupām, ko izraisījusi Izraēlas valdības ilgstošā blokāde un nemitīgie plaša mēroga uzbrukumi civiliedzīvotājiem, slimnīcām, skolām un humānās palīdzības infrastruktūrai; pauž dziļas bažas par katastrofālo humanitāro situāciju Gazas joslā, jo īpaši par pārtikas trūkumu un plaši izplatīto uztura nepietiekamību, kas īpaši skar sievietes un meitenes un ko rada ierobežota piekļuve humānajai palīdzībai; </w:t>
            </w:r>
            <w:r>
              <w:rPr>
                <w:b/>
                <w:i/>
              </w:rPr>
              <w:t>atkārtoti uzsver, ka palīdzības izplatīšanas vietas, civiliedzīvotāji, humānās palīdzības sniedzēji un veselības aprūpes personāls ir jāaizsargā un nedrīkst kļūt par militāras darbības mērķi;</w:t>
            </w:r>
            <w:r>
              <w:rPr>
                <w:b/>
                <w:i/>
              </w:rPr>
              <w:t xml:space="preserve"> </w:t>
            </w:r>
            <w:r>
              <w:rPr>
                <w:b/>
                <w:i/>
              </w:rPr>
              <w:t>uzsver, ka visām zināmajām starptautiskās humānās palīdzības struktūrām ir nepieciešama tūlītēja, ātra, droša un netraucēta piekļuve visai Gazas joslai un īpaša uzmanība ir jāpievērš tādām pamatvajadzībām kā pārtika, ūdens, medicīnas preces un pajumte, kā to prasa starptautiskās tiesības, un</w:t>
            </w:r>
            <w:r>
              <w:t xml:space="preserve"> aicina nekavējoties </w:t>
            </w:r>
            <w:r>
              <w:rPr>
                <w:b/>
                <w:i/>
              </w:rPr>
              <w:t>atjaunot vitāli svarīgo infrastruktūru;</w:t>
            </w:r>
            <w:r>
              <w:rPr>
                <w:b/>
                <w:i/>
              </w:rPr>
              <w:t xml:space="preserve"> </w:t>
            </w:r>
            <w:r>
              <w:rPr>
                <w:b/>
                <w:i/>
              </w:rPr>
              <w:t>uzsver, ka starptautiskās humanitārās tiesības prasa</w:t>
            </w:r>
            <w:r>
              <w:t xml:space="preserve">, lai </w:t>
            </w:r>
            <w:r>
              <w:rPr>
                <w:b/>
                <w:i/>
              </w:rPr>
              <w:t>konfliktā iesaistītās puses ievērotu savas saistības par humānās palīdzības sniegšanu;</w:t>
            </w:r>
            <w:r>
              <w:rPr>
                <w:b/>
                <w:i/>
              </w:rPr>
              <w:t xml:space="preserve"> uzsver, ka ES prioritāte ir skaidra, proti, tūlītējs un pastāvīgs pamiers; </w:t>
            </w:r>
            <w:r>
              <w:rPr>
                <w:b/>
                <w:i/>
              </w:rPr>
              <w:t>aicina nekavējoties un bez nosacījumiem atbrīvot visus dzīvos un atdot visus mirušos izraēliešu ķīlniekus, kuri pašlaik tiek turēti</w:t>
            </w:r>
            <w:r>
              <w:t xml:space="preserve"> Gazā</w:t>
            </w:r>
            <w:r>
              <w:rPr>
                <w:b/>
                <w:i/>
              </w:rPr>
              <w:t>;</w:t>
            </w:r>
            <w:r>
              <w:rPr>
                <w:b/>
                <w:i/>
              </w:rPr>
              <w:t xml:space="preserve"> </w:t>
            </w:r>
            <w:r>
              <w:rPr>
                <w:b/>
                <w:i/>
              </w:rPr>
              <w:t>tomēr norāda</w:t>
            </w:r>
            <w:r>
              <w:t xml:space="preserve">, </w:t>
            </w:r>
            <w:r>
              <w:rPr>
                <w:b/>
                <w:i/>
              </w:rPr>
              <w:t>ka nebeidzāmās civiliedzīvotāju nāves ir nepieņemamas un ka ir jāatļauj vitāli svarīga palīdzība, īpaši sievietēm un meitenēm paredzēta palīdzība</w:t>
            </w:r>
            <w:r>
              <w:t>;</w:t>
            </w:r>
          </w:p>
        </w:tc>
      </w:tr>
    </w:tbl>
    <w:p>
      <w:r>
        <w:rPr>
          <w:rStyle w:val="HideTWBExt"/>
        </w:rPr>
        <w:t>&lt;/Amend&gt;</w:t>
      </w:r>
    </w:p>
    <w:p>
      <w:pPr>
        <w:pStyle w:val="AmNumberTabs"/>
      </w:pPr>
      <w:r>
        <w:rPr>
          <w:rStyle w:val="HideTWBExt"/>
        </w:rPr>
        <w:t>&lt;Amend&gt;</w:t>
      </w:r>
      <w:r>
        <w:t>Grozījums Nr.</w:t>
      </w:r>
      <w:r>
        <w:tab/>
      </w:r>
      <w:r>
        <w:tab/>
      </w:r>
      <w:r>
        <w:rPr>
          <w:rStyle w:val="HideTWBExt"/>
        </w:rPr>
        <w:t>&lt;NumAm&gt;</w:t>
      </w:r>
      <w:r>
        <w:t>35</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norāda, ka pārtikas, enerģijas un mēslošanas līdzekļu cenu pieaugums, ko izraisījis karš Gazā, Krievijas agresijas karš pret Ukrainu un citi konflikti, ievērojami palielina nepieciešamību pēc humānās palīdzības; uzsver, ka sarežģītām ģeopolitiskām krīzēm ir tieša ietekme uz pirmās nepieciešamības preču pieejamību pasaules tirgos, un tas īpaši ietekmē visneaizsargātākās iedzīvotāju grupas, tostarp bērnus un sievietes;</w:t>
            </w:r>
          </w:p>
        </w:tc>
      </w:tr>
    </w:tbl>
    <w:p>
      <w:r>
        <w:rPr>
          <w:rStyle w:val="HideTWBExt"/>
        </w:rPr>
        <w:t>&lt;/Amend&gt;</w:t>
      </w:r>
    </w:p>
    <w:p>
      <w:pPr>
        <w:pStyle w:val="AmNumberTabs"/>
      </w:pPr>
      <w:r>
        <w:rPr>
          <w:rStyle w:val="HideTWBExt"/>
        </w:rPr>
        <w:t>&lt;Amend&gt;</w:t>
      </w:r>
      <w:r>
        <w:t>Grozījums Nr.</w:t>
      </w:r>
      <w:r>
        <w:tab/>
      </w:r>
      <w:r>
        <w:tab/>
      </w:r>
      <w:r>
        <w:rPr>
          <w:rStyle w:val="HideTWBExt"/>
        </w:rPr>
        <w:t>&lt;NumAm&gt;</w:t>
      </w:r>
      <w:r>
        <w:t>36</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2.b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aicina arī saglabāt un pastiprināt ES humāno palīdzību civiliedzīvotājiem, kurus skāris Krievijas agresijas karš pret Ukrainu, īpašu uzmanību pievēršot iekšzemē pārvietoto personu, bēgļu, vecāka gadagājuma cilvēku un bērnu, tostarp uz Krievijas Federāciju un okupētajām teritorijām deportēto, vajadzībām;</w:t>
            </w:r>
          </w:p>
        </w:tc>
      </w:tr>
    </w:tbl>
    <w:p>
      <w:r>
        <w:rPr>
          <w:rStyle w:val="HideTWBExt"/>
        </w:rPr>
        <w:t>&lt;/Amend&gt;</w:t>
      </w:r>
    </w:p>
    <w:p>
      <w:pPr>
        <w:pStyle w:val="AmNumberTabs"/>
      </w:pPr>
      <w:r>
        <w:rPr>
          <w:rStyle w:val="HideTWBExt"/>
        </w:rPr>
        <w:t>&lt;Amend&gt;</w:t>
      </w:r>
      <w:r>
        <w:t>Grozījums Nr.</w:t>
      </w:r>
      <w:r>
        <w:tab/>
      </w:r>
      <w:r>
        <w:tab/>
      </w:r>
      <w:r>
        <w:rPr>
          <w:rStyle w:val="HideTWBExt"/>
        </w:rPr>
        <w:t>&lt;NumAm&gt;</w:t>
      </w:r>
      <w:r>
        <w:t>37</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2.c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pauž nožēlu par starptautiskās uzmanības un rīcības trūkumu attiecībā uz krīzēm Āfrikas valstīs un citās jaunattīstības valstīs, kā rezultātā 6,7 miljoni cilvēku Sudānā ir pakļauti vardarbības riskam dzimuma dēļ; tādēļ aicina globālos dalībniekus nodrošināt labāku piekļuvi pārtikai, tīram ūdenim, medicīniskajai aprūpei un psiholoģiskajam atbalstam, jo īpaši sievietēm un bērniem; uzsver, cik svarīgi ir veicināt dzimumu līdztiesību un sieviešu tiesības visā pasaulē, jo tām ir izšķiroša nozīme cilvēktiesību īstenošanā; uzsver, ka, neraugoties uz zināmu progresu, sievietes un meitenes joprojām cieš no diskriminācijas un ar dzimumu saistītas vardarbības;</w:t>
            </w:r>
          </w:p>
        </w:tc>
      </w:tr>
    </w:tbl>
    <w:p>
      <w:r>
        <w:rPr>
          <w:rStyle w:val="HideTWBExt"/>
        </w:rPr>
        <w:t>&lt;/Amend&gt;</w:t>
      </w:r>
    </w:p>
    <w:p>
      <w:pPr>
        <w:pStyle w:val="AmNumberTabs"/>
      </w:pPr>
      <w:r>
        <w:rPr>
          <w:rStyle w:val="HideTWBExt"/>
        </w:rPr>
        <w:t>&lt;Amend&gt;</w:t>
      </w:r>
      <w:r>
        <w:t>Grozījums Nr.</w:t>
      </w:r>
      <w:r>
        <w:tab/>
      </w:r>
      <w:r>
        <w:tab/>
      </w:r>
      <w:r>
        <w:rPr>
          <w:rStyle w:val="HideTWBExt"/>
        </w:rPr>
        <w:t>&lt;NumAm&gt;</w:t>
      </w:r>
      <w:r>
        <w:t>38</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2.d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2.d</w:t>
            </w:r>
            <w:r>
              <w:tab/>
            </w:r>
            <w:r>
              <w:rPr>
                <w:b/>
                <w:i/>
              </w:rPr>
              <w:t>pauž nožēlu par to, ka daudzas valstis ir izmantojušas palīdzību kā ieroci, jo šāda rīcība nesamērīgi kaitē sievietēm un meitenēm; norāda, ka mums kā starptautiskai kopienai ir pienākums atbalstīt SHT, kas atsevišķos reģionos nenoliedzami ir apdraudētas, vēl vairāk saasinot sieviešu un marginalizēto iedzīvotāju neaizsargātību;</w:t>
            </w:r>
          </w:p>
        </w:tc>
      </w:tr>
    </w:tbl>
    <w:p>
      <w:r>
        <w:rPr>
          <w:rStyle w:val="HideTWBExt"/>
        </w:rPr>
        <w:t>&lt;/Amend&gt;</w:t>
      </w:r>
    </w:p>
    <w:p>
      <w:pPr>
        <w:pStyle w:val="AmNumberTabs"/>
      </w:pPr>
      <w:r>
        <w:rPr>
          <w:rStyle w:val="HideTWBExt"/>
        </w:rPr>
        <w:t>&lt;Amend&gt;</w:t>
      </w:r>
      <w:r>
        <w:t>Grozījums Nr.</w:t>
      </w:r>
      <w:r>
        <w:tab/>
      </w:r>
      <w:r>
        <w:tab/>
      </w:r>
      <w:r>
        <w:rPr>
          <w:rStyle w:val="HideTWBExt"/>
        </w:rPr>
        <w:t>&lt;NumAm&gt;</w:t>
      </w:r>
      <w:r>
        <w:t>39</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pauž nožēlu par humanitārās telpas samazināšanos un humanitāro principu vājināšanos, jo tas būtiski apgrūtina palīdzības sniegšanu dzīvību glābšanas nolūkā vairākās konfliktu skartās vietās; stingri nosoda satraucoši pieaugošos uzbrukumus civiliedzīvotājiem un infrastruktūrai, kas nepieciešama viņu izdzīvošanai, un humānās palīdzības darbiniekiem; aicina saukt vainīgos pie atbildības;</w:t>
            </w:r>
          </w:p>
        </w:tc>
        <w:tc>
          <w:tcPr>
            <w:tcW w:w="4876" w:type="dxa"/>
            <w:tcBorders>
              <w:top w:val="nil"/>
              <w:left w:val="nil"/>
              <w:bottom w:val="nil"/>
              <w:right w:val="nil"/>
            </w:tcBorders>
          </w:tcPr>
          <w:p>
            <w:pPr>
              <w:pStyle w:val="Normal6a"/>
            </w:pPr>
            <w:r>
              <w:t>3.</w:t>
            </w:r>
            <w:r>
              <w:tab/>
            </w:r>
            <w:r>
              <w:t xml:space="preserve">pauž nožēlu par humanitārās telpas samazināšanos un humanitāro principu vājināšanos </w:t>
            </w:r>
            <w:r>
              <w:t>un to, ka tiek ignorētas starptautiskās iestādes un Starptautiskās Krimināltiesas izdotie orderi,</w:t>
            </w:r>
            <w:r>
              <w:t xml:space="preserve"> jo tas būtiski apgrūtina palīdzības sniegšanu dzīvību glābšanas nolūkā vairākās konfliktu skartās vietās; stingri nosoda satraucoši pieaugošos uzbrukumus civiliedzīvotājiem un infrastruktūrai, kas nepieciešama viņu izdzīvošanai, un humānās palīdzības darbiniekiem; aicina saukt vainīgos pie atbildības;</w:t>
            </w:r>
          </w:p>
        </w:tc>
      </w:tr>
    </w:tbl>
    <w:p>
      <w:r>
        <w:rPr>
          <w:rStyle w:val="HideTWBExt"/>
        </w:rPr>
        <w:t>&lt;/Amend&gt;</w:t>
      </w:r>
    </w:p>
    <w:p>
      <w:pPr>
        <w:pStyle w:val="AmNumberTabs"/>
      </w:pPr>
      <w:r>
        <w:rPr>
          <w:rStyle w:val="HideTWBExt"/>
        </w:rPr>
        <w:t>&lt;Amend&gt;</w:t>
      </w:r>
      <w:r>
        <w:t>Grozījums Nr.</w:t>
      </w:r>
      <w:r>
        <w:tab/>
      </w:r>
      <w:r>
        <w:tab/>
      </w:r>
      <w:r>
        <w:rPr>
          <w:rStyle w:val="HideTWBExt"/>
        </w:rPr>
        <w:t>&lt;NumAm&gt;</w:t>
      </w:r>
      <w:r>
        <w:t>40</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pauž dziļu nožēlu par </w:t>
            </w:r>
            <w:r>
              <w:rPr>
                <w:b/>
                <w:i/>
              </w:rPr>
              <w:t>dažu</w:t>
            </w:r>
            <w:r>
              <w:t xml:space="preserve"> ES </w:t>
            </w:r>
            <w:r>
              <w:rPr>
                <w:b/>
                <w:i/>
              </w:rPr>
              <w:t>dalībvalstu</w:t>
            </w:r>
            <w:r>
              <w:t xml:space="preserve"> nodomu izstāties no 1997. gada Otavas konvencijas un 2008. gada Oslo konvencijas;</w:t>
            </w:r>
          </w:p>
        </w:tc>
        <w:tc>
          <w:tcPr>
            <w:tcW w:w="4876" w:type="dxa"/>
            <w:tcBorders>
              <w:top w:val="nil"/>
              <w:left w:val="nil"/>
              <w:bottom w:val="nil"/>
              <w:right w:val="nil"/>
            </w:tcBorders>
          </w:tcPr>
          <w:p>
            <w:pPr>
              <w:pStyle w:val="Normal6a"/>
            </w:pPr>
            <w:r>
              <w:t>4.</w:t>
            </w:r>
            <w:r>
              <w:tab/>
            </w:r>
            <w:r>
              <w:t xml:space="preserve">pauž dziļu nožēlu par </w:t>
            </w:r>
            <w:r>
              <w:rPr>
                <w:b/>
                <w:i/>
              </w:rPr>
              <w:t>to, ka ir</w:t>
            </w:r>
            <w:r>
              <w:t xml:space="preserve"> ES </w:t>
            </w:r>
            <w:r>
              <w:rPr>
                <w:b/>
                <w:i/>
              </w:rPr>
              <w:t>dalībvalstis, kas atcēlušas prioritāti humānajai palīdzībai, īpaši, ja tā paredzēta sievietēm un meitenēm, un par valstu</w:t>
            </w:r>
            <w:r>
              <w:t xml:space="preserve"> nodomu izstāties no 1997. gada Otavas konvencijas un 2008. gada Oslo konvencijas;</w:t>
            </w:r>
          </w:p>
        </w:tc>
      </w:tr>
    </w:tbl>
    <w:p>
      <w:r>
        <w:rPr>
          <w:rStyle w:val="HideTWBExt"/>
        </w:rPr>
        <w:t>&lt;/Amend&gt;</w:t>
      </w:r>
    </w:p>
    <w:p>
      <w:pPr>
        <w:pStyle w:val="AmNumberTabs"/>
      </w:pPr>
      <w:r>
        <w:rPr>
          <w:rStyle w:val="HideTWBExt"/>
        </w:rPr>
        <w:t>&lt;Amend&gt;</w:t>
      </w:r>
      <w:r>
        <w:t>Grozījums Nr.</w:t>
      </w:r>
      <w:r>
        <w:tab/>
      </w:r>
      <w:r>
        <w:tab/>
      </w:r>
      <w:r>
        <w:rPr>
          <w:rStyle w:val="HideTWBExt"/>
        </w:rPr>
        <w:t>&lt;NumAm&gt;</w:t>
      </w:r>
      <w:r>
        <w:t>41</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aicina Komisiju stiprināt darbības, lai novērstu SHT pārkāpumus un novērstu nepilnības SHT pārkāpumu uzraudzībā, izmantojot datu vākšanu un efektīvāku, uz pierādījumiem balstītu aizstāvību;</w:t>
            </w:r>
          </w:p>
        </w:tc>
        <w:tc>
          <w:tcPr>
            <w:tcW w:w="4876" w:type="dxa"/>
            <w:tcBorders>
              <w:top w:val="nil"/>
              <w:left w:val="nil"/>
              <w:bottom w:val="nil"/>
              <w:right w:val="nil"/>
            </w:tcBorders>
          </w:tcPr>
          <w:p>
            <w:pPr>
              <w:pStyle w:val="Normal6a"/>
            </w:pPr>
            <w:r>
              <w:t>5.</w:t>
            </w:r>
            <w:r>
              <w:tab/>
            </w:r>
            <w:r>
              <w:t xml:space="preserve">aicina Komisiju </w:t>
            </w:r>
            <w:r>
              <w:t>un Eiropas Ārējās darbības dienesti (EĀDD)</w:t>
            </w:r>
            <w:r>
              <w:t xml:space="preserve"> stiprināt darbības, lai novērstu SHT pārkāpumus un novērstu nepilnības SHT pārkāpumu uzraudzībā, izmantojot datu vākšanu un efektīvāku, uz pierādījumiem balstītu aizstāvību;</w:t>
            </w:r>
            <w:r>
              <w:rPr>
                <w:b/>
                <w:i/>
              </w:rPr>
              <w:t xml:space="preserve"> atkārtoti norāda, ka ES ir jāuzņemas vadošā loma daudzpusējo attiecību līmenī sieviešu tiesību veicināšanā ārpolitikā un humanitārajā politikā; aicina ES, tās dalībvalstis, Komisiju un EĀDD apņemties virzīties uz tādu attīstības palīdzības un humānās palīdzības politiku, kas ietver dzimumvērīgu un intersekcionālu redzējumu, un savā ārējā darbībā vēl vairāk veicināt dzimumu līdztiesību; tāpēc atzinīgi vērtē to, ka pieaug par dzimumu līdztiesības jautājumiem atbildīgo personu skaits un šī pienākuma formalizēšana — tagad tādu personu īpatsvars ir 99 % ES delegācijās un 87 % centrālajos dienestos; norāda, ka humānās palīdzības darbinieki, kas atbildīgi par dzimumu un vecumu līdztiesības jautājumiem, palīdz noturēt uzmanības centrā dzimumbalstītas vardarbības novēršanu un atbildes pasākumus;</w:t>
            </w:r>
          </w:p>
        </w:tc>
      </w:tr>
    </w:tbl>
    <w:p>
      <w:r>
        <w:rPr>
          <w:rStyle w:val="HideTWBExt"/>
        </w:rPr>
        <w:t>&lt;/Amend&gt;</w:t>
      </w:r>
    </w:p>
    <w:p>
      <w:pPr>
        <w:pStyle w:val="AmNumberTabs"/>
      </w:pPr>
      <w:r>
        <w:rPr>
          <w:rStyle w:val="HideTWBExt"/>
        </w:rPr>
        <w:t>&lt;Amend&gt;</w:t>
      </w:r>
      <w:r>
        <w:t>Grozījums Nr.</w:t>
      </w:r>
      <w:r>
        <w:tab/>
      </w:r>
      <w:r>
        <w:tab/>
      </w:r>
      <w:r>
        <w:rPr>
          <w:rStyle w:val="HideTWBExt"/>
        </w:rPr>
        <w:t>&lt;NumAm&gt;</w:t>
      </w:r>
      <w:r>
        <w:t>42</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atkārtoti aicina Komisiju kopā ar dalībvalstīm un Eiropas Ārējās darbības dienestu (EĀDD) izstrādāt ES humanitārās diplomātijas stratēģiju, lai pastiprinātu centienus un nodrošinātu sistemātiskāku un koordinētāku pieeju humanitārās diplomātijas jomā;</w:t>
            </w:r>
          </w:p>
        </w:tc>
        <w:tc>
          <w:tcPr>
            <w:tcW w:w="4876" w:type="dxa"/>
            <w:tcBorders>
              <w:top w:val="nil"/>
              <w:left w:val="nil"/>
              <w:bottom w:val="nil"/>
              <w:right w:val="nil"/>
            </w:tcBorders>
          </w:tcPr>
          <w:p>
            <w:pPr>
              <w:pStyle w:val="Normal6a"/>
            </w:pPr>
            <w:r>
              <w:t>6.</w:t>
            </w:r>
            <w:r>
              <w:tab/>
            </w:r>
            <w:r>
              <w:t xml:space="preserve">atkārtoti aicina Komisiju </w:t>
            </w:r>
            <w:r>
              <w:t>steidzami</w:t>
            </w:r>
            <w:r>
              <w:t xml:space="preserve"> kopā ar dalībvalstīm un Eiropas Ārējās darbības dienestu (EĀDD) izstrādāt ES humanitārās diplomātijas stratēģiju, lai pastiprinātu centienus un nodrošinātu sistemātiskāku un koordinētāku pieeju humanitārās diplomātijas jomā;</w:t>
            </w:r>
          </w:p>
        </w:tc>
      </w:tr>
    </w:tbl>
    <w:p>
      <w:r>
        <w:rPr>
          <w:rStyle w:val="HideTWBExt"/>
        </w:rPr>
        <w:t>&lt;/Amend&gt;</w:t>
      </w:r>
    </w:p>
    <w:p>
      <w:pPr>
        <w:pStyle w:val="AmNumberTabs"/>
      </w:pPr>
      <w:r>
        <w:rPr>
          <w:rStyle w:val="HideTWBExt"/>
        </w:rPr>
        <w:t>&lt;Amend&gt;</w:t>
      </w:r>
      <w:r>
        <w:t>Grozījums Nr.</w:t>
      </w:r>
      <w:r>
        <w:tab/>
      </w:r>
      <w:r>
        <w:tab/>
      </w:r>
      <w:r>
        <w:rPr>
          <w:rStyle w:val="HideTWBExt"/>
        </w:rPr>
        <w:t>&lt;NumAm&gt;</w:t>
      </w:r>
      <w:r>
        <w:t>43</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uzsver, ka ir vajadzīga neatkarīga humānās palīdzības sniedzēju piekļuve visiem ar migrāciju saistītajiem objektiem, tostarp aizturēšanas centriem, karstajiem punktiem un neformālajām pierobežas zonām, kurās sievietes un LGBTIQ+ personas saskaras ar paaugstinātu vardarbības un ekspluatācijas risku, kā arī pamatpakalpojumu, tostarp seksuālās un reproduktīvās veselības aprūpes, atteikuma risku; prasa šādās vietās ieviest pārredzamus uzraudzības un pārskatatbildības mehānismus;</w:t>
            </w:r>
          </w:p>
        </w:tc>
      </w:tr>
    </w:tbl>
    <w:p>
      <w:r>
        <w:rPr>
          <w:rStyle w:val="HideTWBExt"/>
        </w:rPr>
        <w:t>&lt;/Amend&gt;</w:t>
      </w:r>
    </w:p>
    <w:p>
      <w:pPr>
        <w:pStyle w:val="AmNumberTabs"/>
      </w:pPr>
      <w:r>
        <w:rPr>
          <w:rStyle w:val="HideTWBExt"/>
        </w:rPr>
        <w:t>&lt;Amend&gt;</w:t>
      </w:r>
      <w:r>
        <w:t>Grozījums Nr.</w:t>
      </w:r>
      <w:r>
        <w:tab/>
      </w:r>
      <w:r>
        <w:tab/>
      </w:r>
      <w:r>
        <w:rPr>
          <w:rStyle w:val="HideTWBExt"/>
        </w:rPr>
        <w:t>&lt;NumAm&gt;</w:t>
      </w:r>
      <w:r>
        <w:t>44</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6.b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aicina Komisiju un dalībvalstis atbilstoši starptautiskajām saistībām cilvēktiesību jomā izstrādāt atlīdzināšanas shēmas, tostarp simboliskus, materiālus un psihosociālus pasākumus personām, kas cietušas seksuālo un reproduktīvo tiesību pārkāpumos humanitāro situāciju kontekstā; uzsver, ka šādu mehānismu izstrādē ir jāiekļauj skartās kopienas, sevišķi sievietes un meitenes;</w:t>
            </w:r>
          </w:p>
        </w:tc>
      </w:tr>
    </w:tbl>
    <w:p>
      <w:r>
        <w:rPr>
          <w:rStyle w:val="HideTWBExt"/>
        </w:rPr>
        <w:t>&lt;/Amend&gt;</w:t>
      </w:r>
    </w:p>
    <w:p>
      <w:pPr>
        <w:pStyle w:val="AmNumberTabs"/>
      </w:pPr>
      <w:r>
        <w:rPr>
          <w:rStyle w:val="HideTWBExt"/>
        </w:rPr>
        <w:t>&lt;Amend&gt;</w:t>
      </w:r>
      <w:r>
        <w:t>Grozījums Nr.</w:t>
      </w:r>
      <w:r>
        <w:tab/>
      </w:r>
      <w:r>
        <w:tab/>
      </w:r>
      <w:r>
        <w:rPr>
          <w:rStyle w:val="HideTWBExt"/>
        </w:rPr>
        <w:t>&lt;NumAm&gt;</w:t>
      </w:r>
      <w:r>
        <w:t>45</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aicina Komisiju un dalībvalstis nākamajā daudzgadu finanšu shēmā (DFS) </w:t>
            </w:r>
            <w:r>
              <w:rPr>
                <w:b/>
                <w:i/>
              </w:rPr>
              <w:t>ievērojami palielināt humānās palīdzības finansējumu</w:t>
            </w:r>
            <w:r>
              <w:t>, jo īpaši ņemot vērā to, ka humanitāro vajadzību apmierināšanai trūkst arvien vairāk finansējuma;</w:t>
            </w:r>
          </w:p>
        </w:tc>
        <w:tc>
          <w:tcPr>
            <w:tcW w:w="4876" w:type="dxa"/>
            <w:tcBorders>
              <w:top w:val="nil"/>
              <w:left w:val="nil"/>
              <w:bottom w:val="nil"/>
              <w:right w:val="nil"/>
            </w:tcBorders>
          </w:tcPr>
          <w:p>
            <w:pPr>
              <w:pStyle w:val="Normal6a"/>
            </w:pPr>
            <w:r>
              <w:t>7.</w:t>
            </w:r>
            <w:r>
              <w:tab/>
            </w:r>
            <w:r>
              <w:t xml:space="preserve">aicina Komisiju un dalībvalstis </w:t>
            </w:r>
            <w:r>
              <w:rPr>
                <w:b/>
                <w:i/>
              </w:rPr>
              <w:t>ievērojami palielināt savu humānās palīdzības finansējumu, tostarp</w:t>
            </w:r>
            <w:r>
              <w:t xml:space="preserve"> nākamajā daudzgadu finanšu shēmā (DFS), jo īpaši ņemot vērā to, ka humanitāro vajadzību apmierināšanai trūkst arvien vairāk finansējuma</w:t>
            </w:r>
            <w:r>
              <w:rPr>
                <w:b/>
                <w:i/>
              </w:rPr>
              <w:t>, un aicina piešķirt īpašu, ilgtspējīgu, elastīgu daudzgadu finansējumu, lai nodrošinātu, ka humānās palīdzības pasākumos tiek apmierinātas sieviešu un meiteņu vajadzības, citu starpā viņu seksuālās un reproduktīvās veselības vajadzības, tostarp finansējot sieviešu tiesību organizācijas, kuras vislabāk sasniedz krīzes skartas kopienas</w:t>
            </w:r>
            <w:r>
              <w:t>;</w:t>
            </w:r>
          </w:p>
        </w:tc>
      </w:tr>
    </w:tbl>
    <w:p>
      <w:r>
        <w:rPr>
          <w:rStyle w:val="HideTWBExt"/>
        </w:rPr>
        <w:t>&lt;/Amend&gt;</w:t>
      </w:r>
    </w:p>
    <w:p>
      <w:pPr>
        <w:pStyle w:val="AmNumberTabs"/>
      </w:pPr>
      <w:r>
        <w:rPr>
          <w:rStyle w:val="HideTWBExt"/>
        </w:rPr>
        <w:t>&lt;Amend&gt;</w:t>
      </w:r>
      <w:r>
        <w:t>Grozījums Nr.</w:t>
      </w:r>
      <w:r>
        <w:tab/>
      </w:r>
      <w:r>
        <w:tab/>
      </w:r>
      <w:r>
        <w:rPr>
          <w:rStyle w:val="HideTWBExt"/>
        </w:rPr>
        <w:t>&lt;NumAm&gt;</w:t>
      </w:r>
      <w:r>
        <w:t>46</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t>aicina Komisiju nodrošināt, ka humānās palīdzības finansēšanā prioritāte tiek piešķirta projektiem un organizācijām, kas atbalsta sievietes un meitenes, kuras cieš no konfliktiem un klimata pārmaiņām, ir bēgļi vai ir humānu vajadzību situācijās, kurām visvairāk draud finansējuma samazināšana</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UN Women, 2025. gada aprīlis, "At a breaking point: The impact of foreign aid cuts on women’s organizations in humanitarian crises worldwide”.</w:t>
            </w:r>
          </w:p>
        </w:tc>
      </w:tr>
    </w:tbl>
    <w:p>
      <w:r>
        <w:rPr>
          <w:rStyle w:val="HideTWBExt"/>
        </w:rPr>
        <w:t>&lt;/Amend&gt;</w:t>
      </w:r>
    </w:p>
    <w:p>
      <w:pPr>
        <w:pStyle w:val="AmNumberTabs"/>
      </w:pPr>
      <w:r>
        <w:rPr>
          <w:rStyle w:val="HideTWBExt"/>
        </w:rPr>
        <w:t>&lt;Amend&gt;</w:t>
      </w:r>
      <w:r>
        <w:t>Grozījums Nr.</w:t>
      </w:r>
      <w:r>
        <w:tab/>
      </w:r>
      <w:r>
        <w:tab/>
      </w:r>
      <w:r>
        <w:rPr>
          <w:rStyle w:val="HideTWBExt"/>
        </w:rPr>
        <w:t>&lt;NumAm&gt;</w:t>
      </w:r>
      <w:r>
        <w:t>47</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7.b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aicina visos ES finansētajos humānās palīdzības projektos iekļaut dzimumvērības rādītājus un uzraudzības mehānismus, lai nodrošinātu, ka palīdzība efektīvi sasniedz sievietes un meitenes, atbilst viņu īpašajām vajadzībām un veicina dzimumu līdztiesību; uzsver, ka ir svarīgi izstrādāt pielāgotus humānās palīdzības pasākumus, kuros tiktu ņemtas vērā daudzu krīžu skartu lauku apvidos dzīvojošo sieviešu vajadzības un realitāte;</w:t>
            </w:r>
          </w:p>
        </w:tc>
      </w:tr>
    </w:tbl>
    <w:p>
      <w:r>
        <w:rPr>
          <w:rStyle w:val="HideTWBExt"/>
        </w:rPr>
        <w:t>&lt;/Amend&gt;</w:t>
      </w:r>
    </w:p>
    <w:p>
      <w:pPr>
        <w:pStyle w:val="AmNumberTabs"/>
      </w:pPr>
      <w:r>
        <w:rPr>
          <w:rStyle w:val="HideTWBExt"/>
        </w:rPr>
        <w:t>&lt;Amend&gt;</w:t>
      </w:r>
      <w:r>
        <w:t>Grozījums Nr.</w:t>
      </w:r>
      <w:r>
        <w:tab/>
      </w:r>
      <w:r>
        <w:tab/>
      </w:r>
      <w:r>
        <w:rPr>
          <w:rStyle w:val="HideTWBExt"/>
        </w:rPr>
        <w:t>&lt;NumAm&gt;</w:t>
      </w:r>
      <w:r>
        <w:t>48</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7.c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uzsver, ka ir svarīgi centienos atbalstīt inovatīvas pieejas humānās palīdzības finansējumam īpaši pievērsties tām pieejām, kas paver pilnvērtīgas iespējas ekonomiski un sociāli sievietēm un meitenēm; uzsver, cik svarīga ir pārredzama ziņošana un neatkarīgi novērtējumi, lai novērtētu ES finansēto humānās palīdzības darbību ietekmi uz dzimumu līdztiesību;</w:t>
            </w:r>
          </w:p>
        </w:tc>
      </w:tr>
    </w:tbl>
    <w:p>
      <w:r>
        <w:rPr>
          <w:rStyle w:val="HideTWBExt"/>
        </w:rPr>
        <w:t>&lt;/Amend&gt;</w:t>
      </w:r>
    </w:p>
    <w:p>
      <w:pPr>
        <w:pStyle w:val="AmNumberTabs"/>
      </w:pPr>
      <w:r>
        <w:rPr>
          <w:rStyle w:val="HideTWBExt"/>
        </w:rPr>
        <w:t>&lt;Amend&gt;</w:t>
      </w:r>
      <w:r>
        <w:t>Grozījums Nr.</w:t>
      </w:r>
      <w:r>
        <w:tab/>
      </w:r>
      <w:r>
        <w:tab/>
      </w:r>
      <w:r>
        <w:rPr>
          <w:rStyle w:val="HideTWBExt"/>
        </w:rPr>
        <w:t>&lt;NumAm&gt;</w:t>
      </w:r>
      <w:r>
        <w:t>49</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7.d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7.d</w:t>
            </w:r>
            <w:r>
              <w:tab/>
            </w:r>
            <w:r>
              <w:rPr>
                <w:b/>
                <w:i/>
              </w:rPr>
              <w:t>mudina Komisiju noraidīt pieaugošo tendenci samazināt finansējumu humānajai palīdzībai un uzsver, ka atbalsts ir nevis kapacitātes, bet gan politiskās gribas un morālās atbildības jautājums; uzstāj, ka Komisijai un ES plašākā nozīmē ir jārāda piemērs un jānodrošina stabils un ilgtspējīgs finansējums humānās palīdzības pasākumiem;</w:t>
            </w:r>
          </w:p>
        </w:tc>
      </w:tr>
    </w:tbl>
    <w:p>
      <w:r>
        <w:rPr>
          <w:rStyle w:val="HideTWBExt"/>
        </w:rPr>
        <w:t>&lt;/Amend&gt;</w:t>
      </w:r>
    </w:p>
    <w:p>
      <w:pPr>
        <w:pStyle w:val="AmNumberTabs"/>
      </w:pPr>
      <w:r>
        <w:rPr>
          <w:rStyle w:val="HideTWBExt"/>
        </w:rPr>
        <w:t>&lt;Amend&gt;</w:t>
      </w:r>
      <w:r>
        <w:t>Grozījums Nr.</w:t>
      </w:r>
      <w:r>
        <w:tab/>
      </w:r>
      <w:r>
        <w:tab/>
      </w:r>
      <w:r>
        <w:rPr>
          <w:rStyle w:val="HideTWBExt"/>
        </w:rPr>
        <w:t>&lt;NumAm&gt;</w:t>
      </w:r>
      <w:r>
        <w:t>50</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7.e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7.e</w:t>
            </w:r>
            <w:r>
              <w:tab/>
            </w:r>
            <w:r>
              <w:rPr>
                <w:b/>
                <w:i/>
              </w:rPr>
              <w:t>pauž nožēlu par to, ka reakcionāras kustības un nacionālistiski noskaņotas partijas pašā Eiropas Parlamentā instrumentalizē un kritizē attīstības palīdzību un humāno palīdzību, ko ES sniedz dotāciju veidā NVO, kuras atzītas par tādām, kas darbojas kopīgās sabiedrības interesēs;</w:t>
            </w:r>
          </w:p>
        </w:tc>
      </w:tr>
    </w:tbl>
    <w:p>
      <w:r>
        <w:rPr>
          <w:rStyle w:val="HideTWBExt"/>
        </w:rPr>
        <w:t>&lt;/Amend&gt;</w:t>
      </w:r>
    </w:p>
    <w:p>
      <w:pPr>
        <w:pStyle w:val="AmNumberTabs"/>
      </w:pPr>
      <w:r>
        <w:rPr>
          <w:rStyle w:val="HideTWBExt"/>
        </w:rPr>
        <w:t>&lt;Amend&gt;</w:t>
      </w:r>
      <w:r>
        <w:t>Grozījums Nr.</w:t>
      </w:r>
      <w:r>
        <w:tab/>
      </w:r>
      <w:r>
        <w:tab/>
      </w:r>
      <w:r>
        <w:rPr>
          <w:rStyle w:val="HideTWBExt"/>
        </w:rPr>
        <w:t>&lt;NumAm&gt;</w:t>
      </w:r>
      <w:r>
        <w:t>51</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7.f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7.f</w:t>
            </w:r>
            <w:r>
              <w:tab/>
            </w:r>
            <w:r>
              <w:rPr>
                <w:b/>
                <w:i/>
              </w:rPr>
              <w:t>uzsver, ka aizsardzības izdevumu palielināšana nedrīkst notikt uz humānās palīdzības rēķina, jo īpaši tādēļ, ka ir globālas krīzes, kas nesamērīgi ietekmē sievietes un meitenes; uzsver, ka humānās palīdzības finansējuma samazināšana var padziļināt dzimumu nevienlīdzību un apdraudēt kritiski svarīgu atbalstu sieviešu veselībai, drošībai un iztikas līdzekļiem konfliktu un katastrofu apstākļos;</w:t>
            </w:r>
          </w:p>
        </w:tc>
      </w:tr>
    </w:tbl>
    <w:p>
      <w:r>
        <w:rPr>
          <w:rStyle w:val="HideTWBExt"/>
        </w:rPr>
        <w:t>&lt;/Amend&gt;</w:t>
      </w:r>
    </w:p>
    <w:p>
      <w:pPr>
        <w:pStyle w:val="AmNumberTabs"/>
      </w:pPr>
      <w:r>
        <w:rPr>
          <w:rStyle w:val="HideTWBExt"/>
        </w:rPr>
        <w:t>&lt;Amend&gt;</w:t>
      </w:r>
      <w:r>
        <w:t>Grozījums Nr.</w:t>
      </w:r>
      <w:r>
        <w:tab/>
      </w:r>
      <w:r>
        <w:tab/>
      </w:r>
      <w:r>
        <w:rPr>
          <w:rStyle w:val="HideTWBExt"/>
        </w:rPr>
        <w:t>&lt;NumAm&gt;</w:t>
      </w:r>
      <w:r>
        <w:t>52</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aicina dalībvalstis pildīt savu kopīgo apņemšanos vismaz 0,7 % no nacionālā kopienākuma (NKI) atvēlēt oficiālajai attīstības palīdzībai (OAP) un 10 % no OAP — humanitārajai rīcībai;</w:t>
            </w:r>
          </w:p>
        </w:tc>
        <w:tc>
          <w:tcPr>
            <w:tcW w:w="4876" w:type="dxa"/>
            <w:tcBorders>
              <w:top w:val="nil"/>
              <w:left w:val="nil"/>
              <w:bottom w:val="nil"/>
              <w:right w:val="nil"/>
            </w:tcBorders>
          </w:tcPr>
          <w:p>
            <w:pPr>
              <w:pStyle w:val="Normal6a"/>
            </w:pPr>
            <w:r>
              <w:t>11.</w:t>
            </w:r>
            <w:r>
              <w:tab/>
            </w:r>
            <w:r>
              <w:t>aicina dalībvalstis pildīt savu kopīgo apņemšanos vismaz 0,7 % no nacionālā kopienākuma (NKI) atvēlēt oficiālajai attīstības palīdzībai (OAP) un 10 % no OAP — humanitārajai rīcībai;</w:t>
            </w:r>
            <w:r>
              <w:rPr>
                <w:b/>
                <w:i/>
              </w:rPr>
              <w:t xml:space="preserve"> aicina Komisiju nodrošināt regulāru, pienācīgu un ilgtspējīgu finansējumu; aicina humāno palīdzību, kā arī organizācijas, kas darbojas dzimumu līdztiesības un sieviešu tiesību jomā, pamatā finansēt no publiskajiem līdzekļiem, jo palīdzības samazināšana ļoti apgrūtinās piekļuvi pakalpojumiem, kuri ļauj glābt dzīvības, ko sniedz sieviešu vadītas organizācijas un sieviešu tiesību organizācijas; atkārtoti uzsver, cik svarīgi ir investēt sievietēs un meitenēs, jo tas ir stratēģisks ieguldījums ar ilgtermiņa pozitīvu ietekmi uz visiem un ietekmē nākamo paaudžu sociālo un ekonomisko labklājību; pauž nožēlu par USAID finansējuma atsaukšanu un atzīst, ka tas postoši ietekmēs globālās kopienas mērķi panākt dzimumu līdztiesību un nodrošināt pilnvērtīgas iespējas visām sievietēm un meitenēm; pauž nožēlu par tās negatīvo ietekmi uz māšu mirstības rādītājiem, jo ir samazinājusies seksuālās izglītības un reproduktīvās veselības aprūpes pieejamība; uzsver, ka, investējot dzimumu līdztiesībā, tiek glābtas dzīvības humanitāras krīzes vietās; aicina Komisiju un dalībvalstis steidzami aizpildīt ASV atstāto finansiālo bedri, tostarp palielinot ES investīcijas tādu organizāciju atbalstīšanā, kuras humanitārās situācijās sniedz svarīgus dzīvības glābjošus pakalpojumus, tostarp seksuālās un reproduktīvās veselības un tiesību jomā;</w:t>
            </w:r>
          </w:p>
        </w:tc>
      </w:tr>
    </w:tbl>
    <w:p>
      <w:r>
        <w:rPr>
          <w:rStyle w:val="HideTWBExt"/>
        </w:rPr>
        <w:t>&lt;/Amend&gt;</w:t>
      </w:r>
    </w:p>
    <w:p>
      <w:pPr>
        <w:pStyle w:val="AmNumberTabs"/>
      </w:pPr>
      <w:r>
        <w:rPr>
          <w:rStyle w:val="HideTWBExt"/>
        </w:rPr>
        <w:t>&lt;Amend&gt;</w:t>
      </w:r>
      <w:r>
        <w:t>Grozījums Nr.</w:t>
      </w:r>
      <w:r>
        <w:tab/>
      </w:r>
      <w:r>
        <w:tab/>
      </w:r>
      <w:r>
        <w:rPr>
          <w:rStyle w:val="HideTWBExt"/>
        </w:rPr>
        <w:t>&lt;NumAm&gt;</w:t>
      </w:r>
      <w:r>
        <w:t>53</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t>nosoda aizvien pieaugošo sieviešu tiesību finansējuma deprioritizāciju un to, ka feministiskas tautas kustības un sieviešu tiesību organizācijas joprojām sistemātiski tiek nepietiekami finansētas un saņem mazāk par 1 % no pasaules OAP</w:t>
            </w:r>
            <w:r>
              <w:rPr>
                <w:vertAlign w:val="superscript"/>
              </w:rPr>
              <w:t>1a</w:t>
            </w:r>
            <w:r>
              <w:t>;</w:t>
            </w:r>
            <w:r>
              <w:rPr>
                <w:b/>
                <w:i/>
              </w:rPr>
              <w:t xml:space="preserve"> uzsver, ka tajā pašā laikā satraucoši pieaug pret dzimumu līdztiesību vērsts finansējums, kura mērķis ir novērst progresu, kas pēdējās desmitgadēs panākts sieviešu un LGBTIQ+ tiesību jomā; aicina Komisiju nākamajā DFS apņemties piešķirt 85 % no OAP finansējuma projektiem, kuros dzimumu līdztiesība ir svarīgs vai galvenais mērķis, un vismaz 20 % — projektiem, ar kuriem atbalsta darbības dzimumu līdztiesības un sieviešu un meiteņu tiesību un pilnvērtīgu iespēju nodrošināšanai; aicina izveidot īpašus ES aizsardzības un pārcelšanas mehānismus sieviešu tiesību aizstāvjiem un feministu organizācijām, pret kurām vēršas saistībā ar viņu darbu seksuālo un reproduktīvo tiesību un dzimumu līdztiesības jomā, jo īpaši saistībā ar autoritārismu, konfliktiem un profesiju;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ODI politikas kopsavilkuma dokuments “Where next for feminist foreign policy on funding feminist movements?” (Kāds ir nākamais solis feministiskajā ārpolitikā attiecībā uz feministisko kustību finansēšanu), https://media.odi.org/documents/ODI-ET-FundingMovements-PB-EN-May24-Final.pdf.</w:t>
            </w:r>
          </w:p>
        </w:tc>
      </w:tr>
    </w:tbl>
    <w:p>
      <w:r>
        <w:rPr>
          <w:rStyle w:val="HideTWBExt"/>
        </w:rPr>
        <w:t>&lt;/Amend&gt;</w:t>
      </w:r>
    </w:p>
    <w:p>
      <w:pPr>
        <w:pStyle w:val="AmNumberTabs"/>
      </w:pPr>
      <w:r>
        <w:rPr>
          <w:rStyle w:val="HideTWBExt"/>
        </w:rPr>
        <w:t>&lt;Amend&gt;</w:t>
      </w:r>
      <w:r>
        <w:t>Grozījums Nr.</w:t>
      </w:r>
      <w:r>
        <w:tab/>
      </w:r>
      <w:r>
        <w:tab/>
      </w:r>
      <w:r>
        <w:rPr>
          <w:rStyle w:val="HideTWBExt"/>
        </w:rPr>
        <w:t>&lt;NumAm&gt;</w:t>
      </w:r>
      <w:r>
        <w:t>54</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 uzsver, ka, ņemot vērā nestabilo situāciju dažādību, ir nepieciešamas pielāgotas pieejas un īpaši finanšu instrumenti, kas ļautu humānās palīdzības sniedzējiem un attīstības un miera veicinātājiem rīkoties saskaņoti, un īpaša uzmanība jāpievērš vietējo dalībnieku iesaistei un viņu iespēju nodrošināšanai;</w:t>
            </w:r>
          </w:p>
        </w:tc>
        <w:tc>
          <w:tcPr>
            <w:tcW w:w="4876" w:type="dxa"/>
            <w:tcBorders>
              <w:top w:val="nil"/>
              <w:left w:val="nil"/>
              <w:bottom w:val="nil"/>
              <w:right w:val="nil"/>
            </w:tcBorders>
          </w:tcPr>
          <w:p>
            <w:pPr>
              <w:pStyle w:val="Normal6a"/>
            </w:pPr>
            <w:r>
              <w:t xml:space="preserve">12. </w:t>
            </w:r>
            <w:r>
              <w:rPr>
                <w:b/>
                <w:i/>
              </w:rPr>
              <w:t xml:space="preserve">uzsver ciešo saikni starp bruņotiem konfliktiem un humanitārajām un klimata krīzēm, piespiedu migrācijas un cilvēku tirdzniecības pieaugumu un ekspluatācijas risku, kas nesamērīgi ietekmē sievietes un meitenes; uzsver, ka, izmantojot efektīvu koordināciju starp attiecīgajām ES iestādēm, dalībvalstīm un starptautiskajām organizācijām, ir jāstiprina pasākumi cietušo nepieļaušanai, identificēšanai, aizsardzībai un atbalstam, nodrošinot, ka visas humānās palīdzības darbības ietver dzimumperspektīvu un veicina visneaizsargātāko personu tiesības; pauž bažas par paaugstināto cilvēku tirdzniecības risku humanitāro krīžu apstākļos, kad cilvēku tirgotāji izmanto pārvietoto iedzīvotāju, jo īpaši sieviešu un meiteņu, neaizsargātību un izmisumu; uzsver, ka ir vajadzīgi dzimumresponsīvi aizsardzības pasākumi, tostarp droši ziņošanas mehānismi, piekļuve pamatpakalpojumiem un cilvēku tirdzniecības apkarošanas centienu integrēšana visos humānās palīdzības sniegšanas posmos; </w:t>
            </w:r>
            <w:r>
              <w:t>uzsver, ka, ņemot vērā nestabilo situāciju dažādību, ir nepieciešamas pielāgotas pieejas un īpaši finanšu instrumenti, kas ļautu humānās palīdzības sniedzējiem un attīstības un miera veicinātājiem rīkoties saskaņoti, un īpaša uzmanība jāpievērš vietējo dalībnieku iesaistei un viņu iespēju nodrošināšanai;</w:t>
            </w:r>
            <w:r>
              <w:rPr>
                <w:b/>
                <w:i/>
              </w:rPr>
              <w:t xml:space="preserve"> uzsver, ka humanitārās krīzes situācijās pamatpakalpojumu nepieejamība nesamērīgi ietekmē sievietes un meitenes un ka tieši viņu pamatvajadzības bieži vien ir pirmās, kas netiek apmierinātas, lai gan tiek gaidīts, ka tieši viņas novērsīs šo pakalpojumu iztrūkumu, piemēram, uzņemoties lielākus aprūpes pienākumus un rūpējoties par pārtikas un ūdens sagādi; uzsver, ka humānās palīdzības stratēģijās ir jāņem vērā gan jaunu sieviešu, gan vecāka gadagājuma sieviešu īpašās vajadzības, jo viņas bieži ir īpaši neaizsargātas, kā arī tiek izslēgtas no plānošanas procesiem, viņām ir ierobežota piekļuve tieši viņām domātiem pakalpojumiem un viņām ir paaugstināts izmantošanas vai nevērīgas izturēšanās risks; | aicina izveidot īpašas jauniešiem, sevišķi sievietēm un meitenēm, pielāgotas programmas, kas garantē viņu piekļuvi izglītībai, menstruālajai veselībai, seksuālajai un reproduktīvajai veselībai un psihosociālajam atbalstam;</w:t>
            </w:r>
            <w:r>
              <w:br/>
            </w:r>
          </w:p>
        </w:tc>
      </w:tr>
    </w:tbl>
    <w:p>
      <w:r>
        <w:rPr>
          <w:rStyle w:val="HideTWBExt"/>
        </w:rPr>
        <w:t>&lt;/Amend&gt;</w:t>
      </w:r>
    </w:p>
    <w:p>
      <w:pPr>
        <w:pStyle w:val="AmNumberTabs"/>
      </w:pPr>
      <w:r>
        <w:rPr>
          <w:rStyle w:val="HideTWBExt"/>
        </w:rPr>
        <w:t>&lt;Amend&gt;</w:t>
      </w:r>
      <w:r>
        <w:t>Grozījums Nr.</w:t>
      </w:r>
      <w:r>
        <w:tab/>
      </w:r>
      <w:r>
        <w:tab/>
      </w:r>
      <w:r>
        <w:rPr>
          <w:rStyle w:val="HideTWBExt"/>
        </w:rPr>
        <w:t>&lt;NumAm&gt;</w:t>
      </w:r>
      <w:r>
        <w:t>55</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aicina pavērt ekonomiskās iespējas sievietēm un meitenēm un nodrošināt, ka viņām ir pastāvīga piekļuve ienākumiem, izglītībai, pārtikai un drošai videi, un atzīt, ka šo būtisko elementu trūkums ievērojami palielina dzimumbalstītas ekonomiskās vardarbības, ekspluatācijas un tādu kaitīgu prakšu kā, piemēram, agrīnu laulību, seksuālas izmantošanas un nedrošu migrācijas maršrutu izmantošanas risku;</w:t>
            </w:r>
          </w:p>
        </w:tc>
      </w:tr>
    </w:tbl>
    <w:p>
      <w:r>
        <w:rPr>
          <w:rStyle w:val="HideTWBExt"/>
        </w:rPr>
        <w:t>&lt;/Amend&gt;</w:t>
      </w:r>
    </w:p>
    <w:p>
      <w:pPr>
        <w:pStyle w:val="AmNumberTabs"/>
      </w:pPr>
      <w:r>
        <w:rPr>
          <w:rStyle w:val="HideTWBExt"/>
        </w:rPr>
        <w:t>&lt;Amend&gt;</w:t>
      </w:r>
      <w:r>
        <w:t>Grozījums Nr.</w:t>
      </w:r>
      <w:r>
        <w:tab/>
      </w:r>
      <w:r>
        <w:tab/>
      </w:r>
      <w:r>
        <w:rPr>
          <w:rStyle w:val="HideTWBExt"/>
        </w:rPr>
        <w:t>&lt;NumAm&gt;</w:t>
      </w:r>
      <w:r>
        <w:t>56</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12.b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jo īpaši uzsver situāciju Afganistānā, kur ir smaga un sarežģīta humanitārā krīze un vairāk nekā 23,7 miljoniem cilvēku ir vajadzīga palīdzība; norāda, ka situāciju, visticamāk, vēl vairāk pasliktinās bēgļu izraidīšana no Pakistānas un Irānas un stabilitātes trūkums šajā reģionā; atzinīgi vērtē ES apņemšanos sniegt atbalstu 266 miljonu EUR apmērā un aicina veikt mērķtiecīgas vietējas darbības, lai palīdzētu sievietēm un meitenēm;</w:t>
            </w:r>
          </w:p>
        </w:tc>
      </w:tr>
    </w:tbl>
    <w:p>
      <w:r>
        <w:rPr>
          <w:rStyle w:val="HideTWBExt"/>
        </w:rPr>
        <w:t>&lt;/Amend&gt;</w:t>
      </w:r>
    </w:p>
    <w:p>
      <w:pPr>
        <w:pStyle w:val="AmNumberTabs"/>
      </w:pPr>
      <w:r>
        <w:rPr>
          <w:rStyle w:val="HideTWBExt"/>
        </w:rPr>
        <w:t>&lt;Amend&gt;</w:t>
      </w:r>
      <w:r>
        <w:t>Grozījums Nr.</w:t>
      </w:r>
      <w:r>
        <w:tab/>
      </w:r>
      <w:r>
        <w:tab/>
      </w:r>
      <w:r>
        <w:rPr>
          <w:rStyle w:val="HideTWBExt"/>
        </w:rPr>
        <w:t>&lt;NumAm&gt;</w:t>
      </w:r>
      <w:r>
        <w:t>57</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aicina Komisiju nekavējoties nākt klajā ar vērienīgu un integrētu </w:t>
            </w:r>
            <w:r>
              <w:rPr>
                <w:b/>
                <w:i/>
              </w:rPr>
              <w:t>pieeju nestabilitātei</w:t>
            </w:r>
            <w:r>
              <w:t xml:space="preserve"> un apspriesties ar Parlamentu par šīs </w:t>
            </w:r>
            <w:r>
              <w:rPr>
                <w:b/>
                <w:i/>
              </w:rPr>
              <w:t>pieejas</w:t>
            </w:r>
            <w:r>
              <w:t xml:space="preserve"> sagatavošanu un īstenošanu;</w:t>
            </w:r>
          </w:p>
        </w:tc>
        <w:tc>
          <w:tcPr>
            <w:tcW w:w="4876" w:type="dxa"/>
            <w:tcBorders>
              <w:top w:val="nil"/>
              <w:left w:val="nil"/>
              <w:bottom w:val="nil"/>
              <w:right w:val="nil"/>
            </w:tcBorders>
          </w:tcPr>
          <w:p>
            <w:pPr>
              <w:pStyle w:val="Normal6a"/>
            </w:pPr>
            <w:r>
              <w:t>13.</w:t>
            </w:r>
            <w:r>
              <w:tab/>
            </w:r>
            <w:r>
              <w:t xml:space="preserve">aicina Komisiju </w:t>
            </w:r>
            <w:r>
              <w:rPr>
                <w:b/>
                <w:i/>
              </w:rPr>
              <w:t>un EĀDD</w:t>
            </w:r>
            <w:r>
              <w:t xml:space="preserve"> nekavējoties nākt klajā ar vērienīgu un integrētu </w:t>
            </w:r>
            <w:r>
              <w:rPr>
                <w:b/>
                <w:i/>
              </w:rPr>
              <w:t>stratēģiju nestabilitātes novēršanai, kurā ņemta vērā dzimumu dimensija,</w:t>
            </w:r>
            <w:r>
              <w:t xml:space="preserve"> un apspriesties ar Parlamentu par šīs </w:t>
            </w:r>
            <w:r>
              <w:rPr>
                <w:b/>
                <w:i/>
              </w:rPr>
              <w:t>stratēģijas</w:t>
            </w:r>
            <w:r>
              <w:t xml:space="preserve"> sagatavošanu un īstenošanu;</w:t>
            </w:r>
            <w:r>
              <w:rPr>
                <w:b/>
                <w:i/>
              </w:rPr>
              <w:t xml:space="preserve"> uzsver, ka sievietes humānās palīdzības kontekstā būtu jāatzīst nevis par upuriem, bet drīzāk par pārmaiņu veicinātājām, kas aktīvi virza pozitīvu pārveidi un kaļ pašas savu likteni; </w:t>
            </w:r>
            <w:r>
              <w:rPr>
                <w:b/>
                <w:i/>
              </w:rPr>
              <w:t>uzsver, ka viss viņu potenciāls, zināšanas un spējas ir jēgpilni jāņem vērā un jāintegrē humānās palīdzības un drošības politikas un prakses reformā, lai nodrošinātu iekļaujošāku, efektīvāku un ilgtspējīgāku reaģēšanu;</w:t>
            </w:r>
          </w:p>
        </w:tc>
      </w:tr>
    </w:tbl>
    <w:p>
      <w:r>
        <w:rPr>
          <w:rStyle w:val="HideTWBExt"/>
        </w:rPr>
        <w:t>&lt;/Amend&gt;</w:t>
      </w:r>
    </w:p>
    <w:p>
      <w:pPr>
        <w:pStyle w:val="AmNumberTabs"/>
      </w:pPr>
      <w:r>
        <w:rPr>
          <w:rStyle w:val="HideTWBExt"/>
        </w:rPr>
        <w:t>&lt;Amend&gt;</w:t>
      </w:r>
      <w:r>
        <w:t>Grozījums Nr.</w:t>
      </w:r>
      <w:r>
        <w:tab/>
      </w:r>
      <w:r>
        <w:tab/>
      </w:r>
      <w:r>
        <w:rPr>
          <w:rStyle w:val="HideTWBExt"/>
        </w:rPr>
        <w:t>&lt;NumAm&gt;</w:t>
      </w:r>
      <w:r>
        <w:t>58</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uzsver, ka steidzami visā humānās palīdzības plānošanā ir jāiekļauj dzimumvērīgs un iekļaujošs modelis, īpašu uzmanību pievēršot sieviešu un meiteņu, tostarp grūtnieču un marginalizētu grupu, piemēram, LGBTIQ+ personu, personu ar invaliditāti un personu, kas saskaras ar intersekcionālu diskrimināciju, īpašajām vajadzībām, un jānodrošina viņu jēgpilna līdzdalība humanitāro lēmumu pieņemšanā; uzsver, ka humānās palīdzības pasākumos par prioritāti jāizvirza drošība, cieņa un pakalpojumu pieejamība sievietēm un citām neaizsargātām grupām, kuras bieži vien krīzes apstākļos netiek pamanītas; tāpēc uzskata, ka datu vākšana pēc vecuma, dzimuma un invaliditātes ir būtiska, lai plānotu un novērtētu efektīvu humāno palīdzību;</w:t>
            </w:r>
          </w:p>
        </w:tc>
      </w:tr>
    </w:tbl>
    <w:p>
      <w:r>
        <w:rPr>
          <w:rStyle w:val="HideTWBExt"/>
        </w:rPr>
        <w:t>&lt;/Amend&gt;</w:t>
      </w:r>
    </w:p>
    <w:p>
      <w:pPr>
        <w:pStyle w:val="AmNumberTabs"/>
      </w:pPr>
      <w:r>
        <w:rPr>
          <w:rStyle w:val="HideTWBExt"/>
        </w:rPr>
        <w:t>&lt;Amend&gt;</w:t>
      </w:r>
      <w:r>
        <w:t>Grozījums Nr.</w:t>
      </w:r>
      <w:r>
        <w:tab/>
      </w:r>
      <w:r>
        <w:tab/>
      </w:r>
      <w:r>
        <w:rPr>
          <w:rStyle w:val="HideTWBExt"/>
        </w:rPr>
        <w:t>&lt;NumAm&gt;</w:t>
      </w:r>
      <w:r>
        <w:t>59</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13.b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atgādina par Komisijas dzimuma un vecuma rādītāju humānajai rīcībai un uzsver, cik svarīgas ir sniegtās norādes par to, kā humānās palīdzības pasākumos integrēt ar dzimumu un vecumu saistītus jautājumus un kā šo rādītāju piemērot humānās palīdzības projektiem;</w:t>
            </w:r>
          </w:p>
        </w:tc>
      </w:tr>
    </w:tbl>
    <w:p>
      <w:r>
        <w:rPr>
          <w:rStyle w:val="HideTWBExt"/>
        </w:rPr>
        <w:t>&lt;/Amend&gt;</w:t>
      </w:r>
    </w:p>
    <w:p>
      <w:pPr>
        <w:pStyle w:val="AmNumberTabs"/>
      </w:pPr>
      <w:r>
        <w:rPr>
          <w:rStyle w:val="HideTWBExt"/>
        </w:rPr>
        <w:t>&lt;Amend&gt;</w:t>
      </w:r>
      <w:r>
        <w:t>Grozījums Nr.</w:t>
      </w:r>
      <w:r>
        <w:tab/>
      </w:r>
      <w:r>
        <w:tab/>
      </w:r>
      <w:r>
        <w:rPr>
          <w:rStyle w:val="HideTWBExt"/>
        </w:rPr>
        <w:t>&lt;NumAm&gt;</w:t>
      </w:r>
      <w:r>
        <w:t>60</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13.c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uzsver, ka ir svarīgi, lai ES turpina izstrādāt politiku un norādījumus attiecīgajos humānās palīdzības virzienos, balstoties uz tās sasniegto tematiskās politikas ietekmi tādās jomās kā aizsardzība, dzimums, invaliditāte, pārtika, uzturs, veselība, tostarp garīgā veselība un psihosociālais atbalsts, pajumte, ūdens, sanitārija, higiēna, izglītība ārkārtas situācijās, vide un palīdzības sniegšanas metodes; aicina palielināt ieguldījumus psihoemocionālās veselības atbalstā, tostarp ar traumu saistītā aprūpē sievietēm, meitenēm un LGBTIQ+ personām humanitāros kontekstos, un atzīt bruņotu konfliktu, pārvietošanas un ar dzimumu saistītas vardarbības psiholoģiskās sekas ilgtermiņā;</w:t>
            </w:r>
          </w:p>
        </w:tc>
      </w:tr>
    </w:tbl>
    <w:p>
      <w:r>
        <w:rPr>
          <w:rStyle w:val="HideTWBExt"/>
        </w:rPr>
        <w:t>&lt;/Amend&gt;</w:t>
      </w:r>
    </w:p>
    <w:p>
      <w:pPr>
        <w:pStyle w:val="AmNumberTabs"/>
      </w:pPr>
      <w:r>
        <w:rPr>
          <w:rStyle w:val="HideTWBExt"/>
        </w:rPr>
        <w:t>&lt;Amend&gt;</w:t>
      </w:r>
      <w:r>
        <w:t>Grozījums Nr.</w:t>
      </w:r>
      <w:r>
        <w:tab/>
      </w:r>
      <w:r>
        <w:tab/>
      </w:r>
      <w:r>
        <w:rPr>
          <w:rStyle w:val="HideTWBExt"/>
        </w:rPr>
        <w:t>&lt;NumAm&gt;</w:t>
      </w:r>
      <w:r>
        <w:t>61</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13.d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13.d</w:t>
            </w:r>
            <w:r>
              <w:tab/>
            </w:r>
            <w:r>
              <w:rPr>
                <w:b/>
                <w:i/>
              </w:rPr>
              <w:t>mudina Komisiju izdot pamatnostādnes, aicinot nodrošināt un finansēt seksuālās un reproduktīvās veselības līdzekļu piegādes un pakalpojumus, kā izklāstīts MISP, lai seksuālās un reproduktīvās veselības jomā sistemātiski iekļautu humānās palīdzības pasākumus, kas ietver HIV/AIDS profilaksi, reproduktīvo, mātes un jaundzimušo veselību un ģimenes plānošanu, pievēršoties īpašām uztura vajadzībām un neaizsargātībai;</w:t>
            </w:r>
          </w:p>
        </w:tc>
      </w:tr>
    </w:tbl>
    <w:p>
      <w:r>
        <w:rPr>
          <w:rStyle w:val="HideTWBExt"/>
        </w:rPr>
        <w:t>&lt;/Amend&gt;</w:t>
      </w:r>
    </w:p>
    <w:p>
      <w:pPr>
        <w:pStyle w:val="AmNumberTabs"/>
      </w:pPr>
      <w:r>
        <w:rPr>
          <w:rStyle w:val="HideTWBExt"/>
        </w:rPr>
        <w:t>&lt;Amend&gt;</w:t>
      </w:r>
      <w:r>
        <w:t>Grozījums Nr.</w:t>
      </w:r>
      <w:r>
        <w:tab/>
      </w:r>
      <w:r>
        <w:tab/>
      </w:r>
      <w:r>
        <w:rPr>
          <w:rStyle w:val="HideTWBExt"/>
        </w:rPr>
        <w:t>&lt;NumAm&gt;</w:t>
      </w:r>
      <w:r>
        <w:t>62</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13.e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13.e</w:t>
            </w:r>
            <w:r>
              <w:tab/>
            </w:r>
            <w:r>
              <w:rPr>
                <w:b/>
                <w:i/>
              </w:rPr>
              <w:t>aicina Komisiju un EĀDD turpināt veicināt dzimumu līdztiesību, sieviešu tiesības un sieviešu pilnvērtīgas iespējas, tostarp 5. IAM īstenošanu, noteikt tās par prioritāti visās ES ārējās darbības iniciatīvās, tostarp izmantojot diplomātiju un stratēģiskās partnerības, lai veicinātu dzimumu līdztiesību globālajā politiskajā darba kārtībā, un pieņemt rīcības plānu par dzimumu līdztiesību un pilnvērtīgu iespēju nodrošināšanu sievietēm ārējās darbībās IV;</w:t>
            </w:r>
          </w:p>
        </w:tc>
      </w:tr>
    </w:tbl>
    <w:p>
      <w:r>
        <w:rPr>
          <w:rStyle w:val="HideTWBExt"/>
        </w:rPr>
        <w:t>&lt;/Amend&gt;</w:t>
      </w:r>
    </w:p>
    <w:p>
      <w:pPr>
        <w:pStyle w:val="AmNumberTabs"/>
      </w:pPr>
      <w:r>
        <w:rPr>
          <w:rStyle w:val="HideTWBExt"/>
        </w:rPr>
        <w:t>&lt;Amend&gt;</w:t>
      </w:r>
      <w:r>
        <w:t>Grozījums Nr.</w:t>
      </w:r>
      <w:r>
        <w:tab/>
      </w:r>
      <w:r>
        <w:tab/>
      </w:r>
      <w:r>
        <w:rPr>
          <w:rStyle w:val="HideTWBExt"/>
        </w:rPr>
        <w:t>&lt;NumAm&gt;</w:t>
      </w:r>
      <w:r>
        <w:t>63</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aicina ES virzīties uz priekšu HDP saiknes īstenošanā, atbalstot vietējās organizācijas un nodrošinot to pilnīgu iesaisti humānās palīdzības programmas ciklā;</w:t>
            </w:r>
          </w:p>
        </w:tc>
        <w:tc>
          <w:tcPr>
            <w:tcW w:w="4876" w:type="dxa"/>
            <w:tcBorders>
              <w:top w:val="nil"/>
              <w:left w:val="nil"/>
              <w:bottom w:val="nil"/>
              <w:right w:val="nil"/>
            </w:tcBorders>
          </w:tcPr>
          <w:p>
            <w:pPr>
              <w:pStyle w:val="Normal6a"/>
            </w:pPr>
            <w:r>
              <w:t>14.</w:t>
            </w:r>
            <w:r>
              <w:tab/>
            </w:r>
            <w:r>
              <w:t>aicina ES virzīties uz priekšu HDP saiknes īstenošanā, atbalstot vietējās organizācijas un nodrošinot to pilnīgu iesaisti humānās palīdzības programmas ciklā;</w:t>
            </w:r>
            <w:r>
              <w:rPr>
                <w:b/>
                <w:i/>
              </w:rPr>
              <w:t xml:space="preserve"> aicina Komisiju iesaistīt sievietes visos lēmumu pieņemšanas procesos, īpaši vietējā līmenī; aicina Komisiju saglabāt esošās partnerības ar vietējām sieviešu vadītām un sieviešu tiesību organizācijām un, ja ir jāveic izmaiņas, nodrošināt savlaicīgu, pārredzamu komunikāciju, tādējādi īstenojot cieņpilnu pāreju, mazinot nodarīto kaitējumu un nodrošinot pakalpojumu nepārtrauktību; stingri iebilst pret humānās palīdzības izmantošanu drošības vai migrācijas kontroles nolūkā, tostarp robežu eksternalizācijai; uzsver, ka šāda prakse apdraud humānās palīdzības principus un nesamērīgi kaitē sievietēm, meitenēm, LGBTIQ+ personām un pārvietotām kopienām; atgādina, ka atpakaļraidīšana un politika, kas paredz apturēt patvēruma meklētājus un migrantus, kuriem nepieciešama aizsardzība, pie ES ārējām robežām vai pirms to sasniegšanas, grauj ES vērtības, kas nostiprinātas ES Līgumos, un pārkāpj starptautiskos un Eiropas tiesību aktus humanitāro tiesību un cilvēktiesību jomā;</w:t>
            </w:r>
          </w:p>
        </w:tc>
      </w:tr>
    </w:tbl>
    <w:p>
      <w:r>
        <w:rPr>
          <w:rStyle w:val="HideTWBExt"/>
        </w:rPr>
        <w:t>&lt;/Amend&gt;</w:t>
      </w:r>
    </w:p>
    <w:p>
      <w:pPr>
        <w:pStyle w:val="AmNumberTabs"/>
      </w:pPr>
      <w:r>
        <w:rPr>
          <w:rStyle w:val="HideTWBExt"/>
        </w:rPr>
        <w:t>&lt;Amend&gt;</w:t>
      </w:r>
      <w:r>
        <w:t>Grozījums Nr.</w:t>
      </w:r>
      <w:r>
        <w:tab/>
      </w:r>
      <w:r>
        <w:tab/>
      </w:r>
      <w:r>
        <w:rPr>
          <w:rStyle w:val="HideTWBExt"/>
        </w:rPr>
        <w:t>&lt;NumAm&gt;</w:t>
      </w:r>
      <w:r>
        <w:t>64</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aicina Komisiju pildīt savu apņemšanos līdz 2027. gadam vismaz 25 % no humānās palīdzības finansējuma novirzīt vietējiem dalībniekiem;</w:t>
            </w:r>
          </w:p>
        </w:tc>
        <w:tc>
          <w:tcPr>
            <w:tcW w:w="4876" w:type="dxa"/>
            <w:tcBorders>
              <w:top w:val="nil"/>
              <w:left w:val="nil"/>
              <w:bottom w:val="nil"/>
              <w:right w:val="nil"/>
            </w:tcBorders>
          </w:tcPr>
          <w:p>
            <w:pPr>
              <w:pStyle w:val="Normal6a"/>
            </w:pPr>
            <w:r>
              <w:t>15.</w:t>
            </w:r>
            <w:r>
              <w:tab/>
            </w:r>
            <w:r>
              <w:t xml:space="preserve">aicina Komisiju pildīt savu apņemšanos līdz 2027. gadam vismaz 25 % no humānās palīdzības finansējuma novirzīt vietējiem dalībniekiem </w:t>
            </w:r>
            <w:r>
              <w:t>tik tiešā veidā, cik vien iespējams, īpaši pievēršoties vietēja līmeņa sieviešu tiesību organizācijām</w:t>
            </w:r>
            <w:r>
              <w:t>;</w:t>
            </w:r>
            <w:r>
              <w:rPr>
                <w:b/>
                <w:i/>
              </w:rPr>
              <w:t xml:space="preserve"> </w:t>
            </w:r>
            <w:r>
              <w:t>aicina Komisiju atvieglot, vienkāršot un saskaņot vietējo un valsts dalībnieku piekļuvi finansējumam saskaņā ar Lielās vienošanās saistībām;</w:t>
            </w:r>
          </w:p>
        </w:tc>
      </w:tr>
    </w:tbl>
    <w:p>
      <w:r>
        <w:rPr>
          <w:rStyle w:val="HideTWBExt"/>
        </w:rPr>
        <w:t>&lt;/Amend&gt;</w:t>
      </w:r>
    </w:p>
    <w:p>
      <w:pPr>
        <w:pStyle w:val="AmNumberTabs"/>
      </w:pPr>
      <w:r>
        <w:rPr>
          <w:rStyle w:val="HideTWBExt"/>
        </w:rPr>
        <w:t>&lt;Amend&gt;</w:t>
      </w:r>
      <w:r>
        <w:t>Grozījums Nr.</w:t>
      </w:r>
      <w:r>
        <w:tab/>
      </w:r>
      <w:r>
        <w:tab/>
      </w:r>
      <w:r>
        <w:rPr>
          <w:rStyle w:val="HideTWBExt"/>
        </w:rPr>
        <w:t>&lt;NumAm&gt;</w:t>
      </w:r>
      <w:r>
        <w:t>65</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norāda, ka tālredzīga rīcība krīzes riskam pakļautā situācijā vēl pirms humanitārās krīzes iestāšanās ir efektīvs veids, kā novērst vai mazināt humanitārās vajadzības nākotnē;</w:t>
            </w:r>
          </w:p>
        </w:tc>
        <w:tc>
          <w:tcPr>
            <w:tcW w:w="4876" w:type="dxa"/>
            <w:tcBorders>
              <w:top w:val="nil"/>
              <w:left w:val="nil"/>
              <w:bottom w:val="nil"/>
              <w:right w:val="nil"/>
            </w:tcBorders>
          </w:tcPr>
          <w:p>
            <w:pPr>
              <w:pStyle w:val="Normal6a"/>
            </w:pPr>
            <w:r>
              <w:t>16.</w:t>
            </w:r>
            <w:r>
              <w:tab/>
            </w:r>
            <w:r>
              <w:t xml:space="preserve">norāda, ka tālredzīga rīcība krīzes riskam pakļautā situācijā vēl pirms humanitārās krīzes iestāšanās ir efektīvs veids, kā novērst vai mazināt humanitārās vajadzības nākotnē; </w:t>
            </w:r>
            <w:r>
              <w:rPr>
                <w:b/>
                <w:i/>
              </w:rPr>
              <w:t>uzsver, ka šādās apsteidzošās pieejās ir sistemātiski jāintegrē dzimumperspektīva, nodrošinot, ka tiek risinātas un atbalstītas sieviešu un meiteņu īpašās vajadzības, spējas un līderība;</w:t>
            </w:r>
          </w:p>
        </w:tc>
      </w:tr>
    </w:tbl>
    <w:p>
      <w:r>
        <w:rPr>
          <w:rStyle w:val="HideTWBExt"/>
        </w:rPr>
        <w:t>&lt;/Amend&gt;</w:t>
      </w:r>
    </w:p>
    <w:p>
      <w:pPr>
        <w:pStyle w:val="AmNumberTabs"/>
      </w:pPr>
      <w:r>
        <w:rPr>
          <w:rStyle w:val="HideTWBExt"/>
        </w:rPr>
        <w:t>&lt;Amend&gt;</w:t>
      </w:r>
      <w:r>
        <w:t>Grozījums Nr.</w:t>
      </w:r>
      <w:r>
        <w:tab/>
      </w:r>
      <w:r>
        <w:tab/>
      </w:r>
      <w:r>
        <w:rPr>
          <w:rStyle w:val="HideTWBExt"/>
        </w:rPr>
        <w:t>&lt;NumAm&gt;</w:t>
      </w:r>
      <w:r>
        <w:t>66</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aicina nodrošināt drošas patversmes, aizsargātas uzturēšanās vietas un psiholoģisko atbalstu sievietēm un meitenēm, kas cietušas no vardarbības humanitārās situācijās, vienlaikus nodrošinot pienācīgus un ilgtspējīgus resursus;</w:t>
            </w:r>
          </w:p>
        </w:tc>
      </w:tr>
    </w:tbl>
    <w:p>
      <w:r>
        <w:rPr>
          <w:rStyle w:val="HideTWBExt"/>
        </w:rPr>
        <w:t>&lt;/Amend&gt;</w:t>
      </w:r>
    </w:p>
    <w:p>
      <w:pPr>
        <w:pStyle w:val="AmNumberTabs"/>
      </w:pPr>
      <w:r>
        <w:rPr>
          <w:rStyle w:val="HideTWBExt"/>
        </w:rPr>
        <w:t>&lt;Amend&gt;</w:t>
      </w:r>
      <w:r>
        <w:t>Grozījums Nr.</w:t>
      </w:r>
      <w:r>
        <w:tab/>
      </w:r>
      <w:r>
        <w:tab/>
      </w:r>
      <w:r>
        <w:rPr>
          <w:rStyle w:val="HideTWBExt"/>
        </w:rPr>
        <w:t>&lt;NumAm&gt;</w:t>
      </w:r>
      <w:r>
        <w:t>67</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mudina dalībvalstis ievērojami palielināt savus ieguldījumus integrētā tālredzīgā rīcībā, kas tiek vadīta vietējā līmenī;</w:t>
            </w:r>
          </w:p>
        </w:tc>
        <w:tc>
          <w:tcPr>
            <w:tcW w:w="4876" w:type="dxa"/>
            <w:tcBorders>
              <w:top w:val="nil"/>
              <w:left w:val="nil"/>
              <w:bottom w:val="nil"/>
              <w:right w:val="nil"/>
            </w:tcBorders>
          </w:tcPr>
          <w:p>
            <w:pPr>
              <w:pStyle w:val="Normal6a"/>
            </w:pPr>
            <w:r>
              <w:t>18.</w:t>
            </w:r>
            <w:r>
              <w:tab/>
            </w:r>
            <w:r>
              <w:rPr>
                <w:b/>
                <w:i/>
              </w:rPr>
              <w:t xml:space="preserve">aicina ES izstrādāt dzimumresponsīvu humanitāro rīcību, lai pielāgotos HDP saiknei, virzoties prom no īstermiņa palīdzības uz ilgtermiņa ieguldījumiem kopienu noturībā pret turpmākām krīzēm un reaģēšanas plānošanā iesaistot visu dzimumu cilvēkus, lai labāk ņemtu vērā pamatcēloņus un tos risinātu; atgādina, ka ES ir jāveido saikne starp humanitārajiem un attīstības pasākumiem, lai reaģētu uz krīžu un konfliktu ietekmi uz visneaizsargātāko skolēnu un studentu grupu, proti, meitenēm un jaunām sievietēm; </w:t>
            </w:r>
            <w:r>
              <w:t>mudina dalībvalstis ievērojami palielināt savus ieguldījumus integrētā tālredzīgā rīcībā, kas tiek vadīta vietējā līmenī;</w:t>
            </w:r>
            <w:r>
              <w:rPr>
                <w:b/>
                <w:i/>
              </w:rPr>
              <w:t xml:space="preserve"> norāda, ka ieguldījumi humānajā palīdzībā ļauj mums izvairīties gan no turpmākām humanitārajām krīzēm, gan no nepieciešamības veikt lielākus ieguldījumus; aicina Komisiju iesniegt konkrētākus priekšlikumus, kas ietver konkrētus izdevumus, programmas un ar dzimumu saistītu darbību izsekošanu un novērtēšanu humanitāro krīžu laikā; norāda, ka informācijas, pakalpojumu un humānās palīdzības pieejamība ir būtiska, lai nodrošinātu iekļaujošu un efektīvu reakciju, kas sasniedz visus krīzes skartos cilvēkus, bet jo īpaši neaizsargātas grupas, piemēram, cilvēkus ar invaliditāti, bērnus un vecāka gadagājuma cilvēkus;</w:t>
            </w:r>
          </w:p>
        </w:tc>
      </w:tr>
    </w:tbl>
    <w:p>
      <w:r>
        <w:rPr>
          <w:rStyle w:val="HideTWBExt"/>
        </w:rPr>
        <w:t>&lt;/Amend&gt;</w:t>
      </w:r>
    </w:p>
    <w:p>
      <w:pPr>
        <w:pStyle w:val="AmNumberTabs"/>
      </w:pPr>
      <w:r>
        <w:rPr>
          <w:rStyle w:val="HideTWBExt"/>
        </w:rPr>
        <w:t>&lt;Amend&gt;</w:t>
      </w:r>
      <w:r>
        <w:t>Grozījums Nr.</w:t>
      </w:r>
      <w:r>
        <w:tab/>
      </w:r>
      <w:r>
        <w:tab/>
      </w:r>
      <w:r>
        <w:rPr>
          <w:rStyle w:val="HideTWBExt"/>
        </w:rPr>
        <w:t>&lt;NumAm&gt;</w:t>
      </w:r>
      <w:r>
        <w:t>68</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18.a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atkārtoti apstiprina, ka ES globālās veselības stratēģija balstās uz sliktas veselības pamatcēloņu novēršanu, un īpaša uzmanība tajā ir pievērsta sieviešu, bērnu un jauniešu vajadzībām un tiesībām, tostarp vispārējai piekļuvei seksuālajai un reproduktīvajai veselībai un ar to saistītajām tiesībām; atkārtoti norāda, ka sieviešu piekļuves veselības aprūpei un psihosociālajam atbalstam nodrošināšana ir svarīgs palīdzības sniegšanas un atveseļošanas centienu elements un prioritārs jautājums saistībā ar humānās palīdzības, attīstības un miera saikni;</w:t>
            </w:r>
          </w:p>
        </w:tc>
      </w:tr>
    </w:tbl>
    <w:p>
      <w:r>
        <w:rPr>
          <w:rStyle w:val="HideTWBExt"/>
        </w:rPr>
        <w:t>&lt;/Amend&gt;</w:t>
      </w:r>
    </w:p>
    <w:p>
      <w:pPr>
        <w:pStyle w:val="AmNumberTabs"/>
      </w:pPr>
      <w:r>
        <w:rPr>
          <w:rStyle w:val="HideTWBExt"/>
        </w:rPr>
        <w:t>&lt;Amend&gt;</w:t>
      </w:r>
      <w:r>
        <w:t>Grozījums Nr.</w:t>
      </w:r>
      <w:r>
        <w:tab/>
      </w:r>
      <w:r>
        <w:tab/>
      </w:r>
      <w:r>
        <w:rPr>
          <w:rStyle w:val="HideTWBExt"/>
        </w:rPr>
        <w:t>&lt;NumAm&gt;</w:t>
      </w:r>
      <w:r>
        <w:t>69</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18.b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uzsver, ka ir svarīgi veicināt krīzes skarto sieviešu iekļaušanu krīzes reaģēšanas un atveseļošanas plānos, kas ietekmē viņas, viņu ģimenes un plašākas kopienas;</w:t>
            </w:r>
          </w:p>
        </w:tc>
      </w:tr>
    </w:tbl>
    <w:p>
      <w:r>
        <w:rPr>
          <w:rStyle w:val="HideTWBExt"/>
        </w:rPr>
        <w:t>&lt;/Amend&gt;</w:t>
      </w:r>
    </w:p>
    <w:p>
      <w:pPr>
        <w:pStyle w:val="AmNumberTabs"/>
      </w:pPr>
      <w:r>
        <w:rPr>
          <w:rStyle w:val="HideTWBExt"/>
        </w:rPr>
        <w:t>&lt;Amend&gt;</w:t>
      </w:r>
      <w:r>
        <w:t>Grozījums Nr.</w:t>
      </w:r>
      <w:r>
        <w:tab/>
      </w:r>
      <w:r>
        <w:tab/>
      </w:r>
      <w:r>
        <w:rPr>
          <w:rStyle w:val="HideTWBExt"/>
        </w:rPr>
        <w:t>&lt;NumAm&gt;</w:t>
      </w:r>
      <w:r>
        <w:t>70</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18.c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atzinīgi vērtē to, ka Dzimumu līdztiesības rīcības plānā III ir paredzēta humānā palīdzība sagatavotības, novēršanas un reaģēšanas atbalstam saistībā ar seksuālu un dzimumbalstītu vardarbību;</w:t>
            </w:r>
          </w:p>
        </w:tc>
      </w:tr>
    </w:tbl>
    <w:p>
      <w:r>
        <w:rPr>
          <w:rStyle w:val="HideTWBExt"/>
        </w:rPr>
        <w:t>&lt;/Amend&gt;</w:t>
      </w:r>
    </w:p>
    <w:p>
      <w:pPr>
        <w:pStyle w:val="AmNumberTabs"/>
      </w:pPr>
      <w:r>
        <w:rPr>
          <w:rStyle w:val="HideTWBExt"/>
        </w:rPr>
        <w:t>&lt;Amend&gt;</w:t>
      </w:r>
      <w:r>
        <w:t>Grozījums Nr.</w:t>
      </w:r>
      <w:r>
        <w:tab/>
      </w:r>
      <w:r>
        <w:tab/>
      </w:r>
      <w:r>
        <w:rPr>
          <w:rStyle w:val="HideTWBExt"/>
        </w:rPr>
        <w:t>&lt;NumAm&gt;</w:t>
      </w:r>
      <w:r>
        <w:t>71</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18.d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18.d</w:t>
            </w:r>
            <w:r>
              <w:tab/>
            </w:r>
            <w:r>
              <w:rPr>
                <w:b/>
                <w:i/>
              </w:rPr>
              <w:t>aicina arī garantēt drošu piekļuvi izglītībai tiem bērniem, kurus skārušas humanitārās krīzes, tostarp sniedzot atbalstu pagaidu skolu izveidei un ēdināšanas programmām, kā arī psiholoģisko atbalstu;</w:t>
            </w:r>
          </w:p>
        </w:tc>
      </w:tr>
    </w:tbl>
    <w:p>
      <w:r>
        <w:rPr>
          <w:rStyle w:val="HideTWBExt"/>
        </w:rPr>
        <w:t>&lt;/Amend&gt;</w:t>
      </w:r>
    </w:p>
    <w:p>
      <w:pPr>
        <w:pStyle w:val="AmNumberTabs"/>
      </w:pPr>
      <w:r>
        <w:rPr>
          <w:rStyle w:val="HideTWBExt"/>
        </w:rPr>
        <w:t>&lt;Amend&gt;</w:t>
      </w:r>
      <w:r>
        <w:t>Grozījums Nr.</w:t>
      </w:r>
      <w:r>
        <w:tab/>
      </w:r>
      <w:r>
        <w:tab/>
      </w:r>
      <w:r>
        <w:rPr>
          <w:rStyle w:val="HideTWBExt"/>
        </w:rPr>
        <w:t>&lt;NumAm&gt;</w:t>
      </w:r>
      <w:r>
        <w:t>72</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18.e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18.e</w:t>
            </w:r>
            <w:r>
              <w:tab/>
            </w:r>
            <w:r>
              <w:rPr>
                <w:b/>
                <w:i/>
              </w:rPr>
              <w:t>aicina Komisiju nodrošināt, lai tās reaģēšana uz humanitārajām krīzēm ietvertu menstruālās higiēnas komplektus kā standarta elementu visos ārkārtas reaģēšanas pasākumos;</w:t>
            </w:r>
          </w:p>
        </w:tc>
      </w:tr>
    </w:tbl>
    <w:p>
      <w:r>
        <w:rPr>
          <w:rStyle w:val="HideTWBExt"/>
        </w:rPr>
        <w:t>&lt;/Amend&gt;</w:t>
      </w:r>
    </w:p>
    <w:p>
      <w:pPr>
        <w:pStyle w:val="AmNumberTabs"/>
      </w:pPr>
      <w:r>
        <w:rPr>
          <w:rStyle w:val="HideTWBExt"/>
        </w:rPr>
        <w:t>&lt;Amend&gt;</w:t>
      </w:r>
      <w:r>
        <w:t>Grozījums Nr.</w:t>
      </w:r>
      <w:r>
        <w:tab/>
      </w:r>
      <w:r>
        <w:tab/>
      </w:r>
      <w:r>
        <w:rPr>
          <w:rStyle w:val="HideTWBExt"/>
        </w:rPr>
        <w:t>&lt;NumAm&gt;</w:t>
      </w:r>
      <w:r>
        <w:t>73</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atzinīgi vērtē progresu, kas panākts, īstenojot ANO Drošības padomes 2000. gadā pieņemto Rezolūciju Nr. 1325 un programmu sieviešu, miera un drošības jomā, jo šis ir būtisks instruments, kas ļauj nodrošināt, ka sieviešu un meiteņu tiesības tiek ievērotas vienmēr;</w:t>
            </w:r>
          </w:p>
        </w:tc>
        <w:tc>
          <w:tcPr>
            <w:tcW w:w="4876" w:type="dxa"/>
            <w:tcBorders>
              <w:top w:val="nil"/>
              <w:left w:val="nil"/>
              <w:bottom w:val="nil"/>
              <w:right w:val="nil"/>
            </w:tcBorders>
          </w:tcPr>
          <w:p>
            <w:pPr>
              <w:pStyle w:val="Normal6a"/>
            </w:pPr>
            <w:r>
              <w:t>19.</w:t>
            </w:r>
            <w:r>
              <w:tab/>
            </w:r>
            <w:r>
              <w:t>atzinīgi vērtē progresu, kas panākts, īstenojot ANO Drošības padomes 2000. gadā pieņemto Rezolūciju Nr. 1325 un programmu sieviešu, miera un drošības jomā, jo šis ir būtisks instruments, kas ļauj nodrošināt, ka sieviešu un meiteņu tiesības tiek ievērotas vienmēr;</w:t>
            </w:r>
            <w:r>
              <w:rPr>
                <w:b/>
                <w:i/>
              </w:rPr>
              <w:t xml:space="preserve"> tomēr uzsver, ka dzimumbalstīta un seksuāla vardarbība joprojām ir posts, ko konfliktos bieži izmanto kā kara ieroci un ka sievietes un meitenes ir vairāk pakļautas bruņotu konfliktu un globālās sasilšanas sekām;</w:t>
            </w:r>
          </w:p>
        </w:tc>
      </w:tr>
    </w:tbl>
    <w:p>
      <w:r>
        <w:rPr>
          <w:rStyle w:val="HideTWBExt"/>
        </w:rPr>
        <w:t>&lt;/Amend&gt;</w:t>
      </w:r>
    </w:p>
    <w:p>
      <w:pPr>
        <w:pStyle w:val="AmNumberTabs"/>
      </w:pPr>
      <w:r>
        <w:rPr>
          <w:rStyle w:val="HideTWBExt"/>
        </w:rPr>
        <w:t>&lt;Amend&gt;</w:t>
      </w:r>
      <w:r>
        <w:t>Grozījums Nr.</w:t>
      </w:r>
      <w:r>
        <w:tab/>
      </w:r>
      <w:r>
        <w:tab/>
      </w:r>
      <w:r>
        <w:rPr>
          <w:rStyle w:val="HideTWBExt"/>
        </w:rPr>
        <w:t>&lt;NumAm&gt;</w:t>
      </w:r>
      <w:r>
        <w:t>74</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 xml:space="preserve">aicina ES un dalībvalstis par prioritāti noteikt programmas “Sievietes, miers un drošība” īstenošanu; </w:t>
            </w:r>
            <w:r>
              <w:t>uzsver, ka ir svarīgi atjaunot ES rīcības plānu sieviešu, miera un drošības jomā un atklāti vērsties pret jebkādu pretestību šai programmai visā pasaulē</w:t>
            </w:r>
            <w:r>
              <w:rPr>
                <w:vertAlign w:val="superscript"/>
              </w:rPr>
              <w:t>1a</w:t>
            </w:r>
            <w:r>
              <w:t>, vienlaikus prioritāti piešķirot tam, lai visām sievietēm, kuras skāruši konflikti, nodrošinātu piekļuvi būtiski svarīgajiem seksuālās un reproduktīvās veselības pakalpojumiem un garantētu pārskatatbildību un kompensācijas par seksuālās un reproduktīvās veselības un tiesību pārkāpumiem saskaņā ar starptautiskajiem cilvēktiesību standartiem un ieteikumiem;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https://www.europarl.europa.eu/RegData/etudes/BRIE/2025/769691/IUST_BRI(2025)769691_EN.pdf.</w:t>
            </w:r>
          </w:p>
        </w:tc>
      </w:tr>
    </w:tbl>
    <w:p>
      <w:r>
        <w:rPr>
          <w:rStyle w:val="HideTWBExt"/>
        </w:rPr>
        <w:t>&lt;/Amend&gt;</w:t>
      </w:r>
    </w:p>
    <w:p>
      <w:pPr>
        <w:pStyle w:val="AmNumberTabs"/>
      </w:pPr>
      <w:r>
        <w:rPr>
          <w:rStyle w:val="HideTWBExt"/>
        </w:rPr>
        <w:t>&lt;Amend&gt;</w:t>
      </w:r>
      <w:r>
        <w:t>Grozījums Nr.</w:t>
      </w:r>
      <w:r>
        <w:tab/>
      </w:r>
      <w:r>
        <w:tab/>
      </w:r>
      <w:r>
        <w:rPr>
          <w:rStyle w:val="HideTWBExt"/>
        </w:rPr>
        <w:t>&lt;NumAm&gt;</w:t>
      </w:r>
      <w:r>
        <w:t>75</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19.b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aicina Komisiju, EĀDD un dalībvalstis pastiprināt centienus, lai konfliktu novēršanas, starpniecības un miera veidošanas stratēģijās ņemtu vērā sieviešu un meiteņu īpašās vajadzības un ieguldījumu;</w:t>
            </w:r>
          </w:p>
        </w:tc>
      </w:tr>
    </w:tbl>
    <w:p>
      <w:r>
        <w:rPr>
          <w:rStyle w:val="HideTWBExt"/>
        </w:rPr>
        <w:t>&lt;/Amend&gt;</w:t>
      </w:r>
    </w:p>
    <w:p>
      <w:pPr>
        <w:pStyle w:val="AmNumberTabs"/>
      </w:pPr>
      <w:r>
        <w:rPr>
          <w:rStyle w:val="HideTWBExt"/>
        </w:rPr>
        <w:t>&lt;Amend&gt;</w:t>
      </w:r>
      <w:r>
        <w:t>Grozījums Nr.</w:t>
      </w:r>
      <w:r>
        <w:tab/>
      </w:r>
      <w:r>
        <w:tab/>
      </w:r>
      <w:r>
        <w:rPr>
          <w:rStyle w:val="HideTWBExt"/>
        </w:rPr>
        <w:t>&lt;NumAm&gt;</w:t>
      </w:r>
      <w:r>
        <w:t>76</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19.c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19.c</w:t>
            </w:r>
            <w:r>
              <w:tab/>
            </w:r>
            <w:r>
              <w:rPr>
                <w:b/>
                <w:i/>
              </w:rPr>
              <w:t>aicina Komisiju pastiprināt centienus, lai nodrošinātu, ka ES finansētā humānā palīdzība pienācīgi apmierina sieviešu, meiteņu, vīriešu un zēnu vajadzības, un panākt, ka ES turpina uzlabot dzimumu līdztiesības aspekta integrēšanu, paplašināt uz dzimumu līdztiesību vērstas darbības un nodrošināt dzimumatbildīgu pārskatīšanas procesu attiecībā uz visām Global Gateway un Eiropas komandas iniciatīvām;</w:t>
            </w:r>
          </w:p>
        </w:tc>
      </w:tr>
    </w:tbl>
    <w:p>
      <w:r>
        <w:rPr>
          <w:rStyle w:val="HideTWBExt"/>
        </w:rPr>
        <w:t>&lt;/Amend&gt;</w:t>
      </w:r>
    </w:p>
    <w:p>
      <w:pPr>
        <w:pStyle w:val="AmNumberTabs"/>
      </w:pPr>
      <w:r>
        <w:rPr>
          <w:rStyle w:val="HideTWBExt"/>
        </w:rPr>
        <w:t>&lt;Amend&gt;</w:t>
      </w:r>
      <w:r>
        <w:t>Grozījums Nr.</w:t>
      </w:r>
      <w:r>
        <w:tab/>
      </w:r>
      <w:r>
        <w:tab/>
      </w:r>
      <w:r>
        <w:rPr>
          <w:rStyle w:val="HideTWBExt"/>
        </w:rPr>
        <w:t>&lt;NumAm&gt;</w:t>
      </w:r>
      <w:r>
        <w:t>77</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19.d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19.d</w:t>
            </w:r>
            <w:r>
              <w:tab/>
            </w:r>
            <w:r>
              <w:rPr>
                <w:b/>
                <w:i/>
              </w:rPr>
              <w:t>aicina ES un visas ES dalībvalstis kļūt par parakstītājām un ziņot par saistībām, kas uzņemtas saskaņā ar SMD un humānās palīdzības rīcības paktu kā daļu no sadarbīgas un saliedētas pieejas ilgtermiņa stabilitātes un miera veidošanai;</w:t>
            </w:r>
          </w:p>
        </w:tc>
      </w:tr>
    </w:tbl>
    <w:p>
      <w:r>
        <w:rPr>
          <w:rStyle w:val="HideTWBExt"/>
        </w:rPr>
        <w:t>&lt;/Amend&gt;</w:t>
      </w:r>
    </w:p>
    <w:p>
      <w:pPr>
        <w:pStyle w:val="AmNumberTabs"/>
      </w:pPr>
      <w:r>
        <w:rPr>
          <w:rStyle w:val="HideTWBExt"/>
        </w:rPr>
        <w:t>&lt;Amend&gt;</w:t>
      </w:r>
      <w:r>
        <w:t>Grozījums Nr.</w:t>
      </w:r>
      <w:r>
        <w:tab/>
      </w:r>
      <w:r>
        <w:tab/>
      </w:r>
      <w:r>
        <w:rPr>
          <w:rStyle w:val="HideTWBExt"/>
        </w:rPr>
        <w:t>&lt;NumAm&gt;</w:t>
      </w:r>
      <w:r>
        <w:t>78</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aicina visas bruņotos konfliktos iesaistītās puses veikt pasākumus, lai aizsargātu sievietes un meitenes no seksuālas un dzimumbalstītas vardarbības un jebkāda cita veida vardarbības bruņota konflikta situācijās, kā arī veicināt viņu seksuālo un reproduktīvo veselību un ar to saistītās tiesības;</w:t>
            </w:r>
          </w:p>
        </w:tc>
        <w:tc>
          <w:tcPr>
            <w:tcW w:w="4876" w:type="dxa"/>
            <w:tcBorders>
              <w:top w:val="nil"/>
              <w:left w:val="nil"/>
              <w:bottom w:val="nil"/>
              <w:right w:val="nil"/>
            </w:tcBorders>
          </w:tcPr>
          <w:p>
            <w:pPr>
              <w:pStyle w:val="Normal6a"/>
            </w:pPr>
            <w:r>
              <w:t>20.</w:t>
            </w:r>
            <w:r>
              <w:tab/>
            </w:r>
            <w:r>
              <w:t xml:space="preserve">aicina visas bruņotos konfliktos iesaistītās puses </w:t>
            </w:r>
            <w:r>
              <w:t>iekļaut aizsardzības stratēģijas visos humānās palīdzības aspektos un</w:t>
            </w:r>
            <w:r>
              <w:t xml:space="preserve"> veikt pasākumus, lai aizsargātu sievietes un meitenes no seksuālas un dzimumbalstītas vardarbības un jebkāda cita veida vardarbības </w:t>
            </w:r>
            <w:r>
              <w:t>nabadzības, piespiedu pārvietošanās un</w:t>
            </w:r>
            <w:r>
              <w:t xml:space="preserve"> bruņota konflikta situācijās, </w:t>
            </w:r>
            <w:r>
              <w:t>tostarp no agrīnām laulībām un pusaudžu grūtniecības humanitāro krīžu kontekstā, kas izraisa izglītības ieguves pārrāvumus un saasina daudzdimensionālo nabadzību</w:t>
            </w:r>
            <w:r>
              <w:t xml:space="preserve">, kā arī veicināt viņu seksuālo un reproduktīvo veselību un tiesības, </w:t>
            </w:r>
            <w:r>
              <w:t>jo īpaši attiecībā uz Ukrainas sievietēm, kuras ir aizbēgušas uz valstīm ar ierobežojošāku seksuālās un reproduktīvās veselības un tiesību politiku un kuras ir pelnījušas piekļuvi drošiem un legāliem abortiem pēc seksuālas vardarbības, kas izmantota kā kara ierocis</w:t>
            </w:r>
            <w:r>
              <w:t>;</w:t>
            </w:r>
            <w:r>
              <w:rPr>
                <w:b/>
                <w:i/>
              </w:rPr>
              <w:t xml:space="preserve"> </w:t>
            </w:r>
            <w:r>
              <w:t>atzīst, ka šāda vardarbība bieži saasinās konfliktu laikā un var tikt sistemātiski izmantota kā kara ierocis;</w:t>
            </w:r>
          </w:p>
        </w:tc>
      </w:tr>
    </w:tbl>
    <w:p>
      <w:r>
        <w:rPr>
          <w:rStyle w:val="HideTWBExt"/>
        </w:rPr>
        <w:t>&lt;/Amend&gt;</w:t>
      </w:r>
    </w:p>
    <w:p>
      <w:pPr>
        <w:pStyle w:val="AmNumberTabs"/>
      </w:pPr>
      <w:r>
        <w:rPr>
          <w:rStyle w:val="HideTWBExt"/>
        </w:rPr>
        <w:t>&lt;Amend&gt;</w:t>
      </w:r>
      <w:r>
        <w:t>Grozījums Nr.</w:t>
      </w:r>
      <w:r>
        <w:tab/>
      </w:r>
      <w:r>
        <w:tab/>
      </w:r>
      <w:r>
        <w:rPr>
          <w:rStyle w:val="HideTWBExt"/>
        </w:rPr>
        <w:t>&lt;NumAm&gt;</w:t>
      </w:r>
      <w:r>
        <w:t>79</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20.a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atgādina, ka miera nolīgumiem, kas noslēgti ar sieviešu līdzdalību, ir labākas izredzes būt ilgtspējīgiem un efektīviem; aicina Komisiju iesaistīt sievietes visos lēmumu pieņemšanas procesos humanitāros un pēckonflikta kontekstos;</w:t>
            </w:r>
          </w:p>
        </w:tc>
      </w:tr>
    </w:tbl>
    <w:p>
      <w:r>
        <w:rPr>
          <w:rStyle w:val="HideTWBExt"/>
        </w:rPr>
        <w:t>&lt;/Amend&gt;</w:t>
      </w:r>
    </w:p>
    <w:p>
      <w:pPr>
        <w:pStyle w:val="AmNumberTabs"/>
      </w:pPr>
      <w:r>
        <w:rPr>
          <w:rStyle w:val="HideTWBExt"/>
        </w:rPr>
        <w:t>&lt;Amend&gt;</w:t>
      </w:r>
      <w:r>
        <w:t>Grozījums Nr.</w:t>
      </w:r>
      <w:r>
        <w:tab/>
      </w:r>
      <w:r>
        <w:tab/>
      </w:r>
      <w:r>
        <w:rPr>
          <w:rStyle w:val="HideTWBExt"/>
        </w:rPr>
        <w:t>&lt;NumAm&gt;</w:t>
      </w:r>
      <w:r>
        <w:t>80</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uzsver, ka sievietēm ir izšķiroša loma humānās palīdzības kontekstā; pauž nožēlu par to, ka nesenais ārvalstu palīdzības apjoma samazinājums vissmagāk skāris vietējās sieviešu vadītās organizācijas, un mudina </w:t>
            </w:r>
            <w:r>
              <w:t>uzlabot sadarbību</w:t>
            </w:r>
            <w:r>
              <w:t xml:space="preserve"> ar viņām humānās palīdzības plānošanā</w:t>
            </w:r>
            <w:r>
              <w:rPr>
                <w:vertAlign w:val="superscript"/>
              </w:rPr>
              <w:t>7</w:t>
            </w:r>
            <w:r>
              <w:t xml:space="preserve"> ;</w:t>
            </w:r>
          </w:p>
        </w:tc>
        <w:tc>
          <w:tcPr>
            <w:tcW w:w="4876" w:type="dxa"/>
            <w:tcBorders>
              <w:top w:val="nil"/>
              <w:left w:val="nil"/>
              <w:bottom w:val="nil"/>
              <w:right w:val="nil"/>
            </w:tcBorders>
          </w:tcPr>
          <w:p>
            <w:pPr>
              <w:pStyle w:val="Normal6a"/>
            </w:pPr>
            <w:r>
              <w:t>21.</w:t>
            </w:r>
            <w:r>
              <w:tab/>
            </w:r>
            <w:r>
              <w:t xml:space="preserve">uzsver, ka sievietēm </w:t>
            </w:r>
            <w:r>
              <w:t>kā pirmajām reaģētājām</w:t>
            </w:r>
            <w:r>
              <w:t xml:space="preserve"> ir izšķiroša loma humānās palīdzības kontekstā; pauž nožēlu par to, ka nesenais ārvalstu palīdzības apjoma samazinājums vissmagāk skāris vietējās sieviešu vadītās </w:t>
            </w:r>
            <w:r>
              <w:rPr>
                <w:b/>
                <w:i/>
              </w:rPr>
              <w:t>un LGBTIQ+</w:t>
            </w:r>
            <w:r>
              <w:t xml:space="preserve"> organizācijas, un mudina </w:t>
            </w:r>
            <w:r>
              <w:t>pilnībā, uz vienlīdzības pamata un jēgpilni sadarboties</w:t>
            </w:r>
            <w:r>
              <w:t xml:space="preserve"> ar viņām humānās palīdzības plānošanā</w:t>
            </w:r>
            <w:r>
              <w:t>, tostarp nodrošināt elastīgāku un tiešu finansējumu</w:t>
            </w:r>
            <w:r>
              <w:rPr>
                <w:vertAlign w:val="superscript"/>
              </w:rPr>
              <w:t>7</w:t>
            </w:r>
            <w:r>
              <w:t xml:space="preserve"> ;</w:t>
            </w:r>
            <w:r>
              <w:rPr>
                <w:b/>
                <w:i/>
              </w:rPr>
              <w:t xml:space="preserve"> </w:t>
            </w:r>
            <w:r>
              <w:t>ar nožēlu norāda, ka gandrīz puse (47 %) aptaujāto sieviešu un sieviešu organizāciju plāno izbeigt darbību nākamo sešu mēnešu laikā, ja pašreizējais finansējuma līmenis nemainīsies, savukārt vairāk nekā trešdaļai (35 %) organizāciju situācija joprojām ir nenoteikta, tās nespēj plānot vai turpināt darbu, un tikai 18 % plāno turpināt darbību ilgāk par gadu</w:t>
            </w:r>
            <w:r>
              <w:rPr>
                <w:vertAlign w:val="superscript"/>
              </w:rPr>
              <w:t>7a</w:t>
            </w:r>
            <w:r>
              <w:t>;</w:t>
            </w:r>
            <w:r>
              <w:rPr>
                <w:b/>
                <w:i/>
              </w:rPr>
              <w:t xml:space="preserve"> uzsver, ka ir svarīgi bēgļu nometnēs un uzņemšanas centros garantēt drošību un piekļuvi uz vajadzībām balstītiem pakalpojumiem, tostarp pienācīgai sanitārijai, veselības aprūpei, psihosociālajam atbalstam, maternitātes aprūpei, juridiskajai palīdzībai un drošām telpām; uzsver, ka sievietes un meitenes šādos apstākļos bieži saskaras ar paaugstinātu risku un ka viņu jēgpilna līdzdalība bēgļu patversmju izstrādē, plānošanā un pārvaldībā ir būtiska, lai nodrošinātu, ka pakalpojumi ir pieejami, piemēroti un atbilst viņu īpašajām vajadzībām; </w:t>
            </w:r>
            <w:r>
              <w:t>aicina Komisiju un humānās palīdzības sniedzējus novērst mobilitātes un ar transportu saistītos šķēršļus, kas liedz sievietēm un meitenēm piekļūt palīdzībai, tostarp drošai transportēšanai uz veselības aprūpes centriem, palīdzības izdales punktiem un patvertnēm;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UN Women, ‘Humanitarian funding cuts threaten women’s rights: What’s at stake and how to help’, 13 May 2025, https://www.unwomen.org/en/articles/explainer/humanitarian-funding-cuts-threaten-womens-rights-whats-at-stake-and-how-to-help.</w:t>
            </w:r>
          </w:p>
        </w:tc>
        <w:tc>
          <w:tcPr>
            <w:tcW w:w="4876" w:type="dxa"/>
            <w:tcBorders>
              <w:top w:val="nil"/>
              <w:left w:val="nil"/>
              <w:bottom w:val="nil"/>
              <w:right w:val="nil"/>
            </w:tcBorders>
          </w:tcPr>
          <w:p>
            <w:pPr>
              <w:pStyle w:val="Normal6a"/>
            </w:pPr>
            <w:r>
              <w:rPr>
                <w:vertAlign w:val="superscript"/>
              </w:rPr>
              <w:t>7</w:t>
            </w:r>
            <w:r>
              <w:t xml:space="preserve"> </w:t>
            </w:r>
            <w:r>
              <w:t>UN Women, ‘Humanitarian funding cuts threaten women’s rights: What’s at stake and how to help’, 13 May 2025, https://www.unwomen.org/en/articles/explainer/humanitarian-funding-cuts-threaten-womens-rights-whats-at-stake-and-how-to-help.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7a</w:t>
            </w:r>
            <w:r>
              <w:t xml:space="preserve"> </w:t>
            </w:r>
            <w:r>
              <w:rPr>
                <w:b/>
                <w:i/>
              </w:rPr>
              <w:t>https://www.unwomen.org/sites/default/files/2025-05/at-a-breaking-point-the-impact-of-foreign-aid-cuts-on-womens-organizations-in-humanitarian-crises-worldwide-en.pdf.</w:t>
            </w:r>
          </w:p>
        </w:tc>
      </w:tr>
    </w:tbl>
    <w:p>
      <w:r>
        <w:rPr>
          <w:rStyle w:val="HideTWBExt"/>
        </w:rPr>
        <w:t>&lt;/Amend&gt;</w:t>
      </w:r>
    </w:p>
    <w:p>
      <w:pPr>
        <w:pStyle w:val="AmNumberTabs"/>
      </w:pPr>
      <w:r>
        <w:rPr>
          <w:rStyle w:val="HideTWBExt"/>
        </w:rPr>
        <w:t>&lt;Amend&gt;</w:t>
      </w:r>
      <w:r>
        <w:t>Grozījums Nr.</w:t>
      </w:r>
      <w:r>
        <w:tab/>
      </w:r>
      <w:r>
        <w:tab/>
      </w:r>
      <w:r>
        <w:rPr>
          <w:rStyle w:val="HideTWBExt"/>
        </w:rPr>
        <w:t>&lt;NumAm&gt;</w:t>
      </w:r>
      <w:r>
        <w:t>81</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21.a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uzsver sieviešu īpašo neaizsargātību laukos, nomaļās vietās un konfliktu skartās teritorijās, jo tur viņas bieži saskaras ar papildu šķēršļiem humānās palīdzības, tostarp veselības aprūpes pakalpojumu un psiholoģiskā atbalsta, pieejamībā; aicina nodrošināt mērķtiecīgu finansējumu un iekļaujošu plānošanu, lai risinātu šīs intersekcionālās problēmas;</w:t>
            </w:r>
          </w:p>
        </w:tc>
      </w:tr>
    </w:tbl>
    <w:p>
      <w:r>
        <w:rPr>
          <w:rStyle w:val="HideTWBExt"/>
        </w:rPr>
        <w:t>&lt;/Amend&gt;</w:t>
      </w:r>
    </w:p>
    <w:p>
      <w:pPr>
        <w:pStyle w:val="AmNumberTabs"/>
      </w:pPr>
      <w:r>
        <w:rPr>
          <w:rStyle w:val="HideTWBExt"/>
        </w:rPr>
        <w:t>&lt;Amend&gt;</w:t>
      </w:r>
      <w:r>
        <w:t>Grozījums Nr.</w:t>
      </w:r>
      <w:r>
        <w:tab/>
      </w:r>
      <w:r>
        <w:tab/>
      </w:r>
      <w:r>
        <w:rPr>
          <w:rStyle w:val="HideTWBExt"/>
        </w:rPr>
        <w:t>&lt;NumAm&gt;</w:t>
      </w:r>
      <w:r>
        <w:t>82</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21.b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uzsver, ka ir svarīgi aizsargāt visu cilvēku cieņu humanitāros kontekstos, bet īpaša uzmanība ir jāpievērš sievietēm un meitenēm, nodrošinot vienlīdzīgu piekļuvi pamatpakalpojumiem un piegādēm, tostarp paketēm un menstruālās higiēnas produktiem, drošām un privātām telpām barošanai ar krūti un mātes aprūpei, dzimumsensitīviem sanitārajiem mezgliem un pienācīgam apgaismojumam, lai uzlabotu drošību vakaros;</w:t>
            </w:r>
          </w:p>
        </w:tc>
      </w:tr>
    </w:tbl>
    <w:p>
      <w:r>
        <w:rPr>
          <w:rStyle w:val="HideTWBExt"/>
        </w:rPr>
        <w:t>&lt;/Amend&gt;</w:t>
      </w:r>
    </w:p>
    <w:p>
      <w:pPr>
        <w:pStyle w:val="AmNumberTabs"/>
      </w:pPr>
      <w:r>
        <w:rPr>
          <w:rStyle w:val="HideTWBExt"/>
        </w:rPr>
        <w:t>&lt;Amend&gt;</w:t>
      </w:r>
      <w:r>
        <w:t>Grozījums Nr.</w:t>
      </w:r>
      <w:r>
        <w:tab/>
      </w:r>
      <w:r>
        <w:tab/>
      </w:r>
      <w:r>
        <w:rPr>
          <w:rStyle w:val="HideTWBExt"/>
        </w:rPr>
        <w:t>&lt;NumAm&gt;</w:t>
      </w:r>
      <w:r>
        <w:t>83</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22.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mudina Komisiju, EĀDD un dalībvalstis veicināt </w:t>
            </w:r>
            <w:r>
              <w:t>dzimumsensitīvu</w:t>
            </w:r>
            <w:r>
              <w:t xml:space="preserve"> pieeju humanitārās intervences pasākumos un palielināt atbalstu sieviešu līdzdalībai lēmumu pieņemšanā attiecībā uz humānās palīdzības jautājumiem, saskaņā ar ANO Drošības padomes Rezolūcijas Nr. 1325 mērķiem nodrošinot, ka palīdzības plānošanā un sniegšanā sieviešu perspektīvai un vajadzībām tiek piešķirta prioritāra nozīme;</w:t>
            </w:r>
          </w:p>
        </w:tc>
        <w:tc>
          <w:tcPr>
            <w:tcW w:w="4876" w:type="dxa"/>
            <w:tcBorders>
              <w:top w:val="nil"/>
              <w:left w:val="nil"/>
              <w:bottom w:val="nil"/>
              <w:right w:val="nil"/>
            </w:tcBorders>
          </w:tcPr>
          <w:p>
            <w:pPr>
              <w:pStyle w:val="Normal6a"/>
            </w:pPr>
            <w:r>
              <w:t>22.</w:t>
            </w:r>
            <w:r>
              <w:tab/>
            </w:r>
            <w:r>
              <w:t xml:space="preserve">mudina Komisiju, EĀDD un dalībvalstis veicināt </w:t>
            </w:r>
            <w:r>
              <w:t>dzimumvērīgu</w:t>
            </w:r>
            <w:r>
              <w:t xml:space="preserve"> pieeju humanitārās intervences pasākumos, palielināt atbalstu sieviešu </w:t>
            </w:r>
            <w:r>
              <w:t>pilnai, vienlīdzīgai un jēgpilnai</w:t>
            </w:r>
            <w:r>
              <w:t xml:space="preserve"> līdzdalībai </w:t>
            </w:r>
            <w:r>
              <w:t>un līderībai</w:t>
            </w:r>
            <w:r>
              <w:t xml:space="preserve"> lēmumu pieņemšanā attiecībā uz humānās palīdzības jautājumiem </w:t>
            </w:r>
            <w:r>
              <w:t>visos posmos un valstu un starptautiskā līmenī izstrādāt dzimumvērīgas attīstības stratēģijas, kas dod iespēju sievietēm droši iesaistīties un uzņemties līderību krīžu apstākļos,</w:t>
            </w:r>
            <w:r>
              <w:t xml:space="preserve"> saskaņā ar ANO Drošības padomes Rezolūcijas Nr. 1325 mērķiem nodrošinot, ka palīdzības plānošanā un sniegšanā sieviešu perspektīvai un vajadzībām tiek piešķirta prioritāra nozīme;</w:t>
            </w:r>
            <w:r>
              <w:rPr>
                <w:b/>
                <w:i/>
              </w:rPr>
              <w:t xml:space="preserve"> aicina nodrošināt sieviešu pilnīgu, vienlīdzīgu un jēgpilnu līdzdalību visos miera procesa posmos, tostarp starpniecības centienos, bruņotu konfliktu novēršanā un atrisināšanā, miera veidošanā, pēckonflikta atjaunošanā un sarunās par pamieru, vienlaikus stiprinot visu sieviešu aizsardzību visā pasaulē;</w:t>
            </w:r>
          </w:p>
        </w:tc>
      </w:tr>
    </w:tbl>
    <w:p>
      <w:r>
        <w:rPr>
          <w:rStyle w:val="HideTWBExt"/>
        </w:rPr>
        <w:t>&lt;/Amend&gt;</w:t>
      </w:r>
    </w:p>
    <w:p>
      <w:pPr>
        <w:pStyle w:val="AmNumberTabs"/>
      </w:pPr>
      <w:r>
        <w:rPr>
          <w:rStyle w:val="HideTWBExt"/>
        </w:rPr>
        <w:t>&lt;Amend&gt;</w:t>
      </w:r>
      <w:r>
        <w:t>Grozījums Nr.</w:t>
      </w:r>
      <w:r>
        <w:tab/>
      </w:r>
      <w:r>
        <w:tab/>
      </w:r>
      <w:r>
        <w:rPr>
          <w:rStyle w:val="HideTWBExt"/>
        </w:rPr>
        <w:t>&lt;NumAm&gt;</w:t>
      </w:r>
      <w:r>
        <w:t>84</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22.a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pauž nopietnas bažas par strikti konservatīvu, pret dzimumu līdztiesību vērstu un reliģiska fundamentālisma kustību pieaugošo ietekmi gan ES, gan ārpus tās, kuru mērķis ir graut sieviešu un meiteņu pamattiesības, tostarp humanitārās situācijās; uzsver, ka šādas kustības bieži izplata dezinformāciju, stigmatizē seksuālās un reproduktīvās veselības pakalpojumus un vājina sieviešu aizsardzību pret dzimumbalstītu vardarbību; aicina Komisiju, EĀDD un dalībvalstis nodrošināt, ka ES finansētās humānās palīdzības programmas joprojām stingri balstās uz starptautiskajiem cilvēktiesību standartiem un dzimumu līdztiesību, un aktīvi atbalstīt pilsoniskās sabiedrības organizācijas, pret kurām vēršas dalībnieki, kas aģitē pret tiesībām;</w:t>
            </w:r>
          </w:p>
        </w:tc>
      </w:tr>
    </w:tbl>
    <w:p>
      <w:r>
        <w:rPr>
          <w:rStyle w:val="HideTWBExt"/>
        </w:rPr>
        <w:t>&lt;/Amend&gt;</w:t>
      </w:r>
    </w:p>
    <w:p>
      <w:pPr>
        <w:pStyle w:val="AmNumberTabs"/>
      </w:pPr>
      <w:r>
        <w:rPr>
          <w:rStyle w:val="HideTWBExt"/>
        </w:rPr>
        <w:t>&lt;Amend&gt;</w:t>
      </w:r>
      <w:r>
        <w:t>Grozījums Nr.</w:t>
      </w:r>
      <w:r>
        <w:tab/>
      </w:r>
      <w:r>
        <w:tab/>
      </w:r>
      <w:r>
        <w:rPr>
          <w:rStyle w:val="HideTWBExt"/>
        </w:rPr>
        <w:t>&lt;NumAm&gt;</w:t>
      </w:r>
      <w:r>
        <w:t>85</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23.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atkārtoti aicina ES dalībvalstis pilnībā īstenot ANO Drošības padomes Rezolūciju Nr. 1325;</w:t>
            </w:r>
          </w:p>
        </w:tc>
        <w:tc>
          <w:tcPr>
            <w:tcW w:w="4876" w:type="dxa"/>
            <w:tcBorders>
              <w:top w:val="nil"/>
              <w:left w:val="nil"/>
              <w:bottom w:val="nil"/>
              <w:right w:val="nil"/>
            </w:tcBorders>
          </w:tcPr>
          <w:p>
            <w:pPr>
              <w:pStyle w:val="Normal6a"/>
            </w:pPr>
            <w:r>
              <w:t>23.</w:t>
            </w:r>
            <w:r>
              <w:tab/>
            </w:r>
            <w:r>
              <w:t>atkārtoti aicina ES dalībvalstis pilnībā īstenot ANO Drošības padomes Rezolūciju Nr. 1325;</w:t>
            </w:r>
            <w:r>
              <w:rPr>
                <w:b/>
                <w:i/>
              </w:rPr>
              <w:t xml:space="preserve"> mudina dalībvalstis atjaunināt savus nacionālos rīcības plānus (VRP) saskaņā ar ANO Drošības padomes Rezolūciju Nr. 1325;</w:t>
            </w:r>
          </w:p>
        </w:tc>
      </w:tr>
    </w:tbl>
    <w:p>
      <w:r>
        <w:rPr>
          <w:rStyle w:val="HideTWBExt"/>
        </w:rPr>
        <w:t>&lt;/Amend&gt;</w:t>
      </w:r>
    </w:p>
    <w:p>
      <w:pPr>
        <w:pStyle w:val="AmNumberTabs"/>
      </w:pPr>
      <w:r>
        <w:rPr>
          <w:rStyle w:val="HideTWBExt"/>
        </w:rPr>
        <w:t>&lt;Amend&gt;</w:t>
      </w:r>
      <w:r>
        <w:t>Grozījums Nr.</w:t>
      </w:r>
      <w:r>
        <w:tab/>
      </w:r>
      <w:r>
        <w:tab/>
      </w:r>
      <w:r>
        <w:rPr>
          <w:rStyle w:val="HideTWBExt"/>
        </w:rPr>
        <w:t>&lt;NumAm&gt;</w:t>
      </w:r>
      <w:r>
        <w:t>86</w:t>
      </w:r>
      <w:r>
        <w:rPr>
          <w:rStyle w:val="HideTWBExt"/>
        </w:rPr>
        <w:t>&lt;/NumAm&gt;</w:t>
      </w:r>
    </w:p>
    <w:p>
      <w:pPr>
        <w:pStyle w:val="NormalBold12b"/>
      </w:pPr>
      <w:r>
        <w:rPr>
          <w:rStyle w:val="HideTWBExt"/>
        </w:rPr>
        <w:t>&lt;DocAmend&gt;</w:t>
      </w:r>
      <w:r>
        <w:t>Rezolūcijas priekšlikums</w:t>
      </w:r>
      <w:r>
        <w:rPr>
          <w:rStyle w:val="HideTWBExt"/>
        </w:rPr>
        <w:t>&lt;/DocAmend&gt;</w:t>
      </w:r>
    </w:p>
    <w:p>
      <w:pPr>
        <w:pStyle w:val="NormalBold"/>
      </w:pPr>
      <w:r>
        <w:rPr>
          <w:rStyle w:val="HideTWBExt"/>
        </w:rPr>
        <w:t>&lt;Article&gt;</w:t>
      </w:r>
      <w:r>
        <w:t>23.a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brīdina par institucionālu vardarbību un nolaidību no humānās palīdzības sniedzēju puses, tostarp plānošanu, kurā netiek ņemts vērā dzimuma aspekts, nedrošu vidi sievietēm un LGBTIQ+ personām un nesaukšanu pie atbildības par pārkāpumiem; aicina visās ES finansētajās humānās palīdzības operācijās noteikt saistošus dzimumu līdztiesības standartus, visaptverošas ziņošanas sistēmas un nulles tolerances politiku;</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
      </w:pPr>
      <w:r>
        <w:t>PIELIKUMS. PIENESUMA DEKLARĀCIJA</w:t>
      </w:r>
    </w:p>
    <w:p>
      <w:pPr>
        <w:pStyle w:val="Normal12a"/>
      </w:pPr>
      <w:r>
        <w:rPr>
          <w:rStyle w:val="HideTWBExt"/>
        </w:rPr>
        <w:t>&lt;FootprintIntro&gt;</w:t>
      </w:r>
      <w:r>
        <w:rPr>
          <w:rStyle w:val="HideTWBExt"/>
        </w:rPr>
        <w:t>&lt;/FootprintIntro&gt;</w:t>
      </w:r>
    </w:p>
    <w:p>
      <w:pPr>
        <w:pStyle w:val="Normal12a"/>
      </w:pPr>
      <w:r>
        <w:t>Referente, pilnībā uzņemoties visu atbildību, apliecina, ka viņa savā ziņojumā nav iekļāvusi pienesumu no interešu pārstāvjiem, uz kuriem attiecas Iestāžu nolīgums par obligātu pārredzamības reģistru</w:t>
      </w:r>
      <w:r>
        <w:rPr>
          <w:rStyle w:val="FootnoteReference"/>
        </w:rPr>
        <w:footnoteReference w:customMarkFollows="1" w:id="2"/>
        <w:t xml:space="preserve">1</w:t>
      </w:r>
      <w:r>
        <w:t>, vai no trešo valstu publisko iestāžu, tostarp to diplomātisko pārstāvniecību un vēstniecību, pārstāvjiem, kas būtu jānorāda šajā pielikumā saskaņā ar Reglamenta I pielikuma 8. pantu.</w:t>
      </w:r>
    </w:p>
    <w:p>
      <w:pPr>
        <w:sectPr>
          <w:footnotePr>
            <w:numRestart w:val="eachSect"/>
          </w:footnotePr>
          <w:type w:val="nextPage"/>
          <w:pgSz w:w="11909" w:h="16834"/>
          <w:pgMar w:top="1134" w:right="1417" w:bottom="1417" w:left="1417" w:header="1134" w:footer="567"/>
          <w:cols w:space="720"/>
        </w:sectPr>
      </w:pPr>
    </w:p>
    <w:p>
      <w:pPr>
        <w:pStyle w:val="PageHeading"/>
      </w:pPr>
      <w:r>
        <w:t>INFORMĀCIJA PAR PIEŅEMŠANU ATZINUMU SNIEDZOŠAJĀ KOMITEJĀ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Pieņemšanas datums</w:t>
            </w:r>
          </w:p>
        </w:tc>
        <w:tc>
          <w:tcPr>
            <w:tcW w:w="6400" w:type="dxa"/>
            <w:tcBorders>
              <w:left w:val="dotted" w:sz="4" w:space="0" w:color="auto"/>
            </w:tcBorders>
          </w:tcPr>
          <w:p>
            <w:pPr>
              <w:pStyle w:val="ProcedureTable"/>
            </w:pPr>
            <w:r>
              <w:t>13.10.2025</w:t>
            </w:r>
          </w:p>
        </w:tc>
      </w:tr>
      <w:tr>
        <w:tblPrEx>
          <w:tblW w:w="0" w:type="auto"/>
          <w:tblLayout w:type="fixed"/>
          <w:tblCellMar>
            <w:left w:w="140" w:type="dxa"/>
            <w:right w:w="140" w:type="dxa"/>
          </w:tblCellMar>
        </w:tblPrEx>
        <w:tc>
          <w:tcPr>
            <w:tcW w:w="3600" w:type="dxa"/>
          </w:tcPr>
          <w:p>
            <w:pPr>
              <w:pStyle w:val="ProcedureTableBold"/>
            </w:pPr>
            <w:r>
              <w:t>Galīgais balsojums</w:t>
            </w:r>
          </w:p>
        </w:tc>
        <w:tc>
          <w:tcPr>
            <w:tcW w:w="6400" w:type="dxa"/>
            <w:tcBorders>
              <w:left w:val="dotted" w:sz="4" w:space="0" w:color="auto"/>
            </w:tcBorders>
          </w:tcPr>
          <w:p>
            <w:r>
              <w:t>+</w:t>
            </w:r>
            <w:r>
              <w:tab/>
            </w:r>
            <w:r>
              <w:t>:</w:t>
            </w:r>
            <w:r>
              <w:tab/>
            </w:r>
            <w:r>
              <w:t>25</w:t>
            </w:r>
          </w:p>
          <w:p>
            <w:r>
              <w:t>-</w:t>
            </w:r>
            <w:r>
              <w:tab/>
            </w:r>
            <w:r>
              <w:t>:</w:t>
            </w:r>
            <w:r>
              <w:tab/>
            </w:r>
            <w:r>
              <w:t>8</w:t>
            </w:r>
          </w:p>
          <w:p>
            <w:r>
              <w:t>0</w:t>
            </w:r>
            <w:r>
              <w:tab/>
            </w:r>
            <w:r>
              <w:t>:</w:t>
            </w:r>
            <w:r>
              <w:tab/>
            </w:r>
            <w:r>
              <w:t>1</w:t>
            </w:r>
          </w:p>
        </w:tc>
      </w:tr>
      <w:tr>
        <w:tblPrEx>
          <w:tblW w:w="0" w:type="auto"/>
          <w:tblLayout w:type="fixed"/>
          <w:tblCellMar>
            <w:left w:w="140" w:type="dxa"/>
            <w:right w:w="140" w:type="dxa"/>
          </w:tblCellMar>
        </w:tblPrEx>
        <w:tc>
          <w:tcPr>
            <w:tcW w:w="3600" w:type="dxa"/>
          </w:tcPr>
          <w:p>
            <w:pPr>
              <w:pStyle w:val="ProcedureTableBold"/>
            </w:pPr>
            <w:r>
              <w:t>Komitejas locekļi, kas bija klāt galīgajā balsošanā</w:t>
            </w:r>
          </w:p>
        </w:tc>
        <w:tc>
          <w:tcPr>
            <w:tcW w:w="6400" w:type="dxa"/>
            <w:tcBorders>
              <w:left w:val="dotted" w:sz="4" w:space="0" w:color="auto"/>
            </w:tcBorders>
          </w:tcPr>
          <w:p>
            <w:pPr>
              <w:pStyle w:val="ProcedureTable"/>
            </w:pPr>
            <w:r>
              <w:t>Margarita de la Pisa Carrión, Valérie Devaux, Heléne Fritzon, Lina Gálvez, Alexandra Geese, Chiara Gemma, Fernand Kartheiser, Arba Kokalari, Elena Kountoura, Sebastian Kruis, Judita Laššáková, Eleonora Meleti, Carolina Morace, Maria Noichl, Sirpa Pietikäinen, Giusi Princi, Emma Rafowicz, Joanna Scheuring-Wielgus, Benedetta Scuderi, Laurence Trochu, Marko Vešligaj, Maria Walsh, Lucia Yar</w:t>
            </w:r>
          </w:p>
        </w:tc>
      </w:tr>
      <w:tr>
        <w:tblPrEx>
          <w:tblW w:w="0" w:type="auto"/>
          <w:tblLayout w:type="fixed"/>
          <w:tblCellMar>
            <w:left w:w="140" w:type="dxa"/>
            <w:right w:w="140" w:type="dxa"/>
          </w:tblCellMar>
        </w:tblPrEx>
        <w:tc>
          <w:tcPr>
            <w:tcW w:w="3600" w:type="dxa"/>
          </w:tcPr>
          <w:p>
            <w:pPr>
              <w:pStyle w:val="ProcedureTableBold"/>
            </w:pPr>
            <w:r>
              <w:t>Aizstājēji, kas bija klāt galīgajā balsošanā</w:t>
            </w:r>
          </w:p>
        </w:tc>
        <w:tc>
          <w:tcPr>
            <w:tcW w:w="6400" w:type="dxa"/>
            <w:tcBorders>
              <w:left w:val="dotted" w:sz="4" w:space="0" w:color="auto"/>
            </w:tcBorders>
          </w:tcPr>
          <w:p>
            <w:pPr>
              <w:pStyle w:val="ProcedureTable"/>
            </w:pPr>
            <w:r>
              <w:t>Christine Anderson, Veronika Cifrová Ostrihoňová, Paulo Do Nascimento Cabral, Elisabeth Grossmann, Billy Kelleher, Katrin Langensiepen, Manuela Ripa, Beatrice Timgren, Marianne Vind</w:t>
            </w:r>
          </w:p>
        </w:tc>
      </w:tr>
      <w:tr>
        <w:tblPrEx>
          <w:tblW w:w="0" w:type="auto"/>
          <w:tblLayout w:type="fixed"/>
          <w:tblCellMar>
            <w:left w:w="140" w:type="dxa"/>
            <w:right w:w="140" w:type="dxa"/>
          </w:tblCellMar>
        </w:tblPrEx>
        <w:tc>
          <w:tcPr>
            <w:tcW w:w="3600" w:type="dxa"/>
          </w:tcPr>
          <w:p>
            <w:pPr>
              <w:pStyle w:val="ProcedureTableBold"/>
            </w:pPr>
            <w:r>
              <w:t>Reglamenta 216. panta 7. punktā minētie deputāti, kas bija klāt galīgajā balsošanā</w:t>
            </w:r>
          </w:p>
        </w:tc>
        <w:tc>
          <w:tcPr>
            <w:tcW w:w="6400" w:type="dxa"/>
            <w:tcBorders>
              <w:left w:val="dotted" w:sz="4" w:space="0" w:color="auto"/>
            </w:tcBorders>
          </w:tcPr>
          <w:p>
            <w:pPr>
              <w:pStyle w:val="ProcedureTable"/>
            </w:pPr>
            <w:r>
              <w:t>Peter Agius, Daniel Caspary</w:t>
            </w:r>
          </w:p>
        </w:tc>
      </w:tr>
    </w:tbl>
    <w:p>
      <w:pPr>
        <w:sectPr>
          <w:type w:val="nextPage"/>
          <w:pgSz w:w="11909" w:h="16834"/>
          <w:pgMar w:top="1134" w:right="1417" w:bottom="1417" w:left="1417" w:header="1134" w:footer="567"/>
          <w:cols w:space="720"/>
        </w:sectPr>
      </w:pPr>
    </w:p>
    <w:p>
      <w:pPr>
        <w:pStyle w:val="PageHeading"/>
      </w:pPr>
      <w:r>
        <w:t>ATZINUMU SNIEDZOŠĀS KOMITEJAS</w:t>
        <w:br/>
        <w:t>GALĪGAIS ATKLĀTAIS BALSOJUMS</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25</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Caspary Daniel, Do Nascimento Cabral Paulo, Kokalari Arba, Meleti Eleonora, Pietikäinen Sirpa, Princi Giusi, Ripa Manuela, Walsh Maria</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Cifrová Ostrihonová Veronika, Devaux Valérie, Kelleher Billy, Yar Lucia</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Fritzon Heléne, Gálvez Lina, Grossmann Elisabeth, Noichl Maria, Rafowicz Emma, Scheuring-Wielgus Joanna, Vesligaj Marko, Vind Marianne</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Kountoura Elena, Morace Carolina</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Geese Alexandra, Langensiepen Katrin, Scuderi Benedetta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8</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Gemma Chiara, Timgren Beatrice, Trochu Laurence</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Anderson Christine</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Kartheiser Fernand, Lassáková Judita</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Kruis Sebastian, de la Pisa Carrión Margarita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Agius Peter</w:t>
            </w:r>
          </w:p>
        </w:tc>
      </w:tr>
    </w:tbl>
    <w:p/>
    <w:p>
      <w:r>
        <w:t>Izmantoto apzīmējumu skaidrojums:</w:t>
      </w:r>
    </w:p>
    <w:p>
      <w:pPr>
        <w:pStyle w:val="NormalTab"/>
      </w:pPr>
      <w:r>
        <w:t>+</w:t>
      </w:r>
      <w:r>
        <w:t xml:space="preserve">  :  </w:t>
      </w:r>
      <w:r>
        <w:t>par</w:t>
      </w:r>
    </w:p>
    <w:p>
      <w:pPr>
        <w:pStyle w:val="NormalTab"/>
      </w:pPr>
      <w:r>
        <w:t>-</w:t>
      </w:r>
      <w:r>
        <w:t xml:space="preserve">  :  </w:t>
      </w:r>
      <w:r>
        <w:t>pret</w:t>
      </w:r>
    </w:p>
    <w:p>
      <w:pPr>
        <w:pStyle w:val="NormalTab"/>
      </w:pPr>
      <w:r>
        <w:t>0</w:t>
      </w:r>
      <w:r>
        <w:t xml:space="preserve">  :  </w:t>
      </w:r>
      <w:r>
        <w:t>atturas</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774.481</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46</w:t>
    </w:r>
    <w:r>
      <w:fldChar w:fldCharType="end"/>
    </w:r>
    <w:r>
      <w:t>/</w:t>
    </w:r>
    <w:r>
      <w:fldChar w:fldCharType="begin"/>
    </w:r>
    <w:r>
      <w:instrText xml:space="preserve"> NUMPAGES </w:instrText>
    </w:r>
    <w:r>
      <w:fldChar w:fldCharType="separate"/>
    </w:r>
    <w:r>
      <w:t>47</w:t>
    </w:r>
    <w:r>
      <w:fldChar w:fldCharType="end"/>
    </w:r>
    <w:r>
      <w:tab/>
    </w:r>
    <w:r>
      <w:rPr>
        <w:rStyle w:val="HideTWBExt"/>
      </w:rPr>
      <w:t>&lt;PathFdR&gt;</w:t>
    </w:r>
    <w:r>
      <w:t>AD\1329163LV.docx</w:t>
    </w:r>
    <w:r>
      <w:rPr>
        <w:rStyle w:val="HideTWBExt"/>
      </w:rPr>
      <w:t>&lt;/PathFdR&gt;</w:t>
    </w:r>
  </w:p>
  <w:p>
    <w:pPr>
      <w:pStyle w:val="EPFooter2"/>
    </w:pPr>
    <w:r>
      <w:t>LV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AD\1329163LV.docx</w:t>
    </w:r>
    <w:r>
      <w:rPr>
        <w:rStyle w:val="HideTWBExt"/>
      </w:rPr>
      <w:t>&lt;/PathFdR&gt;</w:t>
    </w:r>
    <w:r>
      <w:tab/>
    </w:r>
    <w:r>
      <w:fldChar w:fldCharType="begin"/>
    </w:r>
    <w:r>
      <w:instrText xml:space="preserve"> PAGE </w:instrText>
    </w:r>
    <w:r>
      <w:fldChar w:fldCharType="separate"/>
    </w:r>
    <w:r>
      <w:t>47</w:t>
    </w:r>
    <w:r>
      <w:fldChar w:fldCharType="end"/>
    </w:r>
    <w:r>
      <w:t>/</w:t>
    </w:r>
    <w:r>
      <w:fldChar w:fldCharType="begin"/>
    </w:r>
    <w:r>
      <w:instrText xml:space="preserve"> NUMPAGES </w:instrText>
    </w:r>
    <w:r>
      <w:fldChar w:fldCharType="separate"/>
    </w:r>
    <w:r>
      <w:t>47</w:t>
    </w:r>
    <w:r>
      <w:fldChar w:fldCharType="end"/>
    </w:r>
    <w:r>
      <w:tab/>
    </w:r>
    <w:r>
      <w:t>PE</w:t>
    </w:r>
    <w:r>
      <w:rPr>
        <w:rStyle w:val="HideTWBExt"/>
      </w:rPr>
      <w:t>&lt;NoPE&gt;</w:t>
    </w:r>
    <w:r>
      <w:t>774.481</w:t>
    </w:r>
    <w:r>
      <w:rPr>
        <w:rStyle w:val="HideTWBExt"/>
      </w:rPr>
      <w:t>&lt;/NoPE&gt;</w:t>
    </w:r>
    <w:r>
      <w:rPr>
        <w:rStyle w:val="HideTWBExt"/>
      </w:rPr>
      <w:t>&lt;Version&gt;</w:t>
    </w:r>
    <w:r>
      <w:t>v02-00</w:t>
    </w:r>
    <w:r>
      <w:rPr>
        <w:rStyle w:val="HideTWBExt"/>
      </w:rPr>
      <w:t>&lt;/Version&gt;</w:t>
    </w:r>
  </w:p>
  <w:p>
    <w:pPr>
      <w:pStyle w:val="EPFooter2"/>
    </w:pPr>
    <w:r>
      <w:tab/>
    </w:r>
    <w:r>
      <w:tab/>
    </w:r>
    <w:r>
      <w:t>LV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AD\1329163LV.docx</w:t>
    </w:r>
    <w:r>
      <w:rPr>
        <w:rStyle w:val="HideTWBExt"/>
      </w:rPr>
      <w:t>&lt;/PathFdR&gt;</w:t>
    </w:r>
    <w:r>
      <w:tab/>
    </w:r>
    <w:r>
      <w:tab/>
    </w:r>
    <w:r>
      <w:t>PE</w:t>
    </w:r>
    <w:r>
      <w:rPr>
        <w:rStyle w:val="HideTWBExt"/>
      </w:rPr>
      <w:t>&lt;NoPE&gt;</w:t>
    </w:r>
    <w:r>
      <w:t>774.481</w:t>
    </w:r>
    <w:r>
      <w:rPr>
        <w:rStyle w:val="HideTWBExt"/>
      </w:rPr>
      <w:t>&lt;/NoPE&gt;</w:t>
    </w:r>
    <w:r>
      <w:rPr>
        <w:rStyle w:val="HideTWBExt"/>
      </w:rPr>
      <w:t>&lt;Version&gt;</w:t>
    </w:r>
    <w:r>
      <w:t>v02-00</w:t>
    </w:r>
    <w:r>
      <w:rPr>
        <w:rStyle w:val="HideTWBExt"/>
      </w:rPr>
      <w:t>&lt;/Version&gt;</w:t>
    </w:r>
  </w:p>
  <w:p>
    <w:pPr>
      <w:pStyle w:val="EPFooter2"/>
    </w:pPr>
    <w:r>
      <w:t>LV</w:t>
    </w:r>
    <w:r>
      <w:tab/>
    </w:r>
    <w:r>
      <w:rPr>
        <w:rStyle w:val="EPFooter2Motto"/>
      </w:rPr>
      <w:t>Vienoti daudzveidībā</w:t>
    </w:r>
    <w:r>
      <w:tab/>
    </w:r>
    <w:r>
      <w:t>LV</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Iestāžu nolīgums (2021. gada 20. maijs) starp Eiropas Parlamentu, Eiropas Savienības Padomi un Eiropas Komisiju par obligātu pārredzamības reģistru (OV L 207, 11.6.2021., 1. lpp., ELI: </w:t>
      </w:r>
      <w:hyperlink r:id="rId1" w:tgtFrame="http://data.europa.eu/eli/agree_interinstit/2021/611/oj" w:history="1">
        <w:r>
          <w:rPr>
            <w:rStyle w:val="Hyperlink"/>
          </w:rPr>
          <w:t>http://data.europa.eu/eli/agree_interinstit/2021/611/oj</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v-LV"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47</Pages>
  <Words>7804</Words>
  <Characters>54862</Characters>
  <Application>Microsoft Office Word</Application>
  <DocSecurity>0</DocSecurity>
  <Lines>1</Lines>
  <Paragraphs>624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1329163</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277720</vt:lpwstr>
  </property>
  <property fmtid="{D5CDD505-2E9C-101B-9397-08002B2CF9AE}" pid="7" name="dmxml.render.traceId">
    <vt:lpwstr>6909c05d091cb68ede87150205e8c04a</vt:lpwstr>
  </property>
  <property fmtid="{D5CDD505-2E9C-101B-9397-08002B2CF9AE}" pid="8" name="FooterPath">
    <vt:lpwstr>AD\1329163LV.doc</vt:lpwstr>
  </property>
  <property fmtid="{D5CDD505-2E9C-101B-9397-08002B2CF9AE}" pid="9" name="PE Number">
    <vt:lpwstr>774.481</vt:lpwstr>
  </property>
  <property fmtid="{D5CDD505-2E9C-101B-9397-08002B2CF9AE}" pid="10" name="UID">
    <vt:lpwstr>eu.europa.europarl-DIN1-2025-0000182003_01.07-lv-01.00_text-xml</vt:lpwstr>
  </property>
</Properties>
</file>