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 Europejski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{FEMM}</w:t>
      </w:r>
      <w:r>
        <w:t>Komisja Praw Kobiet i Równouprawnienia</w:t>
      </w:r>
      <w:r>
        <w:rPr>
          <w:rStyle w:val="HideTWBExt"/>
        </w:rPr>
        <w:t>&lt;/Commission&gt;</w:t>
      </w:r>
    </w:p>
    <w:p>
      <w:pPr>
        <w:pStyle w:val="LineBottom"/>
      </w:pPr>
      <w:r>
        <w:t xml:space="preserve"> </w:t>
      </w:r>
    </w:p>
    <w:p>
      <w:pPr>
        <w:pStyle w:val="CoverReference"/>
      </w:pPr>
      <w:r>
        <w:rPr>
          <w:rStyle w:val="HideTWBExt"/>
        </w:rPr>
        <w:t>&lt;RefProc&gt;</w:t>
      </w:r>
      <w:r>
        <w:t>2025/2085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{20/10/2025}</w:t>
      </w:r>
      <w:r>
        <w:t>20.10.2025</w:t>
      </w:r>
      <w:r>
        <w:rPr>
          <w:rStyle w:val="HideTWBExt"/>
        </w:rPr>
        <w:t>&lt;/Date&gt;</w:t>
      </w:r>
    </w:p>
    <w:p>
      <w:pPr>
        <w:pStyle w:val="CoverDocType24a"/>
      </w:pPr>
      <w:r>
        <w:rPr>
          <w:rStyle w:val="HideTWBExt"/>
        </w:rPr>
        <w:t>&lt;TitreType&gt;</w:t>
      </w:r>
      <w:r>
        <w:t>OPINIA</w:t>
      </w:r>
      <w:r>
        <w:rPr>
          <w:rStyle w:val="HideTWBExt"/>
        </w:rPr>
        <w:t>&lt;/TitreType&gt;</w:t>
      </w:r>
    </w:p>
    <w:p>
      <w:pPr>
        <w:pStyle w:val="CoverNormal24a"/>
      </w:pPr>
      <w:r>
        <w:rPr>
          <w:rStyle w:val="HideTWBExt"/>
        </w:rPr>
        <w:t>&lt;CommissionResp&gt;</w:t>
      </w:r>
      <w:r>
        <w:t>Komisji Praw Kobiet i Równouprawnienia</w:t>
      </w:r>
      <w:r>
        <w:rPr>
          <w:rStyle w:val="HideTWBExt"/>
        </w:rPr>
        <w:t>&lt;/CommissionResp&gt;</w:t>
      </w:r>
    </w:p>
    <w:p>
      <w:pPr>
        <w:pStyle w:val="CoverNormal24a"/>
      </w:pPr>
      <w:r>
        <w:rPr>
          <w:rStyle w:val="HideTWBExt"/>
        </w:rPr>
        <w:t>&lt;CommissionInt&gt;</w:t>
      </w:r>
      <w:r>
        <w:t>dla Komisji Rozwoju</w:t>
      </w:r>
      <w:r>
        <w:rPr>
          <w:rStyle w:val="HideTWBExt"/>
        </w:rPr>
        <w:t>&lt;/CommissionInt&gt;</w:t>
      </w:r>
    </w:p>
    <w:p>
      <w:pPr>
        <w:pStyle w:val="CoverNormal"/>
      </w:pPr>
      <w:r>
        <w:rPr>
          <w:rStyle w:val="HideTWBExt"/>
        </w:rPr>
        <w:t>&lt;Titre&gt;</w:t>
      </w:r>
      <w:r>
        <w:t>w sprawie pomocy humanitarnej w dobie polikryzysu – potwierdzenie naszych zasad w trosce o skuteczniejsze i ambitniejsze reagowanie na kryzysy humanitarne</w:t>
      </w:r>
      <w:r>
        <w:rPr>
          <w:rStyle w:val="HideTWBExt"/>
        </w:rPr>
        <w:t>&lt;/Titre&gt;</w:t>
      </w:r>
    </w:p>
    <w:p>
      <w:pPr>
        <w:pStyle w:val="CoverNormal24a"/>
      </w:pPr>
      <w:r>
        <w:rPr>
          <w:rStyle w:val="HideTWBExt"/>
        </w:rPr>
        <w:t>&lt;DocRef&gt;</w:t>
      </w:r>
      <w:r>
        <w:t>(2025/2085(INI))</w:t>
      </w:r>
      <w:r>
        <w:rPr>
          <w:rStyle w:val="HideTWBExt"/>
        </w:rPr>
        <w:t>&lt;/DocRef&gt;</w:t>
      </w:r>
    </w:p>
    <w:p>
      <w:pPr>
        <w:pStyle w:val="CoverNormal24a"/>
      </w:pPr>
      <w:r>
        <w:t>Sprawozdawczyni komisji opiniodawczej</w:t>
      </w:r>
      <w:r>
        <w:t xml:space="preserve">: </w:t>
      </w:r>
      <w:r>
        <w:rPr>
          <w:rStyle w:val="HideTWBExt"/>
        </w:rPr>
        <w:t>&lt;Depute&gt;</w:t>
      </w:r>
      <w:r>
        <w:t>Lina Gálvez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POPRAWKI</w:t>
      </w:r>
    </w:p>
    <w:p>
      <w:pPr>
        <w:pStyle w:val="Normal12a"/>
      </w:pPr>
      <w:r>
        <w:t>Komisja Praw Kobiet i Równouprawnienia</w:t>
      </w:r>
      <w:r>
        <w:t xml:space="preserve"> </w:t>
      </w:r>
      <w:r>
        <w:t>przedstawia Komisji Rozwoju, jako komisji przedmiotowo właściwej, co następuje</w:t>
      </w:r>
      <w:r>
        <w:t xml:space="preserve"> </w:t>
      </w:r>
      <w:r>
        <w:t>:</w:t>
      </w:r>
    </w:p>
    <w:p>
      <w:pPr>
        <w:pStyle w:val="AmNumberTabs"/>
      </w:pPr>
      <w:r>
        <w:rPr>
          <w:rStyle w:val="HideTWBExt"/>
        </w:rPr>
        <w:t>&lt;RepeatBlock-Amend&gt;</w:t>
      </w:r>
      <w:r>
        <w:rPr>
          <w:rStyle w:val="HideTWBExt"/>
        </w:rPr>
        <w:t>&lt;Amend&gt;</w:t>
      </w:r>
      <w:r>
        <w:t>Poprawka</w:t>
      </w:r>
      <w:r>
        <w:tab/>
      </w:r>
      <w:r>
        <w:tab/>
      </w:r>
      <w:r>
        <w:rPr>
          <w:rStyle w:val="HideTWBExt"/>
        </w:rPr>
        <w:t>&lt;NumAm&gt;</w:t>
      </w:r>
      <w:r>
        <w:t>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2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Konwencję ONZ o prawach osób niepełnosprawnych ratyfikowaną przez UE i jej państwa członkowskie,</w:t>
            </w:r>
          </w:p>
        </w:tc>
      </w:tr>
    </w:tbl>
    <w:p>
      <w:r>
        <w:rPr>
          <w:rStyle w:val="HideTWBExt"/>
        </w:rPr>
        <w:t>&lt;/Amend&gt;</w:t>
      </w:r>
    </w:p>
    <w:p>
      <w:pPr>
        <w:pStyle w:val="AmNumberTabs"/>
      </w:pPr>
      <w:r>
        <w:rPr>
          <w:rStyle w:val="HideTWBExt"/>
        </w:rPr>
        <w:t>&lt;Amend&gt;</w:t>
      </w:r>
      <w:r>
        <w:t>Poprawka</w:t>
      </w:r>
      <w:r>
        <w:tab/>
      </w:r>
      <w:r>
        <w:tab/>
      </w:r>
      <w:r>
        <w:rPr>
          <w:rStyle w:val="HideTWBExt"/>
        </w:rPr>
        <w:t>&lt;NumAm&gt;</w:t>
      </w:r>
      <w:r>
        <w:t>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5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trzeci unijny plan działania w sprawie równości płci na lata 2021–2025,</w:t>
            </w:r>
          </w:p>
        </w:tc>
      </w:tr>
    </w:tbl>
    <w:p>
      <w:r>
        <w:rPr>
          <w:rStyle w:val="HideTWBExt"/>
        </w:rPr>
        <w:t>&lt;/Amend&gt;</w:t>
      </w:r>
    </w:p>
    <w:p>
      <w:pPr>
        <w:pStyle w:val="AmNumberTabs"/>
      </w:pPr>
      <w:r>
        <w:rPr>
          <w:rStyle w:val="HideTWBExt"/>
        </w:rPr>
        <w:t>&lt;Amend&gt;</w:t>
      </w:r>
      <w:r>
        <w:t>Poprawka</w:t>
      </w:r>
      <w:r>
        <w:tab/>
      </w:r>
      <w:r>
        <w:tab/>
      </w:r>
      <w:r>
        <w:rPr>
          <w:rStyle w:val="HideTWBExt"/>
        </w:rPr>
        <w:t>&lt;NumAm&gt;</w:t>
      </w:r>
      <w:r>
        <w:t>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6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unijne strategiczne podejście w sprawie kobiet, pokoju i bezpieczeństwa,</w:t>
            </w:r>
          </w:p>
        </w:tc>
      </w:tr>
    </w:tbl>
    <w:p>
      <w:r>
        <w:rPr>
          <w:rStyle w:val="HideTWBExt"/>
        </w:rPr>
        <w:t>&lt;/Amend&gt;</w:t>
      </w:r>
    </w:p>
    <w:p>
      <w:pPr>
        <w:pStyle w:val="AmNumberTabs"/>
      </w:pPr>
      <w:r>
        <w:rPr>
          <w:rStyle w:val="HideTWBExt"/>
        </w:rPr>
        <w:t>&lt;Amend&gt;</w:t>
      </w:r>
      <w:r>
        <w:t>Poprawka</w:t>
      </w:r>
      <w:r>
        <w:tab/>
      </w:r>
      <w:r>
        <w:tab/>
      </w:r>
      <w:r>
        <w:rPr>
          <w:rStyle w:val="HideTWBExt"/>
        </w:rPr>
        <w:t>&lt;NumAm&gt;</w:t>
      </w:r>
      <w:r>
        <w:t>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6 b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Międzynarodową Konferencję na temat Ludności i Rozwoju (ICPD), która odbyła się w Kairze w 1994 r., jej program działań i wyniki jej konferencji przeglądowych,</w:t>
            </w:r>
          </w:p>
        </w:tc>
      </w:tr>
    </w:tbl>
    <w:p>
      <w:r>
        <w:rPr>
          <w:rStyle w:val="HideTWBExt"/>
        </w:rPr>
        <w:t>&lt;/Amend&gt;</w:t>
      </w:r>
    </w:p>
    <w:p>
      <w:pPr>
        <w:pStyle w:val="AmNumberTabs"/>
      </w:pPr>
      <w:r>
        <w:rPr>
          <w:rStyle w:val="HideTWBExt"/>
        </w:rPr>
        <w:t>&lt;Amend&gt;</w:t>
      </w:r>
      <w:r>
        <w:t>Poprawka</w:t>
      </w:r>
      <w:r>
        <w:tab/>
      </w:r>
      <w:r>
        <w:tab/>
      </w:r>
      <w:r>
        <w:rPr>
          <w:rStyle w:val="HideTWBExt"/>
        </w:rPr>
        <w:t>&lt;NumAm&gt;</w:t>
      </w:r>
      <w:r>
        <w:t>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6 c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pekińską platformę działania i wyniki jej konferencji przeglądowych,</w:t>
            </w:r>
          </w:p>
        </w:tc>
      </w:tr>
    </w:tbl>
    <w:p>
      <w:r>
        <w:rPr>
          <w:rStyle w:val="HideTWBExt"/>
        </w:rPr>
        <w:t>&lt;/Amend&gt;</w:t>
      </w:r>
    </w:p>
    <w:p>
      <w:pPr>
        <w:pStyle w:val="AmNumberTabs"/>
      </w:pPr>
      <w:r>
        <w:rPr>
          <w:rStyle w:val="HideTWBExt"/>
        </w:rPr>
        <w:t>&lt;Amend&gt;</w:t>
      </w:r>
      <w:r>
        <w:t>Poprawka</w:t>
      </w:r>
      <w:r>
        <w:tab/>
      </w:r>
      <w:r>
        <w:tab/>
      </w:r>
      <w:r>
        <w:rPr>
          <w:rStyle w:val="HideTWBExt"/>
        </w:rPr>
        <w:t>&lt;NumAm&gt;</w:t>
      </w:r>
      <w:r>
        <w:t>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6 d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konkluzje Rady w sprawie kobiet, pokoju i bezpieczeństwa z 10 grudnia 2018 r.,</w:t>
            </w:r>
          </w:p>
        </w:tc>
      </w:tr>
    </w:tbl>
    <w:p>
      <w:r>
        <w:rPr>
          <w:rStyle w:val="HideTWBExt"/>
        </w:rPr>
        <w:t>&lt;/Amend&gt;</w:t>
      </w:r>
    </w:p>
    <w:p>
      <w:pPr>
        <w:pStyle w:val="AmNumberTabs"/>
      </w:pPr>
      <w:r>
        <w:rPr>
          <w:rStyle w:val="HideTWBExt"/>
        </w:rPr>
        <w:t>&lt;Amend&gt;</w:t>
      </w:r>
      <w:r>
        <w:t>Poprawka</w:t>
      </w:r>
      <w:r>
        <w:tab/>
      </w:r>
      <w:r>
        <w:tab/>
      </w:r>
      <w:r>
        <w:rPr>
          <w:rStyle w:val="HideTWBExt"/>
        </w:rPr>
        <w:t>&lt;NumAm&gt;</w:t>
      </w:r>
      <w:r>
        <w:t>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7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swoją rezolucję z dnia 24 czerwca 2021 r. w sprawie sytuacji w zakresie zdrowia seksualnego i reprodukcyjnego oraz praw w tej dziedzinie w UE w kontekście zdrowia kobiet</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Dz.U. C 81 z 18.2.2022, s. 43.</w:t>
            </w:r>
          </w:p>
        </w:tc>
      </w:tr>
    </w:tbl>
    <w:p>
      <w:r>
        <w:rPr>
          <w:rStyle w:val="HideTWBExt"/>
        </w:rPr>
        <w:t>&lt;/Amend&gt;</w:t>
      </w:r>
    </w:p>
    <w:p>
      <w:pPr>
        <w:pStyle w:val="AmNumberTabs"/>
      </w:pPr>
      <w:r>
        <w:rPr>
          <w:rStyle w:val="HideTWBExt"/>
        </w:rPr>
        <w:t>&lt;Amend&gt;</w:t>
      </w:r>
      <w:r>
        <w:t>Poprawka</w:t>
      </w:r>
      <w:r>
        <w:tab/>
      </w:r>
      <w:r>
        <w:tab/>
      </w:r>
      <w:r>
        <w:rPr>
          <w:rStyle w:val="HideTWBExt"/>
        </w:rPr>
        <w:t>&lt;NumAm&gt;</w:t>
      </w:r>
      <w:r>
        <w:t>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9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rezolucję Rady Bezpieczeństwa ONZ nr 1325 w sprawie kobiet, pokoju i bezpieczeństwa,</w:t>
            </w:r>
          </w:p>
        </w:tc>
      </w:tr>
    </w:tbl>
    <w:p>
      <w:r>
        <w:rPr>
          <w:rStyle w:val="HideTWBExt"/>
        </w:rPr>
        <w:t>&lt;/Amend&gt;</w:t>
      </w:r>
    </w:p>
    <w:p>
      <w:pPr>
        <w:pStyle w:val="AmNumberTabs"/>
      </w:pPr>
      <w:r>
        <w:rPr>
          <w:rStyle w:val="HideTWBExt"/>
        </w:rPr>
        <w:t>&lt;Amend&gt;</w:t>
      </w:r>
      <w:r>
        <w:t>Poprawka</w:t>
      </w:r>
      <w:r>
        <w:tab/>
      </w:r>
      <w:r>
        <w:tab/>
      </w:r>
      <w:r>
        <w:rPr>
          <w:rStyle w:val="HideTWBExt"/>
        </w:rPr>
        <w:t>&lt;NumAm&gt;</w:t>
      </w:r>
      <w:r>
        <w:t>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Umocowanie 19 a (nowe)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uwzględniając swoją rezolucję z 29 listopada 2018 r. w sprawie sytuacji kobiet niepełnosprawnych</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Dz.U. C 363 z 28.10.2020, s. 164.</w:t>
            </w:r>
          </w:p>
        </w:tc>
      </w:tr>
    </w:tbl>
    <w:p>
      <w:r>
        <w:rPr>
          <w:rStyle w:val="HideTWBExt"/>
        </w:rPr>
        <w:t>&lt;/Amend&gt;</w:t>
      </w:r>
    </w:p>
    <w:p>
      <w:pPr>
        <w:pStyle w:val="AmNumberTabs"/>
      </w:pPr>
      <w:r>
        <w:rPr>
          <w:rStyle w:val="HideTWBExt"/>
        </w:rPr>
        <w:t>&lt;Amend&gt;</w:t>
      </w:r>
      <w:r>
        <w:t>Poprawka</w:t>
      </w:r>
      <w:r>
        <w:tab/>
      </w:r>
      <w:r>
        <w:tab/>
      </w:r>
      <w:r>
        <w:rPr>
          <w:rStyle w:val="HideTWBExt"/>
        </w:rPr>
        <w:t>&lt;NumAm&gt;</w:t>
      </w:r>
      <w:r>
        <w:t>10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mając na uwadze, że społeczeństwa, w których panuje równość płci, są zdrowsze, bezpieczniejsze, bardziej sprawiedliwe i zapewniają powszechny dobrobyt; mając na uwadze, że bez osiągnięcia równości płci i równych praw kobiet nie da się obronić demokracji i praworządności;</w:t>
            </w:r>
          </w:p>
        </w:tc>
      </w:tr>
    </w:tbl>
    <w:p>
      <w:r>
        <w:rPr>
          <w:rStyle w:val="HideTWBExt"/>
        </w:rPr>
        <w:t>&lt;/Amend&gt;</w:t>
      </w:r>
    </w:p>
    <w:p>
      <w:pPr>
        <w:pStyle w:val="AmNumberTabs"/>
      </w:pPr>
      <w:r>
        <w:rPr>
          <w:rStyle w:val="HideTWBExt"/>
        </w:rPr>
        <w:t>&lt;Amend&gt;</w:t>
      </w:r>
      <w:r>
        <w:t>Poprawka</w:t>
      </w:r>
      <w:r>
        <w:tab/>
      </w:r>
      <w:r>
        <w:tab/>
      </w:r>
      <w:r>
        <w:rPr>
          <w:rStyle w:val="HideTWBExt"/>
        </w:rPr>
        <w:t>&lt;NumAm&gt;</w:t>
      </w:r>
      <w:r>
        <w:t>11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A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mając na uwadze, że kobiety i dziewczęta przebywające w rejonach objętych pomocą humanitarną doświadczają poważnych nierówności ze względu na płeć, takich jak ograniczony dostęp do zasobów, w tym żywności, brak wykształcenia, pracy, opieki zdrowotnej oraz praw w zakresie zdrowia seksualnego i reprodukcyjnego, a także większe ryzyko przemocy ze względu na płeć i przemocy reprodukcyjnej; mając na uwadze, że dzieci żyjące w takich warunkach również znajdują się w trudniejszej sytuacji; mając na uwadze, że w sytuacjach kryzysu humanitarnego kobiety z niepełnosprawnościami są bardziej narażone na ryzyko wykluczenia, dyskryminacji i przemocy;</w:t>
            </w:r>
          </w:p>
        </w:tc>
      </w:tr>
    </w:tbl>
    <w:p>
      <w:r>
        <w:rPr>
          <w:rStyle w:val="HideTWBExt"/>
        </w:rPr>
        <w:t>&lt;/Amend&gt;</w:t>
      </w:r>
    </w:p>
    <w:p>
      <w:pPr>
        <w:pStyle w:val="AmNumberTabs"/>
      </w:pPr>
      <w:r>
        <w:rPr>
          <w:rStyle w:val="HideTWBExt"/>
        </w:rPr>
        <w:t>&lt;Amend&gt;</w:t>
      </w:r>
      <w:r>
        <w:t>Poprawka</w:t>
      </w:r>
      <w:r>
        <w:tab/>
      </w:r>
      <w:r>
        <w:tab/>
      </w:r>
      <w:r>
        <w:rPr>
          <w:rStyle w:val="HideTWBExt"/>
        </w:rPr>
        <w:t>&lt;NumAm&gt;</w:t>
      </w:r>
      <w:r>
        <w:t>12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A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mając na uwadze, że sytuacja w Afganistanie jeszcze bardziej obciąża i tak już ograniczone zasoby humanitarne i pogarsza sytuację milionów ludzi, którzy walczą o przetrwanie, w tym kobiet i dziewcząt;</w:t>
            </w:r>
          </w:p>
        </w:tc>
      </w:tr>
    </w:tbl>
    <w:p>
      <w:r>
        <w:rPr>
          <w:rStyle w:val="HideTWBExt"/>
        </w:rPr>
        <w:t>&lt;/Amend&gt;</w:t>
      </w:r>
    </w:p>
    <w:p>
      <w:pPr>
        <w:pStyle w:val="AmNumberTabs"/>
      </w:pPr>
      <w:r>
        <w:rPr>
          <w:rStyle w:val="HideTWBExt"/>
        </w:rPr>
        <w:t>&lt;Amend&gt;</w:t>
      </w:r>
      <w:r>
        <w:t>Poprawka</w:t>
      </w:r>
      <w:r>
        <w:tab/>
      </w:r>
      <w:r>
        <w:tab/>
      </w:r>
      <w:r>
        <w:rPr>
          <w:rStyle w:val="HideTWBExt"/>
        </w:rPr>
        <w:t>&lt;NumAm&gt;</w:t>
      </w:r>
      <w:r>
        <w:t>13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mając na uwadze, że system humanitarny stoi w obliczu ogromnego kryzysu finansowania; mając na uwadze, że likwidacja programów Agencji Stanów Zjednoczonych ds. Rozwoju Międzynarodowego (USAID)</w:t>
            </w:r>
            <w:r>
              <w:rPr>
                <w:vertAlign w:val="superscript"/>
              </w:rPr>
              <w:t>6</w:t>
            </w:r>
            <w:r>
              <w:t xml:space="preserve"> oraz ograniczenie pomocy zagranicznej ze strony innych kluczowych darczyńców, w tym kilku państw członkowskich UE, doprowadziły do bezprecedensowego spadku światowego finansowania inicjatyw humanitarnych, zdrowotnych i klimatycznych; mając na uwadze, że cięcia te mają niszczycielski wpływ na zdrowie na świecie, jako że jeszcze bardziej zwiększają ryzyko wystąpienia ognisk chorób zakaźnych, oraz na bezpieczeństwo żywnościowe; mając na uwadze, że cięcia te w nieproporcjonalnym stopniu dotykają kobiety i dziewczęta; mając na uwadze, że cięcia te dodatkowo zagrażają bezpieczeństwu i dobrostanowi uchodźców;</w:t>
            </w:r>
          </w:p>
        </w:tc>
        <w:tc>
          <w:tcPr>
            <w:tcW w:w="4876" w:type="dxa"/>
            <w:tcBorders>
              <w:top w:val="nil"/>
              <w:left w:val="nil"/>
              <w:bottom w:val="nil"/>
              <w:right w:val="nil"/>
            </w:tcBorders>
          </w:tcPr>
          <w:p>
            <w:pPr>
              <w:pStyle w:val="Normal6a"/>
            </w:pPr>
            <w:r>
              <w:t>B.</w:t>
            </w:r>
            <w:r>
              <w:tab/>
            </w:r>
            <w:r>
              <w:t>mając na uwadze, że system humanitarny stoi w obliczu ogromnego kryzysu finansowania; mając na uwadze, że likwidacja programów Agencji Stanów Zjednoczonych ds. Rozwoju Międzynarodowego (USAID)</w:t>
            </w:r>
            <w:r>
              <w:rPr>
                <w:vertAlign w:val="superscript"/>
              </w:rPr>
              <w:t>6</w:t>
            </w:r>
            <w:r>
              <w:t xml:space="preserve"> oraz ograniczenie pomocy zagranicznej ze strony innych kluczowych darczyńców, w tym kilku państw członkowskich UE, doprowadziły do bezprecedensowego spadku światowego finansowania inicjatyw humanitarnych, zdrowotnych</w:t>
            </w:r>
            <w:r>
              <w:rPr>
                <w:b/>
                <w:i/>
              </w:rPr>
              <w:t>, inicjatyw na rzecz płci</w:t>
            </w:r>
            <w:r>
              <w:t xml:space="preserve"> i </w:t>
            </w:r>
            <w:r>
              <w:rPr>
                <w:b/>
                <w:i/>
              </w:rPr>
              <w:t>inicjatyw</w:t>
            </w:r>
            <w:r>
              <w:t xml:space="preserve"> klimatycznych;</w:t>
            </w:r>
            <w:r>
              <w:rPr>
                <w:b/>
                <w:i/>
              </w:rPr>
              <w:t xml:space="preserve"> </w:t>
            </w:r>
            <w:r>
              <w:rPr>
                <w:b/>
                <w:i/>
              </w:rPr>
              <w:t>mając na uwadze, że zmniejszanie pomocy humanitarnej tylko pogłębia kryzysy humanitarne</w:t>
            </w:r>
            <w:r>
              <w:t xml:space="preserve">; mając na uwadze, że cięcia te mają niszczycielski wpływ na zdrowie na świecie, jako że jeszcze bardziej zwiększają ryzyko wystąpienia ognisk chorób zakaźnych, </w:t>
            </w:r>
            <w:r>
              <w:rPr>
                <w:b/>
                <w:i/>
              </w:rPr>
              <w:t>liczbę nieplanowanych ciąż i ciąż wśród małoletnich, umieralność i zachorowalność matek,</w:t>
            </w:r>
            <w:r>
              <w:t xml:space="preserve"> oraz na bezpieczeństwo żywnościowe; mając na uwadze, że cięcia te w nieproporcjonalnym stopniu dotykają kobiety i dziewczęta </w:t>
            </w:r>
            <w:r>
              <w:rPr>
                <w:b/>
                <w:i/>
              </w:rPr>
              <w:t>oraz osoby LGBTIQ+</w:t>
            </w:r>
            <w:r>
              <w:t>; mając na uwadze, że cięcia te dodatkowo zagrażają bezpieczeństwu i dobrostanowi uchodźców;</w:t>
            </w:r>
            <w:r>
              <w:rPr>
                <w:b/>
                <w:i/>
              </w:rPr>
              <w:t xml:space="preserve"> mając na uwadze, że zamrożenie finansowania przez USA znacząco zakłóciło prowadzenie działań humanitarnych, utrudniając realizację projektów i zatrudnianie personelu, oraz osłabiło zdolność do wspierania kobiet i dziewcząt, co miało szczególnie negatywny wpływ na zaangażowanie kobiet w działania humanitarne; mając na uwadze, że inwestowanie w równouprawnienie płci ratuje życie osób przebywających w rejonach objętych pomocą humanitarną; </w:t>
            </w:r>
            <w:r>
              <w:rPr>
                <w:b/>
                <w:i/>
              </w:rPr>
              <w:t>mając na uwadze, że istnieją dowody na to, że programy pomocy humanitarnej ukierunkowane na aspekt równości płci przynoszą wysokie zyski, tj. 8 USD z każdego zainwestowanego dolara</w:t>
            </w:r>
            <w:r>
              <w:rPr>
                <w:b/>
                <w:i/>
                <w:vertAlign w:val="superscript"/>
              </w:rPr>
              <w:t>6a</w:t>
            </w:r>
            <w:r>
              <w:rPr>
                <w:b/>
                <w:i/>
              </w:rPr>
              <w:t>;</w:t>
            </w:r>
            <w:r>
              <w:rPr>
                <w:b/>
                <w:i/>
              </w:rPr>
              <w:t xml:space="preserve"> mając na uwadze, że w obecnej strategii UE w dziedzinie zdrowia na świecie, przyjętej przez Komisję w 2022 r., zdrowie na świecie uznano za podstawowy filar polityki zewnętrznej UE i priorytet inwestycyjny w ramach strategii Global Gateway;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Biały Dom, „Revalluating and Realigning United States Foreign Aid” [Ponowna ocena i dostosowanie pomocy zagranicznej Stanów Zjednoczonych], 20 stycznia 2025 r.</w:t>
            </w:r>
          </w:p>
        </w:tc>
        <w:tc>
          <w:tcPr>
            <w:tcW w:w="4876" w:type="dxa"/>
            <w:tcBorders>
              <w:top w:val="nil"/>
              <w:left w:val="nil"/>
              <w:bottom w:val="nil"/>
              <w:right w:val="nil"/>
            </w:tcBorders>
          </w:tcPr>
          <w:p>
            <w:pPr>
              <w:pStyle w:val="Normal6a"/>
            </w:pPr>
            <w:r>
              <w:rPr>
                <w:vertAlign w:val="superscript"/>
              </w:rPr>
              <w:t>6</w:t>
            </w:r>
            <w:r>
              <w:t xml:space="preserve"> </w:t>
            </w:r>
            <w:r>
              <w:t>Biały Dom, „Revalluating and Realigning United States Foreign Aid” [Ponowna ocena i dostosowanie pomocy zagranicznej Stanów Zjednoczonych], 20 stycznia 2025 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6a</w:t>
            </w:r>
            <w:r>
              <w:t xml:space="preserve"> </w:t>
            </w:r>
            <w:r>
              <w:rPr>
                <w:b/>
                <w:i/>
              </w:rPr>
              <w:t>https://www.unwomen.org/en/articles/facts-and-figures/facts-and-figures-humanitarian-action.</w:t>
            </w:r>
          </w:p>
        </w:tc>
      </w:tr>
    </w:tbl>
    <w:p>
      <w:r>
        <w:rPr>
          <w:rStyle w:val="HideTWBExt"/>
        </w:rPr>
        <w:t>&lt;/Amend&gt;</w:t>
      </w:r>
    </w:p>
    <w:p>
      <w:pPr>
        <w:pStyle w:val="AmNumberTabs"/>
      </w:pPr>
      <w:r>
        <w:rPr>
          <w:rStyle w:val="HideTWBExt"/>
        </w:rPr>
        <w:t>&lt;Amend&gt;</w:t>
      </w:r>
      <w:r>
        <w:t>Poprawka</w:t>
      </w:r>
      <w:r>
        <w:tab/>
      </w:r>
      <w:r>
        <w:tab/>
      </w:r>
      <w:r>
        <w:rPr>
          <w:rStyle w:val="HideTWBExt"/>
        </w:rPr>
        <w:t>&lt;NumAm&gt;</w:t>
      </w:r>
      <w:r>
        <w:t>14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mając na uwadze, że na szczeblu unijnym i międzynarodowym istnieją kompleksowe systemy udzielania pomocy humanitarnej; mając na uwadze, że chociaż zapewnia się wsparcie humanitarne uwzględniające aspekt płci, wciąż istnieje wiele rosnących wyzwań w zakresie ustalania priorytetów; mając na uwadze, że polikryzys to sytuacja, w której wiele złożonych i powiązanych ze sobą kryzysów nakłada się na siebie w tym samym czasie</w:t>
            </w:r>
            <w:r>
              <w:rPr>
                <w:vertAlign w:val="superscript"/>
              </w:rPr>
              <w:t>1a</w:t>
            </w:r>
            <w:r>
              <w:rPr>
                <w:b/>
                <w:i/>
              </w:rPr>
              <w:t>; mając na uwadze, że kobiety, dziewczęta i osoby LGBTIQ+ na całym świecie oraz, w niektórych kontekstach, migranci i uchodźcy są w nieproporcjonalnym stopniu dotknięci ubóstwem, kryzysami humanitarnymi, zmianą klimatu, konfliktami, wojnami, ekstremizmem, terroryzmem oraz przemocą seksualną związaną z konfliktami, w tym gwałtem jako narzędziem wojny, wykorzystywaniem seksualnym, chorobami przenoszonymi drogą płciową, niechcianymi ciążami i ograniczonym dostępem do krytycznych zasobów, takich jak bezpieczne schronienie, żywność i woda, oraz że są oni bardziej narażeni na inne naruszenia praw człowieka, które według doniesień niektórych organizacji pozarządowych są popełniane bezkarnie; mając na uwadze, że utrzymywanie się praktyk okaleczania żeńskich narządów płciowych nadal budzi poważne obawy, zwłaszcza w kontekście polikryzysu, który zwiększa podatność kobiet i dziewcząt na zagrożenia, oraz że ofiary potrzebują niezachwianej solidarności; mając na uwadze, że w czasach polikryzysu trzeba udzielać kobietom i dziewczętom ukierunkowanej pomocy humanitarnej, aby chronić je i zagwarantować im przetrwanie, w tym chronić je przed przemocą ze względu na płeć, podejmować ogólne środki ograniczania ryzyka oraz zagwarantować im dostęp do usług opieki zdrowotnej, wsparcie w zakresie źródeł utrzymania, a także udział w życiu społecznym i podejmowaniu decyzji;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https://policy-lab.ec.europa.eu/news/unraveling-polycrisis-foresight-and-innovation-2025-03-26_en.</w:t>
            </w:r>
          </w:p>
        </w:tc>
      </w:tr>
    </w:tbl>
    <w:p>
      <w:r>
        <w:rPr>
          <w:rStyle w:val="HideTWBExt"/>
        </w:rPr>
        <w:t>&lt;/Amend&gt;</w:t>
      </w:r>
    </w:p>
    <w:p>
      <w:pPr>
        <w:pStyle w:val="AmNumberTabs"/>
      </w:pPr>
      <w:r>
        <w:rPr>
          <w:rStyle w:val="HideTWBExt"/>
        </w:rPr>
        <w:t>&lt;Amend&gt;</w:t>
      </w:r>
      <w:r>
        <w:t>Poprawka</w:t>
      </w:r>
      <w:r>
        <w:tab/>
      </w:r>
      <w:r>
        <w:tab/>
      </w:r>
      <w:r>
        <w:rPr>
          <w:rStyle w:val="HideTWBExt"/>
        </w:rPr>
        <w:t>&lt;NumAm&gt;</w:t>
      </w:r>
      <w:r>
        <w:t>15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mając na uwadze, że cięcia w pomocy zagranicznej i humanitarnej mają druzgocący wpływ na zdrowie na świecie, równość płci i prawa człowieka; mając na uwadze, że lokalne i krajowe organizacje kierowane przez kobiety i organizacje działające na rzecz praw kobiet należą do najbardziej poszkodowanych, ponieważ są jednymi z najważniejszych podmiotów w sytuacjach kryzysowych i mierzą się z represjami, przemocą i coraz większymi ograniczeniami w wielu częściach świata; mając na uwadze, że jednocześnie te cięcia mają nieproporcjonalny wpływ na kobiety, dziewczęta, osoby z niepełnosprawnościami oraz osoby mieszkające na obszarach wiejskich i oddalonych, pogłębiają istniejące nierówności i utrudniają im dostęp do usług zdrowotnych, bezpiecznego schronienia i podstawowej infrastruktury; mając na uwadze, że cięcia te dotyczą głównie projektów związanych ze zdrowiem seksualnym i mają nieproporcjonalny wpływ na grupy zmarginalizowane, zwłaszcza kobiety i dziewczęta, co między innymi zwiększa ryzyko wystąpienia ognisk chorób zakaźnych, w szczególności ryzyko ponownego wybuchu światowego kryzysu związanego z HIV; mając na uwadze, że przywrócenie strategii meksykańskiej (zasady globalnego knebla) w Stanach Zjednoczonych będzie miało dramatyczne skutki na całym świecie dla zdrowia i praw seksualnych i reprodukcyjnych oraz dotknie miliony ludzi, zwłaszcza tych zmarginalizowanych; mając na uwadze, że poprzednia zasada globalnego knebla w latach 2017–2021, spowodowała śmierć około 108 000 matek i dzieci oraz 360 000 nowych zakażeń wirusem HIV</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https://www.pnas.org/doi/full/10.1073/pnas.2123177119.</w:t>
            </w:r>
          </w:p>
        </w:tc>
      </w:tr>
    </w:tbl>
    <w:p>
      <w:r>
        <w:rPr>
          <w:rStyle w:val="HideTWBExt"/>
        </w:rPr>
        <w:t>&lt;/Amend&gt;</w:t>
      </w:r>
    </w:p>
    <w:p>
      <w:pPr>
        <w:pStyle w:val="AmNumberTabs"/>
      </w:pPr>
      <w:r>
        <w:rPr>
          <w:rStyle w:val="HideTWBExt"/>
        </w:rPr>
        <w:t>&lt;Amend&gt;</w:t>
      </w:r>
      <w:r>
        <w:t>Poprawka</w:t>
      </w:r>
      <w:r>
        <w:tab/>
      </w:r>
      <w:r>
        <w:tab/>
      </w:r>
      <w:r>
        <w:rPr>
          <w:rStyle w:val="HideTWBExt"/>
        </w:rPr>
        <w:t>&lt;NumAm&gt;</w:t>
      </w:r>
      <w:r>
        <w:t>16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Bc.</w:t>
            </w:r>
            <w:r>
              <w:tab/>
            </w:r>
            <w:r>
              <w:rPr>
                <w:b/>
                <w:i/>
              </w:rPr>
              <w:t>mając na uwadze, że wszelkie formy przemocy wobec kobiet (fizyczna, seksualna, psychologiczna, gospodarcza lub cyberprzemoc) stanowią naruszenie praw człowieka, skrajną formę dyskryminacji kobiet i jedną z głównych przeszkód w osiągnięciu równości płci;</w:t>
            </w:r>
          </w:p>
        </w:tc>
      </w:tr>
    </w:tbl>
    <w:p>
      <w:r>
        <w:rPr>
          <w:rStyle w:val="HideTWBExt"/>
        </w:rPr>
        <w:t>&lt;/Amend&gt;</w:t>
      </w:r>
    </w:p>
    <w:p>
      <w:pPr>
        <w:pStyle w:val="AmNumberTabs"/>
      </w:pPr>
      <w:r>
        <w:rPr>
          <w:rStyle w:val="HideTWBExt"/>
        </w:rPr>
        <w:t>&lt;Amend&gt;</w:t>
      </w:r>
      <w:r>
        <w:t>Poprawka</w:t>
      </w:r>
      <w:r>
        <w:tab/>
      </w:r>
      <w:r>
        <w:tab/>
      </w:r>
      <w:r>
        <w:rPr>
          <w:rStyle w:val="HideTWBExt"/>
        </w:rPr>
        <w:t>&lt;NumAm&gt;</w:t>
      </w:r>
      <w:r>
        <w:t>17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Bd.</w:t>
            </w:r>
            <w:r>
              <w:tab/>
            </w:r>
            <w:r>
              <w:rPr>
                <w:b/>
                <w:i/>
              </w:rPr>
              <w:t>mając na uwadze, że kobiety i osoby LGBTIQ+ doświadczające dyskryminacji z wielu przyczyn jednocześnie i dyskryminacji krzyżowej ze względu na rasę, niepełnosprawność, status imigracyjny, tożsamość płciową, orientację seksualną lub pochodzenie społeczno-ekonomiczne są często pomijane w działaniach humanitarnych i bardziej narażone na przemoc i wykluczenie;</w:t>
            </w:r>
          </w:p>
        </w:tc>
      </w:tr>
    </w:tbl>
    <w:p>
      <w:r>
        <w:rPr>
          <w:rStyle w:val="HideTWBExt"/>
        </w:rPr>
        <w:t>&lt;/Amend&gt;</w:t>
      </w:r>
    </w:p>
    <w:p>
      <w:pPr>
        <w:pStyle w:val="AmNumberTabs"/>
      </w:pPr>
      <w:r>
        <w:rPr>
          <w:rStyle w:val="HideTWBExt"/>
        </w:rPr>
        <w:t>&lt;Amend&gt;</w:t>
      </w:r>
      <w:r>
        <w:t>Poprawka</w:t>
      </w:r>
      <w:r>
        <w:tab/>
      </w:r>
      <w:r>
        <w:tab/>
      </w:r>
      <w:r>
        <w:rPr>
          <w:rStyle w:val="HideTWBExt"/>
        </w:rPr>
        <w:t>&lt;NumAm&gt;</w:t>
      </w:r>
      <w:r>
        <w:t>18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Be.</w:t>
            </w:r>
            <w:r>
              <w:tab/>
            </w:r>
            <w:r>
              <w:rPr>
                <w:b/>
                <w:i/>
              </w:rPr>
              <w:t>mając na uwadze, że ruchy antygenderowe w coraz większym stopniu wykorzystują kryzysy humanitarne do zwalczania równości płci i delegitymizacji organizacji kobiecych, w tym w krajach partnerskich UE;</w:t>
            </w:r>
          </w:p>
        </w:tc>
      </w:tr>
    </w:tbl>
    <w:p>
      <w:r>
        <w:rPr>
          <w:rStyle w:val="HideTWBExt"/>
        </w:rPr>
        <w:t>&lt;/Amend&gt;</w:t>
      </w:r>
    </w:p>
    <w:p>
      <w:pPr>
        <w:pStyle w:val="AmNumberTabs"/>
      </w:pPr>
      <w:r>
        <w:rPr>
          <w:rStyle w:val="HideTWBExt"/>
        </w:rPr>
        <w:t>&lt;Amend&gt;</w:t>
      </w:r>
      <w:r>
        <w:t>Poprawka</w:t>
      </w:r>
      <w:r>
        <w:tab/>
      </w:r>
      <w:r>
        <w:tab/>
      </w:r>
      <w:r>
        <w:rPr>
          <w:rStyle w:val="HideTWBExt"/>
        </w:rPr>
        <w:t>&lt;NumAm&gt;</w:t>
      </w:r>
      <w:r>
        <w:t>19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f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Bf.</w:t>
            </w:r>
            <w:r>
              <w:tab/>
            </w:r>
            <w:r>
              <w:rPr>
                <w:b/>
                <w:i/>
              </w:rPr>
              <w:t>mając na uwadze, że według ONZ w 2023 r. ponad 600 mln kobiet i dziewcząt mieszkało w odległości 50 km od strefy konfliktu, co stanowi wzrost o ponad 50 % w porównaniu z sytuacją sprzed dziesięciu lat;</w:t>
            </w:r>
          </w:p>
        </w:tc>
      </w:tr>
    </w:tbl>
    <w:p>
      <w:r>
        <w:rPr>
          <w:rStyle w:val="HideTWBExt"/>
        </w:rPr>
        <w:t>&lt;/Amend&gt;</w:t>
      </w:r>
    </w:p>
    <w:p>
      <w:pPr>
        <w:pStyle w:val="AmNumberTabs"/>
      </w:pPr>
      <w:r>
        <w:rPr>
          <w:rStyle w:val="HideTWBExt"/>
        </w:rPr>
        <w:t>&lt;Amend&gt;</w:t>
      </w:r>
      <w:r>
        <w:t>Poprawka</w:t>
      </w:r>
      <w:r>
        <w:tab/>
      </w:r>
      <w:r>
        <w:tab/>
      </w:r>
      <w:r>
        <w:rPr>
          <w:rStyle w:val="HideTWBExt"/>
        </w:rPr>
        <w:t>&lt;NumAm&gt;</w:t>
      </w:r>
      <w:r>
        <w:t>20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B g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Bg.</w:t>
            </w:r>
            <w:r>
              <w:tab/>
            </w:r>
            <w:r>
              <w:rPr>
                <w:b/>
                <w:i/>
              </w:rPr>
              <w:t>mając na uwadze, że fizyczna niedostępność, w tym brak bezpiecznego transportu i infrastruktury, znacznie ogranicza możliwość dostępu kobiet i dziewcząt do pomocy humanitarnej, opieki zdrowotnej i ochrony;</w:t>
            </w:r>
          </w:p>
        </w:tc>
      </w:tr>
    </w:tbl>
    <w:p>
      <w:r>
        <w:rPr>
          <w:rStyle w:val="HideTWBExt"/>
        </w:rPr>
        <w:t>&lt;/Amend&gt;</w:t>
      </w:r>
    </w:p>
    <w:p>
      <w:pPr>
        <w:pStyle w:val="AmNumberTabs"/>
      </w:pPr>
      <w:r>
        <w:rPr>
          <w:rStyle w:val="HideTWBExt"/>
        </w:rPr>
        <w:t>&lt;Amend&gt;</w:t>
      </w:r>
      <w:r>
        <w:t>Poprawka</w:t>
      </w:r>
      <w:r>
        <w:tab/>
      </w:r>
      <w:r>
        <w:tab/>
      </w:r>
      <w:r>
        <w:rPr>
          <w:rStyle w:val="HideTWBExt"/>
        </w:rPr>
        <w:t>&lt;NumAm&gt;</w:t>
      </w:r>
      <w:r>
        <w:t>21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mając na uwadze, że konflikty i zmiana klimatu to dwie główne przyczyny wzrostu potrzeb humanitarnych; są one spowodowane przez człowieka </w:t>
            </w:r>
            <w:r>
              <w:rPr>
                <w:b/>
                <w:i/>
              </w:rPr>
              <w:t>i</w:t>
            </w:r>
            <w:r>
              <w:t xml:space="preserve"> odwracalne dzięki uzgodnionym i wspólnym działaniom; mając na uwadze, że zmiana klimatu i degradacja środowiska prowadzą do zwiększonej niestabilności i konfliktów, zagrożeń związanych z klimatem, klęsk żywiołowych, niedoboru zasobów, w tym braku wody i bezpieczeństwa żywnościowego, przesiedleń wewnętrznych i przymusowej migracji;</w:t>
            </w:r>
          </w:p>
        </w:tc>
        <w:tc>
          <w:tcPr>
            <w:tcW w:w="4876" w:type="dxa"/>
            <w:tcBorders>
              <w:top w:val="nil"/>
              <w:left w:val="nil"/>
              <w:bottom w:val="nil"/>
              <w:right w:val="nil"/>
            </w:tcBorders>
          </w:tcPr>
          <w:p>
            <w:pPr>
              <w:pStyle w:val="Normal6a"/>
            </w:pPr>
            <w:r>
              <w:t>C.</w:t>
            </w:r>
            <w:r>
              <w:tab/>
            </w:r>
            <w:r>
              <w:t xml:space="preserve">mając na uwadze, że konflikty i zmiana klimatu to dwie główne przyczyny wzrostu potrzeb humanitarnych; </w:t>
            </w:r>
            <w:r>
              <w:rPr>
                <w:b/>
                <w:i/>
              </w:rPr>
              <w:t>mając na uwadze że</w:t>
            </w:r>
            <w:r>
              <w:t xml:space="preserve"> są one spowodowane przez człowieka</w:t>
            </w:r>
            <w:r>
              <w:rPr>
                <w:b/>
                <w:i/>
              </w:rPr>
              <w:t>,</w:t>
            </w:r>
            <w:r>
              <w:t xml:space="preserve"> odwracalne dzięki uzgodnionym i wspólnym działaniom </w:t>
            </w:r>
            <w:r>
              <w:rPr>
                <w:b/>
                <w:i/>
              </w:rPr>
              <w:t>oraz mają większy wpływ na najbiedniejsze kraje i społeczeństwa</w:t>
            </w:r>
            <w:r>
              <w:t>; mając na uwadze, że zmiana klimatu</w:t>
            </w:r>
            <w:r>
              <w:rPr>
                <w:b/>
                <w:i/>
              </w:rPr>
              <w:t>, utrata różnorodności biologicznej</w:t>
            </w:r>
            <w:r>
              <w:t xml:space="preserve"> i degradacja środowiska prowadzą do zwiększonej niestabilności i konfliktów, zagrożeń związanych z klimatem, klęsk żywiołowych, niedoboru zasobów, w tym braku wody i bezpieczeństwa żywnościowego, przesiedleń wewnętrznych i przymusowej migracji</w:t>
            </w:r>
            <w:r>
              <w:rPr>
                <w:b/>
                <w:i/>
              </w:rPr>
              <w:t>, co w nieproporcjonalny sposób dotyka kobiety i słabsze grupy</w:t>
            </w:r>
            <w:r>
              <w:t>;</w:t>
            </w:r>
          </w:p>
        </w:tc>
      </w:tr>
    </w:tbl>
    <w:p>
      <w:r>
        <w:rPr>
          <w:rStyle w:val="HideTWBExt"/>
        </w:rPr>
        <w:t>&lt;/Amend&gt;</w:t>
      </w:r>
    </w:p>
    <w:p>
      <w:pPr>
        <w:pStyle w:val="AmNumberTabs"/>
      </w:pPr>
      <w:r>
        <w:rPr>
          <w:rStyle w:val="HideTWBExt"/>
        </w:rPr>
        <w:t>&lt;Amend&gt;</w:t>
      </w:r>
      <w:r>
        <w:t>Poprawka</w:t>
      </w:r>
      <w:r>
        <w:tab/>
      </w:r>
      <w:r>
        <w:tab/>
      </w:r>
      <w:r>
        <w:rPr>
          <w:rStyle w:val="HideTWBExt"/>
        </w:rPr>
        <w:t>&lt;NumAm&gt;</w:t>
      </w:r>
      <w:r>
        <w:t>22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C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mając na uwadze, że sytuacja humanitarna w Sudanie jest nie tylko katastrofą dla jego mieszkańców, ale także globalną porażką w zakresie działań, odpowiedzialności i pomocy humanitarnej, a ta trwająca tragedia dotyka w znacznej części kobiety i dziewczęta;</w:t>
            </w:r>
          </w:p>
        </w:tc>
      </w:tr>
    </w:tbl>
    <w:p>
      <w:r>
        <w:rPr>
          <w:rStyle w:val="HideTWBExt"/>
        </w:rPr>
        <w:t>&lt;/Amend&gt;</w:t>
      </w:r>
    </w:p>
    <w:p>
      <w:pPr>
        <w:pStyle w:val="AmNumberTabs"/>
      </w:pPr>
      <w:r>
        <w:rPr>
          <w:rStyle w:val="HideTWBExt"/>
        </w:rPr>
        <w:t>&lt;Amend&gt;</w:t>
      </w:r>
      <w:r>
        <w:t>Poprawka</w:t>
      </w:r>
      <w:r>
        <w:tab/>
      </w:r>
      <w:r>
        <w:tab/>
      </w:r>
      <w:r>
        <w:rPr>
          <w:rStyle w:val="HideTWBExt"/>
        </w:rPr>
        <w:t>&lt;NumAm&gt;</w:t>
      </w:r>
      <w:r>
        <w:t>23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mając na uwadze alarmujący brak dostępu do pomocy humanitarnej w </w:t>
            </w:r>
            <w:r>
              <w:rPr>
                <w:b/>
                <w:i/>
              </w:rPr>
              <w:t>wielu kontekstach</w:t>
            </w:r>
            <w:r>
              <w:t>, spotęgowany wzrostem niebezpiecznych i destrukcyjnych tendencji, jeśli chodzi o interpretację i stosowanie międzynarodowego prawa humanitarnego;</w:t>
            </w:r>
          </w:p>
        </w:tc>
        <w:tc>
          <w:tcPr>
            <w:tcW w:w="4876" w:type="dxa"/>
            <w:tcBorders>
              <w:top w:val="nil"/>
              <w:left w:val="nil"/>
              <w:bottom w:val="nil"/>
              <w:right w:val="nil"/>
            </w:tcBorders>
          </w:tcPr>
          <w:p>
            <w:pPr>
              <w:pStyle w:val="Normal6a"/>
            </w:pPr>
            <w:r>
              <w:t>D.</w:t>
            </w:r>
            <w:r>
              <w:tab/>
            </w:r>
            <w:r>
              <w:t xml:space="preserve">mając na uwadze alarmujący brak </w:t>
            </w:r>
            <w:r>
              <w:rPr>
                <w:b/>
                <w:i/>
              </w:rPr>
              <w:t>niezakłóconego</w:t>
            </w:r>
            <w:r>
              <w:t xml:space="preserve"> dostępu </w:t>
            </w:r>
            <w:r>
              <w:rPr>
                <w:b/>
                <w:i/>
              </w:rPr>
              <w:t>osób potrzebujących</w:t>
            </w:r>
            <w:r>
              <w:t xml:space="preserve"> do pomocy humanitarnej</w:t>
            </w:r>
            <w:r>
              <w:rPr>
                <w:b/>
                <w:i/>
              </w:rPr>
              <w:t>,</w:t>
            </w:r>
            <w:r>
              <w:t xml:space="preserve"> w </w:t>
            </w:r>
            <w:r>
              <w:rPr>
                <w:b/>
                <w:i/>
              </w:rPr>
              <w:t>tym podczas konfliktów, klęsk żywiołowych, zjawisk klimatycznych, epidemii oraz na szlakach migracyjnych</w:t>
            </w:r>
            <w:r>
              <w:t xml:space="preserve">, spotęgowany wzrostem niebezpiecznych i destrukcyjnych tendencji, jeśli chodzi o interpretację i stosowanie </w:t>
            </w:r>
            <w:r>
              <w:rPr>
                <w:b/>
                <w:i/>
              </w:rPr>
              <w:t>prawa międzynarodowego praw człowieka,</w:t>
            </w:r>
            <w:r>
              <w:t xml:space="preserve"> międzynarodowego prawa humanitarnego </w:t>
            </w:r>
            <w:r>
              <w:rPr>
                <w:b/>
                <w:i/>
              </w:rPr>
              <w:t>oraz zasad humanitarnych;</w:t>
            </w:r>
            <w:r>
              <w:rPr>
                <w:b/>
                <w:i/>
              </w:rPr>
              <w:t xml:space="preserve"> mając na uwadze, że pracownicy ONZ zajmujący się prawami człowieka zwrócili uwagę na bierność społeczności międzynarodowej; mając na uwadze, że w regionach dotkniętych kryzysami i konfliktami dochodzi do bezprecedensowej liczby ataków na pracowników organizacji humanitarnych, ludność cywilną i infrastrukturę cywilną; </w:t>
            </w:r>
            <w:r>
              <w:rPr>
                <w:b/>
                <w:i/>
              </w:rPr>
              <w:t>mając na uwadze, że kobiety, dziewczęta, osoby LGBTIQ+, migranci i uchodźcy są nieproporcjonalnie dotknięci licznymi kryzysami humanitarnymi na całym świecie</w:t>
            </w:r>
            <w:r>
              <w:rPr>
                <w:b/>
                <w:i/>
                <w:vertAlign w:val="superscript"/>
              </w:rPr>
              <w:t>1a</w:t>
            </w:r>
            <w:r>
              <w:rPr>
                <w:b/>
                <w:i/>
              </w:rPr>
              <w:t>, w tym największym na świecie kryzysem humanitarnym związanym z wysiedleniami i głodem w Sudanie, trwającym konfliktem i wysiedleniami w Strefie Gazy, następstwami trzęsienia ziemi w Mjanmie/Birmie, epidemią cholery w Demokratycznej Republice Konga, poważnymi niedoborami żywności i wody w Rogu Afryki, przedłużającymi się konfliktami w Syrii i Jemenie oraz kryzysem uchodźczym w Sudanie Południowym</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https://www.oxfam.org.uk/documents/715/Rights_Resilience_Response.pdf.</w:t>
            </w:r>
          </w:p>
        </w:tc>
      </w:tr>
    </w:tbl>
    <w:p>
      <w:r>
        <w:rPr>
          <w:rStyle w:val="HideTWBExt"/>
        </w:rPr>
        <w:t>&lt;/Amend&gt;</w:t>
      </w:r>
    </w:p>
    <w:p>
      <w:pPr>
        <w:pStyle w:val="AmNumberTabs"/>
      </w:pPr>
      <w:r>
        <w:rPr>
          <w:rStyle w:val="HideTWBExt"/>
        </w:rPr>
        <w:t>&lt;Amend&gt;</w:t>
      </w:r>
      <w:r>
        <w:t>Poprawka</w:t>
      </w:r>
      <w:r>
        <w:tab/>
      </w:r>
      <w:r>
        <w:tab/>
      </w:r>
      <w:r>
        <w:rPr>
          <w:rStyle w:val="HideTWBExt"/>
        </w:rPr>
        <w:t>&lt;NumAm&gt;</w:t>
      </w:r>
      <w:r>
        <w:t>24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D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mając na uwadze, że ponad 18 % afgańskich kobiet i dziewcząt nie ma dostępu lub ma ograniczony dostęp do pracownic organizacji humanitarnych; mając na uwadze, że tylko pracownice organizacji humanitarnych mogą rozmawiać z kobietami i dziewczętami w celu oceny potrzeb i udzielenia pomocy;</w:t>
            </w:r>
          </w:p>
        </w:tc>
      </w:tr>
    </w:tbl>
    <w:p>
      <w:r>
        <w:rPr>
          <w:rStyle w:val="HideTWBExt"/>
        </w:rPr>
        <w:t>&lt;/Amend&gt;</w:t>
      </w:r>
    </w:p>
    <w:p>
      <w:pPr>
        <w:pStyle w:val="AmNumberTabs"/>
      </w:pPr>
      <w:r>
        <w:rPr>
          <w:rStyle w:val="HideTWBExt"/>
        </w:rPr>
        <w:t>&lt;Amend&gt;</w:t>
      </w:r>
      <w:r>
        <w:t>Poprawka</w:t>
      </w:r>
      <w:r>
        <w:tab/>
      </w:r>
      <w:r>
        <w:tab/>
      </w:r>
      <w:r>
        <w:rPr>
          <w:rStyle w:val="HideTWBExt"/>
        </w:rPr>
        <w:t>&lt;NumAm&gt;</w:t>
      </w:r>
      <w:r>
        <w:t>25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Motyw D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mając na uwadze, że w pomocy humanitarnej UE należy nadal uwzględniać zarówno aspekt płci, jak i aspekt wieku, a także dążyć do reagowania na te kwestie, biorąc przy tym pod uwagę szczególne potrzeby, podatność na zagrożenia oraz możliwości wszystkich osób;</w:t>
            </w:r>
          </w:p>
        </w:tc>
      </w:tr>
    </w:tbl>
    <w:p>
      <w:r>
        <w:rPr>
          <w:rStyle w:val="HideTWBExt"/>
        </w:rPr>
        <w:t>&lt;/Amend&gt;</w:t>
      </w:r>
    </w:p>
    <w:p>
      <w:pPr>
        <w:pStyle w:val="AmNumberTabs"/>
      </w:pPr>
      <w:r>
        <w:rPr>
          <w:rStyle w:val="HideTWBExt"/>
        </w:rPr>
        <w:t>&lt;Amend&gt;</w:t>
      </w:r>
      <w:r>
        <w:t>Poprawka</w:t>
      </w:r>
      <w:r>
        <w:tab/>
      </w:r>
      <w:r>
        <w:tab/>
      </w:r>
      <w:r>
        <w:rPr>
          <w:rStyle w:val="HideTWBExt"/>
        </w:rPr>
        <w:t>&lt;NumAm&gt;</w:t>
      </w:r>
      <w:r>
        <w:t>26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 podkreśla, że wszystkie strony konfliktu mają obowiązek przestrzegania i zapewnienia przestrzegania międzynarodowego prawa humanitarnego i prawa międzynarodowego praw człowieka; podkreśla potrzebę wzmocnienia centralnej roli zasad humanitarnych w działaniach zewnętrznych UE;</w:t>
            </w:r>
          </w:p>
        </w:tc>
        <w:tc>
          <w:tcPr>
            <w:tcW w:w="4876" w:type="dxa"/>
            <w:tcBorders>
              <w:top w:val="nil"/>
              <w:left w:val="nil"/>
              <w:bottom w:val="nil"/>
              <w:right w:val="nil"/>
            </w:tcBorders>
          </w:tcPr>
          <w:p>
            <w:pPr>
              <w:pStyle w:val="Normal6a"/>
            </w:pPr>
            <w:r>
              <w:t xml:space="preserve">1. podkreśla, że wszystkie strony konfliktu mają obowiązek przestrzegania i zapewnienia przestrzegania międzynarodowego prawa humanitarnego i prawa międzynarodowego praw człowieka; </w:t>
            </w:r>
            <w:r>
              <w:rPr>
                <w:b/>
                <w:i/>
              </w:rPr>
              <w:t xml:space="preserve">zauważa, że gwałt i inne formy przemocy seksualnej są wykorzystywane jako narzędzie wojny i stanowią zbrodnie wojenne, zbrodnie przeciwko ludzkości i czyny przyczyniające się do ludobójstwa; podkreśla rolę organizacji zajmujących się prawami kobiet w zapewnianiu ofiarom dostępu do wymiaru sprawiedliwości i usług wsparcia; </w:t>
            </w:r>
            <w:r>
              <w:t xml:space="preserve">podkreśla potrzebę </w:t>
            </w:r>
            <w:r>
              <w:rPr>
                <w:b/>
                <w:i/>
              </w:rPr>
              <w:t>znacznego</w:t>
            </w:r>
            <w:r>
              <w:t xml:space="preserve"> wzmocnienia centralnej roli zasad humanitarnych w działaniach zewnętrznych UE;</w:t>
            </w:r>
            <w:r>
              <w:br/>
            </w:r>
          </w:p>
        </w:tc>
      </w:tr>
    </w:tbl>
    <w:p>
      <w:r>
        <w:rPr>
          <w:rStyle w:val="HideTWBExt"/>
        </w:rPr>
        <w:t>&lt;/Amend&gt;</w:t>
      </w:r>
    </w:p>
    <w:p>
      <w:pPr>
        <w:pStyle w:val="AmNumberTabs"/>
      </w:pPr>
      <w:r>
        <w:rPr>
          <w:rStyle w:val="HideTWBExt"/>
        </w:rPr>
        <w:t>&lt;Amend&gt;</w:t>
      </w:r>
      <w:r>
        <w:t>Poprawka</w:t>
      </w:r>
      <w:r>
        <w:tab/>
      </w:r>
      <w:r>
        <w:tab/>
      </w:r>
      <w:r>
        <w:rPr>
          <w:rStyle w:val="HideTWBExt"/>
        </w:rPr>
        <w:t>&lt;NumAm&gt;</w:t>
      </w:r>
      <w:r>
        <w:t>27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przypomina, że UE jest unią opartą na wartościach, której jedną z podstawowych zasad jest równość płci, zgodnie z art. 2 TUE; ponadto podkreśla, że w art. 8 TFUE ustanowiono, że UE ma obowiązek wspierać równość płci we wszystkich swoich działaniach;</w:t>
            </w:r>
          </w:p>
        </w:tc>
      </w:tr>
    </w:tbl>
    <w:p>
      <w:r>
        <w:rPr>
          <w:rStyle w:val="HideTWBExt"/>
        </w:rPr>
        <w:t>&lt;/Amend&gt;</w:t>
      </w:r>
    </w:p>
    <w:p>
      <w:pPr>
        <w:pStyle w:val="AmNumberTabs"/>
      </w:pPr>
      <w:r>
        <w:rPr>
          <w:rStyle w:val="HideTWBExt"/>
        </w:rPr>
        <w:t>&lt;Amend&gt;</w:t>
      </w:r>
      <w:r>
        <w:t>Poprawka</w:t>
      </w:r>
      <w:r>
        <w:tab/>
      </w:r>
      <w:r>
        <w:tab/>
      </w:r>
      <w:r>
        <w:rPr>
          <w:rStyle w:val="HideTWBExt"/>
        </w:rPr>
        <w:t>&lt;NumAm&gt;</w:t>
      </w:r>
      <w:r>
        <w:t>28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podkreśla znaczenie wspierania dostępu do zdrowia i praw seksualnych i reprodukcyjnych na całym świecie oraz zaangażowanie UE w zapewnienie dostępu do usług opieki w zakresie zdrowia reprodukcyjnego i opieki zdrowotnej dla matek, w tym do antykoncepcji awaryjnej, profilaktyki poekspozycyjnej, leczenia zakażeń przenoszonych drogą płciową oraz dostępu do bezpiecznej i legalnej aborcji dla wszystkich, w tym dla ofiar gwałtu, wynikającego z ich chronionego prawa do podstawowej opieki medycznej oraz ich prawa do sprawiedliwego dostępu do systemów podstawowej i specjalistycznej opieki zdrowotnej, a także dostępu do opieki klinicznej dla zgwałconych kobiet i dziewcząt dotkniętych kryzysami humanitarnymi oraz dla innych słabszych grup społecznych, w tym osób doświadczających dyskryminacji intersekcjonalnej; apeluje do UE i jej partnerów zaangażowanych w pomoc humanitarną, aby włączyli bezpieczne usługi aborcyjne do minimalnego początkowego pakietu usług i skutecznie świadczyli te usługi;</w:t>
            </w:r>
          </w:p>
        </w:tc>
      </w:tr>
    </w:tbl>
    <w:p>
      <w:r>
        <w:rPr>
          <w:rStyle w:val="HideTWBExt"/>
        </w:rPr>
        <w:t>&lt;/Amend&gt;</w:t>
      </w:r>
    </w:p>
    <w:p>
      <w:pPr>
        <w:pStyle w:val="AmNumberTabs"/>
      </w:pPr>
      <w:r>
        <w:rPr>
          <w:rStyle w:val="HideTWBExt"/>
        </w:rPr>
        <w:t>&lt;Amend&gt;</w:t>
      </w:r>
      <w:r>
        <w:t>Poprawka</w:t>
      </w:r>
      <w:r>
        <w:tab/>
      </w:r>
      <w:r>
        <w:tab/>
      </w:r>
      <w:r>
        <w:rPr>
          <w:rStyle w:val="HideTWBExt"/>
        </w:rPr>
        <w:t>&lt;NumAm&gt;</w:t>
      </w:r>
      <w:r>
        <w:t>29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podkreśla, jak ważne jest zapewnienie, by podejście uwzględniające aspekt płci stanowiło integralną część wszystkich działań UE w zakresie pomocy humanitarnej i zarządzania kryzysowego, w tym polityki zagranicznej; przypomina o zaangażowaniu UE na rzecz celów zrównoważonego rozwoju, ze szczególnym uwzględnieniem celu nr 5 dotyczącego równości płci i wzmocnienia pozycji kobiet i dziewcząt, które to cele mają zasadnicze znaczenie dla budowania odpornych społeczeństw sprzyjających włączeniu społecznemu; podkreśla, że osiągnięcie celu zrównoważonego rozwoju nr 5 ma zasadnicze znaczenie dla osiągnięcia wszystkich pozostałych celów zrównoważonego rozwoju, a zatem dla osiągnięcia wyników określonych w Agendzie 2030;</w:t>
            </w:r>
          </w:p>
        </w:tc>
      </w:tr>
    </w:tbl>
    <w:p>
      <w:r>
        <w:rPr>
          <w:rStyle w:val="HideTWBExt"/>
        </w:rPr>
        <w:t>&lt;/Amend&gt;</w:t>
      </w:r>
    </w:p>
    <w:p>
      <w:pPr>
        <w:pStyle w:val="AmNumberTabs"/>
      </w:pPr>
      <w:r>
        <w:rPr>
          <w:rStyle w:val="HideTWBExt"/>
        </w:rPr>
        <w:t>&lt;Amend&gt;</w:t>
      </w:r>
      <w:r>
        <w:t>Poprawka</w:t>
      </w:r>
      <w:r>
        <w:tab/>
      </w:r>
      <w:r>
        <w:tab/>
      </w:r>
      <w:r>
        <w:rPr>
          <w:rStyle w:val="HideTWBExt"/>
        </w:rPr>
        <w:t>&lt;NumAm&gt;</w:t>
      </w:r>
      <w:r>
        <w:t>30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wyraża zaniepokojenie regresem w zakresie równouprawnienia płci i międzynarodowych ram dotyczących praw człowieka, które mają na celu ochronę kobiet i dziewcząt ze słabszych i zmarginalizowanych grup na całym świecie, w tym osób LGBTIQ+; wzywa UE i państwa członkowskie do wzmożenia wysiłków na rzecz ochrony naszych podstawowych unijnych wartości i wzmocnienia poszanowania praw człowieka i prawa międzynarodowego;</w:t>
            </w:r>
          </w:p>
        </w:tc>
      </w:tr>
    </w:tbl>
    <w:p>
      <w:r>
        <w:rPr>
          <w:rStyle w:val="HideTWBExt"/>
        </w:rPr>
        <w:t>&lt;/Amend&gt;</w:t>
      </w:r>
    </w:p>
    <w:p>
      <w:pPr>
        <w:pStyle w:val="AmNumberTabs"/>
      </w:pPr>
      <w:r>
        <w:rPr>
          <w:rStyle w:val="HideTWBExt"/>
        </w:rPr>
        <w:t>&lt;Amend&gt;</w:t>
      </w:r>
      <w:r>
        <w:t>Poprawka</w:t>
      </w:r>
      <w:r>
        <w:tab/>
      </w:r>
      <w:r>
        <w:tab/>
      </w:r>
      <w:r>
        <w:rPr>
          <w:rStyle w:val="HideTWBExt"/>
        </w:rPr>
        <w:t>&lt;NumAm&gt;</w:t>
      </w:r>
      <w:r>
        <w:t>31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zwraca uwagę, że kryzysy humanitarne często pogłębiają istniejące wcześniej nierówności płci i dyskryminujące normy społeczne, co jeszcze bardziej ogranicza dostęp kobiet i dziewcząt do podstawowych usług, możliwość korzystania w pełni z przysługujących im praw oraz ich autonomię osobistą;</w:t>
            </w:r>
          </w:p>
        </w:tc>
      </w:tr>
    </w:tbl>
    <w:p>
      <w:r>
        <w:rPr>
          <w:rStyle w:val="HideTWBExt"/>
        </w:rPr>
        <w:t>&lt;/Amend&gt;</w:t>
      </w:r>
    </w:p>
    <w:p>
      <w:pPr>
        <w:pStyle w:val="AmNumberTabs"/>
      </w:pPr>
      <w:r>
        <w:rPr>
          <w:rStyle w:val="HideTWBExt"/>
        </w:rPr>
        <w:t>&lt;Amend&gt;</w:t>
      </w:r>
      <w:r>
        <w:t>Poprawka</w:t>
      </w:r>
      <w:r>
        <w:tab/>
      </w:r>
      <w:r>
        <w:tab/>
      </w:r>
      <w:r>
        <w:rPr>
          <w:rStyle w:val="HideTWBExt"/>
        </w:rPr>
        <w:t>&lt;NumAm&gt;</w:t>
      </w:r>
      <w:r>
        <w:t>32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f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1f.</w:t>
            </w:r>
            <w:r>
              <w:tab/>
            </w:r>
            <w:r>
              <w:rPr>
                <w:b/>
                <w:i/>
              </w:rPr>
              <w:t>wyraża zaniepokojenie faktem, że w rejonach objętych konfliktami nadal powszechnie łamie się prawa człowieka i stosuje przemoc ze względu na płeć, oraz że nadal nie podejmuje się wystarczających wysiłków, aby temu zapobiegać, wspierać ocalałych i zagwarantować im dostęp do wymiaru sprawiedliwości; wyraża zaniepokojenie faktem, że w związku z ograniczeniem usług świadczonych przez organizacje kierowane przez kobiety i organizacje działające na rzecz praw kobiet, obawiają się one, że problem przemocy ze względu na płeć może zostać pominięty lub się nasilić;</w:t>
            </w:r>
          </w:p>
        </w:tc>
      </w:tr>
    </w:tbl>
    <w:p>
      <w:r>
        <w:rPr>
          <w:rStyle w:val="HideTWBExt"/>
        </w:rPr>
        <w:t>&lt;/Amend&gt;</w:t>
      </w:r>
    </w:p>
    <w:p>
      <w:pPr>
        <w:pStyle w:val="AmNumberTabs"/>
      </w:pPr>
      <w:r>
        <w:rPr>
          <w:rStyle w:val="HideTWBExt"/>
        </w:rPr>
        <w:t>&lt;Amend&gt;</w:t>
      </w:r>
      <w:r>
        <w:t>Poprawka</w:t>
      </w:r>
      <w:r>
        <w:tab/>
      </w:r>
      <w:r>
        <w:tab/>
      </w:r>
      <w:r>
        <w:rPr>
          <w:rStyle w:val="HideTWBExt"/>
        </w:rPr>
        <w:t>&lt;NumAm&gt;</w:t>
      </w:r>
      <w:r>
        <w:t>33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 g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1g.</w:t>
            </w:r>
            <w:r>
              <w:tab/>
            </w:r>
            <w:r>
              <w:rPr>
                <w:b/>
                <w:i/>
              </w:rPr>
              <w:t>wyraża głębokie zaniepokojenie zniszczeniem infrastruktury zdrowotnej i systematycznym utrudnianiem świadczenia pomocy humanitarnej w Strefie Gazy;  wzywa Unię Europejską i państwa członkowskie, aby zagwarantowały wszystkim kobietom i dziewczętom dotkniętym konfliktem nieograniczony dostęp do usług w zakresie zdrowia seksualnego i reprodukcyjnego oraz do opieki zdrowotnej dla matek;</w:t>
            </w:r>
          </w:p>
        </w:tc>
      </w:tr>
    </w:tbl>
    <w:p>
      <w:r>
        <w:rPr>
          <w:rStyle w:val="HideTWBExt"/>
        </w:rPr>
        <w:t>&lt;/Amend&gt;</w:t>
      </w:r>
    </w:p>
    <w:p>
      <w:pPr>
        <w:pStyle w:val="AmNumberTabs"/>
      </w:pPr>
      <w:r>
        <w:rPr>
          <w:rStyle w:val="HideTWBExt"/>
        </w:rPr>
        <w:t>&lt;Amend&gt;</w:t>
      </w:r>
      <w:r>
        <w:t>Poprawka</w:t>
      </w:r>
      <w:r>
        <w:tab/>
      </w:r>
      <w:r>
        <w:tab/>
      </w:r>
      <w:r>
        <w:rPr>
          <w:rStyle w:val="HideTWBExt"/>
        </w:rPr>
        <w:t>&lt;NumAm&gt;</w:t>
      </w:r>
      <w:r>
        <w:t>34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jest zaniepokojony, że w ostatnich latach wzrosła liczba naruszeń międzynarodowego prawa humanitarnego – z których część jest określana jako strategiczne metody wojny – w szczególności w Sudanie, Strefie Gazy, Demokratycznej Republice Konga, Ukrainie i na Haiti; </w:t>
            </w:r>
            <w:r>
              <w:rPr>
                <w:b/>
                <w:i/>
              </w:rPr>
              <w:t>wzywa</w:t>
            </w:r>
            <w:r>
              <w:t xml:space="preserve"> do </w:t>
            </w:r>
            <w:r>
              <w:rPr>
                <w:b/>
                <w:i/>
              </w:rPr>
              <w:t>podjęcia natychmiastowych</w:t>
            </w:r>
            <w:r>
              <w:t xml:space="preserve"> działań </w:t>
            </w:r>
            <w:r>
              <w:rPr>
                <w:b/>
                <w:i/>
              </w:rPr>
              <w:t>międzynarodowych</w:t>
            </w:r>
            <w:r>
              <w:t xml:space="preserve">, </w:t>
            </w:r>
            <w:r>
              <w:rPr>
                <w:b/>
                <w:i/>
              </w:rPr>
              <w:t>aby położyć kres niedopuszczalnemu kryzysowi humanitarnemu</w:t>
            </w:r>
            <w:r>
              <w:t xml:space="preserve"> w Strefie Gazy w </w:t>
            </w:r>
            <w:r>
              <w:rPr>
                <w:b/>
                <w:i/>
              </w:rPr>
              <w:t>kontekście blokady wprowadzonej przez rząd Izraela</w:t>
            </w:r>
            <w:r>
              <w:t>;</w:t>
            </w:r>
          </w:p>
        </w:tc>
        <w:tc>
          <w:tcPr>
            <w:tcW w:w="4876" w:type="dxa"/>
            <w:tcBorders>
              <w:top w:val="nil"/>
              <w:left w:val="nil"/>
              <w:bottom w:val="nil"/>
              <w:right w:val="nil"/>
            </w:tcBorders>
          </w:tcPr>
          <w:p>
            <w:pPr>
              <w:pStyle w:val="Normal6a"/>
            </w:pPr>
            <w:r>
              <w:t>2.</w:t>
            </w:r>
            <w:r>
              <w:tab/>
            </w:r>
            <w:r>
              <w:t xml:space="preserve">jest zaniepokojony, że w ostatnich latach wzrosła liczba naruszeń międzynarodowego prawa humanitarnego – z których część jest określana jako strategiczne metody wojny – w szczególności w Sudanie, Strefie Gazy, Demokratycznej Republice Konga, Ukrainie i na Haiti; </w:t>
            </w:r>
            <w:r>
              <w:rPr>
                <w:b/>
                <w:i/>
              </w:rPr>
              <w:t xml:space="preserve">podkreśla wyjątkową powagę kryzysu humanitarnego w Strefie Gazy, zwłaszcza w odniesieniu do kobiet, dzieci i innych grup szczególnie narażonych, w kontekście przedłużającej się blokady i powtarzających się masowych ataków rządu izraelskiego na ludność cywilną, szpitale, szkoły i infrastrukturę humanitarną; wyraża głębokie zaniepokojenie katastrofalną sytuacją humanitarną w Strefie Gazy, zwłaszcza kobiet i dziewcząt, w szczególności brakiem żywności i powszechnym niedożywieniem spowodowanym niewystarczającym dostępem do pomocy humanitarnej; </w:t>
            </w:r>
            <w:r>
              <w:rPr>
                <w:b/>
                <w:i/>
              </w:rPr>
              <w:t>przypomina, że należy chronić miejsca dystrybucji, ludność cywilną, pracowników organizacji humanitarnych i personel medyczny oraz że nie można dopuścić, by stali się celem</w:t>
            </w:r>
            <w:r>
              <w:t xml:space="preserve"> działań </w:t>
            </w:r>
            <w:r>
              <w:rPr>
                <w:b/>
                <w:i/>
              </w:rPr>
              <w:t>wojskowych;</w:t>
            </w:r>
            <w:r>
              <w:rPr>
                <w:b/>
                <w:i/>
              </w:rPr>
              <w:t xml:space="preserve"> </w:t>
            </w:r>
            <w:r>
              <w:rPr>
                <w:b/>
                <w:i/>
              </w:rPr>
              <w:t>podkreśla, że wszystkie doświadczone międzynarodowe organizacje humanitarne pilnie potrzebują pełnego, szybkiego, bezpiecznego i niezakłóconego dostępu do całej Strefy Gazy, przy czym priorytetem jest zaopatrzenie w rzeczy niezbędne, takie jak żywność, woda</w:t>
            </w:r>
            <w:r>
              <w:t xml:space="preserve">, </w:t>
            </w:r>
            <w:r>
              <w:rPr>
                <w:b/>
                <w:i/>
              </w:rPr>
              <w:t>środki medyczne i schronienie, czego wymaga prawo międzynarodowe, oraz domaga się natychmiastowego przywrócenia niezbędnej infrastruktury;</w:t>
            </w:r>
            <w:r>
              <w:rPr>
                <w:b/>
                <w:i/>
              </w:rPr>
              <w:t xml:space="preserve"> </w:t>
            </w:r>
            <w:r>
              <w:rPr>
                <w:b/>
                <w:i/>
              </w:rPr>
              <w:t>podkreśla obowiązki, jakie w kwestii udzielania pomocy humanitarnej spoczywają na stronach konfliktu zgodnie z międzynarodowym prawem humanitarnym;</w:t>
            </w:r>
            <w:r>
              <w:rPr>
                <w:b/>
                <w:i/>
              </w:rPr>
              <w:t xml:space="preserve"> podkreśla, że priorytet UE jest jasny, a mianowicie natychmiastowe i trwałe zawieszenie broni; </w:t>
            </w:r>
            <w:r>
              <w:rPr>
                <w:b/>
                <w:i/>
              </w:rPr>
              <w:t>żąda natychmiastowego i bezwarunkowego uwolnienia wszystkich izraelskich zakładników przetrzymywanych</w:t>
            </w:r>
            <w:r>
              <w:t xml:space="preserve"> w Strefie Gazy</w:t>
            </w:r>
            <w:r>
              <w:rPr>
                <w:b/>
                <w:i/>
              </w:rPr>
              <w:t>, zarówno żywych, jak i martwych;</w:t>
            </w:r>
            <w:r>
              <w:rPr>
                <w:b/>
                <w:i/>
              </w:rPr>
              <w:t xml:space="preserve"> </w:t>
            </w:r>
            <w:r>
              <w:rPr>
                <w:b/>
                <w:i/>
              </w:rPr>
              <w:t>zauważa jednak, że dalsze zabijanie ludności cywilnej jest nie do przyjęcia i że należy zezwolić na dostarczenie niezbędnej pomocy,</w:t>
            </w:r>
            <w:r>
              <w:t xml:space="preserve"> w </w:t>
            </w:r>
            <w:r>
              <w:rPr>
                <w:b/>
                <w:i/>
              </w:rPr>
              <w:t>tym pomocy przeznaczonej specjalnie dla kobiet i dziewcząt</w:t>
            </w:r>
            <w:r>
              <w:t>;</w:t>
            </w:r>
          </w:p>
        </w:tc>
      </w:tr>
    </w:tbl>
    <w:p>
      <w:r>
        <w:rPr>
          <w:rStyle w:val="HideTWBExt"/>
        </w:rPr>
        <w:t>&lt;/Amend&gt;</w:t>
      </w:r>
    </w:p>
    <w:p>
      <w:pPr>
        <w:pStyle w:val="AmNumberTabs"/>
      </w:pPr>
      <w:r>
        <w:rPr>
          <w:rStyle w:val="HideTWBExt"/>
        </w:rPr>
        <w:t>&lt;Amend&gt;</w:t>
      </w:r>
      <w:r>
        <w:t>Poprawka</w:t>
      </w:r>
      <w:r>
        <w:tab/>
      </w:r>
      <w:r>
        <w:tab/>
      </w:r>
      <w:r>
        <w:rPr>
          <w:rStyle w:val="HideTWBExt"/>
        </w:rPr>
        <w:t>&lt;NumAm&gt;</w:t>
      </w:r>
      <w:r>
        <w:t>35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zauważa, że rosnące ceny żywności, energii i nawozów, spowodowane wojną w Gazie, wojną napastniczą Rosji przeciwko Ukrainie oraz innymi konfliktami, znacząco zwiększają potrzeby w zakresie pomocy humanitarnej; podkreśla, że złożone kryzysy geopolityczne mają bezpośredni wpływ na dostępność podstawowych towarów na rynkach światowych, co szczególnie dotyka najbardziej narażone populacje, w tym dzieci i kobiety;</w:t>
            </w:r>
          </w:p>
        </w:tc>
      </w:tr>
    </w:tbl>
    <w:p>
      <w:r>
        <w:rPr>
          <w:rStyle w:val="HideTWBExt"/>
        </w:rPr>
        <w:t>&lt;/Amend&gt;</w:t>
      </w:r>
    </w:p>
    <w:p>
      <w:pPr>
        <w:pStyle w:val="AmNumberTabs"/>
      </w:pPr>
      <w:r>
        <w:rPr>
          <w:rStyle w:val="HideTWBExt"/>
        </w:rPr>
        <w:t>&lt;Amend&gt;</w:t>
      </w:r>
      <w:r>
        <w:t>Poprawka</w:t>
      </w:r>
      <w:r>
        <w:tab/>
      </w:r>
      <w:r>
        <w:tab/>
      </w:r>
      <w:r>
        <w:rPr>
          <w:rStyle w:val="HideTWBExt"/>
        </w:rPr>
        <w:t>&lt;NumAm&gt;</w:t>
      </w:r>
      <w:r>
        <w:t>36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apeluje również o utrzymanie i dalsze zwiększanie unijnej pomocy humanitarnej dla ludności cywilnej dotkniętej wojną napastniczą Rosji przeciwko Ukrainie, ze szczególnym uwzględnieniem potrzeb osób wewnętrznie przesiedlonych, uchodźców, osób starszych oraz dzieci, w tym ofiar przymusowych deportacji na terytorium Federacji Rosyjskiej i terytoria okupowane;</w:t>
            </w:r>
          </w:p>
        </w:tc>
      </w:tr>
    </w:tbl>
    <w:p>
      <w:r>
        <w:rPr>
          <w:rStyle w:val="HideTWBExt"/>
        </w:rPr>
        <w:t>&lt;/Amend&gt;</w:t>
      </w:r>
    </w:p>
    <w:p>
      <w:pPr>
        <w:pStyle w:val="AmNumberTabs"/>
      </w:pPr>
      <w:r>
        <w:rPr>
          <w:rStyle w:val="HideTWBExt"/>
        </w:rPr>
        <w:t>&lt;Amend&gt;</w:t>
      </w:r>
      <w:r>
        <w:t>Poprawka</w:t>
      </w:r>
      <w:r>
        <w:tab/>
      </w:r>
      <w:r>
        <w:tab/>
      </w:r>
      <w:r>
        <w:rPr>
          <w:rStyle w:val="HideTWBExt"/>
        </w:rPr>
        <w:t>&lt;NumAm&gt;</w:t>
      </w:r>
      <w:r>
        <w:t>37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2c.</w:t>
            </w:r>
            <w:r>
              <w:tab/>
            </w:r>
            <w:r>
              <w:rPr>
                <w:b/>
                <w:i/>
              </w:rPr>
              <w:t>wyraża ubolewanie z powodu braku międzynarodowej uwagi i działań w związku z kryzysami w krajach afrykańskich i innych krajach rozwijających się, co doprowadziło do sytuacji, w której 6,7 mln osób w Sudanie jest narażonych na przemoc ze względu na płeć; wzywa zatem podmioty globalne do skuteczniejszego zapewniania dostępu do żywności, czystej wody, opieki medycznej i wsparcia psychologicznego, w szczególności dla kobiet i dzieci; podkreśla znaczenie propagowania praw kobiet i równości płci na całym świecie, co ma zasadnicze znaczenie dla przestrzegania praw człowieka; podkreśla, że pomimo pewnych postępów kobiety i dziewczęta nadal doświadczają dyskryminacji i przemocy ze względu na płeć;</w:t>
            </w:r>
          </w:p>
        </w:tc>
      </w:tr>
    </w:tbl>
    <w:p>
      <w:r>
        <w:rPr>
          <w:rStyle w:val="HideTWBExt"/>
        </w:rPr>
        <w:t>&lt;/Amend&gt;</w:t>
      </w:r>
    </w:p>
    <w:p>
      <w:pPr>
        <w:pStyle w:val="AmNumberTabs"/>
      </w:pPr>
      <w:r>
        <w:rPr>
          <w:rStyle w:val="HideTWBExt"/>
        </w:rPr>
        <w:t>&lt;Amend&gt;</w:t>
      </w:r>
      <w:r>
        <w:t>Poprawka</w:t>
      </w:r>
      <w:r>
        <w:tab/>
      </w:r>
      <w:r>
        <w:tab/>
      </w:r>
      <w:r>
        <w:rPr>
          <w:rStyle w:val="HideTWBExt"/>
        </w:rPr>
        <w:t>&lt;NumAm&gt;</w:t>
      </w:r>
      <w:r>
        <w:t>38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2d.</w:t>
            </w:r>
            <w:r>
              <w:tab/>
            </w:r>
            <w:r>
              <w:rPr>
                <w:b/>
                <w:i/>
              </w:rPr>
              <w:t>wyraża ubolewanie, że wiele państw wykorzystało pomoc jako broń, co w nieproporcjonalny sposób szkodzi kobietom i dziewczętom; zwraca uwagę, że jako społeczność międzynarodowa mamy obowiązek przestrzegać międzynarodowego prawa humanitarnego, które jest niezaprzeczalnie podważane w niektórych regionach, co dodatkowo pogłębia trudną sytuację kobiet i grup marginalizowanych;</w:t>
            </w:r>
          </w:p>
        </w:tc>
      </w:tr>
    </w:tbl>
    <w:p>
      <w:r>
        <w:rPr>
          <w:rStyle w:val="HideTWBExt"/>
        </w:rPr>
        <w:t>&lt;/Amend&gt;</w:t>
      </w:r>
    </w:p>
    <w:p>
      <w:pPr>
        <w:pStyle w:val="AmNumberTabs"/>
      </w:pPr>
      <w:r>
        <w:rPr>
          <w:rStyle w:val="HideTWBExt"/>
        </w:rPr>
        <w:t>&lt;Amend&gt;</w:t>
      </w:r>
      <w:r>
        <w:t>Poprawka</w:t>
      </w:r>
      <w:r>
        <w:tab/>
      </w:r>
      <w:r>
        <w:tab/>
      </w:r>
      <w:r>
        <w:rPr>
          <w:rStyle w:val="HideTWBExt"/>
        </w:rPr>
        <w:t>&lt;NumAm&gt;</w:t>
      </w:r>
      <w:r>
        <w:t>39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ubolewa nad kurczeniem się przestrzeni humanitarnej i erozją zasad humanitarnych, ponieważ bardzo utrudnia to świadczenie pomocy ratującej życie w kilku miejscach dotkniętych konfliktami; zdecydowanie potępia alarmujący wzrost liczby ataków na ludność cywilną i infrastrukturę niezbędną do jej przetrwania oraz na pracowników organizacji humanitarnych; wzywa do pociągnięcia do odpowiedzialności sprawców;</w:t>
            </w:r>
          </w:p>
        </w:tc>
        <w:tc>
          <w:tcPr>
            <w:tcW w:w="4876" w:type="dxa"/>
            <w:tcBorders>
              <w:top w:val="nil"/>
              <w:left w:val="nil"/>
              <w:bottom w:val="nil"/>
              <w:right w:val="nil"/>
            </w:tcBorders>
          </w:tcPr>
          <w:p>
            <w:pPr>
              <w:pStyle w:val="Normal6a"/>
            </w:pPr>
            <w:r>
              <w:t>3.</w:t>
            </w:r>
            <w:r>
              <w:tab/>
            </w:r>
            <w:r>
              <w:t xml:space="preserve">ubolewa nad kurczeniem się przestrzeni humanitarnej i erozją zasad humanitarnych </w:t>
            </w:r>
            <w:r>
              <w:rPr>
                <w:b/>
                <w:i/>
              </w:rPr>
              <w:t>oraz niepodporządkowaniem się instytucjom międzynarodowym i nieprzestrzeganiem nakazów aresztowania wydanych przez Międzynarodowy Trybunał Karny</w:t>
            </w:r>
            <w:r>
              <w:t>, ponieważ bardzo utrudnia to świadczenie pomocy ratującej życie w kilku miejscach dotkniętych konfliktami; zdecydowanie potępia alarmujący wzrost liczby ataków na ludność cywilną i infrastrukturę niezbędną do jej przetrwania oraz na pracowników organizacji humanitarnych; wzywa do pociągnięcia do odpowiedzialności sprawców;</w:t>
            </w:r>
          </w:p>
        </w:tc>
      </w:tr>
    </w:tbl>
    <w:p>
      <w:r>
        <w:rPr>
          <w:rStyle w:val="HideTWBExt"/>
        </w:rPr>
        <w:t>&lt;/Amend&gt;</w:t>
      </w:r>
    </w:p>
    <w:p>
      <w:pPr>
        <w:pStyle w:val="AmNumberTabs"/>
      </w:pPr>
      <w:r>
        <w:rPr>
          <w:rStyle w:val="HideTWBExt"/>
        </w:rPr>
        <w:t>&lt;Amend&gt;</w:t>
      </w:r>
      <w:r>
        <w:t>Poprawka</w:t>
      </w:r>
      <w:r>
        <w:tab/>
      </w:r>
      <w:r>
        <w:tab/>
      </w:r>
      <w:r>
        <w:rPr>
          <w:rStyle w:val="HideTWBExt"/>
        </w:rPr>
        <w:t>&lt;NumAm&gt;</w:t>
      </w:r>
      <w:r>
        <w:t>40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wyraża głębokie ubolewanie w związku z </w:t>
            </w:r>
            <w:r>
              <w:rPr>
                <w:b/>
                <w:i/>
              </w:rPr>
              <w:t>tym</w:t>
            </w:r>
            <w:r>
              <w:t xml:space="preserve">, </w:t>
            </w:r>
            <w:r>
              <w:rPr>
                <w:b/>
                <w:i/>
              </w:rPr>
              <w:t>że</w:t>
            </w:r>
            <w:r>
              <w:t xml:space="preserve"> niektóre państwa członkowskie UE zamierzają wycofać się z konwencji ottawskiej z 1997 r. i konwencji z Oslo z 2008 r.;</w:t>
            </w:r>
          </w:p>
        </w:tc>
        <w:tc>
          <w:tcPr>
            <w:tcW w:w="4876" w:type="dxa"/>
            <w:tcBorders>
              <w:top w:val="nil"/>
              <w:left w:val="nil"/>
              <w:bottom w:val="nil"/>
              <w:right w:val="nil"/>
            </w:tcBorders>
          </w:tcPr>
          <w:p>
            <w:pPr>
              <w:pStyle w:val="Normal6a"/>
            </w:pPr>
            <w:r>
              <w:t>4.</w:t>
            </w:r>
            <w:r>
              <w:tab/>
            </w:r>
            <w:r>
              <w:t xml:space="preserve">wyraża głębokie ubolewanie w związku z </w:t>
            </w:r>
            <w:r>
              <w:rPr>
                <w:b/>
                <w:i/>
              </w:rPr>
              <w:t>nadaniem niższego priorytetu pomocy humanitarnej, w szczególności dla kobiet i dziewcząt</w:t>
            </w:r>
            <w:r>
              <w:t xml:space="preserve">, </w:t>
            </w:r>
            <w:r>
              <w:rPr>
                <w:b/>
                <w:i/>
              </w:rPr>
              <w:t>przez</w:t>
            </w:r>
            <w:r>
              <w:t xml:space="preserve"> niektóre państwa członkowskie UE</w:t>
            </w:r>
            <w:r>
              <w:rPr>
                <w:b/>
                <w:i/>
              </w:rPr>
              <w:t>, a także nad tym, że</w:t>
            </w:r>
            <w:r>
              <w:t xml:space="preserve"> zamierzają </w:t>
            </w:r>
            <w:r>
              <w:rPr>
                <w:b/>
                <w:i/>
              </w:rPr>
              <w:t>one</w:t>
            </w:r>
            <w:r>
              <w:t xml:space="preserve"> wycofać się z konwencji ottawskiej z 1997 r. i konwencji z Oslo z 2008 r.;</w:t>
            </w:r>
          </w:p>
        </w:tc>
      </w:tr>
    </w:tbl>
    <w:p>
      <w:r>
        <w:rPr>
          <w:rStyle w:val="HideTWBExt"/>
        </w:rPr>
        <w:t>&lt;/Amend&gt;</w:t>
      </w:r>
    </w:p>
    <w:p>
      <w:pPr>
        <w:pStyle w:val="AmNumberTabs"/>
      </w:pPr>
      <w:r>
        <w:rPr>
          <w:rStyle w:val="HideTWBExt"/>
        </w:rPr>
        <w:t>&lt;Amend&gt;</w:t>
      </w:r>
      <w:r>
        <w:t>Poprawka</w:t>
      </w:r>
      <w:r>
        <w:tab/>
      </w:r>
      <w:r>
        <w:tab/>
      </w:r>
      <w:r>
        <w:rPr>
          <w:rStyle w:val="HideTWBExt"/>
        </w:rPr>
        <w:t>&lt;NumAm&gt;</w:t>
      </w:r>
      <w:r>
        <w:t>41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wzywa Komisję do zintensyfikowania działań mających na celu zapobieganie naruszeniom międzynarodowego prawa humanitarnego oraz do wyeliminowania luk w monitorowaniu naruszeń międzynarodowego prawa humanitarnego poprzez gromadzenie danych oraz skuteczniejsze i oparte na dowodach rzecznictwo;</w:t>
            </w:r>
          </w:p>
        </w:tc>
        <w:tc>
          <w:tcPr>
            <w:tcW w:w="4876" w:type="dxa"/>
            <w:tcBorders>
              <w:top w:val="nil"/>
              <w:left w:val="nil"/>
              <w:bottom w:val="nil"/>
              <w:right w:val="nil"/>
            </w:tcBorders>
          </w:tcPr>
          <w:p>
            <w:pPr>
              <w:pStyle w:val="Normal6a"/>
            </w:pPr>
            <w:r>
              <w:t>5.</w:t>
            </w:r>
            <w:r>
              <w:tab/>
            </w:r>
            <w:r>
              <w:t xml:space="preserve">wzywa Komisję </w:t>
            </w:r>
            <w:r>
              <w:rPr>
                <w:b/>
                <w:i/>
              </w:rPr>
              <w:t>i Europejską Służbę Działań Zewnętrznych (ESDZ)</w:t>
            </w:r>
            <w:r>
              <w:t xml:space="preserve"> do zintensyfikowania działań mających na celu zapobieganie naruszeniom międzynarodowego prawa humanitarnego oraz do wyeliminowania luk w monitorowaniu naruszeń międzynarodowego prawa humanitarnego poprzez gromadzenie danych oraz skuteczniejsze i oparte na dowodach rzecznictwo;</w:t>
            </w:r>
            <w:r>
              <w:rPr>
                <w:b/>
                <w:i/>
              </w:rPr>
              <w:t xml:space="preserve"> ponownie podkreśla, że konieczne jest, aby UE odgrywała wiodącą rolę na poziomie wielostronnym we wspieraniu praw kobiet w polityce zagranicznej i humanitarnej; wzywa UE, jej państwa członkowskie, Komisję i ESDZ do zobowiązania się do poczynienia postępów w zakresie rozwoju i pomocy humanitarnej, która wiąże się z wizją ukierunkowaną na aspekt płci i intersekcjonalność, oraz do dalszego wspierania równości płci w ich działaniach zewnętrznych; w tym względzie z zadowoleniem przyjmuje coraz większą formalizację punktów kontaktowych ds. równości płci oraz wzrost ich liczby, dzięki czemu obecnie takie punkty znajdują się w 99 % delegatur UE i 87 % służb w siedzibie głównej; zwraca uwagę, że dzięki punktom kontaktowym ds. uwzględniania kwestii związanych z płcią i wiekiem w działaniach humanitarnych można skuteczniej skupić się na zapobieganiu przemocy i reagowaniu na nią;</w:t>
            </w:r>
          </w:p>
        </w:tc>
      </w:tr>
    </w:tbl>
    <w:p>
      <w:r>
        <w:rPr>
          <w:rStyle w:val="HideTWBExt"/>
        </w:rPr>
        <w:t>&lt;/Amend&gt;</w:t>
      </w:r>
    </w:p>
    <w:p>
      <w:pPr>
        <w:pStyle w:val="AmNumberTabs"/>
      </w:pPr>
      <w:r>
        <w:rPr>
          <w:rStyle w:val="HideTWBExt"/>
        </w:rPr>
        <w:t>&lt;Amend&gt;</w:t>
      </w:r>
      <w:r>
        <w:t>Poprawka</w:t>
      </w:r>
      <w:r>
        <w:tab/>
      </w:r>
      <w:r>
        <w:tab/>
      </w:r>
      <w:r>
        <w:rPr>
          <w:rStyle w:val="HideTWBExt"/>
        </w:rPr>
        <w:t>&lt;NumAm&gt;</w:t>
      </w:r>
      <w:r>
        <w:t>42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ponawia swój apel do Komisji o opracowanie unijnej strategii dyplomacji humanitarnej wraz z państwami członkowskimi i Europejską Służbą Działań Zewnętrznych (ESDZ), aby zwiększyć wysiłki i zapewnić bardziej systematyczne i skoordynowane podejście do dyplomacji humanitarnej;</w:t>
            </w:r>
          </w:p>
        </w:tc>
        <w:tc>
          <w:tcPr>
            <w:tcW w:w="4876" w:type="dxa"/>
            <w:tcBorders>
              <w:top w:val="nil"/>
              <w:left w:val="nil"/>
              <w:bottom w:val="nil"/>
              <w:right w:val="nil"/>
            </w:tcBorders>
          </w:tcPr>
          <w:p>
            <w:pPr>
              <w:pStyle w:val="Normal6a"/>
            </w:pPr>
            <w:r>
              <w:t>6.</w:t>
            </w:r>
            <w:r>
              <w:tab/>
            </w:r>
            <w:r>
              <w:t xml:space="preserve">ponawia swój </w:t>
            </w:r>
            <w:r>
              <w:rPr>
                <w:b/>
                <w:i/>
              </w:rPr>
              <w:t>pilny</w:t>
            </w:r>
            <w:r>
              <w:t xml:space="preserve"> apel do Komisji o opracowanie unijnej strategii dyplomacji humanitarnej wraz z państwami członkowskimi i Europejską Służbą Działań Zewnętrznych (ESDZ), aby zwiększyć wysiłki i zapewnić bardziej systematyczne i skoordynowane podejście do dyplomacji humanitarnej;</w:t>
            </w:r>
          </w:p>
        </w:tc>
      </w:tr>
    </w:tbl>
    <w:p>
      <w:r>
        <w:rPr>
          <w:rStyle w:val="HideTWBExt"/>
        </w:rPr>
        <w:t>&lt;/Amend&gt;</w:t>
      </w:r>
    </w:p>
    <w:p>
      <w:pPr>
        <w:pStyle w:val="AmNumberTabs"/>
      </w:pPr>
      <w:r>
        <w:rPr>
          <w:rStyle w:val="HideTWBExt"/>
        </w:rPr>
        <w:t>&lt;Amend&gt;</w:t>
      </w:r>
      <w:r>
        <w:t>Poprawka</w:t>
      </w:r>
      <w:r>
        <w:tab/>
      </w:r>
      <w:r>
        <w:tab/>
      </w:r>
      <w:r>
        <w:rPr>
          <w:rStyle w:val="HideTWBExt"/>
        </w:rPr>
        <w:t>&lt;NumAm&gt;</w:t>
      </w:r>
      <w:r>
        <w:t>43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podkreśla potrzebę niezależnego dostępu organizacji humanitarnych do wszystkich obiektów związanych z migracją, w tym ośrodków detencyjnych, punktów szybkiej rejestracji migrantów i nieformalnych stref granicznych, gdzie kobiety i osoby LGBTIQ+ są narażone na zwiększone ryzyko przemocy, wykorzystywania i odmowy dostępu do podstawowych usług, w tym opieki zdrowotnej w zakresie zdrowia seksualnego i reprodukcyjnego; wzywa do wprowadzenia przejrzystych mechanizmów monitorowania i rozliczalności w takich miejscach;</w:t>
            </w:r>
          </w:p>
        </w:tc>
      </w:tr>
    </w:tbl>
    <w:p>
      <w:r>
        <w:rPr>
          <w:rStyle w:val="HideTWBExt"/>
        </w:rPr>
        <w:t>&lt;/Amend&gt;</w:t>
      </w:r>
    </w:p>
    <w:p>
      <w:pPr>
        <w:pStyle w:val="AmNumberTabs"/>
      </w:pPr>
      <w:r>
        <w:rPr>
          <w:rStyle w:val="HideTWBExt"/>
        </w:rPr>
        <w:t>&lt;Amend&gt;</w:t>
      </w:r>
      <w:r>
        <w:t>Poprawka</w:t>
      </w:r>
      <w:r>
        <w:tab/>
      </w:r>
      <w:r>
        <w:tab/>
      </w:r>
      <w:r>
        <w:rPr>
          <w:rStyle w:val="HideTWBExt"/>
        </w:rPr>
        <w:t>&lt;NumAm&gt;</w:t>
      </w:r>
      <w:r>
        <w:t>44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6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wzywa Komisję i państwa członkowskie do opracowania programów reparacji, w tym środków symbolicznych, materialnych i psychospołecznych, dla ofiar naruszeń praw seksualnych i reprodukcyjnych w sytuacjach kryzysowych, zgodnie z międzynarodowymi zobowiązaniami w zakresie praw człowieka; podkreśla potrzebę włączenia społeczności dotkniętych tym problemem, w szczególności kobiet i dziewcząt, w proces opracowywania takich mechanizmów;</w:t>
            </w:r>
          </w:p>
        </w:tc>
      </w:tr>
    </w:tbl>
    <w:p>
      <w:r>
        <w:rPr>
          <w:rStyle w:val="HideTWBExt"/>
        </w:rPr>
        <w:t>&lt;/Amend&gt;</w:t>
      </w:r>
    </w:p>
    <w:p>
      <w:pPr>
        <w:pStyle w:val="AmNumberTabs"/>
      </w:pPr>
      <w:r>
        <w:rPr>
          <w:rStyle w:val="HideTWBExt"/>
        </w:rPr>
        <w:t>&lt;Amend&gt;</w:t>
      </w:r>
      <w:r>
        <w:t>Poprawka</w:t>
      </w:r>
      <w:r>
        <w:tab/>
      </w:r>
      <w:r>
        <w:tab/>
      </w:r>
      <w:r>
        <w:rPr>
          <w:rStyle w:val="HideTWBExt"/>
        </w:rPr>
        <w:t>&lt;NumAm&gt;</w:t>
      </w:r>
      <w:r>
        <w:t>45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wzywa Komisję i państwa członkowskie do znacznego zwiększenia finansowania pomocy humanitarnej w następnych wieloletnich ramach finansowych (WRF), zwłaszcza w świetle rosnącej przepaści między potrzebami humanitarnymi a finansowaniem;</w:t>
            </w:r>
          </w:p>
        </w:tc>
        <w:tc>
          <w:tcPr>
            <w:tcW w:w="4876" w:type="dxa"/>
            <w:tcBorders>
              <w:top w:val="nil"/>
              <w:left w:val="nil"/>
              <w:bottom w:val="nil"/>
              <w:right w:val="nil"/>
            </w:tcBorders>
          </w:tcPr>
          <w:p>
            <w:pPr>
              <w:pStyle w:val="Normal6a"/>
            </w:pPr>
            <w:r>
              <w:t>7.</w:t>
            </w:r>
            <w:r>
              <w:tab/>
            </w:r>
            <w:r>
              <w:t>wzywa Komisję i państwa członkowskie do znacznego zwiększenia finansowania pomocy humanitarnej</w:t>
            </w:r>
            <w:r>
              <w:rPr>
                <w:b/>
                <w:i/>
              </w:rPr>
              <w:t>, w tym</w:t>
            </w:r>
            <w:r>
              <w:t xml:space="preserve"> w następnych wieloletnich ramach finansowych (WRF), zwłaszcza w świetle rosnącej przepaści między potrzebami humanitarnymi a finansowaniem</w:t>
            </w:r>
            <w:r>
              <w:rPr>
                <w:b/>
                <w:i/>
              </w:rPr>
              <w:t>, oraz wzywa do przeznaczenia konkretnego, trwałego, elastycznego i wieloletniego finansowania na zaspokojenie potrzeb kobiet i dziewcząt, w tym potrzeb w zakresie zdrowia seksualnego i reprodukcyjnego, w ramach działań humanitarnych, w tym poprzez finansowanie organizacji zajmujących się prawami kobiet, które mają największy dostęp do społeczności dotkniętych kryzysem</w:t>
            </w:r>
            <w:r>
              <w:t>;</w:t>
            </w:r>
          </w:p>
        </w:tc>
      </w:tr>
    </w:tbl>
    <w:p>
      <w:r>
        <w:rPr>
          <w:rStyle w:val="HideTWBExt"/>
        </w:rPr>
        <w:t>&lt;/Amend&gt;</w:t>
      </w:r>
    </w:p>
    <w:p>
      <w:pPr>
        <w:pStyle w:val="AmNumberTabs"/>
      </w:pPr>
      <w:r>
        <w:rPr>
          <w:rStyle w:val="HideTWBExt"/>
        </w:rPr>
        <w:t>&lt;Amend&gt;</w:t>
      </w:r>
      <w:r>
        <w:t>Poprawka</w:t>
      </w:r>
      <w:r>
        <w:tab/>
      </w:r>
      <w:r>
        <w:tab/>
      </w:r>
      <w:r>
        <w:rPr>
          <w:rStyle w:val="HideTWBExt"/>
        </w:rPr>
        <w:t>&lt;NumAm&gt;</w:t>
      </w:r>
      <w:r>
        <w:t>46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wzywa Komisję do zagwarantowania, że z pomocy humanitarnej będą w pierwszej kolejności finansowane projekty i organizacje najbardziej narażone na cięcia finansowania pomagające kobietom i dziewczętom, które padają ofiarą konfliktów i zmiany klimatu, są uchodźczyniami i potrzebują pomocy humanitarnej</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Raport ONZ z kwietnia 2025 r., „W punkcie krytycznym: wpływ cięć budżetowych na organizacje kobiet podczas globalnych kryzysów humanitarnych”.</w:t>
            </w:r>
          </w:p>
        </w:tc>
      </w:tr>
    </w:tbl>
    <w:p>
      <w:r>
        <w:rPr>
          <w:rStyle w:val="HideTWBExt"/>
        </w:rPr>
        <w:t>&lt;/Amend&gt;</w:t>
      </w:r>
    </w:p>
    <w:p>
      <w:pPr>
        <w:pStyle w:val="AmNumberTabs"/>
      </w:pPr>
      <w:r>
        <w:rPr>
          <w:rStyle w:val="HideTWBExt"/>
        </w:rPr>
        <w:t>&lt;Amend&gt;</w:t>
      </w:r>
      <w:r>
        <w:t>Poprawka</w:t>
      </w:r>
      <w:r>
        <w:tab/>
      </w:r>
      <w:r>
        <w:tab/>
      </w:r>
      <w:r>
        <w:rPr>
          <w:rStyle w:val="HideTWBExt"/>
        </w:rPr>
        <w:t>&lt;NumAm&gt;</w:t>
      </w:r>
      <w:r>
        <w:t>47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wzywa do stosowania we wszystkich projektach humanitarnych finansowanych ze środków UE wskaźników i mechanizmów monitorowania uwzględniających aspekt płci, aby zagwarantować, że pomoc skutecznie dotrze do kobiet i dziewcząt, odpowie na ich szczególne potrzeby i przyczyni się do osiągania postępów w zakresie równości płci; podkreśla znaczenie opracowywania dopasowanych działań humanitarnych, które uwzględniają potrzeby i realia kobiet dotkniętych wieloma kryzysami mieszkających na obszarach wiejskich;</w:t>
            </w:r>
          </w:p>
        </w:tc>
      </w:tr>
    </w:tbl>
    <w:p>
      <w:r>
        <w:rPr>
          <w:rStyle w:val="HideTWBExt"/>
        </w:rPr>
        <w:t>&lt;/Amend&gt;</w:t>
      </w:r>
    </w:p>
    <w:p>
      <w:pPr>
        <w:pStyle w:val="AmNumberTabs"/>
      </w:pPr>
      <w:r>
        <w:rPr>
          <w:rStyle w:val="HideTWBExt"/>
        </w:rPr>
        <w:t>&lt;Amend&gt;</w:t>
      </w:r>
      <w:r>
        <w:t>Poprawka</w:t>
      </w:r>
      <w:r>
        <w:tab/>
      </w:r>
      <w:r>
        <w:tab/>
      </w:r>
      <w:r>
        <w:rPr>
          <w:rStyle w:val="HideTWBExt"/>
        </w:rPr>
        <w:t>&lt;NumAm&gt;</w:t>
      </w:r>
      <w:r>
        <w:t>48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7c.</w:t>
            </w:r>
            <w:r>
              <w:tab/>
            </w:r>
            <w:r>
              <w:rPr>
                <w:b/>
                <w:i/>
              </w:rPr>
              <w:t>podkreśla, jak istotne jest, aby działania na rzecz wspierania innowacyjnych podejść do finansowania pomocy humanitarnej uwzględniały w szczególności te inicjatywy, które wzmacniają pozycję ekonomiczną i społeczną kobiet i dziewcząt; podkreśla znaczenie przejrzystej sprawozdawczości i niezależnych ocen przy badaniu, jaki wpływ na aspekt płci mają działania humanitarne finansowane ze środków UE;</w:t>
            </w:r>
          </w:p>
        </w:tc>
      </w:tr>
    </w:tbl>
    <w:p>
      <w:r>
        <w:rPr>
          <w:rStyle w:val="HideTWBExt"/>
        </w:rPr>
        <w:t>&lt;/Amend&gt;</w:t>
      </w:r>
    </w:p>
    <w:p>
      <w:pPr>
        <w:pStyle w:val="AmNumberTabs"/>
      </w:pPr>
      <w:r>
        <w:rPr>
          <w:rStyle w:val="HideTWBExt"/>
        </w:rPr>
        <w:t>&lt;Amend&gt;</w:t>
      </w:r>
      <w:r>
        <w:t>Poprawka</w:t>
      </w:r>
      <w:r>
        <w:tab/>
      </w:r>
      <w:r>
        <w:tab/>
      </w:r>
      <w:r>
        <w:rPr>
          <w:rStyle w:val="HideTWBExt"/>
        </w:rPr>
        <w:t>&lt;NumAm&gt;</w:t>
      </w:r>
      <w:r>
        <w:t>49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7d.</w:t>
            </w:r>
            <w:r>
              <w:tab/>
            </w:r>
            <w:r>
              <w:rPr>
                <w:b/>
                <w:i/>
              </w:rPr>
              <w:t>wzywa Komisję, aby odrzuciła rosnącą tendencję do ograniczania finansowania pomocy humanitarnej i podkreśla, że wsparcie nie jest kwestią zdolności, lecz woli politycznej i odpowiedzialności moralnej; nalega, aby Komisja i cała UE dawały przykład i zapewniły solidne i trwałe finansowanie działań humanitarnych;</w:t>
            </w:r>
          </w:p>
        </w:tc>
      </w:tr>
    </w:tbl>
    <w:p>
      <w:r>
        <w:rPr>
          <w:rStyle w:val="HideTWBExt"/>
        </w:rPr>
        <w:t>&lt;/Amend&gt;</w:t>
      </w:r>
    </w:p>
    <w:p>
      <w:pPr>
        <w:pStyle w:val="AmNumberTabs"/>
      </w:pPr>
      <w:r>
        <w:rPr>
          <w:rStyle w:val="HideTWBExt"/>
        </w:rPr>
        <w:t>&lt;Amend&gt;</w:t>
      </w:r>
      <w:r>
        <w:t>Poprawka</w:t>
      </w:r>
      <w:r>
        <w:tab/>
      </w:r>
      <w:r>
        <w:tab/>
      </w:r>
      <w:r>
        <w:rPr>
          <w:rStyle w:val="HideTWBExt"/>
        </w:rPr>
        <w:t>&lt;NumAm&gt;</w:t>
      </w:r>
      <w:r>
        <w:t>50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7e.</w:t>
            </w:r>
            <w:r>
              <w:tab/>
            </w:r>
            <w:r>
              <w:rPr>
                <w:b/>
                <w:i/>
              </w:rPr>
              <w:t>ubolewa, że pomoc rozwojowa i humanitarna finansowana przez Unię Europejską w formie dotacji dla uznanych organizacji pozarządowych pożytku publicznego jest wykorzystywana i krytykowana przez reakcyjne ruchy i partie nacjonalistyczne w samym Parlamencie Europejskim;</w:t>
            </w:r>
          </w:p>
        </w:tc>
      </w:tr>
    </w:tbl>
    <w:p>
      <w:r>
        <w:rPr>
          <w:rStyle w:val="HideTWBExt"/>
        </w:rPr>
        <w:t>&lt;/Amend&gt;</w:t>
      </w:r>
    </w:p>
    <w:p>
      <w:pPr>
        <w:pStyle w:val="AmNumberTabs"/>
      </w:pPr>
      <w:r>
        <w:rPr>
          <w:rStyle w:val="HideTWBExt"/>
        </w:rPr>
        <w:t>&lt;Amend&gt;</w:t>
      </w:r>
      <w:r>
        <w:t>Poprawka</w:t>
      </w:r>
      <w:r>
        <w:tab/>
      </w:r>
      <w:r>
        <w:tab/>
      </w:r>
      <w:r>
        <w:rPr>
          <w:rStyle w:val="HideTWBExt"/>
        </w:rPr>
        <w:t>&lt;NumAm&gt;</w:t>
      </w:r>
      <w:r>
        <w:t>51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7 f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7f.</w:t>
            </w:r>
            <w:r>
              <w:tab/>
            </w:r>
            <w:r>
              <w:rPr>
                <w:b/>
                <w:i/>
              </w:rPr>
              <w:t>zwraca uwagę, że zwiększenie wydatków na obronę nie może odbywać się kosztem pomocy humanitarnej, w szczególności w obliczu globalnych kryzysów, które w nieproporcjonalny sposób wpływają na kobiety i dziewczęta; podkreśla, że cięcia w finansowaniu pomocy humanitarnej niosą ze sobą ryzyko pogłębienia nierówności płci i osłabienia kluczowego wsparcia dla zdrowia, bezpieczeństwa i środków do życia kobiet w sytuacjach konfliktów i katastrof;</w:t>
            </w:r>
          </w:p>
        </w:tc>
      </w:tr>
    </w:tbl>
    <w:p>
      <w:r>
        <w:rPr>
          <w:rStyle w:val="HideTWBExt"/>
        </w:rPr>
        <w:t>&lt;/Amend&gt;</w:t>
      </w:r>
    </w:p>
    <w:p>
      <w:pPr>
        <w:pStyle w:val="AmNumberTabs"/>
      </w:pPr>
      <w:r>
        <w:rPr>
          <w:rStyle w:val="HideTWBExt"/>
        </w:rPr>
        <w:t>&lt;Amend&gt;</w:t>
      </w:r>
      <w:r>
        <w:t>Poprawka</w:t>
      </w:r>
      <w:r>
        <w:tab/>
      </w:r>
      <w:r>
        <w:tab/>
      </w:r>
      <w:r>
        <w:rPr>
          <w:rStyle w:val="HideTWBExt"/>
        </w:rPr>
        <w:t>&lt;NumAm&gt;</w:t>
      </w:r>
      <w:r>
        <w:t>52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wzywa państwa członkowskie do wywiązania się ze wspólnego zobowiązania do przekazywania co najmniej 0,7 % dochodu narodowego brutto (DNB) na oficjalną pomoc rozwojową (ODA) oraz do przeznaczania 10 % ODA na działania humanitarne;</w:t>
            </w:r>
          </w:p>
        </w:tc>
        <w:tc>
          <w:tcPr>
            <w:tcW w:w="4876" w:type="dxa"/>
            <w:tcBorders>
              <w:top w:val="nil"/>
              <w:left w:val="nil"/>
              <w:bottom w:val="nil"/>
              <w:right w:val="nil"/>
            </w:tcBorders>
          </w:tcPr>
          <w:p>
            <w:pPr>
              <w:pStyle w:val="Normal6a"/>
            </w:pPr>
            <w:r>
              <w:t>11.</w:t>
            </w:r>
            <w:r>
              <w:tab/>
            </w:r>
            <w:r>
              <w:t>wzywa państwa członkowskie do wywiązania się ze wspólnego zobowiązania do przekazywania co najmniej 0,7 % dochodu narodowego brutto (DNB) na oficjalną pomoc rozwojową (ODA) oraz do przeznaczania 10 % ODA na działania humanitarne;</w:t>
            </w:r>
            <w:r>
              <w:rPr>
                <w:b/>
                <w:i/>
              </w:rPr>
              <w:t xml:space="preserve"> wzywa Komisję do zapewnienia regularnego, odpowiedniego i trwałego finansowania; apeluje, by pomoc humanitarną, w tym organizacje działające na rzecz równości płci i praw kobiet, finansowano przede wszystkim ze źródeł publicznych, ponieważ ograniczenie pomocy poważnie utrudni dostęp do usług ratujących życie świadczonych przez organizacje kierowane przez kobiety i organizacje działające na rzecz praw kobiet; ponownie podkreśla znaczenie inwestowania w kobiety i dziewczęta jako inwestycji strategicznej, przynoszącej długofalowe, pozytywne skutki dla wszystkich, a także wpływającej na dobrobyt społeczny i gospodarczy przyszłych pokoleń; ubolewa, że USAID wycofała swoje finansowanie, i przyznaje, że miało to druzgocący wpływ na wyznaczony przez społeczność światową cel, jakim jest osiągnięcie równości płci i wzmocnienie pozycji wszystkich kobiet i dziewcząt; ubolewa nad szkodliwym wpływem wycofania tego finansowania na wskaźniki umieralności matek ze względu na ograniczony dostęp do edukacji seksualnej i opieki w zakresie zdrowia reprodukcyjnego; zwraca uwagę, że inwestowanie w równość płci ratuje życie osób przebywających w rejonach objętych pomocą humanitarną; wzywa Komisję i państwa członkowskie, aby pilnie zajęły się lukami pozostawionymi przez Stany Zjednoczone, w tym poprzez zwiększenie wkładu UE we wspieranie organizacji, które świadczą najważniejsze usługi ratujące życie w sytuacjach kryzysowych, w tym w zakresie zdrowia i praw seksualnych i reprodukcyjnych;</w:t>
            </w:r>
          </w:p>
        </w:tc>
      </w:tr>
    </w:tbl>
    <w:p>
      <w:r>
        <w:rPr>
          <w:rStyle w:val="HideTWBExt"/>
        </w:rPr>
        <w:t>&lt;/Amend&gt;</w:t>
      </w:r>
    </w:p>
    <w:p>
      <w:pPr>
        <w:pStyle w:val="AmNumberTabs"/>
      </w:pPr>
      <w:r>
        <w:rPr>
          <w:rStyle w:val="HideTWBExt"/>
        </w:rPr>
        <w:t>&lt;Amend&gt;</w:t>
      </w:r>
      <w:r>
        <w:t>Poprawka</w:t>
      </w:r>
      <w:r>
        <w:tab/>
      </w:r>
      <w:r>
        <w:tab/>
      </w:r>
      <w:r>
        <w:rPr>
          <w:rStyle w:val="HideTWBExt"/>
        </w:rPr>
        <w:t>&lt;NumAm&gt;</w:t>
      </w:r>
      <w:r>
        <w:t>53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ostrzega przed coraz powszechniejszym zmniejszaniem wagi finansowania praw kobiet oraz faktem, że oddolne ruchy i organizacje działające na rzecz praw kobiet są nadal systemowo niedofinansowane i otrzymują mniej niż 1 % globalnej oficjalnej pomocy rozwojowej</w:t>
            </w:r>
            <w:r>
              <w:rPr>
                <w:vertAlign w:val="superscript"/>
              </w:rPr>
              <w:t>1a</w:t>
            </w:r>
            <w:r>
              <w:rPr>
                <w:b/>
                <w:i/>
              </w:rPr>
              <w:t>; zwraca uwagę, że w tym samym czasie niepokojąco rośnie finansowanie inicjatyw antygenderowych, których celem jest podważanie postępów osiągniętych w ostatnich dekadach w zakresie praw kobiet i osób LGBTIQ+; zwraca się do Komisji, aby zobowiązała się do przeznaczenia 85 % środków z oficjalnej pomocy rozwojowej w następnych WRF na projekty, których istotnym lub głównym celem są kwestie związane z aspektem płci, a co najmniej 20 % – na projekty, których główny cel stanowi wspieranie równości płci oraz praw kobiet i dziewcząt i wzmocnienie ich pozycji; apeluje o ustanowienie specjalnych unijnych mechanizmów ochrony i relokacji dla obrońców praw kobiet i organizacji feministycznych, które są celem ataków ze względu na swoją pracę w dziedzinie praw seksualnych i reprodukcyjnych oraz równości płci, zwłaszcza w kontekście autorytaryzmu, konfliktów i okupacji;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ODI policy brief - Where next for feminist foreign policy on funding feminist movements? [Polityka oficjalnej pomocy rozwojowej: co dalej z feministyczną polityką zagraniczną w zakresie finansowania ruchów feministycznych?], https://media.odi.org/documents/ODI-ET-FundingMovements-PB-EN-May24-Final.pdf.</w:t>
            </w:r>
          </w:p>
        </w:tc>
      </w:tr>
    </w:tbl>
    <w:p>
      <w:r>
        <w:rPr>
          <w:rStyle w:val="HideTWBExt"/>
        </w:rPr>
        <w:t>&lt;/Amend&gt;</w:t>
      </w:r>
    </w:p>
    <w:p>
      <w:pPr>
        <w:pStyle w:val="AmNumberTabs"/>
      </w:pPr>
      <w:r>
        <w:rPr>
          <w:rStyle w:val="HideTWBExt"/>
        </w:rPr>
        <w:t>&lt;Amend&gt;</w:t>
      </w:r>
      <w:r>
        <w:t>Poprawka</w:t>
      </w:r>
      <w:r>
        <w:tab/>
      </w:r>
      <w:r>
        <w:tab/>
      </w:r>
      <w:r>
        <w:rPr>
          <w:rStyle w:val="HideTWBExt"/>
        </w:rPr>
        <w:t>&lt;NumAm&gt;</w:t>
      </w:r>
      <w:r>
        <w:t>54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 podkreśla, że różnorodność niestabilnych sytuacji wymaga dostosowanych do potrzeb podejść i konkretnych instrumentów finansowych, które sprzyjają wspólnym działaniom podmiotów zajmujących się pomocą humanitarną, rozwojem i pokojem, ze szczególnym uwzględnieniem współpracy z podmiotami lokalnymi i wzmocnienia ich pozycji;</w:t>
            </w:r>
          </w:p>
        </w:tc>
        <w:tc>
          <w:tcPr>
            <w:tcW w:w="4876" w:type="dxa"/>
            <w:tcBorders>
              <w:top w:val="nil"/>
              <w:left w:val="nil"/>
              <w:bottom w:val="nil"/>
              <w:right w:val="nil"/>
            </w:tcBorders>
          </w:tcPr>
          <w:p>
            <w:pPr>
              <w:pStyle w:val="Normal6a"/>
            </w:pPr>
            <w:r>
              <w:t xml:space="preserve">12. </w:t>
            </w:r>
            <w:r>
              <w:rPr>
                <w:b/>
                <w:i/>
              </w:rPr>
              <w:t xml:space="preserve">podkreśla ścisły związek między konfliktami zbrojnymi a kryzysami humanitarnymi i klimatycznymi oraz wzrostem migracji przymusowej, handlu ludźmi i ryzyka wykorzystywania, które w nieproporcjonalny sposób dotyczą kobiet i dziewcząt; zwraca uwagę na konieczność wzmocnienia działań mających na celu zapobieganie nadużyciom oraz identyfikację, ochronę i wsparcie ofiar, tak by wszystkie działania humanitarne uwzględniały perspektywę płci i wspierały prawa osób znajdujących się w najtrudniejszej sytuacji poprzez skuteczną koordynację między instytucjami UE, państwami członkowskimi i organizacjami międzynarodowymi; wyraża zaniepokojenie zwiększonym ryzykiem handlu ludźmi w kontekście kryzysu humanitarnego, w sytuacjach gdy handlarze wykorzystują bezbronność i desperację przesiedlonej ludności, w szczególności kobiet i dziewcząt; podkreśla potrzebę stosowania środków ochrony ukierunkowanych na aspekt płci, w tym bezpiecznych mechanizmów zgłaszania, dostępu do podstawowych usług oraz włączenia starań na rzecz zwalczania handlu ludźmi do wszystkich etapów działań humanitarnych; </w:t>
            </w:r>
            <w:r>
              <w:t>podkreśla, że różnorodność niestabilnych sytuacji wymaga dostosowanych do potrzeb podejść i konkretnych instrumentów finansowych, które sprzyjają wspólnym działaniom podmiotów zajmujących się pomocą humanitarną, rozwojem i pokojem, ze szczególnym uwzględnieniem współpracy z podmiotami lokalnymi i wzmocnienia ich pozycji;</w:t>
            </w:r>
            <w:r>
              <w:rPr>
                <w:b/>
                <w:i/>
              </w:rPr>
              <w:t xml:space="preserve"> podkreśla, że podczas kryzysów humanitarnych załamanie się podstawowych usług dotyka w nieproporcjonalnym stopniu kobiety i dziewczęta i to ich podstawowe potrzeby jako pierwsze pozostają niezaspokojone, mimo że to od kobiet i dziewcząt oczekuje się, że załatają luki w systemie usług – na przykład poprzez przejęcie większej liczby obowiązków opiekuńczych oraz zapewnienie żywności i wody; zaznacza, że w strategiach humanitarnych należy uwzględniać szczególne potrzeby zarówno młodych, jak i starszych kobiet, które często doświadczają odmiennych trudności, w tym wykluczenia z procesów planowania, ograniczonego dostępu do dostosowanych usług oraz zwiększonego ryzyka wykorzystywania lub zaniedbania; apeluje o wprowadzenie specjalnych programów dostosowanych do młodych ludzi, zwłaszcza kobiet i dziewcząt, które to programy zagwarantują im dostęp do edukacji, zdrowia menstruacyjnego, zdrowia seksualnego i reprodukcyjnego oraz wsparcia psychospołecznego;</w:t>
            </w:r>
            <w:r>
              <w:br/>
            </w:r>
          </w:p>
        </w:tc>
      </w:tr>
    </w:tbl>
    <w:p>
      <w:r>
        <w:rPr>
          <w:rStyle w:val="HideTWBExt"/>
        </w:rPr>
        <w:t>&lt;/Amend&gt;</w:t>
      </w:r>
    </w:p>
    <w:p>
      <w:pPr>
        <w:pStyle w:val="AmNumberTabs"/>
      </w:pPr>
      <w:r>
        <w:rPr>
          <w:rStyle w:val="HideTWBExt"/>
        </w:rPr>
        <w:t>&lt;Amend&gt;</w:t>
      </w:r>
      <w:r>
        <w:t>Poprawka</w:t>
      </w:r>
      <w:r>
        <w:tab/>
      </w:r>
      <w:r>
        <w:tab/>
      </w:r>
      <w:r>
        <w:rPr>
          <w:rStyle w:val="HideTWBExt"/>
        </w:rPr>
        <w:t>&lt;NumAm&gt;</w:t>
      </w:r>
      <w:r>
        <w:t>55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apeluje, by zagwarantować wzmocnienie pozycji ekonomicznej kobiet i dziewcząt i zapewnić im stały dostęp do dochodów, edukacji, żywności i bezpiecznych przestrzeni, oraz by uznać, że brak tych podstawowych elementów znacznie zwiększa ryzyko przemocy ekonomicznej ze względu na płeć, wykorzystywania i szkodliwych praktyk, takich jak wczesne małżeństwa, wykorzystywanie seksualne i migracja niebezpiecznymi trasami;</w:t>
            </w:r>
          </w:p>
        </w:tc>
      </w:tr>
    </w:tbl>
    <w:p>
      <w:r>
        <w:rPr>
          <w:rStyle w:val="HideTWBExt"/>
        </w:rPr>
        <w:t>&lt;/Amend&gt;</w:t>
      </w:r>
    </w:p>
    <w:p>
      <w:pPr>
        <w:pStyle w:val="AmNumberTabs"/>
      </w:pPr>
      <w:r>
        <w:rPr>
          <w:rStyle w:val="HideTWBExt"/>
        </w:rPr>
        <w:t>&lt;Amend&gt;</w:t>
      </w:r>
      <w:r>
        <w:t>Poprawka</w:t>
      </w:r>
      <w:r>
        <w:tab/>
      </w:r>
      <w:r>
        <w:tab/>
      </w:r>
      <w:r>
        <w:rPr>
          <w:rStyle w:val="HideTWBExt"/>
        </w:rPr>
        <w:t>&lt;NumAm&gt;</w:t>
      </w:r>
      <w:r>
        <w:t>56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12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podkreśla w szczególności sytuację w Afganistanie, który stoi w obliczu poważnego i złożonego kryzysu humanitarnego, gdzie ponad 23,7 mln osób potrzebuje pomocy; zauważa, że sytuacja prawdopodobnie jeszcze się pogorszy z powodu wydalenia uchodźców z Pakistanu i Iranu oraz trwającej niestabilności w tym regionie; z zadowoleniem przyjmuje zobowiązanie UE do przekazania wsparcia w wysokości 266 mln EUR i wzywa do podjęcia ukierunkowanych działań lokalnych w celu udzielenia pomocy kobietom i dziewczętom;</w:t>
            </w:r>
          </w:p>
        </w:tc>
      </w:tr>
    </w:tbl>
    <w:p>
      <w:r>
        <w:rPr>
          <w:rStyle w:val="HideTWBExt"/>
        </w:rPr>
        <w:t>&lt;/Amend&gt;</w:t>
      </w:r>
    </w:p>
    <w:p>
      <w:pPr>
        <w:pStyle w:val="AmNumberTabs"/>
      </w:pPr>
      <w:r>
        <w:rPr>
          <w:rStyle w:val="HideTWBExt"/>
        </w:rPr>
        <w:t>&lt;Amend&gt;</w:t>
      </w:r>
      <w:r>
        <w:t>Poprawka</w:t>
      </w:r>
      <w:r>
        <w:tab/>
      </w:r>
      <w:r>
        <w:tab/>
      </w:r>
      <w:r>
        <w:rPr>
          <w:rStyle w:val="HideTWBExt"/>
        </w:rPr>
        <w:t>&lt;NumAm&gt;</w:t>
      </w:r>
      <w:r>
        <w:t>57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wzywa Komisję do niezwłocznego przedstawienia </w:t>
            </w:r>
            <w:r>
              <w:rPr>
                <w:b/>
                <w:i/>
              </w:rPr>
              <w:t>ambitnego</w:t>
            </w:r>
            <w:r>
              <w:t xml:space="preserve"> i </w:t>
            </w:r>
            <w:r>
              <w:rPr>
                <w:b/>
                <w:i/>
              </w:rPr>
              <w:t>zintegrowanego podejścia do</w:t>
            </w:r>
            <w:r>
              <w:t xml:space="preserve"> niestabilności oraz do skonsultowania się z Parlamentem w sprawie przygotowania i wdrożenia </w:t>
            </w:r>
            <w:r>
              <w:rPr>
                <w:b/>
                <w:i/>
              </w:rPr>
              <w:t>tego podejścia</w:t>
            </w:r>
            <w:r>
              <w:t>;</w:t>
            </w:r>
          </w:p>
        </w:tc>
        <w:tc>
          <w:tcPr>
            <w:tcW w:w="4876" w:type="dxa"/>
            <w:tcBorders>
              <w:top w:val="nil"/>
              <w:left w:val="nil"/>
              <w:bottom w:val="nil"/>
              <w:right w:val="nil"/>
            </w:tcBorders>
          </w:tcPr>
          <w:p>
            <w:pPr>
              <w:pStyle w:val="Normal6a"/>
            </w:pPr>
            <w:r>
              <w:t>13.</w:t>
            </w:r>
            <w:r>
              <w:tab/>
            </w:r>
            <w:r>
              <w:t xml:space="preserve">wzywa Komisję </w:t>
            </w:r>
            <w:r>
              <w:rPr>
                <w:b/>
                <w:i/>
              </w:rPr>
              <w:t>i ESDZ</w:t>
            </w:r>
            <w:r>
              <w:t xml:space="preserve"> do niezwłocznego przedstawienia </w:t>
            </w:r>
            <w:r>
              <w:rPr>
                <w:b/>
                <w:i/>
              </w:rPr>
              <w:t>ambitnej</w:t>
            </w:r>
            <w:r>
              <w:t xml:space="preserve"> i </w:t>
            </w:r>
            <w:r>
              <w:rPr>
                <w:b/>
                <w:i/>
              </w:rPr>
              <w:t>zintegrowanej strategii dotyczącej przeciwdziałania</w:t>
            </w:r>
            <w:r>
              <w:t xml:space="preserve"> niestabilności</w:t>
            </w:r>
            <w:r>
              <w:rPr>
                <w:b/>
                <w:i/>
              </w:rPr>
              <w:t>, która uwzględnia aspekt płci,</w:t>
            </w:r>
            <w:r>
              <w:t xml:space="preserve"> oraz do skonsultowania się z Parlamentem w sprawie przygotowania i wdrożenia </w:t>
            </w:r>
            <w:r>
              <w:rPr>
                <w:b/>
                <w:i/>
              </w:rPr>
              <w:t>tej strategii;</w:t>
            </w:r>
            <w:r>
              <w:rPr>
                <w:b/>
                <w:i/>
              </w:rPr>
              <w:t xml:space="preserve"> podkreśla, że w kontekście humanitarnym kobiety należy postrzegać nie tylko jako ofiary, lecz jako sprawczynie zmian, które aktywnie napędzają pozytywną transformację i kształtują własny los; </w:t>
            </w:r>
            <w:r>
              <w:rPr>
                <w:b/>
                <w:i/>
              </w:rPr>
              <w:t>zwraca uwagę, że należy realnie uwzględnić ich pełny potencjał, wiedzę i zdolności i włączyć je w reformę polityki humanitarnej i polityki bezpieczeństwa oraz praktyk w tych dziedzinach, aby zapewnić bardziej skuteczne i zrównoważone działania sprzyjające włączeniu społecznemu</w:t>
            </w:r>
            <w:r>
              <w:t>;</w:t>
            </w:r>
          </w:p>
        </w:tc>
      </w:tr>
    </w:tbl>
    <w:p>
      <w:r>
        <w:rPr>
          <w:rStyle w:val="HideTWBExt"/>
        </w:rPr>
        <w:t>&lt;/Amend&gt;</w:t>
      </w:r>
    </w:p>
    <w:p>
      <w:pPr>
        <w:pStyle w:val="AmNumberTabs"/>
      </w:pPr>
      <w:r>
        <w:rPr>
          <w:rStyle w:val="HideTWBExt"/>
        </w:rPr>
        <w:t>&lt;Amend&gt;</w:t>
      </w:r>
      <w:r>
        <w:t>Poprawka</w:t>
      </w:r>
      <w:r>
        <w:tab/>
      </w:r>
      <w:r>
        <w:tab/>
      </w:r>
      <w:r>
        <w:rPr>
          <w:rStyle w:val="HideTWBExt"/>
        </w:rPr>
        <w:t>&lt;NumAm&gt;</w:t>
      </w:r>
      <w:r>
        <w:t>58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podkreśla pilną potrzebę włączenia projektowania uwzględniającego aspekt płci i sprzyjającego włączeniu społecznemu do wszystkich planów pomocy humanitarnej, ze szczególnym uwzględnieniem szczególnych potrzeb kobiet i dziewcząt, w tym kobiet w ciąży i grup zmarginalizowanych, takich jak osoby LGBTIQ+, osoby z niepełnosprawnościami i osoby doświadczające dyskryminacji krzyżowej, a także potrzebę zagwarantowania ich znaczącego udziału w podejmowaniu decyzji humanitarnych; podkreśla, że w ramach działań humanitarnych należy priorytetowo traktować bezpieczeństwo i godność kobiet i innych grup wrażliwych, które są często pomijane w sytuacjach kryzysowych oraz ich dostęp do usług; w związku z tym uważa, że gromadzenie danych z podziałem na wiek, płeć i niepełnosprawność ma zasadnicze znaczenie dla planowania i oceny skutecznych działań humanitarnych;</w:t>
            </w:r>
          </w:p>
        </w:tc>
      </w:tr>
    </w:tbl>
    <w:p>
      <w:r>
        <w:rPr>
          <w:rStyle w:val="HideTWBExt"/>
        </w:rPr>
        <w:t>&lt;/Amend&gt;</w:t>
      </w:r>
    </w:p>
    <w:p>
      <w:pPr>
        <w:pStyle w:val="AmNumberTabs"/>
      </w:pPr>
      <w:r>
        <w:rPr>
          <w:rStyle w:val="HideTWBExt"/>
        </w:rPr>
        <w:t>&lt;Amend&gt;</w:t>
      </w:r>
      <w:r>
        <w:t>Poprawka</w:t>
      </w:r>
      <w:r>
        <w:tab/>
      </w:r>
      <w:r>
        <w:tab/>
      </w:r>
      <w:r>
        <w:rPr>
          <w:rStyle w:val="HideTWBExt"/>
        </w:rPr>
        <w:t>&lt;NumAm&gt;</w:t>
      </w:r>
      <w:r>
        <w:t>59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13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przypomina o opracowanym przez Komisję wskaźniku równości płci i wieku w działaniach humanitarnych i podkreśla znaczenie wytycznych dotyczących sposobu uwzględniania kwestii płci i wieku w działaniach humanitarnych oraz sposobu stosowania tego wskaźnika w projektach humanitarnych;</w:t>
            </w:r>
          </w:p>
        </w:tc>
      </w:tr>
    </w:tbl>
    <w:p>
      <w:r>
        <w:rPr>
          <w:rStyle w:val="HideTWBExt"/>
        </w:rPr>
        <w:t>&lt;/Amend&gt;</w:t>
      </w:r>
    </w:p>
    <w:p>
      <w:pPr>
        <w:pStyle w:val="AmNumberTabs"/>
      </w:pPr>
      <w:r>
        <w:rPr>
          <w:rStyle w:val="HideTWBExt"/>
        </w:rPr>
        <w:t>&lt;Amend&gt;</w:t>
      </w:r>
      <w:r>
        <w:t>Poprawka</w:t>
      </w:r>
      <w:r>
        <w:tab/>
      </w:r>
      <w:r>
        <w:tab/>
      </w:r>
      <w:r>
        <w:rPr>
          <w:rStyle w:val="HideTWBExt"/>
        </w:rPr>
        <w:t>&lt;NumAm&gt;</w:t>
      </w:r>
      <w:r>
        <w:t>60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13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zwraca uwagę, jak istotne jest, aby UE nadal opracowywała rozwiązania polityczne i wytyczne w odpowiednich obszarach pomocy humanitarnej, korzystając z wpływu, jaki jej polityka tematyczna wywarła w takich dziedzinach, jak: ochrona, płeć, niepełnosprawność, żywność, odżywianie, zdrowie – w tym zdrowie psychiczne i wsparcie psychospołeczne – schronienie, woda, dezynfekcja i higiena, edukacja w sytuacjach nadzwyczajnych, środowisko i metody udzielania pomocy; wzywa do zwiększenia inwestycji we wsparcie zdrowia psychicznego kobiet, dziewcząt i osób LGBTIQ+ w kontekście kryzysu humanitarnego, w tym w opiekę uwzględniającą doświadczenie traumy, oraz do uznania długofalowych psychologicznych konsekwencji konfliktów zbrojnych, przesiedleń i przemocy ze względu na płeć;</w:t>
            </w:r>
          </w:p>
        </w:tc>
      </w:tr>
    </w:tbl>
    <w:p>
      <w:r>
        <w:rPr>
          <w:rStyle w:val="HideTWBExt"/>
        </w:rPr>
        <w:t>&lt;/Amend&gt;</w:t>
      </w:r>
    </w:p>
    <w:p>
      <w:pPr>
        <w:pStyle w:val="AmNumberTabs"/>
      </w:pPr>
      <w:r>
        <w:rPr>
          <w:rStyle w:val="HideTWBExt"/>
        </w:rPr>
        <w:t>&lt;Amend&gt;</w:t>
      </w:r>
      <w:r>
        <w:t>Poprawka</w:t>
      </w:r>
      <w:r>
        <w:tab/>
      </w:r>
      <w:r>
        <w:tab/>
      </w:r>
      <w:r>
        <w:rPr>
          <w:rStyle w:val="HideTWBExt"/>
        </w:rPr>
        <w:t>&lt;NumAm&gt;</w:t>
      </w:r>
      <w:r>
        <w:t>61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13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wzywa Komisję do wydania wytycznych wzywających do zapewnienia i finansowania środków i usług w zakresie zdrowia seksualnego i reprodukcyjnego, jak określono w pakiecie minimalnych usług początkowych w zakresie zdrowia seksualnego i reprodukcyjnego, oraz do systematycznego uwzględniania ich w ramach działań humanitarnych, w tym profilaktyki HIV/AIDS, zdrowia reprodukcyjnego, zdrowia matek i noworodków oraz planowania rodziny, z uwzględnieniem szczególnych potrzeb żywieniowych i podatności na zagrożenia;</w:t>
            </w:r>
          </w:p>
        </w:tc>
      </w:tr>
    </w:tbl>
    <w:p>
      <w:r>
        <w:rPr>
          <w:rStyle w:val="HideTWBExt"/>
        </w:rPr>
        <w:t>&lt;/Amend&gt;</w:t>
      </w:r>
    </w:p>
    <w:p>
      <w:pPr>
        <w:pStyle w:val="AmNumberTabs"/>
      </w:pPr>
      <w:r>
        <w:rPr>
          <w:rStyle w:val="HideTWBExt"/>
        </w:rPr>
        <w:t>&lt;Amend&gt;</w:t>
      </w:r>
      <w:r>
        <w:t>Poprawka</w:t>
      </w:r>
      <w:r>
        <w:tab/>
      </w:r>
      <w:r>
        <w:tab/>
      </w:r>
      <w:r>
        <w:rPr>
          <w:rStyle w:val="HideTWBExt"/>
        </w:rPr>
        <w:t>&lt;NumAm&gt;</w:t>
      </w:r>
      <w:r>
        <w:t>62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13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13e.</w:t>
            </w:r>
            <w:r>
              <w:tab/>
            </w:r>
            <w:r>
              <w:rPr>
                <w:b/>
                <w:i/>
              </w:rPr>
              <w:t>apeluje do Komisji i ESDZ, aby nadal traktowały wspieranie równości płci i praw kobiet oraz wzmacnianie pozycji kobiet, w tym realizację celu zrównoważonego rozwoju nr 5, jako priorytet we wszystkich inicjatywach UE w zakresie działań zewnętrznych, w tym poprzez wykorzystanie dyplomacji i partnerstw strategicznych w celu wspierania równości płci w globalnej agendzie politycznej, oraz by przyjęły plan działania na rzecz równouprawnienia płci i wzmocnienia pozycji kobiet w działaniach zewnętrznych (GAP IV);</w:t>
            </w:r>
          </w:p>
        </w:tc>
      </w:tr>
    </w:tbl>
    <w:p>
      <w:r>
        <w:rPr>
          <w:rStyle w:val="HideTWBExt"/>
        </w:rPr>
        <w:t>&lt;/Amend&gt;</w:t>
      </w:r>
    </w:p>
    <w:p>
      <w:pPr>
        <w:pStyle w:val="AmNumberTabs"/>
      </w:pPr>
      <w:r>
        <w:rPr>
          <w:rStyle w:val="HideTWBExt"/>
        </w:rPr>
        <w:t>&lt;Amend&gt;</w:t>
      </w:r>
      <w:r>
        <w:t>Poprawka</w:t>
      </w:r>
      <w:r>
        <w:tab/>
      </w:r>
      <w:r>
        <w:tab/>
      </w:r>
      <w:r>
        <w:rPr>
          <w:rStyle w:val="HideTWBExt"/>
        </w:rPr>
        <w:t>&lt;NumAm&gt;</w:t>
      </w:r>
      <w:r>
        <w:t>63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wzywa UE do poczynienia postępów we wdrażaniu powiązania między aspektami humanitarnymi a rozwojowymi i pokojowymi poprzez wspieranie organizacji lokalnych i zapewnienie ich pełnego zaangażowania w cykl programu humanitarnego;</w:t>
            </w:r>
          </w:p>
        </w:tc>
        <w:tc>
          <w:tcPr>
            <w:tcW w:w="4876" w:type="dxa"/>
            <w:tcBorders>
              <w:top w:val="nil"/>
              <w:left w:val="nil"/>
              <w:bottom w:val="nil"/>
              <w:right w:val="nil"/>
            </w:tcBorders>
          </w:tcPr>
          <w:p>
            <w:pPr>
              <w:pStyle w:val="Normal6a"/>
            </w:pPr>
            <w:r>
              <w:t>14.</w:t>
            </w:r>
            <w:r>
              <w:tab/>
            </w:r>
            <w:r>
              <w:t>wzywa UE do poczynienia postępów we wdrażaniu powiązania między aspektami humanitarnymi a rozwojowymi i pokojowymi poprzez wspieranie organizacji lokalnych i zapewnienie ich pełnego zaangażowania w cykl programu humanitarnego;</w:t>
            </w:r>
            <w:r>
              <w:rPr>
                <w:b/>
                <w:i/>
              </w:rPr>
              <w:t xml:space="preserve"> wzywa Komisję do włączenia kobiet do wszystkich procesów decyzyjnych, zwłaszcza na szczeblu lokalnym; apeluje do Komisji, by utrzymała istniejące partnerstwa z lokalnymi organizacjami kierowanymi przez kobiety i organizacjami działającymi na rzecz praw kobiet oraz, w przypadku gdy zmiany są niezbędne, by zadbała o terminową i przejrzystą komunikację w celu wsparcia ciągłości usług, a także godnych, ograniczających szkody procesów transformacji; zdecydowanie sprzeciwia się wykorzystywaniu pomocy humanitarnej do celów bezpieczeństwa lub kontroli migracji, w tym eksternalizacji kontroli granic; podkreśla, że takie praktyki podważają zasady działań humanitarnych i nieproporcjonalnie szkodzą kobietom, dziewczętom, osobom LGBTIQ+ i przesiedlonym społecznościom; przypomina, że zawracanie osób ubiegających się o azyl i migrantów potrzebujących ochrony i polityka zatrzymywania ich przed dotarciem do granic zewnętrznych UE lub na tych granicach podważa wartości UE zapisane w traktatach i narusza międzynarodowe i europejskie prawo humanitarne i prawa człowieka;</w:t>
            </w:r>
          </w:p>
        </w:tc>
      </w:tr>
    </w:tbl>
    <w:p>
      <w:r>
        <w:rPr>
          <w:rStyle w:val="HideTWBExt"/>
        </w:rPr>
        <w:t>&lt;/Amend&gt;</w:t>
      </w:r>
    </w:p>
    <w:p>
      <w:pPr>
        <w:pStyle w:val="AmNumberTabs"/>
      </w:pPr>
      <w:r>
        <w:rPr>
          <w:rStyle w:val="HideTWBExt"/>
        </w:rPr>
        <w:t>&lt;Amend&gt;</w:t>
      </w:r>
      <w:r>
        <w:t>Poprawka</w:t>
      </w:r>
      <w:r>
        <w:tab/>
      </w:r>
      <w:r>
        <w:tab/>
      </w:r>
      <w:r>
        <w:rPr>
          <w:rStyle w:val="HideTWBExt"/>
        </w:rPr>
        <w:t>&lt;NumAm&gt;</w:t>
      </w:r>
      <w:r>
        <w:t>64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wzywa Komisję do wywiązania się z zobowiązania do przekazania do 2027 r. co najmniej 25 % finansowania pomocy humanitarnej podmiotom lokalnym;</w:t>
            </w:r>
          </w:p>
        </w:tc>
        <w:tc>
          <w:tcPr>
            <w:tcW w:w="4876" w:type="dxa"/>
            <w:tcBorders>
              <w:top w:val="nil"/>
              <w:left w:val="nil"/>
              <w:bottom w:val="nil"/>
              <w:right w:val="nil"/>
            </w:tcBorders>
          </w:tcPr>
          <w:p>
            <w:pPr>
              <w:pStyle w:val="Normal6a"/>
            </w:pPr>
            <w:r>
              <w:t>15.</w:t>
            </w:r>
            <w:r>
              <w:tab/>
            </w:r>
            <w:r>
              <w:t xml:space="preserve">wzywa Komisję do wywiązania się z zobowiązania do przekazania do 2027 r. co najmniej 25 % finansowania pomocy humanitarnej podmiotom lokalnym </w:t>
            </w:r>
            <w:r>
              <w:rPr>
                <w:b/>
                <w:i/>
              </w:rPr>
              <w:t>w sposób jak najbardziej bezpośredni, ze szczególnym uwzględnieniem lokalnych organizacji działających na rzecz praw kobiet;</w:t>
            </w:r>
            <w:r>
              <w:rPr>
                <w:b/>
                <w:i/>
              </w:rPr>
              <w:t xml:space="preserve"> </w:t>
            </w:r>
            <w:r>
              <w:rPr>
                <w:b/>
                <w:i/>
              </w:rPr>
              <w:t>zwraca się do Komisji, aby ułatwiła, uprościła i zharmonizowała dostęp podmiotów lokalnych i krajowych do środków finansowych zgodnie z zobowiązaniami podjętymi w ramach tzw. wielkiego układu (Grand Bargain)</w:t>
            </w:r>
            <w:r>
              <w:t>;</w:t>
            </w:r>
          </w:p>
        </w:tc>
      </w:tr>
    </w:tbl>
    <w:p>
      <w:r>
        <w:rPr>
          <w:rStyle w:val="HideTWBExt"/>
        </w:rPr>
        <w:t>&lt;/Amend&gt;</w:t>
      </w:r>
    </w:p>
    <w:p>
      <w:pPr>
        <w:pStyle w:val="AmNumberTabs"/>
      </w:pPr>
      <w:r>
        <w:rPr>
          <w:rStyle w:val="HideTWBExt"/>
        </w:rPr>
        <w:t>&lt;Amend&gt;</w:t>
      </w:r>
      <w:r>
        <w:t>Poprawka</w:t>
      </w:r>
      <w:r>
        <w:tab/>
      </w:r>
      <w:r>
        <w:tab/>
      </w:r>
      <w:r>
        <w:rPr>
          <w:rStyle w:val="HideTWBExt"/>
        </w:rPr>
        <w:t>&lt;NumAm&gt;</w:t>
      </w:r>
      <w:r>
        <w:t>65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zauważa, że działania zapobiegawcze w miejscach narażonych na kryzysy, zanim te kryzysy się pojawią, są skutecznym sposobem zapobiegania przyszłym potrzebom humanitarnym lub ograniczania ich;</w:t>
            </w:r>
          </w:p>
        </w:tc>
        <w:tc>
          <w:tcPr>
            <w:tcW w:w="4876" w:type="dxa"/>
            <w:tcBorders>
              <w:top w:val="nil"/>
              <w:left w:val="nil"/>
              <w:bottom w:val="nil"/>
              <w:right w:val="nil"/>
            </w:tcBorders>
          </w:tcPr>
          <w:p>
            <w:pPr>
              <w:pStyle w:val="Normal6a"/>
            </w:pPr>
            <w:r>
              <w:t>16.</w:t>
            </w:r>
            <w:r>
              <w:tab/>
            </w:r>
            <w:r>
              <w:t xml:space="preserve">zauważa, że działania zapobiegawcze w miejscach narażonych na kryzysy, zanim te kryzysy się pojawią, są skutecznym sposobem zapobiegania przyszłym potrzebom humanitarnym lub ograniczania ich; </w:t>
            </w:r>
            <w:r>
              <w:rPr>
                <w:b/>
                <w:i/>
              </w:rPr>
              <w:t>podkreśla, że takie zapobiegawcze podejście musi systematycznie uwzględniać perspektywę płci i gwarantować, że bierze się pod uwagę szczególne potrzeby, zdolności i przywództwo kobiet i dziewcząt oraz wspiera się je;</w:t>
            </w:r>
          </w:p>
        </w:tc>
      </w:tr>
    </w:tbl>
    <w:p>
      <w:r>
        <w:rPr>
          <w:rStyle w:val="HideTWBExt"/>
        </w:rPr>
        <w:t>&lt;/Amend&gt;</w:t>
      </w:r>
    </w:p>
    <w:p>
      <w:pPr>
        <w:pStyle w:val="AmNumberTabs"/>
      </w:pPr>
      <w:r>
        <w:rPr>
          <w:rStyle w:val="HideTWBExt"/>
        </w:rPr>
        <w:t>&lt;Amend&gt;</w:t>
      </w:r>
      <w:r>
        <w:t>Poprawka</w:t>
      </w:r>
      <w:r>
        <w:tab/>
      </w:r>
      <w:r>
        <w:tab/>
      </w:r>
      <w:r>
        <w:rPr>
          <w:rStyle w:val="HideTWBExt"/>
        </w:rPr>
        <w:t>&lt;NumAm&gt;</w:t>
      </w:r>
      <w:r>
        <w:t>66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16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wzywa do zadbania o to, by kobiety i dziewczęta, które padły ofiarą przemocy w kontekście kryzysu humanitarnego, miały dostęp do bezpiecznych schronisk, chronionych przestrzeni, wsparcia psychologicznego oraz do odpowiednich i trwałych zasobów;</w:t>
            </w:r>
          </w:p>
        </w:tc>
      </w:tr>
    </w:tbl>
    <w:p>
      <w:r>
        <w:rPr>
          <w:rStyle w:val="HideTWBExt"/>
        </w:rPr>
        <w:t>&lt;/Amend&gt;</w:t>
      </w:r>
    </w:p>
    <w:p>
      <w:pPr>
        <w:pStyle w:val="AmNumberTabs"/>
      </w:pPr>
      <w:r>
        <w:rPr>
          <w:rStyle w:val="HideTWBExt"/>
        </w:rPr>
        <w:t>&lt;Amend&gt;</w:t>
      </w:r>
      <w:r>
        <w:t>Poprawka</w:t>
      </w:r>
      <w:r>
        <w:tab/>
      </w:r>
      <w:r>
        <w:tab/>
      </w:r>
      <w:r>
        <w:rPr>
          <w:rStyle w:val="HideTWBExt"/>
        </w:rPr>
        <w:t>&lt;NumAm&gt;</w:t>
      </w:r>
      <w:r>
        <w:t>67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zachęca państwa członkowskie do znacznego zwiększenia inwestycji w prowadzone lokalnie i zintegrowane działania zapobiegawcze;</w:t>
            </w:r>
          </w:p>
        </w:tc>
        <w:tc>
          <w:tcPr>
            <w:tcW w:w="4876" w:type="dxa"/>
            <w:tcBorders>
              <w:top w:val="nil"/>
              <w:left w:val="nil"/>
              <w:bottom w:val="nil"/>
              <w:right w:val="nil"/>
            </w:tcBorders>
          </w:tcPr>
          <w:p>
            <w:pPr>
              <w:pStyle w:val="Normal6a"/>
            </w:pPr>
            <w:r>
              <w:t>18.</w:t>
            </w:r>
            <w:r>
              <w:tab/>
            </w:r>
            <w:r>
              <w:rPr>
                <w:b/>
                <w:i/>
              </w:rPr>
              <w:t xml:space="preserve">wzywa UE do opracowania działań humanitarnych ukierunkowanych na aspekt płci i powiązania ich z aspektami humanitarnymi, rozwojowymi i pokojowymi, oraz do odejścia od pomocy krótkoterminowej na rzecz długoterminowych inwestycji w odporność społeczności na przyszłe kryzysy, angażowania osób wszystkich płci w planowanie działań oraz lepszego uwzględniania i eliminowania przyczyn źródłowych; przypomina, że UE musi powiązać pomoc humanitarną z rozwojową, aby reagować na skutki kryzysów i konfliktów, które odczuwają uczniowie znajdujący się w najtrudniejszej sytuacji, na przykład dziewczęta i młode kobiety; </w:t>
            </w:r>
            <w:r>
              <w:t>zachęca państwa członkowskie do znacznego zwiększenia inwestycji w prowadzone lokalnie i zintegrowane działania zapobiegawcze;</w:t>
            </w:r>
            <w:r>
              <w:rPr>
                <w:b/>
                <w:i/>
              </w:rPr>
              <w:t xml:space="preserve"> przypomina, że inwestowanie w pomoc humanitarną dzisiaj pozwoli uniknąć kryzysów humanitarnych i konieczności dokonywania większych inwestycji; wzywa Komisję do przedstawienia bardziej konkretnych propozycji dotyczących szczegółowych wydatków, programów, śledzenia i oceny działań związanych z aspektem płaci w kryzysach humanitarnych; przypomina, że dostępność informacji, usług i pomocy humanitarnej ma zasadnicze znaczenie dla zapewnienia skutecznego i sprzyjającego włączeniu społecznemu reagowania na kryzysy wszystkim osobom, które są nimi dotknięte, w szczególności grupom znajdującym się w trudnej sytuacji, takim jak osoby z niepełnosprawnościami, dzieci i osoby w podeszłym wieku;</w:t>
            </w:r>
          </w:p>
        </w:tc>
      </w:tr>
    </w:tbl>
    <w:p>
      <w:r>
        <w:rPr>
          <w:rStyle w:val="HideTWBExt"/>
        </w:rPr>
        <w:t>&lt;/Amend&gt;</w:t>
      </w:r>
    </w:p>
    <w:p>
      <w:pPr>
        <w:pStyle w:val="AmNumberTabs"/>
      </w:pPr>
      <w:r>
        <w:rPr>
          <w:rStyle w:val="HideTWBExt"/>
        </w:rPr>
        <w:t>&lt;Amend&gt;</w:t>
      </w:r>
      <w:r>
        <w:t>Poprawka</w:t>
      </w:r>
      <w:r>
        <w:tab/>
      </w:r>
      <w:r>
        <w:tab/>
      </w:r>
      <w:r>
        <w:rPr>
          <w:rStyle w:val="HideTWBExt"/>
        </w:rPr>
        <w:t>&lt;NumAm&gt;</w:t>
      </w:r>
      <w:r>
        <w:t>68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18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potwierdza, że w ramach strategii UE w dziedzinie zdrowia na świecie skoncentrowano się na zwalczaniu podstawowych przyczyn złego stanu zdrowia, ze szczególnym uwzględnieniem potrzeb i praw kobiet, dzieci i młodzieży, w tym na powszechnym dostępie do usług w zakresie zdrowia seksualnego i reprodukcyjnego oraz na prawach w tej dziedzinie; przypomina, że zagwarantowanie kobietom dostępu do opieki zdrowotnej i wsparcia psychospołecznego jest niezwykle ważnym elementem działań w zakresie doraźnej pomocy i odbudowy oraz priorytetem w ramach powiązania między aspektami humanitarnymi a rozwojowymi i pokojowymi;</w:t>
            </w:r>
          </w:p>
        </w:tc>
      </w:tr>
    </w:tbl>
    <w:p>
      <w:r>
        <w:rPr>
          <w:rStyle w:val="HideTWBExt"/>
        </w:rPr>
        <w:t>&lt;/Amend&gt;</w:t>
      </w:r>
    </w:p>
    <w:p>
      <w:pPr>
        <w:pStyle w:val="AmNumberTabs"/>
      </w:pPr>
      <w:r>
        <w:rPr>
          <w:rStyle w:val="HideTWBExt"/>
        </w:rPr>
        <w:t>&lt;Amend&gt;</w:t>
      </w:r>
      <w:r>
        <w:t>Poprawka</w:t>
      </w:r>
      <w:r>
        <w:tab/>
      </w:r>
      <w:r>
        <w:tab/>
      </w:r>
      <w:r>
        <w:rPr>
          <w:rStyle w:val="HideTWBExt"/>
        </w:rPr>
        <w:t>&lt;NumAm&gt;</w:t>
      </w:r>
      <w:r>
        <w:t>69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18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zwraca uwagę, jak istotne jest, aby ułatwiać włączanie kobiet dotkniętych kryzysem w procesy tworzenia planów reagowania kryzysowego i odbudowy, które dotyczą ich samych, ich rodzin i szerszych społeczności;</w:t>
            </w:r>
          </w:p>
        </w:tc>
      </w:tr>
    </w:tbl>
    <w:p>
      <w:r>
        <w:rPr>
          <w:rStyle w:val="HideTWBExt"/>
        </w:rPr>
        <w:t>&lt;/Amend&gt;</w:t>
      </w:r>
    </w:p>
    <w:p>
      <w:pPr>
        <w:pStyle w:val="AmNumberTabs"/>
      </w:pPr>
      <w:r>
        <w:rPr>
          <w:rStyle w:val="HideTWBExt"/>
        </w:rPr>
        <w:t>&lt;Amend&gt;</w:t>
      </w:r>
      <w:r>
        <w:t>Poprawka</w:t>
      </w:r>
      <w:r>
        <w:tab/>
      </w:r>
      <w:r>
        <w:tab/>
      </w:r>
      <w:r>
        <w:rPr>
          <w:rStyle w:val="HideTWBExt"/>
        </w:rPr>
        <w:t>&lt;NumAm&gt;</w:t>
      </w:r>
      <w:r>
        <w:t>70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18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18c.</w:t>
            </w:r>
            <w:r>
              <w:tab/>
            </w:r>
            <w:r>
              <w:rPr>
                <w:b/>
                <w:i/>
              </w:rPr>
              <w:t>z zadowoleniem przyjmuje włączenie przepisu dotyczącego pomocy humanitarnej do trzeciego unijnego planu działania w sprawie równości płci w celu wspierania gotowości, zapobiegania przemocy seksualnej i przemocy ze względu na płeć oraz reagowania na nią;</w:t>
            </w:r>
          </w:p>
        </w:tc>
      </w:tr>
    </w:tbl>
    <w:p>
      <w:r>
        <w:rPr>
          <w:rStyle w:val="HideTWBExt"/>
        </w:rPr>
        <w:t>&lt;/Amend&gt;</w:t>
      </w:r>
    </w:p>
    <w:p>
      <w:pPr>
        <w:pStyle w:val="AmNumberTabs"/>
      </w:pPr>
      <w:r>
        <w:rPr>
          <w:rStyle w:val="HideTWBExt"/>
        </w:rPr>
        <w:t>&lt;Amend&gt;</w:t>
      </w:r>
      <w:r>
        <w:t>Poprawka</w:t>
      </w:r>
      <w:r>
        <w:tab/>
      </w:r>
      <w:r>
        <w:tab/>
      </w:r>
      <w:r>
        <w:rPr>
          <w:rStyle w:val="HideTWBExt"/>
        </w:rPr>
        <w:t>&lt;NumAm&gt;</w:t>
      </w:r>
      <w:r>
        <w:t>71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18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18d.</w:t>
            </w:r>
            <w:r>
              <w:tab/>
            </w:r>
            <w:r>
              <w:rPr>
                <w:b/>
                <w:i/>
              </w:rPr>
              <w:t>wzywa również do zapewnienia bezpiecznego dostępu do edukacji dzieciom dotkniętym kryzysem humanitarnym, w tym poprzez zapewnienie wsparcia dla szkół tymczasowych i programów żywienia, a także zapewnienie wsparcia psychologicznego;</w:t>
            </w:r>
          </w:p>
        </w:tc>
      </w:tr>
    </w:tbl>
    <w:p>
      <w:r>
        <w:rPr>
          <w:rStyle w:val="HideTWBExt"/>
        </w:rPr>
        <w:t>&lt;/Amend&gt;</w:t>
      </w:r>
    </w:p>
    <w:p>
      <w:pPr>
        <w:pStyle w:val="AmNumberTabs"/>
      </w:pPr>
      <w:r>
        <w:rPr>
          <w:rStyle w:val="HideTWBExt"/>
        </w:rPr>
        <w:t>&lt;Amend&gt;</w:t>
      </w:r>
      <w:r>
        <w:t>Poprawka</w:t>
      </w:r>
      <w:r>
        <w:tab/>
      </w:r>
      <w:r>
        <w:tab/>
      </w:r>
      <w:r>
        <w:rPr>
          <w:rStyle w:val="HideTWBExt"/>
        </w:rPr>
        <w:t>&lt;NumAm&gt;</w:t>
      </w:r>
      <w:r>
        <w:t>72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18 e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18e.</w:t>
            </w:r>
            <w:r>
              <w:tab/>
            </w:r>
            <w:r>
              <w:rPr>
                <w:b/>
                <w:i/>
              </w:rPr>
              <w:t>apeluje do Komisji o dopilnowanie, aby jej reakcja na kryzysy humanitarne obejmowała zestawy do utrzymania higieny menstruacyjnej jako standardowy element wszystkich jej działań w sytuacjach kryzysowych;</w:t>
            </w:r>
          </w:p>
        </w:tc>
      </w:tr>
    </w:tbl>
    <w:p>
      <w:r>
        <w:rPr>
          <w:rStyle w:val="HideTWBExt"/>
        </w:rPr>
        <w:t>&lt;/Amend&gt;</w:t>
      </w:r>
    </w:p>
    <w:p>
      <w:pPr>
        <w:pStyle w:val="AmNumberTabs"/>
      </w:pPr>
      <w:r>
        <w:rPr>
          <w:rStyle w:val="HideTWBExt"/>
        </w:rPr>
        <w:t>&lt;Amend&gt;</w:t>
      </w:r>
      <w:r>
        <w:t>Poprawka</w:t>
      </w:r>
      <w:r>
        <w:tab/>
      </w:r>
      <w:r>
        <w:tab/>
      </w:r>
      <w:r>
        <w:rPr>
          <w:rStyle w:val="HideTWBExt"/>
        </w:rPr>
        <w:t>&lt;NumAm&gt;</w:t>
      </w:r>
      <w:r>
        <w:t>73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z zadowoleniem przyjmuje postępy poczynione we wdrażaniu rezolucji Rady Bezpieczeństwa ONZ nr 1325 (2000) oraz Agendy ONZ dotyczącej kobiet, pokoju i bezpieczeństwa; stanowią one podstawowe narzędzie zapewniania stałego poszanowania praw kobiet i dziewcząt;</w:t>
            </w:r>
          </w:p>
        </w:tc>
        <w:tc>
          <w:tcPr>
            <w:tcW w:w="4876" w:type="dxa"/>
            <w:tcBorders>
              <w:top w:val="nil"/>
              <w:left w:val="nil"/>
              <w:bottom w:val="nil"/>
              <w:right w:val="nil"/>
            </w:tcBorders>
          </w:tcPr>
          <w:p>
            <w:pPr>
              <w:pStyle w:val="Normal6a"/>
            </w:pPr>
            <w:r>
              <w:t>19.</w:t>
            </w:r>
            <w:r>
              <w:tab/>
            </w:r>
            <w:r>
              <w:t>z zadowoleniem przyjmuje postępy poczynione we wdrażaniu rezolucji Rady Bezpieczeństwa ONZ nr 1325 (2000) oraz Agendy ONZ dotyczącej kobiet, pokoju i bezpieczeństwa; stanowią one podstawowe narzędzie zapewniania stałego poszanowania praw kobiet i dziewcząt;</w:t>
            </w:r>
            <w:r>
              <w:rPr>
                <w:b/>
                <w:i/>
              </w:rPr>
              <w:t xml:space="preserve"> podkreśla jednak, że przemoc ze względu na płeć i przemoc seksualna są nadal plagą często wykorzystywaną w konfliktach jako narzędzie wojny, mimo że kobiety i dziewczęta są najbardziej narażone na konsekwencje konfliktów zbrojnych i globalnego ocieplenia;</w:t>
            </w:r>
          </w:p>
        </w:tc>
      </w:tr>
    </w:tbl>
    <w:p>
      <w:r>
        <w:rPr>
          <w:rStyle w:val="HideTWBExt"/>
        </w:rPr>
        <w:t>&lt;/Amend&gt;</w:t>
      </w:r>
    </w:p>
    <w:p>
      <w:pPr>
        <w:pStyle w:val="AmNumberTabs"/>
      </w:pPr>
      <w:r>
        <w:rPr>
          <w:rStyle w:val="HideTWBExt"/>
        </w:rPr>
        <w:t>&lt;Amend&gt;</w:t>
      </w:r>
      <w:r>
        <w:t>Poprawka</w:t>
      </w:r>
      <w:r>
        <w:tab/>
      </w:r>
      <w:r>
        <w:tab/>
      </w:r>
      <w:r>
        <w:rPr>
          <w:rStyle w:val="HideTWBExt"/>
        </w:rPr>
        <w:t>&lt;NumAm&gt;</w:t>
      </w:r>
      <w:r>
        <w:t>74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19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wzywa UE i państwa członkowskie do priorytetowego potraktowania realizacji programu działań na rzecz kobiet, pokoju i bezpieczeństwa; podkreśla, jak ważne jest, by uaktualnić plan działania UE na rzecz kobiet, pokoju i bezpieczeństwa oraz by otwarcie reagować na wszelki opór wobec niego</w:t>
            </w:r>
            <w:r>
              <w:rPr>
                <w:vertAlign w:val="superscript"/>
              </w:rPr>
              <w:t>1a</w:t>
            </w:r>
            <w:r>
              <w:rPr>
                <w:b/>
                <w:i/>
              </w:rPr>
              <w:t>, przy czym priorytetowo należy potraktować zagwarantowanie dostępu do podstawowych usług w zakresie zdrowia seksualnego i reprodukcyjnego wszystkim kobietom dotkniętym konfliktami oraz zapewnienie odpowiedzialności i zadośćuczynienia za naruszenia praw i zdrowia reprodukcyjnego i seksualnego, zgodnie z międzynarodowymi standardami i zaleceniami w dziedzinie praw człowieka;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https://www.europarl.europa.eu/RegData/etudes/BRIE/2025/769691/IUST_BRI(2025)769691_EN.pdf.</w:t>
            </w:r>
          </w:p>
        </w:tc>
      </w:tr>
    </w:tbl>
    <w:p>
      <w:r>
        <w:rPr>
          <w:rStyle w:val="HideTWBExt"/>
        </w:rPr>
        <w:t>&lt;/Amend&gt;</w:t>
      </w:r>
    </w:p>
    <w:p>
      <w:pPr>
        <w:pStyle w:val="AmNumberTabs"/>
      </w:pPr>
      <w:r>
        <w:rPr>
          <w:rStyle w:val="HideTWBExt"/>
        </w:rPr>
        <w:t>&lt;Amend&gt;</w:t>
      </w:r>
      <w:r>
        <w:t>Poprawka</w:t>
      </w:r>
      <w:r>
        <w:tab/>
      </w:r>
      <w:r>
        <w:tab/>
      </w:r>
      <w:r>
        <w:rPr>
          <w:rStyle w:val="HideTWBExt"/>
        </w:rPr>
        <w:t>&lt;NumAm&gt;</w:t>
      </w:r>
      <w:r>
        <w:t>75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19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apeluje do Komisji, ESDZ i państw członkowskich, aby zintensyfikowały działania na rzecz uwzględniania szczególnych potrzeb i wkładu kobiet i dziewcząt w strategie zapobiegania konfliktom, mediacji i budowania pokoju;</w:t>
            </w:r>
          </w:p>
        </w:tc>
      </w:tr>
    </w:tbl>
    <w:p>
      <w:r>
        <w:rPr>
          <w:rStyle w:val="HideTWBExt"/>
        </w:rPr>
        <w:t>&lt;/Amend&gt;</w:t>
      </w:r>
    </w:p>
    <w:p>
      <w:pPr>
        <w:pStyle w:val="AmNumberTabs"/>
      </w:pPr>
      <w:r>
        <w:rPr>
          <w:rStyle w:val="HideTWBExt"/>
        </w:rPr>
        <w:t>&lt;Amend&gt;</w:t>
      </w:r>
      <w:r>
        <w:t>Poprawka</w:t>
      </w:r>
      <w:r>
        <w:tab/>
      </w:r>
      <w:r>
        <w:tab/>
      </w:r>
      <w:r>
        <w:rPr>
          <w:rStyle w:val="HideTWBExt"/>
        </w:rPr>
        <w:t>&lt;NumAm&gt;</w:t>
      </w:r>
      <w:r>
        <w:t>76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19 c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19c.</w:t>
            </w:r>
            <w:r>
              <w:tab/>
            </w:r>
            <w:r>
              <w:rPr>
                <w:b/>
                <w:i/>
              </w:rPr>
              <w:t>wzywa Komisję do zwiększenia starań w celu dopilnowania, by pomoc humanitarna finansowana ze środków UE odpowiadała na potrzeby kobiet, dziewcząt, mężczyzn i chłopców, oraz do zagwarantowania, że UE będzie dalej wzmacniać upowszechnianie aspektu płci i intensyfikować działania ukierunkowane na płeć oraz zapewniać odpowiedzialny z perspektywy płci proces przeglądu wszystkich inicjatyw Global Gateway i Drużyny Europy;</w:t>
            </w:r>
          </w:p>
        </w:tc>
      </w:tr>
    </w:tbl>
    <w:p>
      <w:r>
        <w:rPr>
          <w:rStyle w:val="HideTWBExt"/>
        </w:rPr>
        <w:t>&lt;/Amend&gt;</w:t>
      </w:r>
    </w:p>
    <w:p>
      <w:pPr>
        <w:pStyle w:val="AmNumberTabs"/>
      </w:pPr>
      <w:r>
        <w:rPr>
          <w:rStyle w:val="HideTWBExt"/>
        </w:rPr>
        <w:t>&lt;Amend&gt;</w:t>
      </w:r>
      <w:r>
        <w:t>Poprawka</w:t>
      </w:r>
      <w:r>
        <w:tab/>
      </w:r>
      <w:r>
        <w:tab/>
      </w:r>
      <w:r>
        <w:rPr>
          <w:rStyle w:val="HideTWBExt"/>
        </w:rPr>
        <w:t>&lt;NumAm&gt;</w:t>
      </w:r>
      <w:r>
        <w:t>77</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19 d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19d.</w:t>
            </w:r>
            <w:r>
              <w:tab/>
            </w:r>
            <w:r>
              <w:rPr>
                <w:b/>
                <w:i/>
              </w:rPr>
              <w:t>zwraca się do UE i wszystkich państw członkowskich UE, aby stały się sygnatariuszami porozumienia w sprawie kobiet, pokoju i bezpieczeństwa oraz operacji humanitarnych i składały sprawozdania z realizacji zobowiązań podjętych w ramach tego porozumienia, jako elementu wspólnego i spójnego podejścia do budowania długofalowej stabilności i pokoju;</w:t>
            </w:r>
          </w:p>
        </w:tc>
      </w:tr>
    </w:tbl>
    <w:p>
      <w:r>
        <w:rPr>
          <w:rStyle w:val="HideTWBExt"/>
        </w:rPr>
        <w:t>&lt;/Amend&gt;</w:t>
      </w:r>
    </w:p>
    <w:p>
      <w:pPr>
        <w:pStyle w:val="AmNumberTabs"/>
      </w:pPr>
      <w:r>
        <w:rPr>
          <w:rStyle w:val="HideTWBExt"/>
        </w:rPr>
        <w:t>&lt;Amend&gt;</w:t>
      </w:r>
      <w:r>
        <w:t>Poprawka</w:t>
      </w:r>
      <w:r>
        <w:tab/>
      </w:r>
      <w:r>
        <w:tab/>
      </w:r>
      <w:r>
        <w:rPr>
          <w:rStyle w:val="HideTWBExt"/>
        </w:rPr>
        <w:t>&lt;NumAm&gt;</w:t>
      </w:r>
      <w:r>
        <w:t>78</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wzywa wszystkie strony konfliktów zbrojnych do podjęcia środków w celu ochrony kobiet i dziewcząt przed przemocą seksualną i przemocą ze względu na płeć oraz wszelkimi innymi formami przemocy w sytuacjach konfliktu zbrojnego, a także do promowania ich zdrowia i praw seksualnych i reprodukcyjnych;</w:t>
            </w:r>
          </w:p>
        </w:tc>
        <w:tc>
          <w:tcPr>
            <w:tcW w:w="4876" w:type="dxa"/>
            <w:tcBorders>
              <w:top w:val="nil"/>
              <w:left w:val="nil"/>
              <w:bottom w:val="nil"/>
              <w:right w:val="nil"/>
            </w:tcBorders>
          </w:tcPr>
          <w:p>
            <w:pPr>
              <w:pStyle w:val="Normal6a"/>
            </w:pPr>
            <w:r>
              <w:t>20.</w:t>
            </w:r>
            <w:r>
              <w:tab/>
            </w:r>
            <w:r>
              <w:t xml:space="preserve">wzywa wszystkie strony konfliktów zbrojnych do </w:t>
            </w:r>
            <w:r>
              <w:rPr>
                <w:b/>
                <w:i/>
              </w:rPr>
              <w:t>uwzględnienia strategii ochrony we wszystkich aspektach pomocy humanitarnej oraz do</w:t>
            </w:r>
            <w:r>
              <w:t xml:space="preserve"> podjęcia środków w celu ochrony kobiet i dziewcząt przed przemocą seksualną i przemocą ze względu na płeć oraz wszelkimi innymi formami przemocy</w:t>
            </w:r>
            <w:r>
              <w:rPr>
                <w:b/>
                <w:i/>
              </w:rPr>
              <w:t>, ubóstwa i przymusowych wysiedleń</w:t>
            </w:r>
            <w:r>
              <w:t xml:space="preserve"> w sytuacjach konfliktu zbrojnego, </w:t>
            </w:r>
            <w:r>
              <w:rPr>
                <w:b/>
                <w:i/>
              </w:rPr>
              <w:t>w tym przed wczesnymi małżeństwami i ciążami nastoletnimi w kontekście kryzysów humanitarnych, które prowadzą do przerwania edukacji i pogłębienia ubóstwa wielowymiarowego,</w:t>
            </w:r>
            <w:r>
              <w:t xml:space="preserve"> a także do promowania ich zdrowia i praw seksualnych i reprodukcyjnych</w:t>
            </w:r>
            <w:r>
              <w:rPr>
                <w:b/>
                <w:i/>
              </w:rPr>
              <w:t>, zwłaszcza w przypadku ukraińskich kobiet, które uciekły do krajów o bardziej restrykcyjnej polityce dotyczącej praw i zdrowia reprodukcyjnego i seksualnego i zasługują na dostęp do bezpiecznej i legalnej aborcji po doświadczeniu przemocy seksualnej jako aktu wojny;</w:t>
            </w:r>
            <w:r>
              <w:rPr>
                <w:b/>
                <w:i/>
              </w:rPr>
              <w:t xml:space="preserve"> </w:t>
            </w:r>
            <w:r>
              <w:rPr>
                <w:b/>
                <w:i/>
              </w:rPr>
              <w:t>uznaje, że taka przemoc często nasila się podczas konfliktów i może być systematycznie wykorzystywana jako broń wojenna</w:t>
            </w:r>
            <w:r>
              <w:t>;</w:t>
            </w:r>
          </w:p>
        </w:tc>
      </w:tr>
    </w:tbl>
    <w:p>
      <w:r>
        <w:rPr>
          <w:rStyle w:val="HideTWBExt"/>
        </w:rPr>
        <w:t>&lt;/Amend&gt;</w:t>
      </w:r>
    </w:p>
    <w:p>
      <w:pPr>
        <w:pStyle w:val="AmNumberTabs"/>
      </w:pPr>
      <w:r>
        <w:rPr>
          <w:rStyle w:val="HideTWBExt"/>
        </w:rPr>
        <w:t>&lt;Amend&gt;</w:t>
      </w:r>
      <w:r>
        <w:t>Poprawka</w:t>
      </w:r>
      <w:r>
        <w:tab/>
      </w:r>
      <w:r>
        <w:tab/>
      </w:r>
      <w:r>
        <w:rPr>
          <w:rStyle w:val="HideTWBExt"/>
        </w:rPr>
        <w:t>&lt;NumAm&gt;</w:t>
      </w:r>
      <w:r>
        <w:t>79</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20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przypomina, że porozumienia pokojowe osiągnięte przy udziale kobiet mają większe szanse na trwałość i skuteczność; wzywa Komisję do włączania kobiet we wszystkie etapy podejmowania decyzji w sytuacjach kryzysów humanitarnych i po zakończeniu konfliktów;</w:t>
            </w:r>
          </w:p>
        </w:tc>
      </w:tr>
    </w:tbl>
    <w:p>
      <w:r>
        <w:rPr>
          <w:rStyle w:val="HideTWBExt"/>
        </w:rPr>
        <w:t>&lt;/Amend&gt;</w:t>
      </w:r>
    </w:p>
    <w:p>
      <w:pPr>
        <w:pStyle w:val="AmNumberTabs"/>
      </w:pPr>
      <w:r>
        <w:rPr>
          <w:rStyle w:val="HideTWBExt"/>
        </w:rPr>
        <w:t>&lt;Amend&gt;</w:t>
      </w:r>
      <w:r>
        <w:t>Poprawka</w:t>
      </w:r>
      <w:r>
        <w:tab/>
      </w:r>
      <w:r>
        <w:tab/>
      </w:r>
      <w:r>
        <w:rPr>
          <w:rStyle w:val="HideTWBExt"/>
        </w:rPr>
        <w:t>&lt;NumAm&gt;</w:t>
      </w:r>
      <w:r>
        <w:t>80</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podkreśla zasadniczą rolę odgrywaną przez kobiety w kontekście humanitarnym; ubolewa, że lokalne organizacje kierowane przez kobiety należą do organizacji najbardziej dotkniętych niedawnymi cięciami środków na pomoc zagraniczną, i zachęca do </w:t>
            </w:r>
            <w:r>
              <w:rPr>
                <w:b/>
                <w:i/>
              </w:rPr>
              <w:t>zacieśnienia</w:t>
            </w:r>
            <w:r>
              <w:t xml:space="preserve"> współpracy z nimi </w:t>
            </w:r>
            <w:r>
              <w:rPr>
                <w:b/>
                <w:i/>
              </w:rPr>
              <w:t>przy programowaniu</w:t>
            </w:r>
            <w:r>
              <w:t xml:space="preserve"> pomocy humanitarnej</w:t>
            </w:r>
            <w:r>
              <w:rPr>
                <w:vertAlign w:val="superscript"/>
              </w:rPr>
              <w:t>7</w:t>
            </w:r>
            <w:r>
              <w:t>;</w:t>
            </w:r>
          </w:p>
        </w:tc>
        <w:tc>
          <w:tcPr>
            <w:tcW w:w="4876" w:type="dxa"/>
            <w:tcBorders>
              <w:top w:val="nil"/>
              <w:left w:val="nil"/>
              <w:bottom w:val="nil"/>
              <w:right w:val="nil"/>
            </w:tcBorders>
          </w:tcPr>
          <w:p>
            <w:pPr>
              <w:pStyle w:val="Normal6a"/>
            </w:pPr>
            <w:r>
              <w:t>21.</w:t>
            </w:r>
            <w:r>
              <w:tab/>
            </w:r>
            <w:r>
              <w:t>podkreśla zasadniczą rolę odgrywaną przez kobiety</w:t>
            </w:r>
            <w:r>
              <w:rPr>
                <w:b/>
                <w:i/>
              </w:rPr>
              <w:t>, które działają na pierwszej linii</w:t>
            </w:r>
            <w:r>
              <w:t xml:space="preserve"> w kontekście humanitarnym; ubolewa, że lokalne organizacje kierowane przez kobiety </w:t>
            </w:r>
            <w:r>
              <w:rPr>
                <w:b/>
                <w:i/>
              </w:rPr>
              <w:t>oraz organizacje LGBTIQ+</w:t>
            </w:r>
            <w:r>
              <w:t xml:space="preserve"> należą do organizacji najbardziej dotkniętych niedawnymi cięciami środków na pomoc zagraniczną, i zachęca do </w:t>
            </w:r>
            <w:r>
              <w:rPr>
                <w:b/>
                <w:i/>
              </w:rPr>
              <w:t>pełnej, równej i znaczącej</w:t>
            </w:r>
            <w:r>
              <w:t xml:space="preserve"> współpracy z nimi </w:t>
            </w:r>
            <w:r>
              <w:rPr>
                <w:b/>
                <w:i/>
              </w:rPr>
              <w:t>w zakresie planowania</w:t>
            </w:r>
            <w:r>
              <w:t xml:space="preserve"> pomocy humanitarnej</w:t>
            </w:r>
            <w:r>
              <w:rPr>
                <w:vertAlign w:val="superscript"/>
              </w:rPr>
              <w:t>7</w:t>
            </w:r>
            <w:r>
              <w:rPr>
                <w:b/>
                <w:i/>
              </w:rPr>
              <w:t>, w tym większego, bardziej elastycznego i bezpośredniego finansowania;</w:t>
            </w:r>
            <w:r>
              <w:rPr>
                <w:b/>
                <w:i/>
              </w:rPr>
              <w:t xml:space="preserve"> </w:t>
            </w:r>
            <w:r>
              <w:rPr>
                <w:b/>
                <w:i/>
              </w:rPr>
              <w:t>zauważa z ubolewaniem, że niemal połowa (47 %) badanych organizacji kierowanych przez kobiety i organizacji działających na rzecz praw kobiet spodziewa się zaprzestania działalności w ciągu sześciu miesięcy, jeżeli obecna sytuacja w zakresie finansowania nie ulegnie zmianie, ponad jedna trzecia (35%) tych organizacji nadal tkwi w niepewności, co uniemożliwia im planowanie, jak i dalsze działanie, a jedynie 18 % przewiduje, że będzie w stanie kontynuować swoją działalność przez ponad rok</w:t>
            </w:r>
            <w:r>
              <w:rPr>
                <w:b/>
                <w:i/>
                <w:vertAlign w:val="superscript"/>
              </w:rPr>
              <w:t>7a</w:t>
            </w:r>
            <w:r>
              <w:rPr>
                <w:b/>
                <w:i/>
              </w:rPr>
              <w:t>;</w:t>
            </w:r>
            <w:r>
              <w:rPr>
                <w:b/>
                <w:i/>
              </w:rPr>
              <w:t xml:space="preserve"> podkreśla, jak istotne jest zapewnienie bezpieczeństwa i dostępu do usług opartych na potrzebach w obozach dla uchodźców i ośrodkach recepcyjnych, w tym odpowiednich warunków sanitarnych, opieki zdrowotnej, wsparcia psychospołecznego, opieki okołoporodowej, pomocy prawnej i bezpiecznych przestrzeni; zwraca uwagę, że w takich okolicznościach kobiety i dziewczęta są często narażone na zwiększone ryzyko oraz że ich znaczący udział w projektowaniu i planowaniu schronisk dla uchodźców oraz zarządzaniu tymi schroniskami ma zasadnicze znaczenie dla zagwarantowania, by usługi były dostępne, odpowiednie i dopasowane do ich konkretnych potrzeb; </w:t>
            </w:r>
            <w:r>
              <w:rPr>
                <w:b/>
                <w:i/>
              </w:rPr>
              <w:t>wzywa Komisję oraz podmioty świadczące pomoc humanitarną do usunięcia barier związanych z mobilnością i transportem, które uniemożliwiają kobietom i dziewczętom dostęp do pomocy, w tym do bezpiecznego transportu do ośrodków zdrowia, punktów dystrybucji i schronisk</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UN Women, „Humanitarian funding cuts threaten women’s rights: What’s at stake and how to help” [Ograniczenie finansowania pomocy humanitarnej zagraża prawom kobiet: o co toczy się gra i jak można pomóc], 13 maja 2025 r., https://www.unwomen.org/en/articles/explainer/humanitarian-funding-cuts-threaten-womens-rights-whats-at-stake-and-how-to-help.</w:t>
            </w:r>
          </w:p>
        </w:tc>
        <w:tc>
          <w:tcPr>
            <w:tcW w:w="4876" w:type="dxa"/>
            <w:tcBorders>
              <w:top w:val="nil"/>
              <w:left w:val="nil"/>
              <w:bottom w:val="nil"/>
              <w:right w:val="nil"/>
            </w:tcBorders>
          </w:tcPr>
          <w:p>
            <w:pPr>
              <w:pStyle w:val="Normal6a"/>
            </w:pPr>
            <w:r>
              <w:rPr>
                <w:vertAlign w:val="superscript"/>
              </w:rPr>
              <w:t>7</w:t>
            </w:r>
            <w:r>
              <w:t xml:space="preserve"> </w:t>
            </w:r>
            <w:r>
              <w:t>UN Women, „Humanitarian funding cuts threaten women’s rights: What’s at stake and how to help” [Ograniczenie finansowania pomocy humanitarnej zagraża prawom kobiet: o co toczy się gra i jak można pomóc], 13 maja 2025 r., https://www.unwomen.org/en/articles/explainer/humanitarian-funding-cuts-threaten-womens-rights-whats-at-stake-and-how-to-help.</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7a</w:t>
            </w:r>
            <w:r>
              <w:t xml:space="preserve"> </w:t>
            </w:r>
            <w:r>
              <w:rPr>
                <w:b/>
                <w:i/>
              </w:rPr>
              <w:t>https://www.unwomen.org/sites/default/files/2025-05/at-a-breaking-point-the-impact-of-foreign-aid-cuts-on-womens-organizations-in-humanitarian-crises-worldwide-en.pdf.</w:t>
            </w:r>
          </w:p>
        </w:tc>
      </w:tr>
    </w:tbl>
    <w:p>
      <w:r>
        <w:rPr>
          <w:rStyle w:val="HideTWBExt"/>
        </w:rPr>
        <w:t>&lt;/Amend&gt;</w:t>
      </w:r>
    </w:p>
    <w:p>
      <w:pPr>
        <w:pStyle w:val="AmNumberTabs"/>
      </w:pPr>
      <w:r>
        <w:rPr>
          <w:rStyle w:val="HideTWBExt"/>
        </w:rPr>
        <w:t>&lt;Amend&gt;</w:t>
      </w:r>
      <w:r>
        <w:t>Poprawka</w:t>
      </w:r>
      <w:r>
        <w:tab/>
      </w:r>
      <w:r>
        <w:tab/>
      </w:r>
      <w:r>
        <w:rPr>
          <w:rStyle w:val="HideTWBExt"/>
        </w:rPr>
        <w:t>&lt;NumAm&gt;</w:t>
      </w:r>
      <w:r>
        <w:t>81</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21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podkreśla szczególną wrażliwość kobiet mieszkających na obszarach wiejskich, oddalonych i dotkniętych konfliktami, gdzie kobiety często napotykają dodatkowe bariery w dostępie do pomocy humanitarnej, w tym usług zdrowotnych i wsparcia psychologicznego; wzywa do ukierunkowanego finansowania i programowania inkluzywnego, które będą odpowiadać na te nakładające się wyzwania;</w:t>
            </w:r>
          </w:p>
        </w:tc>
      </w:tr>
    </w:tbl>
    <w:p>
      <w:r>
        <w:rPr>
          <w:rStyle w:val="HideTWBExt"/>
        </w:rPr>
        <w:t>&lt;/Amend&gt;</w:t>
      </w:r>
    </w:p>
    <w:p>
      <w:pPr>
        <w:pStyle w:val="AmNumberTabs"/>
      </w:pPr>
      <w:r>
        <w:rPr>
          <w:rStyle w:val="HideTWBExt"/>
        </w:rPr>
        <w:t>&lt;Amend&gt;</w:t>
      </w:r>
      <w:r>
        <w:t>Poprawka</w:t>
      </w:r>
      <w:r>
        <w:tab/>
      </w:r>
      <w:r>
        <w:tab/>
      </w:r>
      <w:r>
        <w:rPr>
          <w:rStyle w:val="HideTWBExt"/>
        </w:rPr>
        <w:t>&lt;NumAm&gt;</w:t>
      </w:r>
      <w:r>
        <w:t>82</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21 b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podkreśla znaczenie ochrony godności wszystkich osób w kontekście humanitarnym, ze szczególnym uwzględnieniem kobiet i dziewcząt, poprzez zapewnienie sprawiedliwego dostępu do podstawowych usług i artykułów, w tym podpasek i produktów do utrzymania higieny menstruacyjnej, bezpiecznych i prywatnych przestrzeni do karmienia piersią i opieki okołoporodowej, urządzeń sanitarnych uwzględniających aspekt płci oraz odpowiedniego oświetlenia w celu zwiększenia bezpieczeństwa wieczorami;</w:t>
            </w:r>
          </w:p>
        </w:tc>
      </w:tr>
    </w:tbl>
    <w:p>
      <w:r>
        <w:rPr>
          <w:rStyle w:val="HideTWBExt"/>
        </w:rPr>
        <w:t>&lt;/Amend&gt;</w:t>
      </w:r>
    </w:p>
    <w:p>
      <w:pPr>
        <w:pStyle w:val="AmNumberTabs"/>
      </w:pPr>
      <w:r>
        <w:rPr>
          <w:rStyle w:val="HideTWBExt"/>
        </w:rPr>
        <w:t>&lt;Amend&gt;</w:t>
      </w:r>
      <w:r>
        <w:t>Poprawka</w:t>
      </w:r>
      <w:r>
        <w:tab/>
      </w:r>
      <w:r>
        <w:tab/>
      </w:r>
      <w:r>
        <w:rPr>
          <w:rStyle w:val="HideTWBExt"/>
        </w:rPr>
        <w:t>&lt;NumAm&gt;</w:t>
      </w:r>
      <w:r>
        <w:t>83</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zachęca Komisję, ESDZ i państwa członkowskie do promowania podejścia </w:t>
            </w:r>
            <w:r>
              <w:rPr>
                <w:b/>
                <w:i/>
              </w:rPr>
              <w:t>uwzględniającego</w:t>
            </w:r>
            <w:r>
              <w:t xml:space="preserve"> aspekt płci w interwencjach humanitarnych oraz do zwiększenia wsparcia dla udziału kobiet w procesach decyzyjnych dotyczących pomocy humanitarnej, aby zapewnić priorytetowe traktowanie ich perspektyw i potrzeb przy opracowywaniu i świadczeniu pomocy, zgodnie z celami rezolucji Rady Bezpieczeństwa ONZ nr 1325;</w:t>
            </w:r>
          </w:p>
        </w:tc>
        <w:tc>
          <w:tcPr>
            <w:tcW w:w="4876" w:type="dxa"/>
            <w:tcBorders>
              <w:top w:val="nil"/>
              <w:left w:val="nil"/>
              <w:bottom w:val="nil"/>
              <w:right w:val="nil"/>
            </w:tcBorders>
          </w:tcPr>
          <w:p>
            <w:pPr>
              <w:pStyle w:val="Normal6a"/>
            </w:pPr>
            <w:r>
              <w:t>22.</w:t>
            </w:r>
            <w:r>
              <w:tab/>
            </w:r>
            <w:r>
              <w:t xml:space="preserve">zachęca Komisję, ESDZ i państwa członkowskie do promowania podejścia </w:t>
            </w:r>
            <w:r>
              <w:rPr>
                <w:b/>
                <w:i/>
              </w:rPr>
              <w:t>ukierunkowanego na</w:t>
            </w:r>
            <w:r>
              <w:t xml:space="preserve"> aspekt płci w interwencjach humanitarnych oraz do zwiększenia wsparcia dla </w:t>
            </w:r>
            <w:r>
              <w:rPr>
                <w:b/>
                <w:i/>
              </w:rPr>
              <w:t>pełnego, równego i znaczącego</w:t>
            </w:r>
            <w:r>
              <w:t xml:space="preserve"> udziału kobiet w procesach decyzyjnych dotyczących pomocy humanitarnej </w:t>
            </w:r>
            <w:r>
              <w:rPr>
                <w:b/>
                <w:i/>
              </w:rPr>
              <w:t>i w przywództwie na wszystkich szczeblach, przy jednoczesnym opracowaniu strategii rozwoju uwzględniających aspekt płci na szczeblu krajowym i międzynarodowym</w:t>
            </w:r>
            <w:r>
              <w:t xml:space="preserve">, aby </w:t>
            </w:r>
            <w:r>
              <w:rPr>
                <w:b/>
                <w:i/>
              </w:rPr>
              <w:t>umożliwiać kobietom bezpieczne zaangażowanie i objęcie przywództwa w sytuacjach kryzysowych, a także</w:t>
            </w:r>
            <w:r>
              <w:t xml:space="preserve"> zapewnić priorytetowe traktowanie ich perspektyw i potrzeb przy opracowywaniu i świadczeniu pomocy, zgodnie z celami rezolucji Rady Bezpieczeństwa ONZ nr 1325;</w:t>
            </w:r>
            <w:r>
              <w:rPr>
                <w:b/>
                <w:i/>
              </w:rPr>
              <w:t xml:space="preserve"> wzywa do zapewnienia pełnego, równego i znaczącego udziału kobiet na wszystkich etapach procesu pokojowego, w tym w działaniach mediacyjnych, zapobieganiu konfliktom zbrojnym i ich rozwiązywaniu, budowaniu pokoju, odbudowie pokonfliktowej i negocjacjach w sprawie zawieszenia broni, przy jednoczesnym zwiększeniu powszechnej ochrony wszystkich kobiet;</w:t>
            </w:r>
          </w:p>
        </w:tc>
      </w:tr>
    </w:tbl>
    <w:p>
      <w:r>
        <w:rPr>
          <w:rStyle w:val="HideTWBExt"/>
        </w:rPr>
        <w:t>&lt;/Amend&gt;</w:t>
      </w:r>
    </w:p>
    <w:p>
      <w:pPr>
        <w:pStyle w:val="AmNumberTabs"/>
      </w:pPr>
      <w:r>
        <w:rPr>
          <w:rStyle w:val="HideTWBExt"/>
        </w:rPr>
        <w:t>&lt;Amend&gt;</w:t>
      </w:r>
      <w:r>
        <w:t>Poprawka</w:t>
      </w:r>
      <w:r>
        <w:tab/>
      </w:r>
      <w:r>
        <w:tab/>
      </w:r>
      <w:r>
        <w:rPr>
          <w:rStyle w:val="HideTWBExt"/>
        </w:rPr>
        <w:t>&lt;NumAm&gt;</w:t>
      </w:r>
      <w:r>
        <w:t>84</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22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wyraża poważne zaniepokojenie rosnącym wpływem ultrakonserwatywnych, antygenderowych i religijnych ruchów fundamentalistycznych – zarówno w UE, jak i poza jej granicami – które mają na celu podważanie podstawowych praw kobiet i dziewcząt, w tym w kontekście humanitarnym; podkreśla, że takie ruchy często szerzą dezinformację, stygmatyzują usługi w zakresie zdrowia seksualnego i reprodukcyjnego oraz osłabiają ochronę kobiet przed przemocą ze względu na płeć; wzywa Komisję, ESDZ i państwa członkowskie do dopilnowania, aby finansowane przez UE programy humanitarne pozostały mocno zakorzenione w międzynarodowych standardach praw człowieka i równości płci, oraz do aktywnego wspierania organizacji społeczeństwa obywatelskiego, które stają się celem ataków ze strony podmiotów przeciwnych prawom człowieka;</w:t>
            </w:r>
          </w:p>
        </w:tc>
      </w:tr>
    </w:tbl>
    <w:p>
      <w:r>
        <w:rPr>
          <w:rStyle w:val="HideTWBExt"/>
        </w:rPr>
        <w:t>&lt;/Amend&gt;</w:t>
      </w:r>
    </w:p>
    <w:p>
      <w:pPr>
        <w:pStyle w:val="AmNumberTabs"/>
      </w:pPr>
      <w:r>
        <w:rPr>
          <w:rStyle w:val="HideTWBExt"/>
        </w:rPr>
        <w:t>&lt;Amend&gt;</w:t>
      </w:r>
      <w:r>
        <w:t>Poprawka</w:t>
      </w:r>
      <w:r>
        <w:tab/>
      </w:r>
      <w:r>
        <w:tab/>
      </w:r>
      <w:r>
        <w:rPr>
          <w:rStyle w:val="HideTWBExt"/>
        </w:rPr>
        <w:t>&lt;NumAm&gt;</w:t>
      </w:r>
      <w:r>
        <w:t>85</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ponawia apel o pełne wdrożenie rezolucji Rady Bezpieczeństwa ONZ nr 1325 przez państwa członkowskie UE;</w:t>
            </w:r>
          </w:p>
        </w:tc>
        <w:tc>
          <w:tcPr>
            <w:tcW w:w="4876" w:type="dxa"/>
            <w:tcBorders>
              <w:top w:val="nil"/>
              <w:left w:val="nil"/>
              <w:bottom w:val="nil"/>
              <w:right w:val="nil"/>
            </w:tcBorders>
          </w:tcPr>
          <w:p>
            <w:pPr>
              <w:pStyle w:val="Normal6a"/>
            </w:pPr>
            <w:r>
              <w:t>23.</w:t>
            </w:r>
            <w:r>
              <w:tab/>
            </w:r>
            <w:r>
              <w:t>ponawia apel o pełne wdrożenie rezolucji Rady Bezpieczeństwa ONZ nr 1325 przez państwa członkowskie UE;</w:t>
            </w:r>
            <w:r>
              <w:rPr>
                <w:b/>
                <w:i/>
              </w:rPr>
              <w:t xml:space="preserve"> zachęca państwa członkowskie do aktualizacji krajowych planów działania zgodnie z rezolucją Rady Bezpieczeństwa ONZ nr 1325;</w:t>
            </w:r>
          </w:p>
        </w:tc>
      </w:tr>
    </w:tbl>
    <w:p>
      <w:r>
        <w:rPr>
          <w:rStyle w:val="HideTWBExt"/>
        </w:rPr>
        <w:t>&lt;/Amend&gt;</w:t>
      </w:r>
    </w:p>
    <w:p>
      <w:pPr>
        <w:pStyle w:val="AmNumberTabs"/>
      </w:pPr>
      <w:r>
        <w:rPr>
          <w:rStyle w:val="HideTWBExt"/>
        </w:rPr>
        <w:t>&lt;Amend&gt;</w:t>
      </w:r>
      <w:r>
        <w:t>Poprawka</w:t>
      </w:r>
      <w:r>
        <w:tab/>
      </w:r>
      <w:r>
        <w:tab/>
      </w:r>
      <w:r>
        <w:rPr>
          <w:rStyle w:val="HideTWBExt"/>
        </w:rPr>
        <w:t>&lt;NumAm&gt;</w:t>
      </w:r>
      <w:r>
        <w:t>86</w:t>
      </w:r>
      <w:r>
        <w:rPr>
          <w:rStyle w:val="HideTWBExt"/>
        </w:rPr>
        <w:t>&lt;/NumAm&gt;</w:t>
      </w:r>
    </w:p>
    <w:p>
      <w:pPr>
        <w:pStyle w:val="NormalBold12b"/>
      </w:pPr>
      <w:r>
        <w:rPr>
          <w:rStyle w:val="HideTWBExt"/>
        </w:rPr>
        <w:t>&lt;DocAmend&gt;</w:t>
      </w:r>
      <w:r>
        <w:t>Projekt rezolucji</w:t>
      </w:r>
      <w:r>
        <w:rPr>
          <w:rStyle w:val="HideTWBExt"/>
        </w:rPr>
        <w:t>&lt;/DocAmend&gt;</w:t>
      </w:r>
    </w:p>
    <w:p>
      <w:pPr>
        <w:pStyle w:val="NormalBold"/>
      </w:pPr>
      <w:r>
        <w:rPr>
          <w:rStyle w:val="HideTWBExt"/>
        </w:rPr>
        <w:t>&lt;Article&gt;</w:t>
      </w:r>
      <w:r>
        <w:t>Ustęp 23 a (nowy)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Projekt rezolucji</w:t>
            </w:r>
          </w:p>
        </w:tc>
        <w:tc>
          <w:tcPr>
            <w:tcW w:w="4876" w:type="dxa"/>
            <w:tcBorders>
              <w:top w:val="nil"/>
              <w:left w:val="nil"/>
              <w:bottom w:val="nil"/>
              <w:right w:val="nil"/>
            </w:tcBorders>
          </w:tcPr>
          <w:p>
            <w:pPr>
              <w:pStyle w:val="AmColumnHeading"/>
            </w:pPr>
            <w:r>
              <w:t>Poprawka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ostrzega przed przemocą instytucjonalną i zaniedbaniami ze strony podmiotów świadczących pomoc humanitarną, w tym przed programowaniem obojętnym wobec problematyki płci, niebezpiecznym środowiskiem dla kobiet i osób LGBTIQ+ oraz brakiem odpowiedzialności za nadużycia; wzywa do wprowadzenia wiążących standardów uwzględniających aspekt płci, kompleksowych systemów sprawozdawczości i polityki zerowej tolerancji we wszystkich operacjach humanitarnych finansowanych ze środków UE;</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ZAŁĄCZNIK: WYKAZ PODMIOTÓW, OD KTÓRYCH SPRAWOZDAWCZYNI OTRZYMAŁA INFORMACJE</w:t>
      </w:r>
    </w:p>
    <w:p>
      <w:pPr>
        <w:pStyle w:val="Normal12a"/>
      </w:pPr>
      <w:r>
        <w:rPr>
          <w:rStyle w:val="HideTWBExt"/>
        </w:rPr>
        <w:t>&lt;FootprintIntro&gt;</w:t>
      </w:r>
      <w:r>
        <w:rPr>
          <w:rStyle w:val="HideTWBExt"/>
        </w:rPr>
        <w:t>&lt;/FootprintIntro&gt;</w:t>
      </w:r>
    </w:p>
    <w:p>
      <w:pPr>
        <w:pStyle w:val="Normal12a"/>
      </w:pPr>
      <w:r>
        <w:t>Sprawozdawczyni oświadcza na swoją wyłączną odpowiedzialność, że nie ujęła w swoim sprawozdaniu żadnych informacji od przedstawicieli grup interesu objętych zakresem porozumienia międzyinstytucjonalnego w sprawie obowiązkowego rejestru służącego przejrzystości</w:t>
      </w:r>
      <w:r>
        <w:rPr>
          <w:rStyle w:val="FootnoteReference"/>
        </w:rPr>
        <w:footnoteReference w:customMarkFollows="1" w:id="2"/>
        <w:t xml:space="preserve">1</w:t>
      </w:r>
      <w:r>
        <w:t xml:space="preserve"> ani od przedstawicieli organów publicznych państw trzecich, w tym ich misji dyplomatycznych i ambasad, których należy wskazać w tym załączniku zgodnie z art. 8 załącznika I do Regulaminu.</w:t>
      </w:r>
    </w:p>
    <w:p>
      <w:pPr>
        <w:sectPr>
          <w:footnotePr>
            <w:numRestart w:val="eachSect"/>
          </w:footnotePr>
          <w:type w:val="nextPage"/>
          <w:pgSz w:w="11909" w:h="16834"/>
          <w:pgMar w:top="1134" w:right="1417" w:bottom="1417" w:left="1417" w:header="1134" w:footer="567"/>
          <w:cols w:space="720"/>
        </w:sectPr>
      </w:pPr>
    </w:p>
    <w:p>
      <w:pPr>
        <w:pStyle w:val="PageHeading"/>
      </w:pPr>
      <w:r>
        <w:t>INFORMACJE O PRZYJĘCIU W KOMISJI OPINIODAWCZEJ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Data przyjęcia</w:t>
            </w:r>
          </w:p>
        </w:tc>
        <w:tc>
          <w:tcPr>
            <w:tcW w:w="6400" w:type="dxa"/>
            <w:tcBorders>
              <w:left w:val="dotted" w:sz="4" w:space="0" w:color="auto"/>
            </w:tcBorders>
          </w:tcPr>
          <w:p>
            <w:pPr>
              <w:pStyle w:val="ProcedureTable"/>
            </w:pPr>
            <w:r>
              <w:t>13.10.2025</w:t>
            </w:r>
          </w:p>
        </w:tc>
      </w:tr>
      <w:tr>
        <w:tblPrEx>
          <w:tblW w:w="0" w:type="auto"/>
          <w:tblLayout w:type="fixed"/>
          <w:tblCellMar>
            <w:left w:w="140" w:type="dxa"/>
            <w:right w:w="140" w:type="dxa"/>
          </w:tblCellMar>
        </w:tblPrEx>
        <w:tc>
          <w:tcPr>
            <w:tcW w:w="3600" w:type="dxa"/>
          </w:tcPr>
          <w:p>
            <w:pPr>
              <w:pStyle w:val="ProcedureTableBold"/>
            </w:pPr>
            <w:r>
              <w:t>Wynik głosowania końcowego</w:t>
            </w:r>
          </w:p>
        </w:tc>
        <w:tc>
          <w:tcPr>
            <w:tcW w:w="6400" w:type="dxa"/>
            <w:tcBorders>
              <w:left w:val="dotted" w:sz="4" w:space="0" w:color="auto"/>
            </w:tcBorders>
          </w:tcPr>
          <w:p>
            <w:r>
              <w:t>+</w:t>
            </w:r>
            <w:r>
              <w:tab/>
            </w:r>
            <w:r>
              <w:t>:</w:t>
            </w:r>
            <w:r>
              <w:tab/>
            </w:r>
            <w:r>
              <w:t>25</w:t>
            </w:r>
          </w:p>
          <w:p>
            <w:r>
              <w:t>-</w:t>
            </w:r>
            <w:r>
              <w:tab/>
            </w:r>
            <w:r>
              <w:t>:</w:t>
            </w:r>
            <w:r>
              <w:tab/>
            </w:r>
            <w:r>
              <w:t>8</w:t>
            </w:r>
          </w:p>
          <w:p>
            <w:r>
              <w:t>0</w:t>
            </w:r>
            <w:r>
              <w:tab/>
            </w:r>
            <w:r>
              <w:t>:</w:t>
            </w:r>
            <w:r>
              <w:tab/>
            </w:r>
            <w:r>
              <w:t>1</w:t>
            </w:r>
          </w:p>
        </w:tc>
      </w:tr>
      <w:tr>
        <w:tblPrEx>
          <w:tblW w:w="0" w:type="auto"/>
          <w:tblLayout w:type="fixed"/>
          <w:tblCellMar>
            <w:left w:w="140" w:type="dxa"/>
            <w:right w:w="140" w:type="dxa"/>
          </w:tblCellMar>
        </w:tblPrEx>
        <w:tc>
          <w:tcPr>
            <w:tcW w:w="3600" w:type="dxa"/>
          </w:tcPr>
          <w:p>
            <w:pPr>
              <w:pStyle w:val="ProcedureTableBold"/>
            </w:pPr>
            <w:r>
              <w:t>Posłowie obecni podczas głosowania końcowego</w:t>
            </w:r>
          </w:p>
        </w:tc>
        <w:tc>
          <w:tcPr>
            <w:tcW w:w="6400" w:type="dxa"/>
            <w:tcBorders>
              <w:left w:val="dotted" w:sz="4" w:space="0" w:color="auto"/>
            </w:tcBorders>
          </w:tcPr>
          <w:p>
            <w:pPr>
              <w:pStyle w:val="ProcedureTable"/>
            </w:pPr>
            <w:r>
              <w:t>Margarita de la Pisa Carrión, Valérie Devaux, Heléne Fritzon, Lina Gálvez, Alexandra Geese, Chiara Gemma, Fernand Kartheiser, Arba Kokalari, Elena Kountoura, Sebastian Kruis, Judita Laššáková, Eleonora Meleti, Carolina Morace, Maria Noichl, Sirpa Pietikäinen, Giusi Princi, Emma Rafowicz, Joanna Scheuring-Wielgus, Benedetta Scuderi, Laurence Trochu, Marko Vešligaj, Maria Walsh, Lucia Yar</w:t>
            </w:r>
          </w:p>
        </w:tc>
      </w:tr>
      <w:tr>
        <w:tblPrEx>
          <w:tblW w:w="0" w:type="auto"/>
          <w:tblLayout w:type="fixed"/>
          <w:tblCellMar>
            <w:left w:w="140" w:type="dxa"/>
            <w:right w:w="140" w:type="dxa"/>
          </w:tblCellMar>
        </w:tblPrEx>
        <w:tc>
          <w:tcPr>
            <w:tcW w:w="3600" w:type="dxa"/>
          </w:tcPr>
          <w:p>
            <w:pPr>
              <w:pStyle w:val="ProcedureTableBold"/>
            </w:pPr>
            <w:r>
              <w:t>Zastępcy obecni podczas głosowania końcowego</w:t>
            </w:r>
          </w:p>
        </w:tc>
        <w:tc>
          <w:tcPr>
            <w:tcW w:w="6400" w:type="dxa"/>
            <w:tcBorders>
              <w:left w:val="dotted" w:sz="4" w:space="0" w:color="auto"/>
            </w:tcBorders>
          </w:tcPr>
          <w:p>
            <w:pPr>
              <w:pStyle w:val="ProcedureTable"/>
            </w:pPr>
            <w:r>
              <w:t>Christine Anderson, Veronika Cifrová Ostrihoňová, Paulo Do Nascimento Cabral, Elisabeth Grossmann, Billy Kelleher, Katrin Langensiepen, Manuela Ripa, Beatrice Timgren, Marianne Vind</w:t>
            </w:r>
          </w:p>
        </w:tc>
      </w:tr>
      <w:tr>
        <w:tblPrEx>
          <w:tblW w:w="0" w:type="auto"/>
          <w:tblLayout w:type="fixed"/>
          <w:tblCellMar>
            <w:left w:w="140" w:type="dxa"/>
            <w:right w:w="140" w:type="dxa"/>
          </w:tblCellMar>
        </w:tblPrEx>
        <w:tc>
          <w:tcPr>
            <w:tcW w:w="3600" w:type="dxa"/>
          </w:tcPr>
          <w:p>
            <w:pPr>
              <w:pStyle w:val="ProcedureTableBold"/>
            </w:pPr>
            <w:r>
              <w:t>Posłowie, o których mowa w art. 216 ust. 7 Regulaminu, obecni podczas głosowania końcowego</w:t>
            </w:r>
          </w:p>
        </w:tc>
        <w:tc>
          <w:tcPr>
            <w:tcW w:w="6400" w:type="dxa"/>
            <w:tcBorders>
              <w:left w:val="dotted" w:sz="4" w:space="0" w:color="auto"/>
            </w:tcBorders>
          </w:tcPr>
          <w:p>
            <w:pPr>
              <w:pStyle w:val="ProcedureTable"/>
            </w:pPr>
            <w:r>
              <w:t>Peter Agius, Daniel Caspary</w:t>
            </w:r>
          </w:p>
        </w:tc>
      </w:tr>
    </w:tbl>
    <w:p>
      <w:pPr>
        <w:sectPr>
          <w:type w:val="nextPage"/>
          <w:pgSz w:w="11909" w:h="16834"/>
          <w:pgMar w:top="1134" w:right="1417" w:bottom="1417" w:left="1417" w:header="1134" w:footer="567"/>
          <w:cols w:space="720"/>
        </w:sectPr>
      </w:pPr>
    </w:p>
    <w:p>
      <w:pPr>
        <w:pStyle w:val="PageHeading"/>
      </w:pPr>
      <w:r>
        <w:t>GŁOSOWANIE KOŃCOWE W FORMIE GŁOSOWANIA IMIENNEGO W KOMISJI OPINIODAWCZEJ</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25</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Caspary Daniel, Do Nascimento Cabral Paulo, Kokalari Arba, Meleti Eleonora, Pietikäinen Sirpa, Princi Giusi, Ripa Manuela, Walsh Maria</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Cifrová Ostrihonová Veronika, Devaux Valérie, Kelleher Billy, Yar Lucia</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Fritzon Heléne, Gálvez Lina, Grossmann Elisabeth, Noichl Maria, Rafowicz Emma, Scheuring-Wielgus Joanna, Vesligaj Marko, Vind Marianne</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Kountoura Elena, Morace Carolina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Geese Alexandra, Langensiepen Katrin, Scuderi Benedetta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8</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Gemma Chiara, Timgren Beatrice, Trochu Laurence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Anderson Christine</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Kartheiser Fernand, 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Kruis Sebastian, de la Pisa Carrión Margarita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1</w:t>
            </w:r>
          </w:p>
        </w:tc>
        <w:tc>
          <w:tcPr>
            <w:tcW w:w="7600" w:type="dxa"/>
            <w:shd w:val="clear" w:color="auto" w:fill="C0C0C0"/>
          </w:tcPr>
          <w:p>
            <w:pPr>
              <w:pStyle w:val="Arial14CentreBold"/>
            </w:pPr>
            <w:r>
              <w:t>0</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Agius Peter</w:t>
            </w:r>
          </w:p>
        </w:tc>
      </w:tr>
    </w:tbl>
    <w:p/>
    <w:p>
      <w:r>
        <w:t>Objaśnienie używanych znaków:</w:t>
      </w:r>
    </w:p>
    <w:p>
      <w:pPr>
        <w:pStyle w:val="NormalTab"/>
      </w:pPr>
      <w:r>
        <w:t>+</w:t>
      </w:r>
      <w:r>
        <w:t xml:space="preserve">  :  </w:t>
      </w:r>
      <w:r>
        <w:t>za</w:t>
      </w:r>
    </w:p>
    <w:p>
      <w:pPr>
        <w:pStyle w:val="NormalTab"/>
      </w:pPr>
      <w:r>
        <w:t>-</w:t>
      </w:r>
      <w:r>
        <w:t xml:space="preserve">  :  </w:t>
      </w:r>
      <w:r>
        <w:t>przeciw</w:t>
      </w:r>
    </w:p>
    <w:p>
      <w:pPr>
        <w:pStyle w:val="NormalTab"/>
      </w:pPr>
      <w:r>
        <w:t>0</w:t>
      </w:r>
      <w:r>
        <w:t xml:space="preserve">  :  </w:t>
      </w:r>
      <w:r>
        <w:t>wstrzymało się</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774.481</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50</w:t>
    </w:r>
    <w:r>
      <w:fldChar w:fldCharType="end"/>
    </w:r>
    <w:r>
      <w:t>/</w:t>
    </w:r>
    <w:r>
      <w:fldChar w:fldCharType="begin"/>
    </w:r>
    <w:r>
      <w:instrText xml:space="preserve"> NUMPAGES </w:instrText>
    </w:r>
    <w:r>
      <w:fldChar w:fldCharType="separate"/>
    </w:r>
    <w:r>
      <w:t>51</w:t>
    </w:r>
    <w:r>
      <w:fldChar w:fldCharType="end"/>
    </w:r>
    <w:r>
      <w:tab/>
    </w:r>
    <w:r>
      <w:rPr>
        <w:rStyle w:val="HideTWBExt"/>
      </w:rPr>
      <w:t>&lt;PathFdR&gt;</w:t>
    </w:r>
    <w:r>
      <w:t>AD\1329163PL.docx</w:t>
    </w:r>
    <w:r>
      <w:rPr>
        <w:rStyle w:val="HideTWBExt"/>
      </w:rPr>
      <w:t>&lt;/PathFdR&gt;</w:t>
    </w:r>
  </w:p>
  <w:p>
    <w:pPr>
      <w:pStyle w:val="EPFooter2"/>
    </w:pPr>
    <w:r>
      <w:t>PL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AD\1329163PL.docx</w:t>
    </w:r>
    <w:r>
      <w:rPr>
        <w:rStyle w:val="HideTWBExt"/>
      </w:rPr>
      <w:t>&lt;/PathFdR&gt;</w:t>
    </w:r>
    <w:r>
      <w:tab/>
    </w:r>
    <w:r>
      <w:fldChar w:fldCharType="begin"/>
    </w:r>
    <w:r>
      <w:instrText xml:space="preserve"> PAGE </w:instrText>
    </w:r>
    <w:r>
      <w:fldChar w:fldCharType="separate"/>
    </w:r>
    <w:r>
      <w:t>51</w:t>
    </w:r>
    <w:r>
      <w:fldChar w:fldCharType="end"/>
    </w:r>
    <w:r>
      <w:t>/</w:t>
    </w:r>
    <w:r>
      <w:fldChar w:fldCharType="begin"/>
    </w:r>
    <w:r>
      <w:instrText xml:space="preserve"> NUMPAGES </w:instrText>
    </w:r>
    <w:r>
      <w:fldChar w:fldCharType="separate"/>
    </w:r>
    <w:r>
      <w:t>51</w:t>
    </w:r>
    <w:r>
      <w:fldChar w:fldCharType="end"/>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ab/>
    </w:r>
    <w:r>
      <w:tab/>
    </w:r>
    <w:r>
      <w:t>PL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AD\1329163PL.docx</w:t>
    </w:r>
    <w:r>
      <w:rPr>
        <w:rStyle w:val="HideTWBExt"/>
      </w:rPr>
      <w:t>&lt;/PathFdR&gt;</w:t>
    </w:r>
    <w:r>
      <w:tab/>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PL</w:t>
    </w:r>
    <w:r>
      <w:tab/>
    </w:r>
    <w:r>
      <w:rPr>
        <w:rStyle w:val="EPFooter2Motto"/>
      </w:rPr>
      <w:t>Zjednoczona w różnorodności</w:t>
    </w:r>
    <w:r>
      <w:tab/>
    </w:r>
    <w:r>
      <w:t>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 xml:space="preserve">Porozumienie międzyinstytucjonalne z 20 maja 2021 r. pomiędzy Parlamentem Europejskim, Radą Unii Europejskiej i Komisją Europejską w sprawie obowiązkowego rejestru służącego przejrzystości (Dz.U. L 207 z 11.6.2021, s. 1, ELI: </w:t>
      </w:r>
      <w:hyperlink r:id="rId1" w:tgtFrame="http://data.europa.eu/eli/agree_interinstit/2021/611/oj" w:history="1">
        <w:r>
          <w:rPr>
            <w:rStyle w:val="Hyperlink"/>
          </w:rPr>
          <w:t>http://data.europa.eu/eli/agree_interinstit/2021/611/oj</w:t>
        </w:r>
      </w:hyperlink>
      <w: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51</Pages>
  <Words>8787</Words>
  <Characters>58743</Characters>
  <Application>Microsoft Office Word</Application>
  <DocSecurity>0</DocSecurity>
  <Lines>1</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1329163</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278231</vt:lpwstr>
  </property>
  <property fmtid="{D5CDD505-2E9C-101B-9397-08002B2CF9AE}" pid="7" name="dmxml.render.traceId">
    <vt:lpwstr>6909e0747711788450bc8c8396348918</vt:lpwstr>
  </property>
  <property fmtid="{D5CDD505-2E9C-101B-9397-08002B2CF9AE}" pid="8" name="FooterPath">
    <vt:lpwstr>AD\1329163PL.doc</vt:lpwstr>
  </property>
  <property fmtid="{D5CDD505-2E9C-101B-9397-08002B2CF9AE}" pid="9" name="PE Number">
    <vt:lpwstr>774.481</vt:lpwstr>
  </property>
  <property fmtid="{D5CDD505-2E9C-101B-9397-08002B2CF9AE}" pid="10" name="UID">
    <vt:lpwstr>eu.europa.europarl-DIN1-2025-0000182003_01.07-pl-01.00_text-xml</vt:lpwstr>
  </property>
</Properties>
</file>