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{FEMM}</w:t>
      </w:r>
      <w:r>
        <w:t>Comisia pentru drepturile femeilor și egalitatea de gen</w:t>
      </w:r>
      <w:r>
        <w:rPr>
          <w:rStyle w:val="HideTWBExt"/>
        </w:rPr>
        <w:t>&lt;/Commission&gt;</w:t>
      </w:r>
    </w:p>
    <w:p>
      <w:pPr>
        <w:pStyle w:val="LineBottom"/>
      </w:pPr>
      <w:r>
        <w:t xml:space="preserve"> </w:t>
      </w:r>
    </w:p>
    <w:p>
      <w:pPr>
        <w:pStyle w:val="CoverReference"/>
      </w:pPr>
      <w:r>
        <w:rPr>
          <w:rStyle w:val="HideTWBExt"/>
        </w:rPr>
        <w:t>&lt;RefProc&gt;</w:t>
      </w:r>
      <w:r>
        <w:t>2025/2085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{20/10/2025}</w:t>
      </w:r>
      <w:r>
        <w:t>20.10.2025</w:t>
      </w:r>
      <w:r>
        <w:rPr>
          <w:rStyle w:val="HideTWBExt"/>
        </w:rPr>
        <w:t>&lt;/Date&gt;</w:t>
      </w:r>
    </w:p>
    <w:p>
      <w:pPr>
        <w:pStyle w:val="CoverDocType24a"/>
      </w:pPr>
      <w:r>
        <w:rPr>
          <w:rStyle w:val="HideTWBExt"/>
        </w:rPr>
        <w:t>&lt;TitreType&gt;</w:t>
      </w:r>
      <w:r>
        <w:t>AVIZ</w:t>
      </w:r>
      <w:r>
        <w:rPr>
          <w:rStyle w:val="HideTWBExt"/>
        </w:rPr>
        <w:t>&lt;/TitreType&gt;</w:t>
      </w:r>
    </w:p>
    <w:p>
      <w:pPr>
        <w:pStyle w:val="CoverNormal24a"/>
      </w:pPr>
      <w:r>
        <w:rPr>
          <w:rStyle w:val="HideTWBExt"/>
        </w:rPr>
        <w:t>&lt;CommissionResp&gt;</w:t>
      </w:r>
      <w:r>
        <w:t>al Comisiei pentru drepturile femeilor și egalitatea de gen</w:t>
      </w:r>
      <w:r>
        <w:rPr>
          <w:rStyle w:val="HideTWBExt"/>
        </w:rPr>
        <w:t>&lt;/CommissionResp&gt;</w:t>
      </w:r>
    </w:p>
    <w:p>
      <w:pPr>
        <w:pStyle w:val="CoverNormal24a"/>
      </w:pPr>
      <w:r>
        <w:rPr>
          <w:rStyle w:val="HideTWBExt"/>
        </w:rPr>
        <w:t>&lt;CommissionInt&gt;</w:t>
      </w:r>
      <w:r>
        <w:t>destinat Comisiei pentru dezvoltare</w:t>
      </w:r>
      <w:r>
        <w:rPr>
          <w:rStyle w:val="HideTWBExt"/>
        </w:rPr>
        <w:t>&lt;/CommissionInt&gt;</w:t>
      </w:r>
    </w:p>
    <w:p>
      <w:pPr>
        <w:pStyle w:val="CoverNormal"/>
      </w:pPr>
      <w:r>
        <w:rPr>
          <w:rStyle w:val="HideTWBExt"/>
        </w:rPr>
        <w:t>&lt;Titre&gt;</w:t>
      </w:r>
      <w:r>
        <w:t>referitor la ajutorul umanitar într-o perioadă marcată de o multitudine de crize – reafirmarea principiilor noastre pentru un răspuns mai eficace și mai ambițios la crizele umanitare</w:t>
      </w:r>
      <w:r>
        <w:rPr>
          <w:rStyle w:val="HideTWBExt"/>
        </w:rPr>
        <w:t>&lt;/Titre&gt;</w:t>
      </w:r>
    </w:p>
    <w:p>
      <w:pPr>
        <w:pStyle w:val="CoverNormal24a"/>
      </w:pPr>
      <w:r>
        <w:rPr>
          <w:rStyle w:val="HideTWBExt"/>
        </w:rPr>
        <w:t>&lt;DocRef&gt;</w:t>
      </w:r>
      <w:r>
        <w:t>(2025/2085(INI))</w:t>
      </w:r>
      <w:r>
        <w:rPr>
          <w:rStyle w:val="HideTWBExt"/>
        </w:rPr>
        <w:t>&lt;/DocRef&gt;</w:t>
      </w:r>
    </w:p>
    <w:p>
      <w:pPr>
        <w:pStyle w:val="CoverNormal24a"/>
      </w:pPr>
      <w:r>
        <w:t>Raportoare pentru aviz</w:t>
      </w:r>
      <w:r>
        <w:t xml:space="preserve">: </w:t>
      </w:r>
      <w:r>
        <w:rPr>
          <w:rStyle w:val="HideTWBExt"/>
        </w:rPr>
        <w:t>&lt;Depute&gt;</w:t>
      </w:r>
      <w:r>
        <w:t>Lina Gálvez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AMENDAMENTE</w:t>
      </w:r>
    </w:p>
    <w:p>
      <w:pPr>
        <w:pStyle w:val="Normal12a"/>
      </w:pPr>
      <w:r>
        <w:t>Comisia pentru drepturile femeilor și egalitatea de gen</w:t>
      </w:r>
      <w:r>
        <w:t xml:space="preserve"> </w:t>
      </w:r>
      <w:r>
        <w:t>prezintă Comisiei pentru dezvoltare, care este comisie competentă, următoarele</w:t>
      </w:r>
      <w:r>
        <w:t>:</w:t>
      </w:r>
    </w:p>
    <w:p>
      <w:pPr>
        <w:pStyle w:val="AmNumberTabs"/>
      </w:pPr>
      <w:r>
        <w:rPr>
          <w:rStyle w:val="HideTWBExt"/>
        </w:rPr>
        <w:t>&lt;RepeatBlock-Amend&gt;</w:t>
      </w:r>
      <w:r>
        <w:rPr>
          <w:rStyle w:val="HideTWBExt"/>
        </w:rPr>
        <w:t>&lt;Amend&gt;</w:t>
      </w:r>
      <w:r>
        <w:t>Amendamentul</w:t>
      </w:r>
      <w:r>
        <w:tab/>
      </w:r>
      <w:r>
        <w:tab/>
      </w:r>
      <w:r>
        <w:rPr>
          <w:rStyle w:val="HideTWBExt"/>
        </w:rPr>
        <w:t>&lt;NumAm&gt;</w:t>
      </w:r>
      <w:r>
        <w:t>1</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Referirea 2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Convenția ONU privind drepturile persoanelor cu dizabilități (CNUDPD), ratificată de UE și de toate statele sale membre,</w:t>
            </w:r>
          </w:p>
        </w:tc>
      </w:tr>
    </w:tbl>
    <w:p>
      <w:r>
        <w:rPr>
          <w:rStyle w:val="HideTWBExt"/>
        </w:rPr>
        <w:t>&lt;/Amend&gt;</w:t>
      </w:r>
    </w:p>
    <w:p>
      <w:pPr>
        <w:pStyle w:val="AmNumberTabs"/>
      </w:pPr>
      <w:r>
        <w:rPr>
          <w:rStyle w:val="HideTWBExt"/>
        </w:rPr>
        <w:t>&lt;Amend&gt;</w:t>
      </w:r>
      <w:r>
        <w:t>Amendamentul</w:t>
      </w:r>
      <w:r>
        <w:tab/>
      </w:r>
      <w:r>
        <w:tab/>
      </w:r>
      <w:r>
        <w:rPr>
          <w:rStyle w:val="HideTWBExt"/>
        </w:rPr>
        <w:t>&lt;NumAm&gt;</w:t>
      </w:r>
      <w:r>
        <w:t>2</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Referirea 5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Planul de acțiune al UE pentru egalitatea de gen (GAP) III pentru 2021-2025,</w:t>
            </w:r>
          </w:p>
        </w:tc>
      </w:tr>
    </w:tbl>
    <w:p>
      <w:r>
        <w:rPr>
          <w:rStyle w:val="HideTWBExt"/>
        </w:rPr>
        <w:t>&lt;/Amend&gt;</w:t>
      </w:r>
    </w:p>
    <w:p>
      <w:pPr>
        <w:pStyle w:val="AmNumberTabs"/>
      </w:pPr>
      <w:r>
        <w:rPr>
          <w:rStyle w:val="HideTWBExt"/>
        </w:rPr>
        <w:t>&lt;Amend&gt;</w:t>
      </w:r>
      <w:r>
        <w:t>Amendamentul</w:t>
      </w:r>
      <w:r>
        <w:tab/>
      </w:r>
      <w:r>
        <w:tab/>
      </w:r>
      <w:r>
        <w:rPr>
          <w:rStyle w:val="HideTWBExt"/>
        </w:rPr>
        <w:t>&lt;NumAm&gt;</w:t>
      </w:r>
      <w:r>
        <w:t>3</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Referirea 6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Abordarea strategică a UE privind femeile, pacea și securitatea,</w:t>
            </w:r>
          </w:p>
        </w:tc>
      </w:tr>
    </w:tbl>
    <w:p>
      <w:r>
        <w:rPr>
          <w:rStyle w:val="HideTWBExt"/>
        </w:rPr>
        <w:t>&lt;/Amend&gt;</w:t>
      </w:r>
    </w:p>
    <w:p>
      <w:pPr>
        <w:pStyle w:val="AmNumberTabs"/>
      </w:pPr>
      <w:r>
        <w:rPr>
          <w:rStyle w:val="HideTWBExt"/>
        </w:rPr>
        <w:t>&lt;Amend&gt;</w:t>
      </w:r>
      <w:r>
        <w:t>Amendamentul</w:t>
      </w:r>
      <w:r>
        <w:tab/>
      </w:r>
      <w:r>
        <w:tab/>
      </w:r>
      <w:r>
        <w:rPr>
          <w:rStyle w:val="HideTWBExt"/>
        </w:rPr>
        <w:t>&lt;NumAm&gt;</w:t>
      </w:r>
      <w:r>
        <w:t>4</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Referirea 6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Conferința Internațională pentru Populație și Dezvoltare (CIPD), care a avut loc la Cairo în 1994, programul său de acțiune, precum și rezultatele conferințelor sale de revizuire,</w:t>
            </w:r>
          </w:p>
        </w:tc>
      </w:tr>
    </w:tbl>
    <w:p>
      <w:r>
        <w:rPr>
          <w:rStyle w:val="HideTWBExt"/>
        </w:rPr>
        <w:t>&lt;/Amend&gt;</w:t>
      </w:r>
    </w:p>
    <w:p>
      <w:pPr>
        <w:pStyle w:val="AmNumberTabs"/>
      </w:pPr>
      <w:r>
        <w:rPr>
          <w:rStyle w:val="HideTWBExt"/>
        </w:rPr>
        <w:t>&lt;Amend&gt;</w:t>
      </w:r>
      <w:r>
        <w:t>Amendamentul</w:t>
      </w:r>
      <w:r>
        <w:tab/>
      </w:r>
      <w:r>
        <w:tab/>
      </w:r>
      <w:r>
        <w:rPr>
          <w:rStyle w:val="HideTWBExt"/>
        </w:rPr>
        <w:t>&lt;NumAm&gt;</w:t>
      </w:r>
      <w:r>
        <w:t>5</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Referirea 6 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Platforma de acțiune de la Beijing și rezultatele conferințelor sale de revizuire,</w:t>
            </w:r>
          </w:p>
        </w:tc>
      </w:tr>
    </w:tbl>
    <w:p>
      <w:r>
        <w:rPr>
          <w:rStyle w:val="HideTWBExt"/>
        </w:rPr>
        <w:t>&lt;/Amend&gt;</w:t>
      </w:r>
    </w:p>
    <w:p>
      <w:pPr>
        <w:pStyle w:val="AmNumberTabs"/>
      </w:pPr>
      <w:r>
        <w:rPr>
          <w:rStyle w:val="HideTWBExt"/>
        </w:rPr>
        <w:t>&lt;Amend&gt;</w:t>
      </w:r>
      <w:r>
        <w:t>Amendamentul</w:t>
      </w:r>
      <w:r>
        <w:tab/>
      </w:r>
      <w:r>
        <w:tab/>
      </w:r>
      <w:r>
        <w:rPr>
          <w:rStyle w:val="HideTWBExt"/>
        </w:rPr>
        <w:t>&lt;NumAm&gt;</w:t>
      </w:r>
      <w:r>
        <w:t>6</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Referirea 6 d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concluziile Consiliului din 10 decembrie 2018 privind femeile, pacea și securitatea,</w:t>
            </w:r>
          </w:p>
        </w:tc>
      </w:tr>
    </w:tbl>
    <w:p>
      <w:r>
        <w:rPr>
          <w:rStyle w:val="HideTWBExt"/>
        </w:rPr>
        <w:t>&lt;/Amend&gt;</w:t>
      </w:r>
    </w:p>
    <w:p>
      <w:pPr>
        <w:pStyle w:val="AmNumberTabs"/>
      </w:pPr>
      <w:r>
        <w:rPr>
          <w:rStyle w:val="HideTWBExt"/>
        </w:rPr>
        <w:t>&lt;Amend&gt;</w:t>
      </w:r>
      <w:r>
        <w:t>Amendamentul</w:t>
      </w:r>
      <w:r>
        <w:tab/>
      </w:r>
      <w:r>
        <w:tab/>
      </w:r>
      <w:r>
        <w:rPr>
          <w:rStyle w:val="HideTWBExt"/>
        </w:rPr>
        <w:t>&lt;NumAm&gt;</w:t>
      </w:r>
      <w:r>
        <w:t>7</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Referirea 7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rezoluția sa din 24 iunie 2021 referitoare la situația sănătății sexuale și reproductive și a drepturilor aferente în UE, în contextul sănătății femeilor</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JO C 81, 18.2.2022, p. 43.</w:t>
            </w:r>
          </w:p>
        </w:tc>
      </w:tr>
    </w:tbl>
    <w:p>
      <w:r>
        <w:rPr>
          <w:rStyle w:val="HideTWBExt"/>
        </w:rPr>
        <w:t>&lt;/Amend&gt;</w:t>
      </w:r>
    </w:p>
    <w:p>
      <w:pPr>
        <w:pStyle w:val="AmNumberTabs"/>
      </w:pPr>
      <w:r>
        <w:rPr>
          <w:rStyle w:val="HideTWBExt"/>
        </w:rPr>
        <w:t>&lt;Amend&gt;</w:t>
      </w:r>
      <w:r>
        <w:t>Amendamentul</w:t>
      </w:r>
      <w:r>
        <w:tab/>
      </w:r>
      <w:r>
        <w:tab/>
      </w:r>
      <w:r>
        <w:rPr>
          <w:rStyle w:val="HideTWBExt"/>
        </w:rPr>
        <w:t>&lt;NumAm&gt;</w:t>
      </w:r>
      <w:r>
        <w:t>8</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Referirea 9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rezoluția 1325 a Consiliului de Securitate al ONU privind femeile, pacea și securitatea,</w:t>
            </w:r>
          </w:p>
        </w:tc>
      </w:tr>
    </w:tbl>
    <w:p>
      <w:r>
        <w:rPr>
          <w:rStyle w:val="HideTWBExt"/>
        </w:rPr>
        <w:t>&lt;/Amend&gt;</w:t>
      </w:r>
    </w:p>
    <w:p>
      <w:pPr>
        <w:pStyle w:val="AmNumberTabs"/>
      </w:pPr>
      <w:r>
        <w:rPr>
          <w:rStyle w:val="HideTWBExt"/>
        </w:rPr>
        <w:t>&lt;Amend&gt;</w:t>
      </w:r>
      <w:r>
        <w:t>Amendamentul</w:t>
      </w:r>
      <w:r>
        <w:tab/>
      </w:r>
      <w:r>
        <w:tab/>
      </w:r>
      <w:r>
        <w:rPr>
          <w:rStyle w:val="HideTWBExt"/>
        </w:rPr>
        <w:t>&lt;NumAm&gt;</w:t>
      </w:r>
      <w:r>
        <w:t>9</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Referirea 19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rezoluția sa din 29 noiembrie 2018 referitoare la situația femeilor cu dizabilități</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JO C 363, 28.10.2020, p. 164.</w:t>
            </w:r>
          </w:p>
        </w:tc>
      </w:tr>
    </w:tbl>
    <w:p>
      <w:r>
        <w:rPr>
          <w:rStyle w:val="HideTWBExt"/>
        </w:rPr>
        <w:t>&lt;/Amend&gt;</w:t>
      </w:r>
    </w:p>
    <w:p>
      <w:pPr>
        <w:pStyle w:val="AmNumberTabs"/>
      </w:pPr>
      <w:r>
        <w:rPr>
          <w:rStyle w:val="HideTWBExt"/>
        </w:rPr>
        <w:t>&lt;Amend&gt;</w:t>
      </w:r>
      <w:r>
        <w:t>Amendamentul</w:t>
      </w:r>
      <w:r>
        <w:tab/>
      </w:r>
      <w:r>
        <w:tab/>
      </w:r>
      <w:r>
        <w:rPr>
          <w:rStyle w:val="HideTWBExt"/>
        </w:rPr>
        <w:t>&lt;NumAm&gt;</w:t>
      </w:r>
      <w:r>
        <w:t>10</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întrucât societățile care respectă egalitatea de gen sunt mai sănătoase, mai sigure, mai juste și mai prospere pentru toți; întrucât egalitatea de gen și obținerea unor drepturi egale pentru femei sunt condiții prealabile pentru democrație și pentru respectarea statului de drept;</w:t>
            </w:r>
          </w:p>
        </w:tc>
      </w:tr>
    </w:tbl>
    <w:p>
      <w:r>
        <w:rPr>
          <w:rStyle w:val="HideTWBExt"/>
        </w:rPr>
        <w:t>&lt;/Amend&gt;</w:t>
      </w:r>
    </w:p>
    <w:p>
      <w:pPr>
        <w:pStyle w:val="AmNumberTabs"/>
      </w:pPr>
      <w:r>
        <w:rPr>
          <w:rStyle w:val="HideTWBExt"/>
        </w:rPr>
        <w:t>&lt;Amend&gt;</w:t>
      </w:r>
      <w:r>
        <w:t>Amendamentul</w:t>
      </w:r>
      <w:r>
        <w:tab/>
      </w:r>
      <w:r>
        <w:tab/>
      </w:r>
      <w:r>
        <w:rPr>
          <w:rStyle w:val="HideTWBExt"/>
        </w:rPr>
        <w:t>&lt;NumAm&gt;</w:t>
      </w:r>
      <w:r>
        <w:t>11</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Aa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întrucât femeile și fetele care trăiesc în contexte de ajutor umanitar se confruntă cu inegalități de gen grave, cum ar fi accesul limitat la resurse, inclusiv la alimente, lipsa educației, a muncii și a sănătății, inclusiv a drepturilor la sănătate sexuală și reproductivă, precum și un risc mai mare de violență de gen și violență reproductivă; întrucât aceste condiții de viață îi fac și pe copii mai vulnerabili; întrucât femeile cu dizabilități în situații de criză umanitară se confruntă cu riscuri mai mari de excludere, discriminare și violență;</w:t>
            </w:r>
          </w:p>
        </w:tc>
      </w:tr>
    </w:tbl>
    <w:p>
      <w:r>
        <w:rPr>
          <w:rStyle w:val="HideTWBExt"/>
        </w:rPr>
        <w:t>&lt;/Amend&gt;</w:t>
      </w:r>
    </w:p>
    <w:p>
      <w:pPr>
        <w:pStyle w:val="AmNumberTabs"/>
      </w:pPr>
      <w:r>
        <w:rPr>
          <w:rStyle w:val="HideTWBExt"/>
        </w:rPr>
        <w:t>&lt;Amend&gt;</w:t>
      </w:r>
      <w:r>
        <w:t>Amendamentul</w:t>
      </w:r>
      <w:r>
        <w:tab/>
      </w:r>
      <w:r>
        <w:tab/>
      </w:r>
      <w:r>
        <w:rPr>
          <w:rStyle w:val="HideTWBExt"/>
        </w:rPr>
        <w:t>&lt;NumAm&gt;</w:t>
      </w:r>
      <w:r>
        <w:t>12</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Ab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întrucât situația din Afganistan pune o presiune și mai mare asupra resurselor umanitare deja suprasolicitate și înrăutățește situația dificilă a milioane de persoane, inclusiv femei și fete, care se luptă să supraviețuiască;</w:t>
            </w:r>
          </w:p>
        </w:tc>
      </w:tr>
    </w:tbl>
    <w:p>
      <w:r>
        <w:rPr>
          <w:rStyle w:val="HideTWBExt"/>
        </w:rPr>
        <w:t>&lt;/Amend&gt;</w:t>
      </w:r>
    </w:p>
    <w:p>
      <w:pPr>
        <w:pStyle w:val="AmNumberTabs"/>
      </w:pPr>
      <w:r>
        <w:rPr>
          <w:rStyle w:val="HideTWBExt"/>
        </w:rPr>
        <w:t>&lt;Amend&gt;</w:t>
      </w:r>
      <w:r>
        <w:t>Amendamentul</w:t>
      </w:r>
      <w:r>
        <w:tab/>
      </w:r>
      <w:r>
        <w:tab/>
      </w:r>
      <w:r>
        <w:rPr>
          <w:rStyle w:val="HideTWBExt"/>
        </w:rPr>
        <w:t>&lt;NumAm&gt;</w:t>
      </w:r>
      <w:r>
        <w:t>13</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întrucât sistemul umanitar se confruntă cu o criză majoră de finanțare; întrucât desființarea programelor Agenției Statelor Unite pentru Dezvoltare Internațională (USAID)</w:t>
            </w:r>
            <w:r>
              <w:rPr>
                <w:vertAlign w:val="superscript"/>
              </w:rPr>
              <w:t>6</w:t>
            </w:r>
            <w:r>
              <w:t xml:space="preserve"> și reducerea ajutorului extern din partea altor donatori importanți, inclusiv a mai multor state membre ale UE, au condus la o scădere fără precedent a finanțării globale pentru inițiativele umanitare, sanitare și climatice; întrucât aceste reduceri au un impact devastator asupra sănătății la nivel mondial – sporind și mai mult riscul apariției unor focare de boli infecțioase – și asupra securității alimentare; întrucât aceste reduceri afectează în mod disproporționat femeile și fetele; întrucât aceste reduceri pun și mai mult în pericol siguranța și bunăstarea refugiaților;</w:t>
            </w:r>
          </w:p>
        </w:tc>
        <w:tc>
          <w:tcPr>
            <w:tcW w:w="4876" w:type="dxa"/>
            <w:tcBorders>
              <w:top w:val="nil"/>
              <w:left w:val="nil"/>
              <w:bottom w:val="nil"/>
              <w:right w:val="nil"/>
            </w:tcBorders>
          </w:tcPr>
          <w:p>
            <w:pPr>
              <w:pStyle w:val="Normal6a"/>
            </w:pPr>
            <w:r>
              <w:t>B.</w:t>
            </w:r>
            <w:r>
              <w:tab/>
            </w:r>
            <w:r>
              <w:t>întrucât sistemul umanitar se confruntă cu o criză majoră de finanțare; întrucât desființarea programelor Agenției Statelor Unite pentru Dezvoltare Internațională (USAID)</w:t>
            </w:r>
            <w:r>
              <w:rPr>
                <w:vertAlign w:val="superscript"/>
              </w:rPr>
              <w:t>6</w:t>
            </w:r>
            <w:r>
              <w:t xml:space="preserve"> și reducerea ajutorului extern din partea altor donatori importanți, inclusiv a mai multor state membre ale UE, au condus la o scădere fără precedent a finanțării globale pentru inițiativele umanitare, sanitare</w:t>
            </w:r>
            <w:r>
              <w:rPr>
                <w:b/>
                <w:i/>
              </w:rPr>
              <w:t>, legate de egalitatea de gen</w:t>
            </w:r>
            <w:r>
              <w:t xml:space="preserve"> și climatice;</w:t>
            </w:r>
            <w:r>
              <w:rPr>
                <w:b/>
                <w:i/>
              </w:rPr>
              <w:t xml:space="preserve"> </w:t>
            </w:r>
            <w:r>
              <w:t xml:space="preserve">întrucât aceste reduceri </w:t>
            </w:r>
            <w:r>
              <w:rPr>
                <w:b/>
                <w:i/>
              </w:rPr>
              <w:t>ale ajutorului umanitar nu fac decât să exacerbeze crizele umanitare;</w:t>
            </w:r>
            <w:r>
              <w:t xml:space="preserve"> </w:t>
            </w:r>
            <w:r>
              <w:rPr>
                <w:b/>
                <w:i/>
              </w:rPr>
              <w:t>întrucât aceste reduceri</w:t>
            </w:r>
            <w:r>
              <w:t xml:space="preserve"> au un impact devastator asupra sănătății la nivel mondial – sporind și mai mult riscul apariției unor focare de boli infecțioase</w:t>
            </w:r>
            <w:r>
              <w:rPr>
                <w:b/>
                <w:i/>
              </w:rPr>
              <w:t>, sarcini nedorite și timpurii, riscul de mortalitate și morbiditate maternă</w:t>
            </w:r>
            <w:r>
              <w:t xml:space="preserve"> – și asupra securității alimentare; întrucât aceste reduceri afectează în mod disproporționat femeile și fetele </w:t>
            </w:r>
            <w:r>
              <w:rPr>
                <w:b/>
                <w:i/>
              </w:rPr>
              <w:t>și persoanele LGBTIQ+</w:t>
            </w:r>
            <w:r>
              <w:t>; întrucât aceste reduceri pun și mai mult în pericol siguranța și bunăstarea refugiaților;</w:t>
            </w:r>
            <w:r>
              <w:rPr>
                <w:b/>
                <w:i/>
              </w:rPr>
              <w:t xml:space="preserve"> întrucât înghețarea finanțărilor din partea SUA a perturbat grav eforturile umanitare, împiedicând punerea în aplicare a proiectelor, dotarea cu personal și capacitatea de a sprijini femeile și fetele, având un efect deosebit de negativ asupra implicării femeilor în răspunsul umanitar; întrucât investițiile în egalitatea de gen salvează vieți în contexte umanitare; </w:t>
            </w:r>
            <w:r>
              <w:rPr>
                <w:b/>
                <w:i/>
              </w:rPr>
              <w:t>întrucât există dovezi că programele umanitare care iau în considerare dimensiunea de gen aduc beneficii ridicate, și anume 8 USD pentru fiecare 1 USD investit</w:t>
            </w:r>
            <w:r>
              <w:rPr>
                <w:b/>
                <w:i/>
                <w:vertAlign w:val="superscript"/>
              </w:rPr>
              <w:t>6a</w:t>
            </w:r>
            <w:r>
              <w:rPr>
                <w:b/>
                <w:i/>
              </w:rPr>
              <w:t>;</w:t>
            </w:r>
            <w:r>
              <w:rPr>
                <w:b/>
                <w:i/>
              </w:rPr>
              <w:t xml:space="preserve"> întrucât actuala strategie a UE în domeniul sănătății la nivel mondial, adoptată de Comisie în 2022, face din sănătatea mondială un pilon esențial al politicii externe a UE și o prioritate de investiții în cadrul strategiei „Global Gateway”;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Casa Albă, „Reevaluating and Realigning United States Foreign Aid” (Reevaluarea și realinierea ajutorului extern al Statelor Unite), 20 ianuarie 2025.</w:t>
            </w:r>
          </w:p>
        </w:tc>
        <w:tc>
          <w:tcPr>
            <w:tcW w:w="4876" w:type="dxa"/>
            <w:tcBorders>
              <w:top w:val="nil"/>
              <w:left w:val="nil"/>
              <w:bottom w:val="nil"/>
              <w:right w:val="nil"/>
            </w:tcBorders>
          </w:tcPr>
          <w:p>
            <w:pPr>
              <w:pStyle w:val="Normal6a"/>
            </w:pPr>
            <w:r>
              <w:rPr>
                <w:vertAlign w:val="superscript"/>
              </w:rPr>
              <w:t>6</w:t>
            </w:r>
            <w:r>
              <w:t xml:space="preserve"> </w:t>
            </w:r>
            <w:r>
              <w:t>Casa Albă, „Reevaluating and Realigning United States Foreign Aid” (Reevaluarea și realinierea ajutorului extern al Statelor Unite), 20 ianuarie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https://www.unwomen.org/en/articles/facts-and-figures/facts-and-figures-humanitarian-action.</w:t>
            </w:r>
          </w:p>
        </w:tc>
      </w:tr>
    </w:tbl>
    <w:p>
      <w:r>
        <w:rPr>
          <w:rStyle w:val="HideTWBExt"/>
        </w:rPr>
        <w:t>&lt;/Amend&gt;</w:t>
      </w:r>
    </w:p>
    <w:p>
      <w:pPr>
        <w:pStyle w:val="AmNumberTabs"/>
      </w:pPr>
      <w:r>
        <w:rPr>
          <w:rStyle w:val="HideTWBExt"/>
        </w:rPr>
        <w:t>&lt;Amend&gt;</w:t>
      </w:r>
      <w:r>
        <w:t>Amendamentul</w:t>
      </w:r>
      <w:r>
        <w:tab/>
      </w:r>
      <w:r>
        <w:tab/>
      </w:r>
      <w:r>
        <w:rPr>
          <w:rStyle w:val="HideTWBExt"/>
        </w:rPr>
        <w:t>&lt;NumAm&gt;</w:t>
      </w:r>
      <w:r>
        <w:t>14</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Ba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 xml:space="preserve">întrucât există sisteme cuprinzătoare la nivelul UE și la nivel internațional pentru furnizarea de ajutor umanitar; întrucât, deși există o asistență umanitară care ia în considerare dimensiunea de gen, persistă totuși multe provocări din ce în ce mai mari în ceea ce privește stabilirea priorităților; </w:t>
            </w:r>
            <w:r>
              <w:rPr>
                <w:b/>
                <w:i/>
              </w:rPr>
              <w:t>întrucât „multitudinea de crize” se referă la un set complex și interconectat de crize care se produc simultan</w:t>
            </w:r>
            <w:r>
              <w:rPr>
                <w:b/>
                <w:i/>
                <w:vertAlign w:val="superscript"/>
              </w:rPr>
              <w:t>1a</w:t>
            </w:r>
            <w:r>
              <w:rPr>
                <w:b/>
                <w:i/>
              </w:rPr>
              <w:t>;</w:t>
            </w:r>
            <w:r>
              <w:rPr>
                <w:b/>
                <w:i/>
              </w:rPr>
              <w:t xml:space="preserve"> întrucât femeile, fetele și persoanele LGBTIQ+ din întreaga lume și, în contexte specifice, migranții și refugiații sunt afectați în mod disproporționat de sărăcie, crize umanitare, schimbări climatice, conflicte, războaie, extremism, terorism și violență sexuală în situații de conflicte, inclusiv violul ca armă de război, exploatarea sexuală, bolile cu transmitere sexuală, sarcinile nedorite și accesul limitat la resurse critice, cum ar fi adăposturi sigure, nutriție și apă, și sunt mai susceptibili să se confrunte cu alte încălcări ale drepturilor omului, care, potrivit rapoartelor unor ONG-uri, sunt comise cu impunitate; întrucât persistența practicii mutilării genitale a femeilor rămâne un motiv serios de îngrijorare, în special în contextul unei multitudini de crize, care exacerbează vulnerabilitățile femeilor și fetelor și necesită o solidaritate de neclintit cu victimele acestei practici; întrucât, în vremuri de crize multiple, este important să se acorde ajutor umanitar specific femeilor și fetelor, pentru a le proteja și garanta supraviețuirea lor, prin acțiuni precum protecția împotriva violenței de gen, reducerea generală a riscurilor, asigurarea accesului la asistență medicală, sprijin pentru procurarea mijloacelor de subzistență și participarea la viața socială și procesul decizional;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https://policy-lab.ec.europa.eu/news/unraveling-polycrisis-foresight-and-innovation-2025-03-26_en.</w:t>
            </w:r>
          </w:p>
        </w:tc>
      </w:tr>
    </w:tbl>
    <w:p>
      <w:r>
        <w:rPr>
          <w:rStyle w:val="HideTWBExt"/>
        </w:rPr>
        <w:t>&lt;/Amend&gt;</w:t>
      </w:r>
    </w:p>
    <w:p>
      <w:pPr>
        <w:pStyle w:val="AmNumberTabs"/>
      </w:pPr>
      <w:r>
        <w:rPr>
          <w:rStyle w:val="HideTWBExt"/>
        </w:rPr>
        <w:t>&lt;Amend&gt;</w:t>
      </w:r>
      <w:r>
        <w:t>Amendamentul</w:t>
      </w:r>
      <w:r>
        <w:tab/>
      </w:r>
      <w:r>
        <w:tab/>
      </w:r>
      <w:r>
        <w:rPr>
          <w:rStyle w:val="HideTWBExt"/>
        </w:rPr>
        <w:t>&lt;NumAm&gt;</w:t>
      </w:r>
      <w:r>
        <w:t>15</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Bb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 xml:space="preserve">întrucât reducerea ajutorului extern și a asistenței umanitare are un impact devastator asupra sănătății, a egalității de gen și a drepturilor omului la nivel mondial; întrucât organizațiile conduse de femei și organizațiile pentru drepturile femeilor locale și naționale sunt printre cele mai afectate deoarece sunt actori-cheie în situații de criză și se confruntă cu represiuni, violențe și restricții din ce în ce mai mari în multe părți ale lumii; întrucât, în același timp, această reducere are un impact disproporționat asupra femeilor, fetelor, persoanelor cu dizabilități și a celor care locuiesc în zone rurale și îndepărtate, amplificând și mai mult inegalitățile existente și împiedicând accesul acestor persoane la servicii de sănătate, la adăposturi sigure și la infrastructura de bază; întrucât această reducere vizează în principal proiecte legate de sănătatea sexuală, afectând în mod disproporționat grupurile marginalizate, în special femeile și fetele și, astfel, sporind, printre altele, riscul apariției unor focare de boli infecțioase, în special riscul unei noi crize mondiale HIV; întrucât reintroducerea politicii „Mexico City” (regula călușului mondial) în SUA va avea un impact dramatic asupra sănătății sexuale și reproductive și a drepturilor aferente la nivel mondial, afectând milioane de persoane, în special pe cele aflate în situații de marginalizare; </w:t>
            </w:r>
            <w:r>
              <w:rPr>
                <w:b/>
                <w:i/>
              </w:rPr>
              <w:t>întrucât regula călușului mondial (2017-2021) a dus la aproximativ 108 000 de decese materne și infantile și la 360 000 de noi infecții cu HIV</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https://www.pnas.org/doi/full/10.1073/pnas.2123177119.</w:t>
            </w:r>
          </w:p>
        </w:tc>
      </w:tr>
    </w:tbl>
    <w:p>
      <w:r>
        <w:rPr>
          <w:rStyle w:val="HideTWBExt"/>
        </w:rPr>
        <w:t>&lt;/Amend&gt;</w:t>
      </w:r>
    </w:p>
    <w:p>
      <w:pPr>
        <w:pStyle w:val="AmNumberTabs"/>
      </w:pPr>
      <w:r>
        <w:rPr>
          <w:rStyle w:val="HideTWBExt"/>
        </w:rPr>
        <w:t>&lt;Amend&gt;</w:t>
      </w:r>
      <w:r>
        <w:t>Amendamentul</w:t>
      </w:r>
      <w:r>
        <w:tab/>
      </w:r>
      <w:r>
        <w:tab/>
      </w:r>
      <w:r>
        <w:rPr>
          <w:rStyle w:val="HideTWBExt"/>
        </w:rPr>
        <w:t>&lt;NumAm&gt;</w:t>
      </w:r>
      <w:r>
        <w:t>16</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Bc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întrucât violența împotriva femeilor, sub toate formele ei (fizică, sexuală, psihologică, economică sau cibernetică), este o încălcare a drepturilor omului, o formă extremă de discriminare împotriva femeilor și unul din principalele obstacole în calea realizării egalității de gen;</w:t>
            </w:r>
          </w:p>
        </w:tc>
      </w:tr>
    </w:tbl>
    <w:p>
      <w:r>
        <w:rPr>
          <w:rStyle w:val="HideTWBExt"/>
        </w:rPr>
        <w:t>&lt;/Amend&gt;</w:t>
      </w:r>
    </w:p>
    <w:p>
      <w:pPr>
        <w:pStyle w:val="AmNumberTabs"/>
      </w:pPr>
      <w:r>
        <w:rPr>
          <w:rStyle w:val="HideTWBExt"/>
        </w:rPr>
        <w:t>&lt;Amend&gt;</w:t>
      </w:r>
      <w:r>
        <w:t>Amendamentul</w:t>
      </w:r>
      <w:r>
        <w:tab/>
      </w:r>
      <w:r>
        <w:tab/>
      </w:r>
      <w:r>
        <w:rPr>
          <w:rStyle w:val="HideTWBExt"/>
        </w:rPr>
        <w:t>&lt;NumAm&gt;</w:t>
      </w:r>
      <w:r>
        <w:t>17</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Bd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întrucât femeile și persoanele LGBTIQ+ care se confruntă cu forme multiple și intersecționale de discriminare pe criterii de rasă, dizabilitate, statut de migrant, identitate de gen, orientare sexuală sau mediu socioeconomic sunt adesea invizibile în intervențiile umanitare și sunt mai vulnerabile la violență și excluziune;</w:t>
            </w:r>
          </w:p>
        </w:tc>
      </w:tr>
    </w:tbl>
    <w:p>
      <w:r>
        <w:rPr>
          <w:rStyle w:val="HideTWBExt"/>
        </w:rPr>
        <w:t>&lt;/Amend&gt;</w:t>
      </w:r>
    </w:p>
    <w:p>
      <w:pPr>
        <w:pStyle w:val="AmNumberTabs"/>
      </w:pPr>
      <w:r>
        <w:rPr>
          <w:rStyle w:val="HideTWBExt"/>
        </w:rPr>
        <w:t>&lt;Amend&gt;</w:t>
      </w:r>
      <w:r>
        <w:t>Amendamentul</w:t>
      </w:r>
      <w:r>
        <w:tab/>
      </w:r>
      <w:r>
        <w:tab/>
      </w:r>
      <w:r>
        <w:rPr>
          <w:rStyle w:val="HideTWBExt"/>
        </w:rPr>
        <w:t>&lt;NumAm&gt;</w:t>
      </w:r>
      <w:r>
        <w:t>18</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Be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întrucât mișcările anti-gen instrumentalizează din ce în ce mai mult crizele umanitare pentru a împiedica realizarea egalității de gen și pentru a delegitima organizațiile de femei, inclusiv în țările partenere ale UE;</w:t>
            </w:r>
          </w:p>
        </w:tc>
      </w:tr>
    </w:tbl>
    <w:p>
      <w:r>
        <w:rPr>
          <w:rStyle w:val="HideTWBExt"/>
        </w:rPr>
        <w:t>&lt;/Amend&gt;</w:t>
      </w:r>
    </w:p>
    <w:p>
      <w:pPr>
        <w:pStyle w:val="AmNumberTabs"/>
      </w:pPr>
      <w:r>
        <w:rPr>
          <w:rStyle w:val="HideTWBExt"/>
        </w:rPr>
        <w:t>&lt;Amend&gt;</w:t>
      </w:r>
      <w:r>
        <w:t>Amendamentul</w:t>
      </w:r>
      <w:r>
        <w:tab/>
      </w:r>
      <w:r>
        <w:tab/>
      </w:r>
      <w:r>
        <w:rPr>
          <w:rStyle w:val="HideTWBExt"/>
        </w:rPr>
        <w:t>&lt;NumAm&gt;</w:t>
      </w:r>
      <w:r>
        <w:t>19</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Bf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întrucât, potrivit ONU, în 2023, peste 600 de milioane de femei și fete trăiau la mai puțin de 50 km de o zonă de conflict, ceea ce înseamnă cu peste 50 % mai mult decât cu un deceniu în urmă;</w:t>
            </w:r>
          </w:p>
        </w:tc>
      </w:tr>
    </w:tbl>
    <w:p>
      <w:r>
        <w:rPr>
          <w:rStyle w:val="HideTWBExt"/>
        </w:rPr>
        <w:t>&lt;/Amend&gt;</w:t>
      </w:r>
    </w:p>
    <w:p>
      <w:pPr>
        <w:pStyle w:val="AmNumberTabs"/>
      </w:pPr>
      <w:r>
        <w:rPr>
          <w:rStyle w:val="HideTWBExt"/>
        </w:rPr>
        <w:t>&lt;Amend&gt;</w:t>
      </w:r>
      <w:r>
        <w:t>Amendamentul</w:t>
      </w:r>
      <w:r>
        <w:tab/>
      </w:r>
      <w:r>
        <w:tab/>
      </w:r>
      <w:r>
        <w:rPr>
          <w:rStyle w:val="HideTWBExt"/>
        </w:rPr>
        <w:t>&lt;NumAm&gt;</w:t>
      </w:r>
      <w:r>
        <w:t>20</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Bg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Bg.</w:t>
            </w:r>
            <w:r>
              <w:tab/>
            </w:r>
            <w:r>
              <w:rPr>
                <w:b/>
                <w:i/>
              </w:rPr>
              <w:t>întrucât imposibilitatea de a avea acces fizic, inclusiv lipsa unui transport și a unei infrastructuri sigure, limitează foarte mult posibilitatea femeilor și a fetelor de a avea acces la ajutor umanitar, asistență medicală și protecție;</w:t>
            </w:r>
          </w:p>
        </w:tc>
      </w:tr>
    </w:tbl>
    <w:p>
      <w:r>
        <w:rPr>
          <w:rStyle w:val="HideTWBExt"/>
        </w:rPr>
        <w:t>&lt;/Amend&gt;</w:t>
      </w:r>
    </w:p>
    <w:p>
      <w:pPr>
        <w:pStyle w:val="AmNumberTabs"/>
      </w:pPr>
      <w:r>
        <w:rPr>
          <w:rStyle w:val="HideTWBExt"/>
        </w:rPr>
        <w:t>&lt;Amend&gt;</w:t>
      </w:r>
      <w:r>
        <w:t>Amendamentul</w:t>
      </w:r>
      <w:r>
        <w:tab/>
      </w:r>
      <w:r>
        <w:tab/>
      </w:r>
      <w:r>
        <w:rPr>
          <w:rStyle w:val="HideTWBExt"/>
        </w:rPr>
        <w:t>&lt;NumAm&gt;</w:t>
      </w:r>
      <w:r>
        <w:t>21</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întrucât conflictele și schimbările climatice sunt cei doi factori principali care au dus la creșterea nevoilor umanitare, ambii fiind provocați de om și reversibili, prin acțiuni concertate și colective; întrucât schimbările climatice și degradarea mediului conduc la creșterea instabilității și a conflictelor, a pericolelor climatice, a dezastrelor naturale, a deficitului de resurse, inclusiv a insecurității aprovizionării cu apă și alimente, a strămutărilor interne și a migrației forțate;</w:t>
            </w:r>
          </w:p>
        </w:tc>
        <w:tc>
          <w:tcPr>
            <w:tcW w:w="4876" w:type="dxa"/>
            <w:tcBorders>
              <w:top w:val="nil"/>
              <w:left w:val="nil"/>
              <w:bottom w:val="nil"/>
              <w:right w:val="nil"/>
            </w:tcBorders>
          </w:tcPr>
          <w:p>
            <w:pPr>
              <w:pStyle w:val="Normal6a"/>
            </w:pPr>
            <w:r>
              <w:t>C.</w:t>
            </w:r>
            <w:r>
              <w:tab/>
            </w:r>
            <w:r>
              <w:t>întrucât conflictele și schimbările climatice sunt cei doi factori principali care au dus la creșterea nevoilor umanitare, ambii fiind provocați de om și reversibili, prin acțiuni concertate și colective</w:t>
            </w:r>
            <w:r>
              <w:rPr>
                <w:b/>
                <w:i/>
              </w:rPr>
              <w:t>, și având un impact mai mare asupra celor mai sărace țări și populații</w:t>
            </w:r>
            <w:r>
              <w:t>; întrucât schimbările climatice</w:t>
            </w:r>
            <w:r>
              <w:rPr>
                <w:b/>
                <w:i/>
              </w:rPr>
              <w:t>, pierderea biodiversității</w:t>
            </w:r>
            <w:r>
              <w:t xml:space="preserve"> și degradarea mediului conduc la creșterea instabilității și a conflictelor, a pericolelor climatice, a dezastrelor naturale, a deficitului de resurse, inclusiv a insecurității aprovizionării cu apă și alimente, a strămutărilor interne și a migrației forțate</w:t>
            </w:r>
            <w:r>
              <w:rPr>
                <w:b/>
                <w:i/>
              </w:rPr>
              <w:t>, afectând astfel în mod disproporționat femeile și grupurile vulnerabile</w:t>
            </w:r>
            <w:r>
              <w:t>;</w:t>
            </w:r>
          </w:p>
        </w:tc>
      </w:tr>
    </w:tbl>
    <w:p>
      <w:r>
        <w:rPr>
          <w:rStyle w:val="HideTWBExt"/>
        </w:rPr>
        <w:t>&lt;/Amend&gt;</w:t>
      </w:r>
    </w:p>
    <w:p>
      <w:pPr>
        <w:pStyle w:val="AmNumberTabs"/>
      </w:pPr>
      <w:r>
        <w:rPr>
          <w:rStyle w:val="HideTWBExt"/>
        </w:rPr>
        <w:t>&lt;Amend&gt;</w:t>
      </w:r>
      <w:r>
        <w:t>Amendamentul</w:t>
      </w:r>
      <w:r>
        <w:tab/>
      </w:r>
      <w:r>
        <w:tab/>
      </w:r>
      <w:r>
        <w:rPr>
          <w:rStyle w:val="HideTWBExt"/>
        </w:rPr>
        <w:t>&lt;NumAm&gt;</w:t>
      </w:r>
      <w:r>
        <w:t>22</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Ca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întrucât situația umanitară din Sudan nu este doar o catastrofă pentru populația locală, ci este un eșec mondial în ce privește acțiunile, responsabilitatea și ajutorul umanitar, femeile și fetele suportând o mare parte din această tragedie în curs;</w:t>
            </w:r>
          </w:p>
        </w:tc>
      </w:tr>
    </w:tbl>
    <w:p>
      <w:r>
        <w:rPr>
          <w:rStyle w:val="HideTWBExt"/>
        </w:rPr>
        <w:t>&lt;/Amend&gt;</w:t>
      </w:r>
    </w:p>
    <w:p>
      <w:pPr>
        <w:pStyle w:val="AmNumberTabs"/>
      </w:pPr>
      <w:r>
        <w:rPr>
          <w:rStyle w:val="HideTWBExt"/>
        </w:rPr>
        <w:t>&lt;Amend&gt;</w:t>
      </w:r>
      <w:r>
        <w:t>Amendamentul</w:t>
      </w:r>
      <w:r>
        <w:tab/>
      </w:r>
      <w:r>
        <w:tab/>
      </w:r>
      <w:r>
        <w:rPr>
          <w:rStyle w:val="HideTWBExt"/>
        </w:rPr>
        <w:t>&lt;NumAm&gt;</w:t>
      </w:r>
      <w:r>
        <w:t>23</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întrucât</w:t>
            </w:r>
            <w:r>
              <w:rPr>
                <w:b/>
                <w:i/>
              </w:rPr>
              <w:t>, în multe situații,</w:t>
            </w:r>
            <w:r>
              <w:t xml:space="preserve"> există o lipsă alarmantă de acces umanitar, care este agravată de creșterea tendințelor periculoase și corozive în interpretarea și aplicarea dreptului internațional umanitar (DIU),</w:t>
            </w:r>
          </w:p>
        </w:tc>
        <w:tc>
          <w:tcPr>
            <w:tcW w:w="4876" w:type="dxa"/>
            <w:tcBorders>
              <w:top w:val="nil"/>
              <w:left w:val="nil"/>
              <w:bottom w:val="nil"/>
              <w:right w:val="nil"/>
            </w:tcBorders>
          </w:tcPr>
          <w:p>
            <w:pPr>
              <w:pStyle w:val="Normal6a"/>
            </w:pPr>
            <w:r>
              <w:t>D.</w:t>
            </w:r>
            <w:r>
              <w:tab/>
            </w:r>
            <w:r>
              <w:t xml:space="preserve">întrucât există o lipsă alarmantă de acces umanitar </w:t>
            </w:r>
            <w:r>
              <w:rPr>
                <w:b/>
                <w:i/>
              </w:rPr>
              <w:t>neîngrădit la persoanele aflate în dificultate, inclusiv în timpul conflictelor, al dezastrelor naturale, al evenimentelor climatice, al epidemiilor și de-a lungul rutelor de migrație</w:t>
            </w:r>
            <w:r>
              <w:t xml:space="preserve">, care este agravată de creșterea tendințelor periculoase și corozive în interpretarea și aplicarea dreptului internațional </w:t>
            </w:r>
            <w:r>
              <w:rPr>
                <w:b/>
                <w:i/>
              </w:rPr>
              <w:t>al drepturilor omului (DIDO), a dreptului internațional</w:t>
            </w:r>
            <w:r>
              <w:t xml:space="preserve"> umanitar (DIU) </w:t>
            </w:r>
            <w:r>
              <w:rPr>
                <w:b/>
                <w:i/>
              </w:rPr>
              <w:t>și a principiilor umanitare;</w:t>
            </w:r>
            <w:r>
              <w:rPr>
                <w:b/>
                <w:i/>
              </w:rPr>
              <w:t xml:space="preserve"> întrucât lucrătorii ONU din domeniul drepturilor omului au subliniat lipsa de acțiune a comunității internaționale; întrucât se produce un număr fără precedent de atacuri împotriva lucrătorilor umanitari, a populațiilor civile și a infrastructurii civile în situații de criză și de conflict; </w:t>
            </w:r>
            <w:r>
              <w:rPr>
                <w:b/>
                <w:i/>
              </w:rPr>
              <w:t>întrucât femeile, fetele, persoanele LGBTIQ+, migranții și refugiații sunt afectați în mod disproporționat de numeroase crize umanitare din întreaga lume</w:t>
            </w:r>
            <w:r>
              <w:rPr>
                <w:b/>
                <w:i/>
                <w:vertAlign w:val="superscript"/>
              </w:rPr>
              <w:t>1a</w:t>
            </w:r>
            <w:r>
              <w:rPr>
                <w:b/>
                <w:i/>
              </w:rPr>
              <w:t>, inclusiv de cea mai mare criză umanitară, de strămutare și de foamete din Sudan, de conflictul și strămutările în curs din Gaza, de consecințele cutremurului din Myanmar/Birmania, de focarele de holeră din Republica Democratică Congo, de penuria gravă de alimente și apă din Cornul Africii, de conflictele prelungite din Siria și Yemen și de criza refugiaților din Sudanul de Sud;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https://www.oxfam.org.uk/documents/715/Rights_Resilience_Response.pdf.</w:t>
            </w:r>
          </w:p>
        </w:tc>
      </w:tr>
    </w:tbl>
    <w:p>
      <w:r>
        <w:rPr>
          <w:rStyle w:val="HideTWBExt"/>
        </w:rPr>
        <w:t>&lt;/Amend&gt;</w:t>
      </w:r>
    </w:p>
    <w:p>
      <w:pPr>
        <w:pStyle w:val="AmNumberTabs"/>
      </w:pPr>
      <w:r>
        <w:rPr>
          <w:rStyle w:val="HideTWBExt"/>
        </w:rPr>
        <w:t>&lt;Amend&gt;</w:t>
      </w:r>
      <w:r>
        <w:t>Amendamentul</w:t>
      </w:r>
      <w:r>
        <w:tab/>
      </w:r>
      <w:r>
        <w:tab/>
      </w:r>
      <w:r>
        <w:rPr>
          <w:rStyle w:val="HideTWBExt"/>
        </w:rPr>
        <w:t>&lt;NumAm&gt;</w:t>
      </w:r>
      <w:r>
        <w:t>24</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peste 18 % dintre femeile și fetele afgane nu au acces sau au doar un acces limitat la lucrătoarele umanitare; întrucât numai personalul umanitar feminin are permisiunea să vorbească cu femeile și fetele pentru evaluarea nevoilor și acordarea de ajutor;</w:t>
            </w:r>
          </w:p>
        </w:tc>
      </w:tr>
    </w:tbl>
    <w:p>
      <w:r>
        <w:rPr>
          <w:rStyle w:val="HideTWBExt"/>
        </w:rPr>
        <w:t>&lt;/Amend&gt;</w:t>
      </w:r>
    </w:p>
    <w:p>
      <w:pPr>
        <w:pStyle w:val="AmNumberTabs"/>
      </w:pPr>
      <w:r>
        <w:rPr>
          <w:rStyle w:val="HideTWBExt"/>
        </w:rPr>
        <w:t>&lt;Amend&gt;</w:t>
      </w:r>
      <w:r>
        <w:t>Amendamentul</w:t>
      </w:r>
      <w:r>
        <w:tab/>
      </w:r>
      <w:r>
        <w:tab/>
      </w:r>
      <w:r>
        <w:rPr>
          <w:rStyle w:val="HideTWBExt"/>
        </w:rPr>
        <w:t>&lt;NumAm&gt;</w:t>
      </w:r>
      <w:r>
        <w:t>25</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Considerentul Db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întrucât ajutorul umanitar al UE ar trebui să integreze și să țină cont în continuare de dimensiunea de gen și de vârstă, luând în calcul nevoile specifice, vulnerabilitățile și capacitățile tuturor;</w:t>
            </w:r>
          </w:p>
        </w:tc>
      </w:tr>
    </w:tbl>
    <w:p>
      <w:r>
        <w:rPr>
          <w:rStyle w:val="HideTWBExt"/>
        </w:rPr>
        <w:t>&lt;/Amend&gt;</w:t>
      </w:r>
    </w:p>
    <w:p>
      <w:pPr>
        <w:pStyle w:val="AmNumberTabs"/>
      </w:pPr>
      <w:r>
        <w:rPr>
          <w:rStyle w:val="HideTWBExt"/>
        </w:rPr>
        <w:t>&lt;Amend&gt;</w:t>
      </w:r>
      <w:r>
        <w:t>Amendamentul</w:t>
      </w:r>
      <w:r>
        <w:tab/>
      </w:r>
      <w:r>
        <w:tab/>
      </w:r>
      <w:r>
        <w:rPr>
          <w:rStyle w:val="HideTWBExt"/>
        </w:rPr>
        <w:t>&lt;NumAm&gt;</w:t>
      </w:r>
      <w:r>
        <w:t>26</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 insistă că este necesar ca toate părțile implicate într-un conflict să respecte și să asigure respectarea DIU și a dreptului internațional al drepturilor omului; insistă că trebuie consolidat rolul central al principiilor umanitare în acțiunea externă a UE;</w:t>
            </w:r>
          </w:p>
        </w:tc>
        <w:tc>
          <w:tcPr>
            <w:tcW w:w="4876" w:type="dxa"/>
            <w:tcBorders>
              <w:top w:val="nil"/>
              <w:left w:val="nil"/>
              <w:bottom w:val="nil"/>
              <w:right w:val="nil"/>
            </w:tcBorders>
          </w:tcPr>
          <w:p>
            <w:pPr>
              <w:pStyle w:val="Normal6a"/>
            </w:pPr>
            <w:r>
              <w:t xml:space="preserve">1. insistă că este necesar ca toate părțile implicate într-un conflict să respecte și să asigure respectarea DIU și a dreptului internațional al drepturilor omului; </w:t>
            </w:r>
            <w:r>
              <w:rPr>
                <w:b/>
                <w:i/>
              </w:rPr>
              <w:t xml:space="preserve">constată că violul și alte forme de violență sexuală sunt folosite ca arme de război și constituie crime de război, crime împotriva umanității și acte care contribuie la genocid; subliniază rolul organizațiilor pentru drepturile femeilor în asigurarea accesului victimelor la justiție și la servicii de sprijin; </w:t>
            </w:r>
            <w:r>
              <w:t xml:space="preserve">insistă că trebuie consolidat </w:t>
            </w:r>
            <w:r>
              <w:rPr>
                <w:b/>
                <w:i/>
              </w:rPr>
              <w:t>puternic</w:t>
            </w:r>
            <w:r>
              <w:t xml:space="preserve"> rolul central al principiilor umanitare în acțiunea externă a UE;</w:t>
            </w:r>
            <w:r>
              <w:br/>
            </w:r>
          </w:p>
        </w:tc>
      </w:tr>
    </w:tbl>
    <w:p>
      <w:r>
        <w:rPr>
          <w:rStyle w:val="HideTWBExt"/>
        </w:rPr>
        <w:t>&lt;/Amend&gt;</w:t>
      </w:r>
    </w:p>
    <w:p>
      <w:pPr>
        <w:pStyle w:val="AmNumberTabs"/>
      </w:pPr>
      <w:r>
        <w:rPr>
          <w:rStyle w:val="HideTWBExt"/>
        </w:rPr>
        <w:t>&lt;Amend&gt;</w:t>
      </w:r>
      <w:r>
        <w:t>Amendamentul</w:t>
      </w:r>
      <w:r>
        <w:tab/>
      </w:r>
      <w:r>
        <w:tab/>
      </w:r>
      <w:r>
        <w:rPr>
          <w:rStyle w:val="HideTWBExt"/>
        </w:rPr>
        <w:t>&lt;NumAm&gt;</w:t>
      </w:r>
      <w:r>
        <w:t>27</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reamintește că UE este o Uniune bazată pe valori, egalitatea de gen fiind unul dintre principiile sale fundamentale, consacrate la articolul 2 din TUE; subliniază, de asemenea, că articolul 8 din TFUE consacră responsabilitatea UE de a promova egalitatea de gen în toate acțiunile sale;</w:t>
            </w:r>
          </w:p>
        </w:tc>
      </w:tr>
    </w:tbl>
    <w:p>
      <w:r>
        <w:rPr>
          <w:rStyle w:val="HideTWBExt"/>
        </w:rPr>
        <w:t>&lt;/Amend&gt;</w:t>
      </w:r>
    </w:p>
    <w:p>
      <w:pPr>
        <w:pStyle w:val="AmNumberTabs"/>
      </w:pPr>
      <w:r>
        <w:rPr>
          <w:rStyle w:val="HideTWBExt"/>
        </w:rPr>
        <w:t>&lt;Amend&gt;</w:t>
      </w:r>
      <w:r>
        <w:t>Amendamentul</w:t>
      </w:r>
      <w:r>
        <w:tab/>
      </w:r>
      <w:r>
        <w:tab/>
      </w:r>
      <w:r>
        <w:rPr>
          <w:rStyle w:val="HideTWBExt"/>
        </w:rPr>
        <w:t>&lt;NumAm&gt;</w:t>
      </w:r>
      <w:r>
        <w:t>28</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evidențiază că este important să se promoveze accesul la sănătatea sexuală și reproductivă și la drepturile aferente la nivel mondial și subliniază angajamentul UE de a asigura accesul la servicii de sănătate reproductivă și de asistență medicală maternă, printre care contracepția de urgență, profilaxia post-expunere, tratamente pentru infecțiile cu transmitere sexuală și accesul tuturor la avort legal și în condiții de siguranță, inclusiv a victimelor violurilor, în cadrul dreptului lor protejat la îngrijiri medicale esențiale și al integrării lor echitabile în sistemele de sănătate primare și secundare, precum și gestionarea clinică a violurilor pentru femeile și fetele afectate de crize umanitare și pentru alte populații vulnerabile, inclusiv cele care sunt supuse discriminării intersecționale; îndeamnă UE și partenerii săi umanitari să includă și să furnizeze efectiv servicii de avort în condiții de siguranță în pachetul minim de servicii inițiale (MISP);</w:t>
            </w:r>
          </w:p>
        </w:tc>
      </w:tr>
    </w:tbl>
    <w:p>
      <w:r>
        <w:rPr>
          <w:rStyle w:val="HideTWBExt"/>
        </w:rPr>
        <w:t>&lt;/Amend&gt;</w:t>
      </w:r>
    </w:p>
    <w:p>
      <w:pPr>
        <w:pStyle w:val="AmNumberTabs"/>
      </w:pPr>
      <w:r>
        <w:rPr>
          <w:rStyle w:val="HideTWBExt"/>
        </w:rPr>
        <w:t>&lt;Amend&gt;</w:t>
      </w:r>
      <w:r>
        <w:t>Amendamentul</w:t>
      </w:r>
      <w:r>
        <w:tab/>
      </w:r>
      <w:r>
        <w:tab/>
      </w:r>
      <w:r>
        <w:rPr>
          <w:rStyle w:val="HideTWBExt"/>
        </w:rPr>
        <w:t>&lt;NumAm&gt;</w:t>
      </w:r>
      <w:r>
        <w:t>29</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scoate în evidență că este importantă garantarea unei perspective care să țină seama de dimensiunea de gen, ca parte integrantă a tuturor acțiunilor UE în materie de ajutor umanitar și de gestionare a crizelor, inclusiv în cadrul politicii externe; reamintește angajamentul UE față de obiectivele de dezvoltare durabilă (ODD), cu un accent deosebit pe ODD 5 privind egalitatea de gen și capacitarea femeilor și a fetelor, care sunt esențiale pentru construirea unor societăți reziliente și incluzive; subliniază că realizarea ODD 5 este esențială pentru atingerea tuturor celorlalte obiective de dezvoltare durabilă și, prin urmare, de o importanță majoră pentru obținerea rezultatelor stabilite în Agenda 2030;</w:t>
            </w:r>
          </w:p>
        </w:tc>
      </w:tr>
    </w:tbl>
    <w:p>
      <w:r>
        <w:rPr>
          <w:rStyle w:val="HideTWBExt"/>
        </w:rPr>
        <w:t>&lt;/Amend&gt;</w:t>
      </w:r>
    </w:p>
    <w:p>
      <w:pPr>
        <w:pStyle w:val="AmNumberTabs"/>
      </w:pPr>
      <w:r>
        <w:rPr>
          <w:rStyle w:val="HideTWBExt"/>
        </w:rPr>
        <w:t>&lt;Amend&gt;</w:t>
      </w:r>
      <w:r>
        <w:t>Amendamentul</w:t>
      </w:r>
      <w:r>
        <w:tab/>
      </w:r>
      <w:r>
        <w:tab/>
      </w:r>
      <w:r>
        <w:rPr>
          <w:rStyle w:val="HideTWBExt"/>
        </w:rPr>
        <w:t>&lt;NumAm&gt;</w:t>
      </w:r>
      <w:r>
        <w:t>30</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este preocupat de regresul înregistrat în domeniul egalității de gen și al cadrului internațional privind drepturile omului, menit să protejeze femeile și fetele aflate în situații vulnerabile sau marginalizate în întreaga lume, inclusiv persoanele LGBTIQ+; invită UE și statele membre să denunțe acest regres să își intensifice eforturile de protejare a valorilor fundamentale ale UE și de consolidare a respectării drepturilor omului și a dreptului internațional;</w:t>
            </w:r>
          </w:p>
        </w:tc>
      </w:tr>
    </w:tbl>
    <w:p>
      <w:r>
        <w:rPr>
          <w:rStyle w:val="HideTWBExt"/>
        </w:rPr>
        <w:t>&lt;/Amend&gt;</w:t>
      </w:r>
    </w:p>
    <w:p>
      <w:pPr>
        <w:pStyle w:val="AmNumberTabs"/>
      </w:pPr>
      <w:r>
        <w:rPr>
          <w:rStyle w:val="HideTWBExt"/>
        </w:rPr>
        <w:t>&lt;Amend&gt;</w:t>
      </w:r>
      <w:r>
        <w:t>Amendamentul</w:t>
      </w:r>
      <w:r>
        <w:tab/>
      </w:r>
      <w:r>
        <w:tab/>
      </w:r>
      <w:r>
        <w:rPr>
          <w:rStyle w:val="HideTWBExt"/>
        </w:rPr>
        <w:t>&lt;NumAm&gt;</w:t>
      </w:r>
      <w:r>
        <w:t>31</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subliniază că crizele umanitare exacerbează adesea inegalitățile de gen preexistente și normele sociale discriminatorii, limitând și mai mult accesul femeilor și fetelor la servicii esențiale, exercitarea deplină a drepturilor lor și autonomia personală;</w:t>
            </w:r>
          </w:p>
        </w:tc>
      </w:tr>
    </w:tbl>
    <w:p>
      <w:r>
        <w:rPr>
          <w:rStyle w:val="HideTWBExt"/>
        </w:rPr>
        <w:t>&lt;/Amend&gt;</w:t>
      </w:r>
    </w:p>
    <w:p>
      <w:pPr>
        <w:pStyle w:val="AmNumberTabs"/>
      </w:pPr>
      <w:r>
        <w:rPr>
          <w:rStyle w:val="HideTWBExt"/>
        </w:rPr>
        <w:t>&lt;Amend&gt;</w:t>
      </w:r>
      <w:r>
        <w:t>Amendamentul</w:t>
      </w:r>
      <w:r>
        <w:tab/>
      </w:r>
      <w:r>
        <w:tab/>
      </w:r>
      <w:r>
        <w:rPr>
          <w:rStyle w:val="HideTWBExt"/>
        </w:rPr>
        <w:t>&lt;NumAm&gt;</w:t>
      </w:r>
      <w:r>
        <w:t>32</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 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1f.</w:t>
            </w:r>
            <w:r>
              <w:tab/>
            </w:r>
            <w:r>
              <w:rPr>
                <w:b/>
                <w:i/>
              </w:rPr>
              <w:t>este preocupat de faptul că încălcările drepturilor omului și violența de gen rămân omniprezente în contexte de conflict, în timp ce eforturile de prevenire și de sprijinire a supraviețuitorilor, precum și accesul la justiție continuă să fie insuficiente; indică cu îngrijorare că, în contextul reducerii serviciilor, organizațiile conduse de femei și organizațiile pentru drepturile femeilor se tem că violența de gen ar putea rămâne nepedepsită sau s-ar putea intensifica;</w:t>
            </w:r>
          </w:p>
        </w:tc>
      </w:tr>
    </w:tbl>
    <w:p>
      <w:r>
        <w:rPr>
          <w:rStyle w:val="HideTWBExt"/>
        </w:rPr>
        <w:t>&lt;/Amend&gt;</w:t>
      </w:r>
    </w:p>
    <w:p>
      <w:pPr>
        <w:pStyle w:val="AmNumberTabs"/>
      </w:pPr>
      <w:r>
        <w:rPr>
          <w:rStyle w:val="HideTWBExt"/>
        </w:rPr>
        <w:t>&lt;Amend&gt;</w:t>
      </w:r>
      <w:r>
        <w:t>Amendamentul</w:t>
      </w:r>
      <w:r>
        <w:tab/>
      </w:r>
      <w:r>
        <w:tab/>
      </w:r>
      <w:r>
        <w:rPr>
          <w:rStyle w:val="HideTWBExt"/>
        </w:rPr>
        <w:t>&lt;NumAm&gt;</w:t>
      </w:r>
      <w:r>
        <w:t>33</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 g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1g.</w:t>
            </w:r>
            <w:r>
              <w:tab/>
            </w:r>
            <w:r>
              <w:rPr>
                <w:b/>
                <w:i/>
              </w:rPr>
              <w:t>își exprimă profunda îngrijorare cu privire la distrugerea infrastructurii de sănătate și la obstrucționarea sistematică a ajutorului umanitar în Gaza;  invită UE și statele membre să asigure accesul neîngrădit la sănătatea sexuală și reproductivă și la serviciile de sănătate maternă pentru toate femeile și fetele afectate de conflict;</w:t>
            </w:r>
          </w:p>
        </w:tc>
      </w:tr>
    </w:tbl>
    <w:p>
      <w:r>
        <w:rPr>
          <w:rStyle w:val="HideTWBExt"/>
        </w:rPr>
        <w:t>&lt;/Amend&gt;</w:t>
      </w:r>
    </w:p>
    <w:p>
      <w:pPr>
        <w:pStyle w:val="AmNumberTabs"/>
      </w:pPr>
      <w:r>
        <w:rPr>
          <w:rStyle w:val="HideTWBExt"/>
        </w:rPr>
        <w:t>&lt;Amend&gt;</w:t>
      </w:r>
      <w:r>
        <w:t>Amendamentul</w:t>
      </w:r>
      <w:r>
        <w:tab/>
      </w:r>
      <w:r>
        <w:tab/>
      </w:r>
      <w:r>
        <w:rPr>
          <w:rStyle w:val="HideTWBExt"/>
        </w:rPr>
        <w:t>&lt;NumAm&gt;</w:t>
      </w:r>
      <w:r>
        <w:t>34</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este alarmat de creșterea numărului de încălcări ale DIU în ultimii ani – unele dintre ele fiind raportate ca metode strategice de război – în special în Sudan, Gaza, Republica Democratică Congo, Ucraina și Haiti; </w:t>
            </w:r>
            <w:r>
              <w:rPr>
                <w:b/>
                <w:i/>
              </w:rPr>
              <w:t>solicită</w:t>
            </w:r>
            <w:r>
              <w:t xml:space="preserve"> o </w:t>
            </w:r>
            <w:r>
              <w:rPr>
                <w:b/>
                <w:i/>
              </w:rPr>
              <w:t>acțiune internațională imediată</w:t>
            </w:r>
            <w:r>
              <w:t xml:space="preserve">, pentru </w:t>
            </w:r>
            <w:r>
              <w:rPr>
                <w:b/>
                <w:i/>
              </w:rPr>
              <w:t>a pune capăt crizei</w:t>
            </w:r>
            <w:r>
              <w:t xml:space="preserve"> umanitare </w:t>
            </w:r>
            <w:r>
              <w:rPr>
                <w:b/>
                <w:i/>
              </w:rPr>
              <w:t>inacceptabile din</w:t>
            </w:r>
            <w:r>
              <w:t xml:space="preserve"> Gaza, în </w:t>
            </w:r>
            <w:r>
              <w:rPr>
                <w:b/>
                <w:i/>
              </w:rPr>
              <w:t>contextul blocadei impuse</w:t>
            </w:r>
            <w:r>
              <w:t xml:space="preserve"> de </w:t>
            </w:r>
            <w:r>
              <w:rPr>
                <w:b/>
                <w:i/>
              </w:rPr>
              <w:t>guvernul israelian</w:t>
            </w:r>
            <w:r>
              <w:t>;</w:t>
            </w:r>
          </w:p>
        </w:tc>
        <w:tc>
          <w:tcPr>
            <w:tcW w:w="4876" w:type="dxa"/>
            <w:tcBorders>
              <w:top w:val="nil"/>
              <w:left w:val="nil"/>
              <w:bottom w:val="nil"/>
              <w:right w:val="nil"/>
            </w:tcBorders>
          </w:tcPr>
          <w:p>
            <w:pPr>
              <w:pStyle w:val="Normal6a"/>
            </w:pPr>
            <w:r>
              <w:t>2.</w:t>
            </w:r>
            <w:r>
              <w:tab/>
            </w:r>
            <w:r>
              <w:t xml:space="preserve">este alarmat de creșterea numărului de încălcări ale DIU în ultimii ani – unele dintre ele fiind raportate ca metode strategice de război – în special în Sudan, Gaza, Republica Democratică Congo, Ucraina și Haiti; </w:t>
            </w:r>
            <w:r>
              <w:rPr>
                <w:b/>
                <w:i/>
              </w:rPr>
              <w:t xml:space="preserve">subliniază gravitatea excepțională a crizei umanitare din Gaza, în special pentru femei, copii și alte grupuri vulnerabile, provocată de o blocadă prelungită și de atacuri la scară largă și repetate ale guvernului israelian asupra civililor, spitalelor, școlilor și infrastructurii umanitare; se declară foarte alarmat de situația umanitară catastrofică, mai ales pentru femei și fete, din Fâșia Gaza, în special de lipsa alimentelor și de malnutriția generalizată cauzată de accesul insuficient la ajutoare umanitare; </w:t>
            </w:r>
            <w:r>
              <w:rPr>
                <w:b/>
                <w:i/>
              </w:rPr>
              <w:t>afirmă din nou că locurile în care se distribuie ajutoare, civilii, lucrătorii umanitari și membrii personalului medical trebuie să fie protejați și nu trebuie să devină ținte ale acțiunilor militare;</w:t>
            </w:r>
            <w:r>
              <w:rPr>
                <w:b/>
                <w:i/>
              </w:rPr>
              <w:t xml:space="preserve"> </w:t>
            </w:r>
            <w:r>
              <w:rPr>
                <w:b/>
                <w:i/>
              </w:rPr>
              <w:t>subliniază necesitatea urgentă ca toate organismele</w:t>
            </w:r>
            <w:r>
              <w:t xml:space="preserve"> umanitare </w:t>
            </w:r>
            <w:r>
              <w:rPr>
                <w:b/>
                <w:i/>
              </w:rPr>
              <w:t>internaționale cu experiență să aibă acces deplin, rapid, sigur și neîngrădit la Fâșia</w:t>
            </w:r>
            <w:r>
              <w:t xml:space="preserve"> Gaza </w:t>
            </w:r>
            <w:r>
              <w:rPr>
                <w:b/>
                <w:i/>
              </w:rPr>
              <w:t>și pe întreg teritoriul acesteia, punând accentul pe furnizarea de produse esențiale, cum ar fi alimente, apă, materiale medicale și adăpost</w:t>
            </w:r>
            <w:r>
              <w:t xml:space="preserve">, în </w:t>
            </w:r>
            <w:r>
              <w:rPr>
                <w:b/>
                <w:i/>
              </w:rPr>
              <w:t>conformitate cu dreptul internațional, și solicită restaurarea imediată a infrastructurii vitale;</w:t>
            </w:r>
            <w:r>
              <w:rPr>
                <w:b/>
                <w:i/>
              </w:rPr>
              <w:t xml:space="preserve"> </w:t>
            </w:r>
            <w:r>
              <w:rPr>
                <w:b/>
                <w:i/>
              </w:rPr>
              <w:t>subliniază obligațiile care le revin părților implicate în conflict în temeiul dreptului internațional umanitar în ceea ce privește furnizarea</w:t>
            </w:r>
            <w:r>
              <w:t xml:space="preserve"> de </w:t>
            </w:r>
            <w:r>
              <w:rPr>
                <w:b/>
                <w:i/>
              </w:rPr>
              <w:t>asistență umanitară;</w:t>
            </w:r>
            <w:r>
              <w:rPr>
                <w:b/>
                <w:i/>
              </w:rPr>
              <w:t xml:space="preserve"> subliniază că prioritatea UE este clară, și anume o încetare imediată și permanentă a focului; </w:t>
            </w:r>
            <w:r>
              <w:rPr>
                <w:b/>
                <w:i/>
              </w:rPr>
              <w:t>cere să fie eliberați imediat și necondiționat toți ostaticii israelieni deținuți în prezent în Gaza, atât cei în viață, cât și cei decedați;</w:t>
            </w:r>
            <w:r>
              <w:rPr>
                <w:b/>
                <w:i/>
              </w:rPr>
              <w:t xml:space="preserve"> </w:t>
            </w:r>
            <w:r>
              <w:rPr>
                <w:b/>
                <w:i/>
              </w:rPr>
              <w:t>observă, cu toate acestea, că uciderea în continuare a civililor este inacceptabilă și că trebuie permise ajutoare vitale, inclusiv ajutoare specifice pentru femei și fete</w:t>
            </w:r>
            <w:r>
              <w:t>;</w:t>
            </w:r>
          </w:p>
        </w:tc>
      </w:tr>
    </w:tbl>
    <w:p>
      <w:r>
        <w:rPr>
          <w:rStyle w:val="HideTWBExt"/>
        </w:rPr>
        <w:t>&lt;/Amend&gt;</w:t>
      </w:r>
    </w:p>
    <w:p>
      <w:pPr>
        <w:pStyle w:val="AmNumberTabs"/>
      </w:pPr>
      <w:r>
        <w:rPr>
          <w:rStyle w:val="HideTWBExt"/>
        </w:rPr>
        <w:t>&lt;Amend&gt;</w:t>
      </w:r>
      <w:r>
        <w:t>Amendamentul</w:t>
      </w:r>
      <w:r>
        <w:tab/>
      </w:r>
      <w:r>
        <w:tab/>
      </w:r>
      <w:r>
        <w:rPr>
          <w:rStyle w:val="HideTWBExt"/>
        </w:rPr>
        <w:t>&lt;NumAm&gt;</w:t>
      </w:r>
      <w:r>
        <w:t>35</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constată că creșterea prețurilor la alimente, energie și îngrășăminte, cauzată de războiul din Gaza, de războiul de agresiune al Rusiei împotriva Ucrainei și de alte conflicte, mărește semnificativ nevoia de ajutor umanitar; subliniază că crizele geopolitice complexe au un impact direct asupra disponibilității bunurilor esențiale pe piețele mondiale, ceea ce afectează în special populațiile cele mai vulnerabile, inclusiv copiii și femeile;</w:t>
            </w:r>
          </w:p>
        </w:tc>
      </w:tr>
    </w:tbl>
    <w:p>
      <w:r>
        <w:rPr>
          <w:rStyle w:val="HideTWBExt"/>
        </w:rPr>
        <w:t>&lt;/Amend&gt;</w:t>
      </w:r>
    </w:p>
    <w:p>
      <w:pPr>
        <w:pStyle w:val="AmNumberTabs"/>
      </w:pPr>
      <w:r>
        <w:rPr>
          <w:rStyle w:val="HideTWBExt"/>
        </w:rPr>
        <w:t>&lt;Amend&gt;</w:t>
      </w:r>
      <w:r>
        <w:t>Amendamentul</w:t>
      </w:r>
      <w:r>
        <w:tab/>
      </w:r>
      <w:r>
        <w:tab/>
      </w:r>
      <w:r>
        <w:rPr>
          <w:rStyle w:val="HideTWBExt"/>
        </w:rPr>
        <w:t>&lt;NumAm&gt;</w:t>
      </w:r>
      <w:r>
        <w:t>36</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solicită, de asemenea, ca asistența umanitară a UE să fie menținută și sporită în continuare pentru populația civilă afectată de războiul de agresiune al Rusiei împotriva Ucrainei, cu un accent deosebit pe nevoile persoanelor strămutate în interiorul țării, ale refugiaților, ale persoanelor în vârstă și ale copiilor, inclusiv ale victimelor deportărilor forțate în Federația Rusă și în teritoriile ocupate;</w:t>
            </w:r>
          </w:p>
        </w:tc>
      </w:tr>
    </w:tbl>
    <w:p>
      <w:r>
        <w:rPr>
          <w:rStyle w:val="HideTWBExt"/>
        </w:rPr>
        <w:t>&lt;/Amend&gt;</w:t>
      </w:r>
    </w:p>
    <w:p>
      <w:pPr>
        <w:pStyle w:val="AmNumberTabs"/>
      </w:pPr>
      <w:r>
        <w:rPr>
          <w:rStyle w:val="HideTWBExt"/>
        </w:rPr>
        <w:t>&lt;Amend&gt;</w:t>
      </w:r>
      <w:r>
        <w:t>Amendamentul</w:t>
      </w:r>
      <w:r>
        <w:tab/>
      </w:r>
      <w:r>
        <w:tab/>
      </w:r>
      <w:r>
        <w:rPr>
          <w:rStyle w:val="HideTWBExt"/>
        </w:rPr>
        <w:t>&lt;NumAm&gt;</w:t>
      </w:r>
      <w:r>
        <w:t>37</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2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regretă lipsa de atenție și de acțiune internațională în ceea ce privește crizele din țările africane și din alte țări în curs de dezvoltare, urmarea fiind o situație în care 6,7 milioane de persoane din Sudan sunt expuse riscului violenței de gen; invită așadar actorii de la nivel mondial să îmbunătățească accesul la alimente, apă curată, asistență medicală și sprijin psihologic, în special pentru femei și copii; subliniază cât este de important să se promoveze drepturile femeilor și egalitatea de gen în întreaga lume, elemente esențiale pentru ca drepturile omului să fie transpuse în fapt; subliniază că, în pofida unor progrese, femeile și fetele continuă să sufere de pe urma discriminării și a violenței de gen;</w:t>
            </w:r>
          </w:p>
        </w:tc>
      </w:tr>
    </w:tbl>
    <w:p>
      <w:r>
        <w:rPr>
          <w:rStyle w:val="HideTWBExt"/>
        </w:rPr>
        <w:t>&lt;/Amend&gt;</w:t>
      </w:r>
    </w:p>
    <w:p>
      <w:pPr>
        <w:pStyle w:val="AmNumberTabs"/>
      </w:pPr>
      <w:r>
        <w:rPr>
          <w:rStyle w:val="HideTWBExt"/>
        </w:rPr>
        <w:t>&lt;Amend&gt;</w:t>
      </w:r>
      <w:r>
        <w:t>Amendamentul</w:t>
      </w:r>
      <w:r>
        <w:tab/>
      </w:r>
      <w:r>
        <w:tab/>
      </w:r>
      <w:r>
        <w:rPr>
          <w:rStyle w:val="HideTWBExt"/>
        </w:rPr>
        <w:t>&lt;NumAm&gt;</w:t>
      </w:r>
      <w:r>
        <w:t>38</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2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2d.</w:t>
            </w:r>
            <w:r>
              <w:tab/>
            </w:r>
            <w:r>
              <w:rPr>
                <w:b/>
                <w:i/>
              </w:rPr>
              <w:t>regretă că ajutorul a fost utilizat ca armă de multe țări, fapt ce afectează în mod disproporționat femeile și fetele; scoate în evidență că avem obligații, în calitate de comunitate internațională, de a susține DIU, care este în mod incontestabil amenințat în unele regiuni, exacerbând și mai mult vulnerabilitățile în rândul femeilor și al populațiilor marginalizate;</w:t>
            </w:r>
          </w:p>
        </w:tc>
      </w:tr>
    </w:tbl>
    <w:p>
      <w:r>
        <w:rPr>
          <w:rStyle w:val="HideTWBExt"/>
        </w:rPr>
        <w:t>&lt;/Amend&gt;</w:t>
      </w:r>
    </w:p>
    <w:p>
      <w:pPr>
        <w:pStyle w:val="AmNumberTabs"/>
      </w:pPr>
      <w:r>
        <w:rPr>
          <w:rStyle w:val="HideTWBExt"/>
        </w:rPr>
        <w:t>&lt;Amend&gt;</w:t>
      </w:r>
      <w:r>
        <w:t>Amendamentul</w:t>
      </w:r>
      <w:r>
        <w:tab/>
      </w:r>
      <w:r>
        <w:tab/>
      </w:r>
      <w:r>
        <w:rPr>
          <w:rStyle w:val="HideTWBExt"/>
        </w:rPr>
        <w:t>&lt;NumAm&gt;</w:t>
      </w:r>
      <w:r>
        <w:t>39</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regretă restrângerea spațiului umanitar </w:t>
            </w:r>
            <w:r>
              <w:rPr>
                <w:b/>
                <w:i/>
              </w:rPr>
              <w:t>și</w:t>
            </w:r>
            <w:r>
              <w:t xml:space="preserve"> erodarea principiilor umanitare, </w:t>
            </w:r>
            <w:r>
              <w:rPr>
                <w:b/>
                <w:i/>
              </w:rPr>
              <w:t>aspecte</w:t>
            </w:r>
            <w:r>
              <w:t xml:space="preserve"> care reprezintă obstacole semnificative în calea furnizării de asistență vitală în mai multe medii afectate de conflicte; condamnă ferm creșterea alarmantă a atacurilor împotriva populațiilor civile și a infrastructurii necesare pentru supraviețuirea lor, precum și a atacurilor împotriva lucrătorilor din domeniul ajutorului umanitar; solicită ca cei vinovați să fie trași la răspundere;</w:t>
            </w:r>
          </w:p>
        </w:tc>
        <w:tc>
          <w:tcPr>
            <w:tcW w:w="4876" w:type="dxa"/>
            <w:tcBorders>
              <w:top w:val="nil"/>
              <w:left w:val="nil"/>
              <w:bottom w:val="nil"/>
              <w:right w:val="nil"/>
            </w:tcBorders>
          </w:tcPr>
          <w:p>
            <w:pPr>
              <w:pStyle w:val="Normal6a"/>
            </w:pPr>
            <w:r>
              <w:t>3.</w:t>
            </w:r>
            <w:r>
              <w:tab/>
            </w:r>
            <w:r>
              <w:t>regretă restrângerea spațiului umanitar</w:t>
            </w:r>
            <w:r>
              <w:rPr>
                <w:b/>
                <w:i/>
              </w:rPr>
              <w:t>,</w:t>
            </w:r>
            <w:r>
              <w:t xml:space="preserve"> erodarea principiilor umanitare </w:t>
            </w:r>
            <w:r>
              <w:rPr>
                <w:b/>
                <w:i/>
              </w:rPr>
              <w:t>și nerespectarea instituțiilor internaționale și a mandatelor de arestare ale Curții Penale Internaționale</w:t>
            </w:r>
            <w:r>
              <w:t>, care reprezintă obstacole semnificative în calea furnizării de asistență vitală în mai multe medii afectate de conflicte; condamnă ferm creșterea alarmantă a atacurilor împotriva populațiilor civile și a infrastructurii necesare pentru supraviețuirea lor, precum și a atacurilor împotriva lucrătorilor din domeniul ajutorului umanitar; solicită ca cei vinovați să fie trași la răspundere;</w:t>
            </w:r>
          </w:p>
        </w:tc>
      </w:tr>
    </w:tbl>
    <w:p>
      <w:r>
        <w:rPr>
          <w:rStyle w:val="HideTWBExt"/>
        </w:rPr>
        <w:t>&lt;/Amend&gt;</w:t>
      </w:r>
    </w:p>
    <w:p>
      <w:pPr>
        <w:pStyle w:val="AmNumberTabs"/>
      </w:pPr>
      <w:r>
        <w:rPr>
          <w:rStyle w:val="HideTWBExt"/>
        </w:rPr>
        <w:t>&lt;Amend&gt;</w:t>
      </w:r>
      <w:r>
        <w:t>Amendamentul</w:t>
      </w:r>
      <w:r>
        <w:tab/>
      </w:r>
      <w:r>
        <w:tab/>
      </w:r>
      <w:r>
        <w:rPr>
          <w:rStyle w:val="HideTWBExt"/>
        </w:rPr>
        <w:t>&lt;NumAm&gt;</w:t>
      </w:r>
      <w:r>
        <w:t>40</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regretă profund </w:t>
            </w:r>
            <w:r>
              <w:rPr>
                <w:b/>
                <w:i/>
              </w:rPr>
              <w:t>intenția unor</w:t>
            </w:r>
            <w:r>
              <w:t xml:space="preserve"> state membre ale UE de a se retrage din Convenția de la Ottawa din 1997 și din Convenția de la Oslo din 2008;</w:t>
            </w:r>
          </w:p>
        </w:tc>
        <w:tc>
          <w:tcPr>
            <w:tcW w:w="4876" w:type="dxa"/>
            <w:tcBorders>
              <w:top w:val="nil"/>
              <w:left w:val="nil"/>
              <w:bottom w:val="nil"/>
              <w:right w:val="nil"/>
            </w:tcBorders>
          </w:tcPr>
          <w:p>
            <w:pPr>
              <w:pStyle w:val="Normal6a"/>
            </w:pPr>
            <w:r>
              <w:t>4.</w:t>
            </w:r>
            <w:r>
              <w:tab/>
            </w:r>
            <w:r>
              <w:t xml:space="preserve">regretă profund </w:t>
            </w:r>
            <w:r>
              <w:rPr>
                <w:b/>
                <w:i/>
              </w:rPr>
              <w:t>deprioritizarea ajutorului umanitar, mai ales pentru femei și fete, de către unele</w:t>
            </w:r>
            <w:r>
              <w:t xml:space="preserve"> state membre ale UE</w:t>
            </w:r>
            <w:r>
              <w:rPr>
                <w:b/>
                <w:i/>
              </w:rPr>
              <w:t>, precum și intenția acestora</w:t>
            </w:r>
            <w:r>
              <w:t xml:space="preserve"> de a se retrage din Convenția de la Ottawa din 1997 și din Convenția de la Oslo din 2008;</w:t>
            </w:r>
          </w:p>
        </w:tc>
      </w:tr>
    </w:tbl>
    <w:p>
      <w:r>
        <w:rPr>
          <w:rStyle w:val="HideTWBExt"/>
        </w:rPr>
        <w:t>&lt;/Amend&gt;</w:t>
      </w:r>
    </w:p>
    <w:p>
      <w:pPr>
        <w:pStyle w:val="AmNumberTabs"/>
      </w:pPr>
      <w:r>
        <w:rPr>
          <w:rStyle w:val="HideTWBExt"/>
        </w:rPr>
        <w:t>&lt;Amend&gt;</w:t>
      </w:r>
      <w:r>
        <w:t>Amendamentul</w:t>
      </w:r>
      <w:r>
        <w:tab/>
      </w:r>
      <w:r>
        <w:tab/>
      </w:r>
      <w:r>
        <w:rPr>
          <w:rStyle w:val="HideTWBExt"/>
        </w:rPr>
        <w:t>&lt;NumAm&gt;</w:t>
      </w:r>
      <w:r>
        <w:t>41</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invită Comisia să consolideze acțiunile de prevenire a încălcărilor DIU și să remedieze problemele de monitorizare a încălcărilor DIU prin colectarea de date și acțiuni de promovare mai eficace, bazate pe dovezi;</w:t>
            </w:r>
          </w:p>
        </w:tc>
        <w:tc>
          <w:tcPr>
            <w:tcW w:w="4876" w:type="dxa"/>
            <w:tcBorders>
              <w:top w:val="nil"/>
              <w:left w:val="nil"/>
              <w:bottom w:val="nil"/>
              <w:right w:val="nil"/>
            </w:tcBorders>
          </w:tcPr>
          <w:p>
            <w:pPr>
              <w:pStyle w:val="Normal6a"/>
            </w:pPr>
            <w:r>
              <w:t>5.</w:t>
            </w:r>
            <w:r>
              <w:tab/>
            </w:r>
            <w:r>
              <w:t>invită Comisia și Serviciul European de Acțiune Externă (SEAE) să consolideze acțiunile de prevenire a încălcărilor DIU și să remedieze problemele de monitorizare a încălcărilor DIU prin colectarea de date și acțiuni de promovare mai eficace, bazate pe dovezi;</w:t>
            </w:r>
            <w:r>
              <w:rPr>
                <w:b/>
                <w:i/>
              </w:rPr>
              <w:t xml:space="preserve"> reafirmă că UE trebuie să joace un rol de lider la nivel multilateral în promovarea drepturilor femeilor în politica externă și în politica umanitară; invită UE, statele sale membre, Comisia și SEAE să-și ia angajamentul să avanseze către o politică de dezvoltare și umanitară care să implice o viziune intersecțională și care să țină seama de dimensiunea de gen și să promoveze și mai mult egalitatea de gen în acțiunea lor externă; salută, în acest sens, numărul tot mai mare de persoane de contact pentru chestiuni legate de gen și oficializarea lor, 99 % dintre delegațiile UE și 87 % dintre serviciile centrale dispunând în prezent de astfel de persoane; subliniază că punctele de contact umanitare pentru chestiuni legate de gen și de vârstă contribuie la menținerea accentului pe prevenirea violenței de gen și răspunsul la aceasta;</w:t>
            </w:r>
          </w:p>
        </w:tc>
      </w:tr>
    </w:tbl>
    <w:p>
      <w:r>
        <w:rPr>
          <w:rStyle w:val="HideTWBExt"/>
        </w:rPr>
        <w:t>&lt;/Amend&gt;</w:t>
      </w:r>
    </w:p>
    <w:p>
      <w:pPr>
        <w:pStyle w:val="AmNumberTabs"/>
      </w:pPr>
      <w:r>
        <w:rPr>
          <w:rStyle w:val="HideTWBExt"/>
        </w:rPr>
        <w:t>&lt;Amend&gt;</w:t>
      </w:r>
      <w:r>
        <w:t>Amendamentul</w:t>
      </w:r>
      <w:r>
        <w:tab/>
      </w:r>
      <w:r>
        <w:tab/>
      </w:r>
      <w:r>
        <w:rPr>
          <w:rStyle w:val="HideTWBExt"/>
        </w:rPr>
        <w:t>&lt;NumAm&gt;</w:t>
      </w:r>
      <w:r>
        <w:t>42</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invită din nou Comisia să elaboreze o strategie diplomatică umanitară a UE, alături de statele membre și de Serviciul European de Acțiune Externă (SEAE), pentru a stimula eforturile în domeniu și pentru a asigura o abordare mai sistematică și mai coordonată a diplomației umanitare;</w:t>
            </w:r>
          </w:p>
        </w:tc>
        <w:tc>
          <w:tcPr>
            <w:tcW w:w="4876" w:type="dxa"/>
            <w:tcBorders>
              <w:top w:val="nil"/>
              <w:left w:val="nil"/>
              <w:bottom w:val="nil"/>
              <w:right w:val="nil"/>
            </w:tcBorders>
          </w:tcPr>
          <w:p>
            <w:pPr>
              <w:pStyle w:val="Normal6a"/>
            </w:pPr>
            <w:r>
              <w:t>6.</w:t>
            </w:r>
            <w:r>
              <w:tab/>
            </w:r>
            <w:r>
              <w:t xml:space="preserve">invită din nou Comisia să elaboreze </w:t>
            </w:r>
            <w:r>
              <w:rPr>
                <w:b/>
                <w:i/>
              </w:rPr>
              <w:t>urgent</w:t>
            </w:r>
            <w:r>
              <w:t xml:space="preserve"> o strategie diplomatică umanitară a UE, alături de statele membre și de Serviciul European de Acțiune Externă (SEAE), pentru a stimula eforturile în domeniu și pentru a asigura o abordare mai sistematică și mai coordonată a diplomației umanitare;</w:t>
            </w:r>
          </w:p>
        </w:tc>
      </w:tr>
    </w:tbl>
    <w:p>
      <w:r>
        <w:rPr>
          <w:rStyle w:val="HideTWBExt"/>
        </w:rPr>
        <w:t>&lt;/Amend&gt;</w:t>
      </w:r>
    </w:p>
    <w:p>
      <w:pPr>
        <w:pStyle w:val="AmNumberTabs"/>
      </w:pPr>
      <w:r>
        <w:rPr>
          <w:rStyle w:val="HideTWBExt"/>
        </w:rPr>
        <w:t>&lt;Amend&gt;</w:t>
      </w:r>
      <w:r>
        <w:t>Amendamentul</w:t>
      </w:r>
      <w:r>
        <w:tab/>
      </w:r>
      <w:r>
        <w:tab/>
      </w:r>
      <w:r>
        <w:rPr>
          <w:rStyle w:val="HideTWBExt"/>
        </w:rPr>
        <w:t>&lt;NumAm&gt;</w:t>
      </w:r>
      <w:r>
        <w:t>43</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pune în lumină faptul că este nevoie de acces umanitar independent la toate structurile pentru migranți, inclusiv centrele de detenție, punctele critice și zonele de frontieră informale, în care femeile și persoanele LGBTIQ+ se confruntă cu riscuri sporite de violență, exploatare și refuz al serviciilor esențiale, inclusiv al asistenței medicale sexuale și reproductive; solicită mecanisme transparente de monitorizare și responsabilitate în astfel de contexte;</w:t>
            </w:r>
          </w:p>
        </w:tc>
      </w:tr>
    </w:tbl>
    <w:p>
      <w:r>
        <w:rPr>
          <w:rStyle w:val="HideTWBExt"/>
        </w:rPr>
        <w:t>&lt;/Amend&gt;</w:t>
      </w:r>
    </w:p>
    <w:p>
      <w:pPr>
        <w:pStyle w:val="AmNumberTabs"/>
      </w:pPr>
      <w:r>
        <w:rPr>
          <w:rStyle w:val="HideTWBExt"/>
        </w:rPr>
        <w:t>&lt;Amend&gt;</w:t>
      </w:r>
      <w:r>
        <w:t>Amendamentul</w:t>
      </w:r>
      <w:r>
        <w:tab/>
      </w:r>
      <w:r>
        <w:tab/>
      </w:r>
      <w:r>
        <w:rPr>
          <w:rStyle w:val="HideTWBExt"/>
        </w:rPr>
        <w:t>&lt;NumAm&gt;</w:t>
      </w:r>
      <w:r>
        <w:t>44</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invită Comisia și statele membre să înființeze sisteme de compensații, inclusiv măsuri simbolice, materiale și psihosociale, pentru victimele încălcărilor drepturilor sexuale și reproductive în contexte umanitare, în conformitate cu obligațiile internaționale în materie de drepturi ale omului; subliniază că în conceperea unor astfel de mecanisme trebuie să fie incluse comunitățile afectate, în special femeile și fetele;</w:t>
            </w:r>
          </w:p>
        </w:tc>
      </w:tr>
    </w:tbl>
    <w:p>
      <w:r>
        <w:rPr>
          <w:rStyle w:val="HideTWBExt"/>
        </w:rPr>
        <w:t>&lt;/Amend&gt;</w:t>
      </w:r>
    </w:p>
    <w:p>
      <w:pPr>
        <w:pStyle w:val="AmNumberTabs"/>
      </w:pPr>
      <w:r>
        <w:rPr>
          <w:rStyle w:val="HideTWBExt"/>
        </w:rPr>
        <w:t>&lt;Amend&gt;</w:t>
      </w:r>
      <w:r>
        <w:t>Amendamentul</w:t>
      </w:r>
      <w:r>
        <w:tab/>
      </w:r>
      <w:r>
        <w:tab/>
      </w:r>
      <w:r>
        <w:rPr>
          <w:rStyle w:val="HideTWBExt"/>
        </w:rPr>
        <w:t>&lt;NumAm&gt;</w:t>
      </w:r>
      <w:r>
        <w:t>45</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invită Comisia și statele membre să majoreze considerabil finanțarea ajutorului umanitar în următorul cadru financiar multianual (CFM), având în vedere mai ales decalajul tot mai mare dintre nevoile umanitare și finanțarea acordată;</w:t>
            </w:r>
          </w:p>
        </w:tc>
        <w:tc>
          <w:tcPr>
            <w:tcW w:w="4876" w:type="dxa"/>
            <w:tcBorders>
              <w:top w:val="nil"/>
              <w:left w:val="nil"/>
              <w:bottom w:val="nil"/>
              <w:right w:val="nil"/>
            </w:tcBorders>
          </w:tcPr>
          <w:p>
            <w:pPr>
              <w:pStyle w:val="Normal6a"/>
            </w:pPr>
            <w:r>
              <w:t>7.</w:t>
            </w:r>
            <w:r>
              <w:tab/>
            </w:r>
            <w:r>
              <w:t xml:space="preserve">invită Comisia și statele membre să </w:t>
            </w:r>
            <w:r>
              <w:rPr>
                <w:b/>
                <w:i/>
              </w:rPr>
              <w:t>își</w:t>
            </w:r>
            <w:r>
              <w:t xml:space="preserve"> majoreze considerabil finanțarea ajutorului umanitar</w:t>
            </w:r>
            <w:r>
              <w:rPr>
                <w:b/>
                <w:i/>
              </w:rPr>
              <w:t>, inclusiv</w:t>
            </w:r>
            <w:r>
              <w:t xml:space="preserve"> în următorul cadru financiar multianual (CFM), având în vedere mai ales decalajul tot mai mare dintre nevoile umanitare și finanțarea acordată</w:t>
            </w:r>
            <w:r>
              <w:rPr>
                <w:b/>
                <w:i/>
              </w:rPr>
              <w:t>, și solicită să se aloce fonduri specifice, sustenabile, flexibile și multianuale pentru a se asigura că nevoile femeilor și fetelor, inclusiv nevoile lor în materie de sănătate sexuală și reproductivă, sunt acoperite în intervențiile umanitare, inclusiv prin finanțarea organizațiilor pentru drepturile femeilor, care au cel mai mare acces la comunitățile afectate de crize</w:t>
            </w:r>
            <w:r>
              <w:t>;</w:t>
            </w:r>
          </w:p>
        </w:tc>
      </w:tr>
    </w:tbl>
    <w:p>
      <w:r>
        <w:rPr>
          <w:rStyle w:val="HideTWBExt"/>
        </w:rPr>
        <w:t>&lt;/Amend&gt;</w:t>
      </w:r>
    </w:p>
    <w:p>
      <w:pPr>
        <w:pStyle w:val="AmNumberTabs"/>
      </w:pPr>
      <w:r>
        <w:rPr>
          <w:rStyle w:val="HideTWBExt"/>
        </w:rPr>
        <w:t>&lt;Amend&gt;</w:t>
      </w:r>
      <w:r>
        <w:t>Amendamentul</w:t>
      </w:r>
      <w:r>
        <w:tab/>
      </w:r>
      <w:r>
        <w:tab/>
      </w:r>
      <w:r>
        <w:rPr>
          <w:rStyle w:val="HideTWBExt"/>
        </w:rPr>
        <w:t>&lt;NumAm&gt;</w:t>
      </w:r>
      <w:r>
        <w:t>46</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invită Comisia să se asigure că ajutorul umanitar oferă finanțare cu prioritate proiectelor și organizațiilor care ajută în primul rând femeile și fetele victime ale conflictelor și ale încălzirii globale, refugiate sau în situație de nevoie umanitară, în cazul cărora există cele mai mari riscuri de a-și pierde finanțarea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Raportul ONU din aprilie 2025, „At a breaking point: The impact of foreign aid cuts on women’s organizations in humanitarian crises worldwide”.</w:t>
            </w:r>
          </w:p>
        </w:tc>
      </w:tr>
    </w:tbl>
    <w:p>
      <w:r>
        <w:rPr>
          <w:rStyle w:val="HideTWBExt"/>
        </w:rPr>
        <w:t>&lt;/Amend&gt;</w:t>
      </w:r>
    </w:p>
    <w:p>
      <w:pPr>
        <w:pStyle w:val="AmNumberTabs"/>
      </w:pPr>
      <w:r>
        <w:rPr>
          <w:rStyle w:val="HideTWBExt"/>
        </w:rPr>
        <w:t>&lt;Amend&gt;</w:t>
      </w:r>
      <w:r>
        <w:t>Amendamentul</w:t>
      </w:r>
      <w:r>
        <w:tab/>
      </w:r>
      <w:r>
        <w:tab/>
      </w:r>
      <w:r>
        <w:rPr>
          <w:rStyle w:val="HideTWBExt"/>
        </w:rPr>
        <w:t>&lt;NumAm&gt;</w:t>
      </w:r>
      <w:r>
        <w:t>47</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solicită ca toate proiectele umanitare finanțate de UE să includă indicatori și mecanisme de monitorizare care iau în considerare dimensiunea de gen pentru a se asigura că ajutorul ajunge efectiv la femei și fete, răspunde nevoilor lor specifice și contribuie la promovarea egalității de gen; subliniază că este important să se elaboreze răspunsuri umanitare adaptate care să țină seama de nevoile și realitățile femeilor care trăiesc în zonele rurale afectate de crize multiple;</w:t>
            </w:r>
          </w:p>
        </w:tc>
      </w:tr>
    </w:tbl>
    <w:p>
      <w:r>
        <w:rPr>
          <w:rStyle w:val="HideTWBExt"/>
        </w:rPr>
        <w:t>&lt;/Amend&gt;</w:t>
      </w:r>
    </w:p>
    <w:p>
      <w:pPr>
        <w:pStyle w:val="AmNumberTabs"/>
      </w:pPr>
      <w:r>
        <w:rPr>
          <w:rStyle w:val="HideTWBExt"/>
        </w:rPr>
        <w:t>&lt;Amend&gt;</w:t>
      </w:r>
      <w:r>
        <w:t>Amendamentul</w:t>
      </w:r>
      <w:r>
        <w:tab/>
      </w:r>
      <w:r>
        <w:tab/>
      </w:r>
      <w:r>
        <w:rPr>
          <w:rStyle w:val="HideTWBExt"/>
        </w:rPr>
        <w:t>&lt;NumAm&gt;</w:t>
      </w:r>
      <w:r>
        <w:t>48</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7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subliniază că este important ca eforturile de sprijinire a abordărilor inovatoare în materie de finanțare umanitară să le ia în considerare în mod specific pe cele care capacitează femeile și fetele din punct de vedere economic și social; subliniază importanța unor rapoarte transparente și a unor evaluări independente ale impactului acțiunilor umanitare finanțate de UE asupra aspectelor de gen;</w:t>
            </w:r>
          </w:p>
        </w:tc>
      </w:tr>
    </w:tbl>
    <w:p>
      <w:r>
        <w:rPr>
          <w:rStyle w:val="HideTWBExt"/>
        </w:rPr>
        <w:t>&lt;/Amend&gt;</w:t>
      </w:r>
    </w:p>
    <w:p>
      <w:pPr>
        <w:pStyle w:val="AmNumberTabs"/>
      </w:pPr>
      <w:r>
        <w:rPr>
          <w:rStyle w:val="HideTWBExt"/>
        </w:rPr>
        <w:t>&lt;Amend&gt;</w:t>
      </w:r>
      <w:r>
        <w:t>Amendamentul</w:t>
      </w:r>
      <w:r>
        <w:tab/>
      </w:r>
      <w:r>
        <w:tab/>
      </w:r>
      <w:r>
        <w:rPr>
          <w:rStyle w:val="HideTWBExt"/>
        </w:rPr>
        <w:t>&lt;NumAm&gt;</w:t>
      </w:r>
      <w:r>
        <w:t>49</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7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7d.</w:t>
            </w:r>
            <w:r>
              <w:tab/>
            </w:r>
            <w:r>
              <w:rPr>
                <w:b/>
                <w:i/>
              </w:rPr>
              <w:t>îndeamnă Comisia să respingă tendința crescândă de retragere a finanțării pentru ajutorul umanitar și subliniază că sprijinul nu ține de capacitate, ci de voință politică și responsabilitate morală; insistă asupra faptului că Comisia și UE în sens larg trebuie să conducă prin puterea exemplului și să asigure o finanțare solidă și susținută a eforturilor umanitare;</w:t>
            </w:r>
          </w:p>
        </w:tc>
      </w:tr>
    </w:tbl>
    <w:p>
      <w:r>
        <w:rPr>
          <w:rStyle w:val="HideTWBExt"/>
        </w:rPr>
        <w:t>&lt;/Amend&gt;</w:t>
      </w:r>
    </w:p>
    <w:p>
      <w:pPr>
        <w:pStyle w:val="AmNumberTabs"/>
      </w:pPr>
      <w:r>
        <w:rPr>
          <w:rStyle w:val="HideTWBExt"/>
        </w:rPr>
        <w:t>&lt;Amend&gt;</w:t>
      </w:r>
      <w:r>
        <w:t>Amendamentul</w:t>
      </w:r>
      <w:r>
        <w:tab/>
      </w:r>
      <w:r>
        <w:tab/>
      </w:r>
      <w:r>
        <w:rPr>
          <w:rStyle w:val="HideTWBExt"/>
        </w:rPr>
        <w:t>&lt;NumAm&gt;</w:t>
      </w:r>
      <w:r>
        <w:t>50</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7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7e.</w:t>
            </w:r>
            <w:r>
              <w:tab/>
            </w:r>
            <w:r>
              <w:rPr>
                <w:b/>
                <w:i/>
              </w:rPr>
              <w:t>regretă că ajutorul pentru dezvoltare și ajutorul umanitar acordate de Uniunea Europeană sub formă de granturi pentru ONG-uri recunoscute ca fiind de interes public sunt instrumentalizate și criticate de mișcările reacționare și de partidele naționaliste chiar din Parlamentul European;</w:t>
            </w:r>
          </w:p>
        </w:tc>
      </w:tr>
    </w:tbl>
    <w:p>
      <w:r>
        <w:rPr>
          <w:rStyle w:val="HideTWBExt"/>
        </w:rPr>
        <w:t>&lt;/Amend&gt;</w:t>
      </w:r>
    </w:p>
    <w:p>
      <w:pPr>
        <w:pStyle w:val="AmNumberTabs"/>
      </w:pPr>
      <w:r>
        <w:rPr>
          <w:rStyle w:val="HideTWBExt"/>
        </w:rPr>
        <w:t>&lt;Amend&gt;</w:t>
      </w:r>
      <w:r>
        <w:t>Amendamentul</w:t>
      </w:r>
      <w:r>
        <w:tab/>
      </w:r>
      <w:r>
        <w:tab/>
      </w:r>
      <w:r>
        <w:rPr>
          <w:rStyle w:val="HideTWBExt"/>
        </w:rPr>
        <w:t>&lt;NumAm&gt;</w:t>
      </w:r>
      <w:r>
        <w:t>51</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7 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7f.</w:t>
            </w:r>
            <w:r>
              <w:tab/>
            </w:r>
            <w:r>
              <w:rPr>
                <w:b/>
                <w:i/>
              </w:rPr>
              <w:t>subliniază că majorarea cheltuielilor pentru apărare nu trebuie să fie în detrimentul ajutorului umanitar, în special în contextul crizelor de la nivel mondial care afectează disproporționat femeile și fetele; subliniază că reducerea finanțării umanitare riscă să adâncească inegalitățile de gen și să submineze sprijinul esențial pentru sănătatea, siguranța și mijloacele de subzistență ale femeilor în situații de conflict și dezastre;</w:t>
            </w:r>
          </w:p>
        </w:tc>
      </w:tr>
    </w:tbl>
    <w:p>
      <w:r>
        <w:rPr>
          <w:rStyle w:val="HideTWBExt"/>
        </w:rPr>
        <w:t>&lt;/Amend&gt;</w:t>
      </w:r>
    </w:p>
    <w:p>
      <w:pPr>
        <w:pStyle w:val="AmNumberTabs"/>
      </w:pPr>
      <w:r>
        <w:rPr>
          <w:rStyle w:val="HideTWBExt"/>
        </w:rPr>
        <w:t>&lt;Amend&gt;</w:t>
      </w:r>
      <w:r>
        <w:t>Amendamentul</w:t>
      </w:r>
      <w:r>
        <w:tab/>
      </w:r>
      <w:r>
        <w:tab/>
      </w:r>
      <w:r>
        <w:rPr>
          <w:rStyle w:val="HideTWBExt"/>
        </w:rPr>
        <w:t>&lt;NumAm&gt;</w:t>
      </w:r>
      <w:r>
        <w:t>52</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invită statele membre să își îndeplinească angajamentul colectiv de a furniza cel puțin 0,7 % din venitul național brut (VNB) ca asistență oficială pentru dezvoltare (AOD) și să aloce 10 % din AOD acțiunilor umanitare;</w:t>
            </w:r>
          </w:p>
        </w:tc>
        <w:tc>
          <w:tcPr>
            <w:tcW w:w="4876" w:type="dxa"/>
            <w:tcBorders>
              <w:top w:val="nil"/>
              <w:left w:val="nil"/>
              <w:bottom w:val="nil"/>
              <w:right w:val="nil"/>
            </w:tcBorders>
          </w:tcPr>
          <w:p>
            <w:pPr>
              <w:pStyle w:val="Normal6a"/>
            </w:pPr>
            <w:r>
              <w:t>11.</w:t>
            </w:r>
            <w:r>
              <w:tab/>
            </w:r>
            <w:r>
              <w:t>invită statele membre să își îndeplinească angajamentul colectiv de a furniza cel puțin 0,7 % din venitul național brut (VNB) ca asistență oficială pentru dezvoltare (AOD) și să aloce 10 % din AOD acțiunilor umanitare;</w:t>
            </w:r>
            <w:r>
              <w:rPr>
                <w:b/>
                <w:i/>
              </w:rPr>
              <w:t xml:space="preserve"> invită Comisia să asigure o finanțare regulată, adecvată și sustenabilă; solicită ca ajutorul umanitar să fi finanțat în principal din resurse publice, inclusiv organizații care lucrează în domeniul egalității de gen și al drepturilor femeilor, deoarece reducerea asistenței va submina grav accesul la serviciile vitale furnizate de organizațiile pentru drepturile femeilor și de organizațiile conduse de femei; reafirmă importanța investițiilor în femei și fete, ca investiție strategică cu efect pozitiv pe termen lung pentru toată lumea, influențând prosperitatea socială și economică a generațiilor viitoare; regretă retragerea finanțării din partea USAID și reafirmă efectul devastator al acestei măsuri asupra atingerii obiectivului comunității mondiale de a realiza egalitatea de gen și de a capacita toate femeile și fetele; regretă efectul negativ pe care reducerea accesului la educație sexuală și sănătate reproductivă îl are asupra ratelor mortalității materne; subliniază că investițiile în egalitatea de gen salvează vieți în contexte umanitare; invită Comisia și statele membre să abordeze urgent lacunele lăsate de SUA, inclusiv prin majorarea contribuției UE, pentru a susține organizațiile care oferă servicii esențiale, salvatoare de vieți, în contexte umanitare, inclusiv în domeniul sănătății sexuale și reproductive și al drepturilor aferente;</w:t>
            </w:r>
          </w:p>
        </w:tc>
      </w:tr>
    </w:tbl>
    <w:p>
      <w:r>
        <w:rPr>
          <w:rStyle w:val="HideTWBExt"/>
        </w:rPr>
        <w:t>&lt;/Amend&gt;</w:t>
      </w:r>
    </w:p>
    <w:p>
      <w:pPr>
        <w:pStyle w:val="AmNumberTabs"/>
      </w:pPr>
      <w:r>
        <w:rPr>
          <w:rStyle w:val="HideTWBExt"/>
        </w:rPr>
        <w:t>&lt;Amend&gt;</w:t>
      </w:r>
      <w:r>
        <w:t>Amendamentul</w:t>
      </w:r>
      <w:r>
        <w:tab/>
      </w:r>
      <w:r>
        <w:tab/>
      </w:r>
      <w:r>
        <w:rPr>
          <w:rStyle w:val="HideTWBExt"/>
        </w:rPr>
        <w:t>&lt;NumAm&gt;</w:t>
      </w:r>
      <w:r>
        <w:t>53</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t>avertizează cu privire la eliminarea treptată de pe lista priorităților a finanțării drepturilor femeilor și faptul că mișcările de la nivel local și organizațiile pentru drepturile femeilor continuă să fie sistemic subfinanțate, primind mai puțin de 1 % din AOD la nivel mondial</w:t>
            </w:r>
            <w:r>
              <w:rPr>
                <w:vertAlign w:val="superscript"/>
              </w:rPr>
              <w:t>1a</w:t>
            </w:r>
            <w:r>
              <w:t>;</w:t>
            </w:r>
            <w:r>
              <w:rPr>
                <w:b/>
                <w:i/>
              </w:rPr>
              <w:t xml:space="preserve"> subliniază totodată creșterea îngrijorătoare a finanțării mișcării anti-gen, care urmărește să contracareze progresele din domeniul drepturilor femeilor și ale persoanelor LGBTIQ+ din ultimele decenii; invită Comisia să se angajeze ca 85 % din finanțarea AOD să fie alocată proiectelor care includ egalitatea de gen ca obiectiv important sau principal și cel puțin 20 % proiectelor care sprijină acțiuni pentru egalitatea de gen, drepturile și capacitarea femeilor și a fetelor, ca obiectiv principal în următorul CFM; solicită instituirea unor mecanisme specifice de protecție și relocare la nivelul UE pentru apărătorii drepturilor femeilor și organizațiile feministe vizate din cauza activității lor în domeniul drepturilor sexuale și reproductive și al egalității de gen, în special în contextul autoritarismului, al conflictelor și al ocupației;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vertAlign w:val="superscript"/>
              </w:rPr>
              <w:t>1a</w:t>
            </w:r>
            <w:r>
              <w:t xml:space="preserve"> </w:t>
            </w:r>
            <w:r>
              <w:rPr>
                <w:b/>
                <w:i/>
              </w:rPr>
              <w:t>Sinteză politică a ODI – „Where next for feminist foreign policy on funding feminist movements?” https://media.odi.org/documents/ODI-ET-FundingMovements-PB-EN-May24-Final.pdf.</w:t>
            </w:r>
          </w:p>
        </w:tc>
      </w:tr>
    </w:tbl>
    <w:p>
      <w:r>
        <w:rPr>
          <w:rStyle w:val="HideTWBExt"/>
        </w:rPr>
        <w:t>&lt;/Amend&gt;</w:t>
      </w:r>
    </w:p>
    <w:p>
      <w:pPr>
        <w:pStyle w:val="AmNumberTabs"/>
      </w:pPr>
      <w:r>
        <w:rPr>
          <w:rStyle w:val="HideTWBExt"/>
        </w:rPr>
        <w:t>&lt;Amend&gt;</w:t>
      </w:r>
      <w:r>
        <w:t>Amendamentul</w:t>
      </w:r>
      <w:r>
        <w:tab/>
      </w:r>
      <w:r>
        <w:tab/>
      </w:r>
      <w:r>
        <w:rPr>
          <w:rStyle w:val="HideTWBExt"/>
        </w:rPr>
        <w:t>&lt;NumAm&gt;</w:t>
      </w:r>
      <w:r>
        <w:t>54</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 subliniază că, dată fiind diversitatea contextelor fragile, este nevoie de abordări adaptate și de instrumente financiare specifice, care să încurajeze acțiunea concertată a actorilor din domeniul umanitar, al dezvoltării și al păcii, cu un accent deosebit pe colaborarea cu actorii locali și pe capacitarea acestora;</w:t>
            </w:r>
          </w:p>
        </w:tc>
        <w:tc>
          <w:tcPr>
            <w:tcW w:w="4876" w:type="dxa"/>
            <w:tcBorders>
              <w:top w:val="nil"/>
              <w:left w:val="nil"/>
              <w:bottom w:val="nil"/>
              <w:right w:val="nil"/>
            </w:tcBorders>
          </w:tcPr>
          <w:p>
            <w:pPr>
              <w:pStyle w:val="Normal6a"/>
            </w:pPr>
            <w:r>
              <w:t xml:space="preserve">12. </w:t>
            </w:r>
            <w:r>
              <w:rPr>
                <w:b/>
                <w:i/>
              </w:rPr>
              <w:t xml:space="preserve">subliniază legătura profundă dintre conflictele armate și crizele umanitare și climatice, creșterea migrației forțate și a traficului de persoane și riscul de exploatare, care afectează disproporționat femeile și fetele; subliniază necesitatea de a consolida măsurile de prevenire, identificare, protejare și sprijinire a victimelor, asigurându-se că toate acțiunile umanitare includ o perspectivă de gen și că promovează drepturile persoanelor celor mai vulnerabile, printr-o coordonare eficace între instituțiile UE, statele membre și organizațiile internaționale relevante; își exprimă îngrijorarea cu privire la intensificarea riscului de trafic de persoane în contexte umanitare, când traficanții exploatează circumstanțele vulnerabile și disperate ale populațiilor strămutate, în special ale femeilor și fetelor; subliniază necesitatea unor măsuri de protecție care să țină seama de dimensiunea de gen, inclusiv a unor mecanisme sigure de raportare, a accesului la servicii esențiale și a integrării eforturilor de combatere a traficului de persoane în toate etapele răspunsului umanitar; </w:t>
            </w:r>
            <w:r>
              <w:t>subliniază că, dată fiind diversitatea contextelor fragile, este nevoie de abordări adaptate și de instrumente financiare specifice, care să încurajeze acțiunea concertată a actorilor din domeniul umanitar, al dezvoltării și al păcii, cu un accent deosebit pe colaborarea cu actorii locali și pe capacitarea acestora;</w:t>
            </w:r>
            <w:r>
              <w:rPr>
                <w:b/>
                <w:i/>
              </w:rPr>
              <w:t xml:space="preserve"> subliniază că, în crizele umanitare, femeile și fetele sunt afectate în mod disproporționat de prăbușirea serviciilor esențiale, iar nevoile lor de bază sunt adesea primele nesatisfăcute, chiar dacă se așteaptă din partea lor să acopere lacunele în materie de servicii – de exemplu, prin asumarea și mai multor responsabilități de îngrijire și prin asigurarea hranei și a apei; subliniază că strategiile umanitare trebuie să ia în considerare nevoile specifice atât ale femeilor tinere, cât și ale celor în vârstă, care se confruntă adesea cu vulnerabilități distincte, cum ar fi excluderea din procesele de planificare, accesul limitat la servicii adaptate și riscul agravat de abuz sau neglijență; solicită programe specifice adaptate tinerilor, mai ales femeilor și fetelor, care să le garanteze accesul la educație, la sănătate menstruală, la sănătate sexuală și reproductivă și la sprijin psihosocial;</w:t>
            </w:r>
            <w:r>
              <w:br/>
            </w:r>
          </w:p>
        </w:tc>
      </w:tr>
    </w:tbl>
    <w:p>
      <w:r>
        <w:rPr>
          <w:rStyle w:val="HideTWBExt"/>
        </w:rPr>
        <w:t>&lt;/Amend&gt;</w:t>
      </w:r>
    </w:p>
    <w:p>
      <w:pPr>
        <w:pStyle w:val="AmNumberTabs"/>
      </w:pPr>
      <w:r>
        <w:rPr>
          <w:rStyle w:val="HideTWBExt"/>
        </w:rPr>
        <w:t>&lt;Amend&gt;</w:t>
      </w:r>
      <w:r>
        <w:t>Amendamentul</w:t>
      </w:r>
      <w:r>
        <w:tab/>
      </w:r>
      <w:r>
        <w:tab/>
      </w:r>
      <w:r>
        <w:rPr>
          <w:rStyle w:val="HideTWBExt"/>
        </w:rPr>
        <w:t>&lt;NumAm&gt;</w:t>
      </w:r>
      <w:r>
        <w:t>55</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solicită să se asigure autonomizarea economică a femeilor și a fetelor și să se garanteze accesul permanent al femeilor și fetelor la venituri, educație, alimente și spații sigure, precum și să se recunoască faptul că absența acestor elemente esențiale crește semnificativ riscul de violență economică, de exploatare și de practici dăunătoare bazate pe gen, cum ar fi căsătoria timpurie, exploatarea sexuală și migrația pe rute periculoase;</w:t>
            </w:r>
          </w:p>
        </w:tc>
      </w:tr>
    </w:tbl>
    <w:p>
      <w:r>
        <w:rPr>
          <w:rStyle w:val="HideTWBExt"/>
        </w:rPr>
        <w:t>&lt;/Amend&gt;</w:t>
      </w:r>
    </w:p>
    <w:p>
      <w:pPr>
        <w:pStyle w:val="AmNumberTabs"/>
      </w:pPr>
      <w:r>
        <w:rPr>
          <w:rStyle w:val="HideTWBExt"/>
        </w:rPr>
        <w:t>&lt;Amend&gt;</w:t>
      </w:r>
      <w:r>
        <w:t>Amendamentul</w:t>
      </w:r>
      <w:r>
        <w:tab/>
      </w:r>
      <w:r>
        <w:tab/>
      </w:r>
      <w:r>
        <w:rPr>
          <w:rStyle w:val="HideTWBExt"/>
        </w:rPr>
        <w:t>&lt;NumAm&gt;</w:t>
      </w:r>
      <w:r>
        <w:t>56</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subliniază, în special, situația din Afganistan, țară care se confruntă cu o criză umanitară gravă și complexă, peste 23,7 milioane de persoane având nevoie de asistență; constată că este probabil ca situația să se deterioreze și mai mult din cauza expulzării refugiaților din Pakistan și Iran și a instabilității regionale actuale; salută angajamentul UE de a acorda sprijin în valoare de 266 de milioane EUR și solicită acțiuni locale specifice pentru a sprijini femeile și fetele;</w:t>
            </w:r>
          </w:p>
        </w:tc>
      </w:tr>
    </w:tbl>
    <w:p>
      <w:r>
        <w:rPr>
          <w:rStyle w:val="HideTWBExt"/>
        </w:rPr>
        <w:t>&lt;/Amend&gt;</w:t>
      </w:r>
    </w:p>
    <w:p>
      <w:pPr>
        <w:pStyle w:val="AmNumberTabs"/>
      </w:pPr>
      <w:r>
        <w:rPr>
          <w:rStyle w:val="HideTWBExt"/>
        </w:rPr>
        <w:t>&lt;Amend&gt;</w:t>
      </w:r>
      <w:r>
        <w:t>Amendamentul</w:t>
      </w:r>
      <w:r>
        <w:tab/>
      </w:r>
      <w:r>
        <w:tab/>
      </w:r>
      <w:r>
        <w:rPr>
          <w:rStyle w:val="HideTWBExt"/>
        </w:rPr>
        <w:t>&lt;NumAm&gt;</w:t>
      </w:r>
      <w:r>
        <w:t>57</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invită Comisia să prezinte fără întârziere o </w:t>
            </w:r>
            <w:r>
              <w:rPr>
                <w:b/>
                <w:i/>
              </w:rPr>
              <w:t>abordare</w:t>
            </w:r>
            <w:r>
              <w:t xml:space="preserve"> ambițioasă și integrată </w:t>
            </w:r>
            <w:r>
              <w:rPr>
                <w:b/>
                <w:i/>
              </w:rPr>
              <w:t>a problemei fragilității</w:t>
            </w:r>
            <w:r>
              <w:t xml:space="preserve"> și să consulte Parlamentul în legătură cu pregătirea și punerea în aplicare a acestei </w:t>
            </w:r>
            <w:r>
              <w:rPr>
                <w:b/>
                <w:i/>
              </w:rPr>
              <w:t>abordări</w:t>
            </w:r>
            <w:r>
              <w:t>;</w:t>
            </w:r>
          </w:p>
        </w:tc>
        <w:tc>
          <w:tcPr>
            <w:tcW w:w="4876" w:type="dxa"/>
            <w:tcBorders>
              <w:top w:val="nil"/>
              <w:left w:val="nil"/>
              <w:bottom w:val="nil"/>
              <w:right w:val="nil"/>
            </w:tcBorders>
          </w:tcPr>
          <w:p>
            <w:pPr>
              <w:pStyle w:val="Normal6a"/>
            </w:pPr>
            <w:r>
              <w:t>13.</w:t>
            </w:r>
            <w:r>
              <w:tab/>
            </w:r>
            <w:r>
              <w:t xml:space="preserve">invită Comisia </w:t>
            </w:r>
            <w:r>
              <w:rPr>
                <w:b/>
                <w:i/>
              </w:rPr>
              <w:t>și SEAE</w:t>
            </w:r>
            <w:r>
              <w:t xml:space="preserve"> să prezinte fără întârziere o </w:t>
            </w:r>
            <w:r>
              <w:rPr>
                <w:b/>
                <w:i/>
              </w:rPr>
              <w:t>strategie</w:t>
            </w:r>
            <w:r>
              <w:t xml:space="preserve"> ambițioasă și integrată </w:t>
            </w:r>
            <w:r>
              <w:rPr>
                <w:b/>
                <w:i/>
              </w:rPr>
              <w:t>privind fragilitatea, ținând seama de dimensiunea de gen,</w:t>
            </w:r>
            <w:r>
              <w:t xml:space="preserve"> și să consulte Parlamentul în legătură cu pregătirea și punerea în aplicare a acestei </w:t>
            </w:r>
            <w:r>
              <w:rPr>
                <w:b/>
                <w:i/>
              </w:rPr>
              <w:t>strategii;</w:t>
            </w:r>
            <w:r>
              <w:rPr>
                <w:b/>
                <w:i/>
              </w:rPr>
              <w:t xml:space="preserve"> subliniază că femeile în contexte umanitare ar trebui să fie recunoscute nu doar ca victime, ci și ca agenți ai schimbării, care impulsionează activ obținerea de transformări pozitive și-și modelează propriile destine; </w:t>
            </w:r>
            <w:r>
              <w:rPr>
                <w:b/>
                <w:i/>
              </w:rPr>
              <w:t>reliefează că potențialul, cunoștințele și capacitatea deplină a femeilor trebuie luate în considerare și integrate substanțial în reforma politicilor și a practicilor umanitare și de securitate, pentru a asigura reacții mai incluzive, mai eficace și mai sustenabile</w:t>
            </w:r>
            <w:r>
              <w:t>;</w:t>
            </w:r>
          </w:p>
        </w:tc>
      </w:tr>
    </w:tbl>
    <w:p>
      <w:r>
        <w:rPr>
          <w:rStyle w:val="HideTWBExt"/>
        </w:rPr>
        <w:t>&lt;/Amend&gt;</w:t>
      </w:r>
    </w:p>
    <w:p>
      <w:pPr>
        <w:pStyle w:val="AmNumberTabs"/>
      </w:pPr>
      <w:r>
        <w:rPr>
          <w:rStyle w:val="HideTWBExt"/>
        </w:rPr>
        <w:t>&lt;Amend&gt;</w:t>
      </w:r>
      <w:r>
        <w:t>Amendamentul</w:t>
      </w:r>
      <w:r>
        <w:tab/>
      </w:r>
      <w:r>
        <w:tab/>
      </w:r>
      <w:r>
        <w:rPr>
          <w:rStyle w:val="HideTWBExt"/>
        </w:rPr>
        <w:t>&lt;NumAm&gt;</w:t>
      </w:r>
      <w:r>
        <w:t>58</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subliniază necesitatea urgentă de a integra un model incluziv și care ia în considerare dimensiunea de gen în întreaga planificare umanitară, cu un accent deosebit pe nevoile specifice ale femeilor și fetelor, inclusiv ale femeilor însărcinate și ale grupurilor marginalizate, cum ar fi persoanele LGBTIQ+, persoanele cu dizabilități și persoanele care se confruntă cu discriminarea intersecțională, și de a asigura participarea lor semnificativă la procesul decizional umanitar; subliniază că răspunsurile umanitare trebuie să acorde prioritate siguranței, demnității și accesului la servicii al femeilor și al altor grupuri vulnerabile, adesea trecute cu vederea în situații de criză; consideră, în acest sens, că colectarea de date defalcate în funcție de vârstă, gen și dizabilitate este esențială pentru planificarea și evaluarea unui răspuns umanitar eficace;</w:t>
            </w:r>
          </w:p>
        </w:tc>
      </w:tr>
    </w:tbl>
    <w:p>
      <w:r>
        <w:rPr>
          <w:rStyle w:val="HideTWBExt"/>
        </w:rPr>
        <w:t>&lt;/Amend&gt;</w:t>
      </w:r>
    </w:p>
    <w:p>
      <w:pPr>
        <w:pStyle w:val="AmNumberTabs"/>
      </w:pPr>
      <w:r>
        <w:rPr>
          <w:rStyle w:val="HideTWBExt"/>
        </w:rPr>
        <w:t>&lt;Amend&gt;</w:t>
      </w:r>
      <w:r>
        <w:t>Amendamentul</w:t>
      </w:r>
      <w:r>
        <w:tab/>
      </w:r>
      <w:r>
        <w:tab/>
      </w:r>
      <w:r>
        <w:rPr>
          <w:rStyle w:val="HideTWBExt"/>
        </w:rPr>
        <w:t>&lt;NumAm&gt;</w:t>
      </w:r>
      <w:r>
        <w:t>59</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13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reamintește indicatorul de gen și vârstă al Comisiei pentru acțiunile umanitare și subliniază importanța orientărilor furnizate privind modul de integrare a preocupărilor legate de gen și vârstă în acțiunile umanitare și privind modul de aplicare a indicatorului în cazul proiectelor umanitare;</w:t>
            </w:r>
          </w:p>
        </w:tc>
      </w:tr>
    </w:tbl>
    <w:p>
      <w:r>
        <w:rPr>
          <w:rStyle w:val="HideTWBExt"/>
        </w:rPr>
        <w:t>&lt;/Amend&gt;</w:t>
      </w:r>
    </w:p>
    <w:p>
      <w:pPr>
        <w:pStyle w:val="AmNumberTabs"/>
      </w:pPr>
      <w:r>
        <w:rPr>
          <w:rStyle w:val="HideTWBExt"/>
        </w:rPr>
        <w:t>&lt;Amend&gt;</w:t>
      </w:r>
      <w:r>
        <w:t>Amendamentul</w:t>
      </w:r>
      <w:r>
        <w:tab/>
      </w:r>
      <w:r>
        <w:tab/>
      </w:r>
      <w:r>
        <w:rPr>
          <w:rStyle w:val="HideTWBExt"/>
        </w:rPr>
        <w:t>&lt;NumAm&gt;</w:t>
      </w:r>
      <w:r>
        <w:t>60</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13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subliniază că este important ca Uniunea să continue să elaboreze politici și orientări în domenii relevante ale ajutorului umanitar, bazându-se pe impactul pe care politicile sale tematice îl au în domenii precum protecția, genul, dizabilitatea, alimentația, nutriția, sănătatea – inclusiv sănătatea mintală și asistența psihosocială – adăpostul, apa, salubritatea și igiena, educația în situații de urgență, mediul și modalitățile de acordare a ajutoarelor; solicită creșterea investițiilor în sprijinirea sănătății mintale, inclusiv a îngrijirii în cunoștință de cauză a traumelor, pentru femei, fete și persoane LGBTIQ+ în contexte umanitare, recunoscând consecințele psihologice pe termen lung ale conflictelor armate, ale strămutărilor și ale violenței de gen;</w:t>
            </w:r>
          </w:p>
        </w:tc>
      </w:tr>
    </w:tbl>
    <w:p>
      <w:r>
        <w:rPr>
          <w:rStyle w:val="HideTWBExt"/>
        </w:rPr>
        <w:t>&lt;/Amend&gt;</w:t>
      </w:r>
    </w:p>
    <w:p>
      <w:pPr>
        <w:pStyle w:val="AmNumberTabs"/>
      </w:pPr>
      <w:r>
        <w:rPr>
          <w:rStyle w:val="HideTWBExt"/>
        </w:rPr>
        <w:t>&lt;Amend&gt;</w:t>
      </w:r>
      <w:r>
        <w:t>Amendamentul</w:t>
      </w:r>
      <w:r>
        <w:tab/>
      </w:r>
      <w:r>
        <w:tab/>
      </w:r>
      <w:r>
        <w:rPr>
          <w:rStyle w:val="HideTWBExt"/>
        </w:rPr>
        <w:t>&lt;NumAm&gt;</w:t>
      </w:r>
      <w:r>
        <w:t>61</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13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13d.</w:t>
            </w:r>
            <w:r>
              <w:tab/>
            </w:r>
            <w:r>
              <w:rPr>
                <w:b/>
                <w:i/>
              </w:rPr>
              <w:t>încurajează Comisia să stabilească orientări prin care să solicite ca furnizarea și finanțarea de materiale și servicii de sănătate sexuală și reproductivă, astfel cum sunt prezentate în pachetul minim de servicii inițiale pentru sănătatea sexuală și reproductivă, să fie incluse în mod sistematic în răspunsurile umanitare, inclusiv privind prevenirea HIV/SIDA, sănătatea reproductivă, sănătatea maternă și a nou-născuților și planificarea familială, abordând nevoile nutriționale și vulnerabilitățile specifice;</w:t>
            </w:r>
          </w:p>
        </w:tc>
      </w:tr>
    </w:tbl>
    <w:p>
      <w:r>
        <w:rPr>
          <w:rStyle w:val="HideTWBExt"/>
        </w:rPr>
        <w:t>&lt;/Amend&gt;</w:t>
      </w:r>
    </w:p>
    <w:p>
      <w:pPr>
        <w:pStyle w:val="AmNumberTabs"/>
      </w:pPr>
      <w:r>
        <w:rPr>
          <w:rStyle w:val="HideTWBExt"/>
        </w:rPr>
        <w:t>&lt;Amend&gt;</w:t>
      </w:r>
      <w:r>
        <w:t>Amendamentul</w:t>
      </w:r>
      <w:r>
        <w:tab/>
      </w:r>
      <w:r>
        <w:tab/>
      </w:r>
      <w:r>
        <w:rPr>
          <w:rStyle w:val="HideTWBExt"/>
        </w:rPr>
        <w:t>&lt;NumAm&gt;</w:t>
      </w:r>
      <w:r>
        <w:t>62</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13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13e.</w:t>
            </w:r>
            <w:r>
              <w:tab/>
            </w:r>
            <w:r>
              <w:rPr>
                <w:b/>
                <w:i/>
              </w:rPr>
              <w:t>invită Comisia și SEAE să continue să facă din promovarea egalității de gen și a drepturilor și capacitării femeilor, inclusiv punerea în aplicare a ODD 5, o prioritate în toate inițiativele de acțiune externă ale UE, inclusiv prin mobilizarea diplomației și a parteneriatelor strategice pentru a promova egalitatea de gen pe agenda politică globală, și să adopte un plan de acțiune privind egalitatea de gen și capacitarea femeilor în cadrul acțiunii externe IV;</w:t>
            </w:r>
          </w:p>
        </w:tc>
      </w:tr>
    </w:tbl>
    <w:p>
      <w:r>
        <w:rPr>
          <w:rStyle w:val="HideTWBExt"/>
        </w:rPr>
        <w:t>&lt;/Amend&gt;</w:t>
      </w:r>
    </w:p>
    <w:p>
      <w:pPr>
        <w:pStyle w:val="AmNumberTabs"/>
      </w:pPr>
      <w:r>
        <w:rPr>
          <w:rStyle w:val="HideTWBExt"/>
        </w:rPr>
        <w:t>&lt;Amend&gt;</w:t>
      </w:r>
      <w:r>
        <w:t>Amendamentul</w:t>
      </w:r>
      <w:r>
        <w:tab/>
      </w:r>
      <w:r>
        <w:tab/>
      </w:r>
      <w:r>
        <w:rPr>
          <w:rStyle w:val="HideTWBExt"/>
        </w:rPr>
        <w:t>&lt;NumAm&gt;</w:t>
      </w:r>
      <w:r>
        <w:t>63</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solicită ca UE să facă progrese în legătură cu punerea în aplicare a abordării bazate pe legătura dintre domeniul umanitar, dezvoltare și pace sprijinind organizațiile locale și asigurând implicarea lor deplină în ciclul programului umanitar;</w:t>
            </w:r>
          </w:p>
        </w:tc>
        <w:tc>
          <w:tcPr>
            <w:tcW w:w="4876" w:type="dxa"/>
            <w:tcBorders>
              <w:top w:val="nil"/>
              <w:left w:val="nil"/>
              <w:bottom w:val="nil"/>
              <w:right w:val="nil"/>
            </w:tcBorders>
          </w:tcPr>
          <w:p>
            <w:pPr>
              <w:pStyle w:val="Normal6a"/>
            </w:pPr>
            <w:r>
              <w:t>14.</w:t>
            </w:r>
            <w:r>
              <w:tab/>
            </w:r>
            <w:r>
              <w:t>solicită ca UE să facă progrese în legătură cu punerea în aplicare a abordării bazate pe legătura dintre domeniul umanitar, dezvoltare și pace sprijinind organizațiile locale și asigurând implicarea lor deplină în ciclul programului umanitar;</w:t>
            </w:r>
            <w:r>
              <w:rPr>
                <w:b/>
                <w:i/>
              </w:rPr>
              <w:t xml:space="preserve"> invită Comisia să includă femeile în toate procesele decizionale, mai ales la nivel local; invită Comisia să mențină parteneriatele existente cu organizațiile conduse de femei și cu organizațiile pentru drepturile femeilor de la nivel local și, atunci când este esențial să se opereze schimbări, să asigure o comunicare transparentă și în timp util pentru a sprijini tranziții demne și care reduc efectele negative, precum și continuitatea serviciilor; se opune ferm utilizării ajutorului umanitar în scopuri de securitate sau de control al migrației, inclusiv pentru externalizarea gestionării frontierelor; accentuează că astfel de practici subminează principiile acțiunii umanitare și aduc prejudicii disproporționate femeilor, fetelor, persoanelor LGBTIQ+ și comunităților strămutate; reamintește că returnările și politicile de oprire a solicitanților de azil și a migranților care au nevoie de protecție la frontierele externe ale UE sau înainte de a ajunge la acestea erodează valorile UE consacrate în tratatele UE și încalcă legislația internațională și europeană în domeniul umanitar și al drepturilor omului;</w:t>
            </w:r>
          </w:p>
        </w:tc>
      </w:tr>
    </w:tbl>
    <w:p>
      <w:r>
        <w:rPr>
          <w:rStyle w:val="HideTWBExt"/>
        </w:rPr>
        <w:t>&lt;/Amend&gt;</w:t>
      </w:r>
    </w:p>
    <w:p>
      <w:pPr>
        <w:pStyle w:val="AmNumberTabs"/>
      </w:pPr>
      <w:r>
        <w:rPr>
          <w:rStyle w:val="HideTWBExt"/>
        </w:rPr>
        <w:t>&lt;Amend&gt;</w:t>
      </w:r>
      <w:r>
        <w:t>Amendamentul</w:t>
      </w:r>
      <w:r>
        <w:tab/>
      </w:r>
      <w:r>
        <w:tab/>
      </w:r>
      <w:r>
        <w:rPr>
          <w:rStyle w:val="HideTWBExt"/>
        </w:rPr>
        <w:t>&lt;NumAm&gt;</w:t>
      </w:r>
      <w:r>
        <w:t>64</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invită Comisia să își respecte angajamentul de a direcționa cel puțin 25 % din finanțarea sa umanitară către actorii locali până în 2027;</w:t>
            </w:r>
          </w:p>
        </w:tc>
        <w:tc>
          <w:tcPr>
            <w:tcW w:w="4876" w:type="dxa"/>
            <w:tcBorders>
              <w:top w:val="nil"/>
              <w:left w:val="nil"/>
              <w:bottom w:val="nil"/>
              <w:right w:val="nil"/>
            </w:tcBorders>
          </w:tcPr>
          <w:p>
            <w:pPr>
              <w:pStyle w:val="Normal6a"/>
            </w:pPr>
            <w:r>
              <w:t>15.</w:t>
            </w:r>
            <w:r>
              <w:tab/>
            </w:r>
            <w:r>
              <w:t xml:space="preserve">invită Comisia să își respecte angajamentul de a direcționa cel puțin 25 % din finanțarea sa umanitară către actorii locali până în 2027 </w:t>
            </w:r>
            <w:r>
              <w:rPr>
                <w:b/>
                <w:i/>
              </w:rPr>
              <w:t>cât mai direct posibil, acordând o atenție deosebită organizațiilor locale pentru drepturile femeilor;</w:t>
            </w:r>
            <w:r>
              <w:rPr>
                <w:b/>
                <w:i/>
              </w:rPr>
              <w:t xml:space="preserve"> </w:t>
            </w:r>
            <w:r>
              <w:rPr>
                <w:b/>
                <w:i/>
              </w:rPr>
              <w:t>invită Comisia să faciliteze, să simplifice și să armonizeze accesul la fonduri al actorilor locali și naționali, în conformitate cu angajamentele asumate în cadrul Marii înțelegeri</w:t>
            </w:r>
            <w:r>
              <w:t>;</w:t>
            </w:r>
          </w:p>
        </w:tc>
      </w:tr>
    </w:tbl>
    <w:p>
      <w:r>
        <w:rPr>
          <w:rStyle w:val="HideTWBExt"/>
        </w:rPr>
        <w:t>&lt;/Amend&gt;</w:t>
      </w:r>
    </w:p>
    <w:p>
      <w:pPr>
        <w:pStyle w:val="AmNumberTabs"/>
      </w:pPr>
      <w:r>
        <w:rPr>
          <w:rStyle w:val="HideTWBExt"/>
        </w:rPr>
        <w:t>&lt;Amend&gt;</w:t>
      </w:r>
      <w:r>
        <w:t>Amendamentul</w:t>
      </w:r>
      <w:r>
        <w:tab/>
      </w:r>
      <w:r>
        <w:tab/>
      </w:r>
      <w:r>
        <w:rPr>
          <w:rStyle w:val="HideTWBExt"/>
        </w:rPr>
        <w:t>&lt;NumAm&gt;</w:t>
      </w:r>
      <w:r>
        <w:t>65</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constată că acțiunile anticipative derulate înainte de producerea crizelor umanitare în contexte cu risc ridicat de apariție a unor situații de criză reprezintă o modalitate eficientă de a preveni sau atenua nevoile umanitare viitoare;</w:t>
            </w:r>
          </w:p>
        </w:tc>
        <w:tc>
          <w:tcPr>
            <w:tcW w:w="4876" w:type="dxa"/>
            <w:tcBorders>
              <w:top w:val="nil"/>
              <w:left w:val="nil"/>
              <w:bottom w:val="nil"/>
              <w:right w:val="nil"/>
            </w:tcBorders>
          </w:tcPr>
          <w:p>
            <w:pPr>
              <w:pStyle w:val="Normal6a"/>
            </w:pPr>
            <w:r>
              <w:t>16.</w:t>
            </w:r>
            <w:r>
              <w:tab/>
            </w:r>
            <w:r>
              <w:t xml:space="preserve">constată că acțiunile anticipative derulate înainte de producerea crizelor umanitare în contexte cu risc ridicat de apariție a unor situații de criză reprezintă o modalitate eficientă de a preveni sau atenua nevoile umanitare viitoare; </w:t>
            </w:r>
            <w:r>
              <w:rPr>
                <w:b/>
                <w:i/>
              </w:rPr>
              <w:t>subliniază că astfel de abordări anticipative trebuie să integreze sistematic o perspectivă de gen, care să abordeze și să susțină nevoile specifice, capacitățile și spiritul de conducere al femeilor și fetelor;</w:t>
            </w:r>
          </w:p>
        </w:tc>
      </w:tr>
    </w:tbl>
    <w:p>
      <w:r>
        <w:rPr>
          <w:rStyle w:val="HideTWBExt"/>
        </w:rPr>
        <w:t>&lt;/Amend&gt;</w:t>
      </w:r>
    </w:p>
    <w:p>
      <w:pPr>
        <w:pStyle w:val="AmNumberTabs"/>
      </w:pPr>
      <w:r>
        <w:rPr>
          <w:rStyle w:val="HideTWBExt"/>
        </w:rPr>
        <w:t>&lt;Amend&gt;</w:t>
      </w:r>
      <w:r>
        <w:t>Amendamentul</w:t>
      </w:r>
      <w:r>
        <w:tab/>
      </w:r>
      <w:r>
        <w:tab/>
      </w:r>
      <w:r>
        <w:rPr>
          <w:rStyle w:val="HideTWBExt"/>
        </w:rPr>
        <w:t>&lt;NumAm&gt;</w:t>
      </w:r>
      <w:r>
        <w:t>66</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solicită asigurarea de adăposturi sigure, de spații protejate și de sprijin psihologic pentru femeile și fetele care sunt victime ale violenței în contexte umanitare, oferind în același timp resurse adecvate și sustenabile;</w:t>
            </w:r>
          </w:p>
        </w:tc>
      </w:tr>
    </w:tbl>
    <w:p>
      <w:r>
        <w:rPr>
          <w:rStyle w:val="HideTWBExt"/>
        </w:rPr>
        <w:t>&lt;/Amend&gt;</w:t>
      </w:r>
    </w:p>
    <w:p>
      <w:pPr>
        <w:pStyle w:val="AmNumberTabs"/>
      </w:pPr>
      <w:r>
        <w:rPr>
          <w:rStyle w:val="HideTWBExt"/>
        </w:rPr>
        <w:t>&lt;Amend&gt;</w:t>
      </w:r>
      <w:r>
        <w:t>Amendamentul</w:t>
      </w:r>
      <w:r>
        <w:tab/>
      </w:r>
      <w:r>
        <w:tab/>
      </w:r>
      <w:r>
        <w:rPr>
          <w:rStyle w:val="HideTWBExt"/>
        </w:rPr>
        <w:t>&lt;NumAm&gt;</w:t>
      </w:r>
      <w:r>
        <w:t>67</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încurajează statele membre să își intensifice considerabil investițiile în acțiuni anticipative integrate și coordonate la nivel local;</w:t>
            </w:r>
          </w:p>
        </w:tc>
        <w:tc>
          <w:tcPr>
            <w:tcW w:w="4876" w:type="dxa"/>
            <w:tcBorders>
              <w:top w:val="nil"/>
              <w:left w:val="nil"/>
              <w:bottom w:val="nil"/>
              <w:right w:val="nil"/>
            </w:tcBorders>
          </w:tcPr>
          <w:p>
            <w:pPr>
              <w:pStyle w:val="Normal6a"/>
            </w:pPr>
            <w:r>
              <w:t>18.</w:t>
            </w:r>
            <w:r>
              <w:tab/>
            </w:r>
            <w:r>
              <w:rPr>
                <w:b/>
                <w:i/>
              </w:rPr>
              <w:t xml:space="preserve">invită Uniunea să dezvolte acțiuni umanitare care iau în considerare dimensiunea de gen pentru a se alinia la legătura dintre ajutorul umanitar, dezvoltare și pace, trecând de la ajutorarea pe termen scurt la investiții pe termen lung în rezistența comunității la crize viitoare, implicând persoane de toate genurile în planificarea răspunsului și luând în considerare și abordând mai bine cauzele profunde; reamintește că UE trebuie să combine ajutorul umanitar și dezvoltarea pentru a răspunde impactului crizelor și conflictelor asupra celor mai vulnerabili studenți, cum ar fi fetele și tinerele femei; </w:t>
            </w:r>
            <w:r>
              <w:t>încurajează statele membre să își intensifice considerabil investițiile în acțiuni anticipative integrate și coordonate la nivel local;</w:t>
            </w:r>
            <w:r>
              <w:rPr>
                <w:b/>
                <w:i/>
              </w:rPr>
              <w:t xml:space="preserve"> reamintește că investițiile în ajutorul umanitar ne permit să evităm atât viitoare crize umanitare, cât și necesitatea de a face investiții mai mari; invită Comisia să prezinte propuneri mai concrete privind cheltuielile specifice, programele, urmărirea și evaluarea activităților legate de gen în crizele umanitare; reamintește că accesibilitatea informațiilor, a serviciilor și a asistenței umanitare este esențială pentru a asigura un răspuns incluziv și eficace pentru toate persoanele afectate de criză, mai ales grupurile aflate în situații vulnerabile, cum ar fi persoanele cu dizabilități, copiii și persoanele în vârstă;</w:t>
            </w:r>
          </w:p>
        </w:tc>
      </w:tr>
    </w:tbl>
    <w:p>
      <w:r>
        <w:rPr>
          <w:rStyle w:val="HideTWBExt"/>
        </w:rPr>
        <w:t>&lt;/Amend&gt;</w:t>
      </w:r>
    </w:p>
    <w:p>
      <w:pPr>
        <w:pStyle w:val="AmNumberTabs"/>
      </w:pPr>
      <w:r>
        <w:rPr>
          <w:rStyle w:val="HideTWBExt"/>
        </w:rPr>
        <w:t>&lt;Amend&gt;</w:t>
      </w:r>
      <w:r>
        <w:t>Amendamentul</w:t>
      </w:r>
      <w:r>
        <w:tab/>
      </w:r>
      <w:r>
        <w:tab/>
      </w:r>
      <w:r>
        <w:rPr>
          <w:rStyle w:val="HideTWBExt"/>
        </w:rPr>
        <w:t>&lt;NumAm&gt;</w:t>
      </w:r>
      <w:r>
        <w:t>68</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reafirmă că strategia UE în domeniul sănătății la nivel mondial se axează pe abordarea cauzelor profunde ale problemelor de sănătate, acordând o atenție deosebită nevoilor și drepturilor femeilor, copiilor și tinerilor, inclusiv accesului universal la sănătatea sexuală și reproductivă și la drepturile aferente; reafirmă că asigurarea accesului femeilor la îngrijiri de sănătate și la sprijin psihosocial constituie o componentă-cheie a eforturilor de ajutor și de redresare, precum și o prioritate în abordarea bazată pe conexiunea dintre domeniul umanitar, dezvoltare și pace;</w:t>
            </w:r>
          </w:p>
        </w:tc>
      </w:tr>
    </w:tbl>
    <w:p>
      <w:r>
        <w:rPr>
          <w:rStyle w:val="HideTWBExt"/>
        </w:rPr>
        <w:t>&lt;/Amend&gt;</w:t>
      </w:r>
    </w:p>
    <w:p>
      <w:pPr>
        <w:pStyle w:val="AmNumberTabs"/>
      </w:pPr>
      <w:r>
        <w:rPr>
          <w:rStyle w:val="HideTWBExt"/>
        </w:rPr>
        <w:t>&lt;Amend&gt;</w:t>
      </w:r>
      <w:r>
        <w:t>Amendamentul</w:t>
      </w:r>
      <w:r>
        <w:tab/>
      </w:r>
      <w:r>
        <w:tab/>
      </w:r>
      <w:r>
        <w:rPr>
          <w:rStyle w:val="HideTWBExt"/>
        </w:rPr>
        <w:t>&lt;NumAm&gt;</w:t>
      </w:r>
      <w:r>
        <w:t>69</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18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subliniază că este important să se faciliteze includerea contribuțiilor femeilor afectate de criză în planurile de răspuns la criză și de redresare care le afectează personal, familiile și comunitățile lor mai largi;</w:t>
            </w:r>
          </w:p>
        </w:tc>
      </w:tr>
    </w:tbl>
    <w:p>
      <w:r>
        <w:rPr>
          <w:rStyle w:val="HideTWBExt"/>
        </w:rPr>
        <w:t>&lt;/Amend&gt;</w:t>
      </w:r>
    </w:p>
    <w:p>
      <w:pPr>
        <w:pStyle w:val="AmNumberTabs"/>
      </w:pPr>
      <w:r>
        <w:rPr>
          <w:rStyle w:val="HideTWBExt"/>
        </w:rPr>
        <w:t>&lt;Amend&gt;</w:t>
      </w:r>
      <w:r>
        <w:t>Amendamentul</w:t>
      </w:r>
      <w:r>
        <w:tab/>
      </w:r>
      <w:r>
        <w:tab/>
      </w:r>
      <w:r>
        <w:rPr>
          <w:rStyle w:val="HideTWBExt"/>
        </w:rPr>
        <w:t>&lt;NumAm&gt;</w:t>
      </w:r>
      <w:r>
        <w:t>70</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18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salută dispoziția din Planul de acțiune pentru egalitatea de gen III privind asistența umanitară, care prevede sprijin pentru pregătirea, prevenirea și răspunsul în ceea ce privește violența sexuală și bazată pe gen;</w:t>
            </w:r>
          </w:p>
        </w:tc>
      </w:tr>
    </w:tbl>
    <w:p>
      <w:r>
        <w:rPr>
          <w:rStyle w:val="HideTWBExt"/>
        </w:rPr>
        <w:t>&lt;/Amend&gt;</w:t>
      </w:r>
    </w:p>
    <w:p>
      <w:pPr>
        <w:pStyle w:val="AmNumberTabs"/>
      </w:pPr>
      <w:r>
        <w:rPr>
          <w:rStyle w:val="HideTWBExt"/>
        </w:rPr>
        <w:t>&lt;Amend&gt;</w:t>
      </w:r>
      <w:r>
        <w:t>Amendamentul</w:t>
      </w:r>
      <w:r>
        <w:tab/>
      </w:r>
      <w:r>
        <w:tab/>
      </w:r>
      <w:r>
        <w:rPr>
          <w:rStyle w:val="HideTWBExt"/>
        </w:rPr>
        <w:t>&lt;NumAm&gt;</w:t>
      </w:r>
      <w:r>
        <w:t>71</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18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18d.</w:t>
            </w:r>
            <w:r>
              <w:tab/>
            </w:r>
            <w:r>
              <w:rPr>
                <w:b/>
                <w:i/>
              </w:rPr>
              <w:t>solicită, de asemenea, acces în condiții de siguranță la educație pentru copiii afectați de crize umanitare, inclusiv prin furnizarea de sprijin școlilor temporare și programelor de nutriție și acordarea unui sprijin psihologic;</w:t>
            </w:r>
          </w:p>
        </w:tc>
      </w:tr>
    </w:tbl>
    <w:p>
      <w:r>
        <w:rPr>
          <w:rStyle w:val="HideTWBExt"/>
        </w:rPr>
        <w:t>&lt;/Amend&gt;</w:t>
      </w:r>
    </w:p>
    <w:p>
      <w:pPr>
        <w:pStyle w:val="AmNumberTabs"/>
      </w:pPr>
      <w:r>
        <w:rPr>
          <w:rStyle w:val="HideTWBExt"/>
        </w:rPr>
        <w:t>&lt;Amend&gt;</w:t>
      </w:r>
      <w:r>
        <w:t>Amendamentul</w:t>
      </w:r>
      <w:r>
        <w:tab/>
      </w:r>
      <w:r>
        <w:tab/>
      </w:r>
      <w:r>
        <w:rPr>
          <w:rStyle w:val="HideTWBExt"/>
        </w:rPr>
        <w:t>&lt;NumAm&gt;</w:t>
      </w:r>
      <w:r>
        <w:t>72</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18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18e.</w:t>
            </w:r>
            <w:r>
              <w:tab/>
            </w:r>
            <w:r>
              <w:rPr>
                <w:b/>
                <w:i/>
              </w:rPr>
              <w:t>invită Comisia să se asigure că răspunsul său la crizele umanitare include kituri de igienă menstruală, ca element standard al tuturor reacțiilor sale de urgență;</w:t>
            </w:r>
          </w:p>
        </w:tc>
      </w:tr>
    </w:tbl>
    <w:p>
      <w:r>
        <w:rPr>
          <w:rStyle w:val="HideTWBExt"/>
        </w:rPr>
        <w:t>&lt;/Amend&gt;</w:t>
      </w:r>
    </w:p>
    <w:p>
      <w:pPr>
        <w:pStyle w:val="AmNumberTabs"/>
      </w:pPr>
      <w:r>
        <w:rPr>
          <w:rStyle w:val="HideTWBExt"/>
        </w:rPr>
        <w:t>&lt;Amend&gt;</w:t>
      </w:r>
      <w:r>
        <w:t>Amendamentul</w:t>
      </w:r>
      <w:r>
        <w:tab/>
      </w:r>
      <w:r>
        <w:tab/>
      </w:r>
      <w:r>
        <w:rPr>
          <w:rStyle w:val="HideTWBExt"/>
        </w:rPr>
        <w:t>&lt;NumAm&gt;</w:t>
      </w:r>
      <w:r>
        <w:t>73</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salută progresele înregistrate în punerea în aplicare a Rezoluției 1325 (2000) a Consiliului de Securitate al ONU și a Agendei privind femeile, pacea și securitatea, ca instrument esențial pentru asigurarea respectării drepturilor femeilor și fetelor în orice situație;</w:t>
            </w:r>
          </w:p>
        </w:tc>
        <w:tc>
          <w:tcPr>
            <w:tcW w:w="4876" w:type="dxa"/>
            <w:tcBorders>
              <w:top w:val="nil"/>
              <w:left w:val="nil"/>
              <w:bottom w:val="nil"/>
              <w:right w:val="nil"/>
            </w:tcBorders>
          </w:tcPr>
          <w:p>
            <w:pPr>
              <w:pStyle w:val="Normal6a"/>
            </w:pPr>
            <w:r>
              <w:t>19.</w:t>
            </w:r>
            <w:r>
              <w:tab/>
            </w:r>
            <w:r>
              <w:t>salută progresele înregistrate în punerea în aplicare a Rezoluției 1325 (2000) a Consiliului de Securitate al ONU și a Agendei privind femeile, pacea și securitatea, ca instrument esențial pentru asigurarea respectării drepturilor femeilor și fetelor în orice situație;</w:t>
            </w:r>
            <w:r>
              <w:rPr>
                <w:b/>
                <w:i/>
              </w:rPr>
              <w:t xml:space="preserve"> subliniază însă că violența de gen și violența sexuală rămân un flagel folosit frecvent în conflicte ca armă de război, femeile și fetele fiind, de altfel, cele mai susceptibile să sufere consecințele conflictelor armate și ale încălzirii globale;</w:t>
            </w:r>
          </w:p>
        </w:tc>
      </w:tr>
    </w:tbl>
    <w:p>
      <w:r>
        <w:rPr>
          <w:rStyle w:val="HideTWBExt"/>
        </w:rPr>
        <w:t>&lt;/Amend&gt;</w:t>
      </w:r>
    </w:p>
    <w:p>
      <w:pPr>
        <w:pStyle w:val="AmNumberTabs"/>
      </w:pPr>
      <w:r>
        <w:rPr>
          <w:rStyle w:val="HideTWBExt"/>
        </w:rPr>
        <w:t>&lt;Amend&gt;</w:t>
      </w:r>
      <w:r>
        <w:t>Amendamentul</w:t>
      </w:r>
      <w:r>
        <w:tab/>
      </w:r>
      <w:r>
        <w:tab/>
      </w:r>
      <w:r>
        <w:rPr>
          <w:rStyle w:val="HideTWBExt"/>
        </w:rPr>
        <w:t>&lt;NumAm&gt;</w:t>
      </w:r>
      <w:r>
        <w:t>74</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 xml:space="preserve">solicită UE și statelor membre să acorde prioritate punerii în aplicare a Agendei privind femeile, pacea și securitatea; </w:t>
            </w:r>
            <w:r>
              <w:rPr>
                <w:b/>
                <w:i/>
              </w:rPr>
              <w:t>subliniază importanța de a reînnoi Planul de acțiune al UE privind femeile, pacea și securitatea și de a aborda în mod deschis orice regres în raport cu această agendă în întreaga lume</w:t>
            </w:r>
            <w:r>
              <w:rPr>
                <w:b/>
                <w:i/>
                <w:vertAlign w:val="superscript"/>
              </w:rPr>
              <w:t>1a</w:t>
            </w:r>
            <w:r>
              <w:rPr>
                <w:b/>
                <w:i/>
              </w:rPr>
              <w:t>, acordând prioritate asigurării accesului tuturor femeilor afectate de conflicte la servicii esențiale de sănătate sexuală și reproductivă și garantând tragerea la răspundere și acordarea de despăgubiri în cazul încălcărilor drepturilor la sănătatea sexuală și reproductivă, în conformitate cu standardele și recomandările internaționale privind drepturile omului;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https://www.europarl.europa.eu/RegData/etudes/BRIE/2025/769691/IUST_BRI(2025)769691_EN.pdf.</w:t>
            </w:r>
          </w:p>
        </w:tc>
      </w:tr>
    </w:tbl>
    <w:p>
      <w:r>
        <w:rPr>
          <w:rStyle w:val="HideTWBExt"/>
        </w:rPr>
        <w:t>&lt;/Amend&gt;</w:t>
      </w:r>
    </w:p>
    <w:p>
      <w:pPr>
        <w:pStyle w:val="AmNumberTabs"/>
      </w:pPr>
      <w:r>
        <w:rPr>
          <w:rStyle w:val="HideTWBExt"/>
        </w:rPr>
        <w:t>&lt;Amend&gt;</w:t>
      </w:r>
      <w:r>
        <w:t>Amendamentul</w:t>
      </w:r>
      <w:r>
        <w:tab/>
      </w:r>
      <w:r>
        <w:tab/>
      </w:r>
      <w:r>
        <w:rPr>
          <w:rStyle w:val="HideTWBExt"/>
        </w:rPr>
        <w:t>&lt;NumAm&gt;</w:t>
      </w:r>
      <w:r>
        <w:t>75</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19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invită Comisia, SEAE și statele membre să-și intensifice eforturile pentru a ține seama - la elaborarea strategiilor de prevenire a conflictelor, de mediere și de consolidare a păcii - de nevoile și contribuțiile specifice ale femeilor și fetelor;</w:t>
            </w:r>
          </w:p>
        </w:tc>
      </w:tr>
    </w:tbl>
    <w:p>
      <w:r>
        <w:rPr>
          <w:rStyle w:val="HideTWBExt"/>
        </w:rPr>
        <w:t>&lt;/Amend&gt;</w:t>
      </w:r>
    </w:p>
    <w:p>
      <w:pPr>
        <w:pStyle w:val="AmNumberTabs"/>
      </w:pPr>
      <w:r>
        <w:rPr>
          <w:rStyle w:val="HideTWBExt"/>
        </w:rPr>
        <w:t>&lt;Amend&gt;</w:t>
      </w:r>
      <w:r>
        <w:t>Amendamentul</w:t>
      </w:r>
      <w:r>
        <w:tab/>
      </w:r>
      <w:r>
        <w:tab/>
      </w:r>
      <w:r>
        <w:rPr>
          <w:rStyle w:val="HideTWBExt"/>
        </w:rPr>
        <w:t>&lt;NumAm&gt;</w:t>
      </w:r>
      <w:r>
        <w:t>76</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19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invită Comisia să-și intensifice eforturile pentru a se asigura că ajutorul umanitar finanțat de Uniune răspunde adecvat nevoilor femeilor, fetelor, bărbaților și băieților și să se asigure că Uniunea continuă să consolideze integrarea perspectivei de gen, să intensifice acțiunile în materie de gen și să asigure un proces de revizuire care ia în considerare dimensiunea de gen pentru toate inițiativele „Global Gateway” și „Echipa Europa”;</w:t>
            </w:r>
          </w:p>
        </w:tc>
      </w:tr>
    </w:tbl>
    <w:p>
      <w:r>
        <w:rPr>
          <w:rStyle w:val="HideTWBExt"/>
        </w:rPr>
        <w:t>&lt;/Amend&gt;</w:t>
      </w:r>
    </w:p>
    <w:p>
      <w:pPr>
        <w:pStyle w:val="AmNumberTabs"/>
      </w:pPr>
      <w:r>
        <w:rPr>
          <w:rStyle w:val="HideTWBExt"/>
        </w:rPr>
        <w:t>&lt;Amend&gt;</w:t>
      </w:r>
      <w:r>
        <w:t>Amendamentul</w:t>
      </w:r>
      <w:r>
        <w:tab/>
      </w:r>
      <w:r>
        <w:tab/>
      </w:r>
      <w:r>
        <w:rPr>
          <w:rStyle w:val="HideTWBExt"/>
        </w:rPr>
        <w:t>&lt;NumAm&gt;</w:t>
      </w:r>
      <w:r>
        <w:t>77</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19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19d.</w:t>
            </w:r>
            <w:r>
              <w:tab/>
            </w:r>
            <w:r>
              <w:rPr>
                <w:b/>
                <w:i/>
              </w:rPr>
              <w:t>invită Uniunea și toate statele membre ale Uniunii să devină semnatare ale Pactului de acțiune umanitară al Grupului de lucru pentru pace și să prezinte rapoarte privind angajamentele asumate în cadrul acestuia, ca parte a unei abordări bazate pe colaborare și coeziune în vederea construirii stabilității și păcii pe termen lung;</w:t>
            </w:r>
          </w:p>
        </w:tc>
      </w:tr>
    </w:tbl>
    <w:p>
      <w:r>
        <w:rPr>
          <w:rStyle w:val="HideTWBExt"/>
        </w:rPr>
        <w:t>&lt;/Amend&gt;</w:t>
      </w:r>
    </w:p>
    <w:p>
      <w:pPr>
        <w:pStyle w:val="AmNumberTabs"/>
      </w:pPr>
      <w:r>
        <w:rPr>
          <w:rStyle w:val="HideTWBExt"/>
        </w:rPr>
        <w:t>&lt;Amend&gt;</w:t>
      </w:r>
      <w:r>
        <w:t>Amendamentul</w:t>
      </w:r>
      <w:r>
        <w:tab/>
      </w:r>
      <w:r>
        <w:tab/>
      </w:r>
      <w:r>
        <w:rPr>
          <w:rStyle w:val="HideTWBExt"/>
        </w:rPr>
        <w:t>&lt;NumAm&gt;</w:t>
      </w:r>
      <w:r>
        <w:t>78</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invită toate părțile implicate în conflicte armate să ia măsuri pentru a proteja femeile și fetele de violența sexuală și bazată pe gen și de toate celelalte forme de violență în situații de conflict armat și să promoveze sănătatea sexuală și reproductivă a acestora și drepturile lor aferente;</w:t>
            </w:r>
          </w:p>
        </w:tc>
        <w:tc>
          <w:tcPr>
            <w:tcW w:w="4876" w:type="dxa"/>
            <w:tcBorders>
              <w:top w:val="nil"/>
              <w:left w:val="nil"/>
              <w:bottom w:val="nil"/>
              <w:right w:val="nil"/>
            </w:tcBorders>
          </w:tcPr>
          <w:p>
            <w:pPr>
              <w:pStyle w:val="Normal6a"/>
            </w:pPr>
            <w:r>
              <w:t>20.</w:t>
            </w:r>
            <w:r>
              <w:tab/>
            </w:r>
            <w:r>
              <w:t xml:space="preserve">invită toate părțile implicate în conflicte armate să </w:t>
            </w:r>
            <w:r>
              <w:rPr>
                <w:b/>
                <w:i/>
              </w:rPr>
              <w:t>includă strategii de protecție în toate aspectele asistenței umanitare să</w:t>
            </w:r>
            <w:r>
              <w:t xml:space="preserve"> ia măsuri pentru a proteja femeile și fetele de violența sexuală și bazată pe gen și de toate celelalte forme de violență</w:t>
            </w:r>
            <w:r>
              <w:rPr>
                <w:b/>
                <w:i/>
              </w:rPr>
              <w:t>, sărăcie și strămutare forțată</w:t>
            </w:r>
            <w:r>
              <w:t xml:space="preserve"> în situații de conflict armat</w:t>
            </w:r>
            <w:r>
              <w:rPr>
                <w:b/>
                <w:i/>
              </w:rPr>
              <w:t>, inclusiv căsătoriile timpurii și sarcinile în adolescență în contextul crizelor umanitare, care conduc la o perturbare a educației și exacerbează sărăcia multidimensională, precum</w:t>
            </w:r>
            <w:r>
              <w:t xml:space="preserve"> și să promoveze sănătatea sexuală și reproductivă a acestora și drepturile lor aferente</w:t>
            </w:r>
            <w:r>
              <w:rPr>
                <w:b/>
                <w:i/>
              </w:rPr>
              <w:t>, în special în cazul femeilor ucrainene care au fugit în țări cu politici mai restrictive privind sănătatea sexuală și reproductivă și drepturile aferente și care merită acces la avort legal și în condiții de siguranță după ce s-au confruntat cu acte de violență sexuală ca act de război;</w:t>
            </w:r>
            <w:r>
              <w:rPr>
                <w:b/>
                <w:i/>
              </w:rPr>
              <w:t xml:space="preserve"> </w:t>
            </w:r>
            <w:r>
              <w:rPr>
                <w:b/>
                <w:i/>
              </w:rPr>
              <w:t>recunoaște că aceste violențe se intensifică adesea în timpul conflictelor și pot fi utilizate sistematic ca armă de război</w:t>
            </w:r>
            <w:r>
              <w:t>;</w:t>
            </w:r>
          </w:p>
        </w:tc>
      </w:tr>
    </w:tbl>
    <w:p>
      <w:r>
        <w:rPr>
          <w:rStyle w:val="HideTWBExt"/>
        </w:rPr>
        <w:t>&lt;/Amend&gt;</w:t>
      </w:r>
    </w:p>
    <w:p>
      <w:pPr>
        <w:pStyle w:val="AmNumberTabs"/>
      </w:pPr>
      <w:r>
        <w:rPr>
          <w:rStyle w:val="HideTWBExt"/>
        </w:rPr>
        <w:t>&lt;Amend&gt;</w:t>
      </w:r>
      <w:r>
        <w:t>Amendamentul</w:t>
      </w:r>
      <w:r>
        <w:tab/>
      </w:r>
      <w:r>
        <w:tab/>
      </w:r>
      <w:r>
        <w:rPr>
          <w:rStyle w:val="HideTWBExt"/>
        </w:rPr>
        <w:t>&lt;NumAm&gt;</w:t>
      </w:r>
      <w:r>
        <w:t>79</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reamintește că acordurile de pace la a căror încheiere au participat femei au șanse mai mari de a fi sustenabile și eficace; invită Comisia să includă femeile în toate etapele procesului decizional în contexte umanitare și post-conflict;</w:t>
            </w:r>
          </w:p>
        </w:tc>
      </w:tr>
    </w:tbl>
    <w:p>
      <w:r>
        <w:rPr>
          <w:rStyle w:val="HideTWBExt"/>
        </w:rPr>
        <w:t>&lt;/Amend&gt;</w:t>
      </w:r>
    </w:p>
    <w:p>
      <w:pPr>
        <w:pStyle w:val="AmNumberTabs"/>
      </w:pPr>
      <w:r>
        <w:rPr>
          <w:rStyle w:val="HideTWBExt"/>
        </w:rPr>
        <w:t>&lt;Amend&gt;</w:t>
      </w:r>
      <w:r>
        <w:t>Amendamentul</w:t>
      </w:r>
      <w:r>
        <w:tab/>
      </w:r>
      <w:r>
        <w:tab/>
      </w:r>
      <w:r>
        <w:rPr>
          <w:rStyle w:val="HideTWBExt"/>
        </w:rPr>
        <w:t>&lt;NumAm&gt;</w:t>
      </w:r>
      <w:r>
        <w:t>80</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subliniază rolul crucial pe care îl joacă femeile în contexte umanitare; regretă că organizațiile locale conduse de femei sunt printre cele mai afectate de recentele reduceri ale ajutorului extern și încurajează o </w:t>
            </w:r>
            <w:r>
              <w:rPr>
                <w:b/>
                <w:i/>
              </w:rPr>
              <w:t>mai bună colaborare</w:t>
            </w:r>
            <w:r>
              <w:t xml:space="preserve"> cu acestea în programarea umanitară</w:t>
            </w:r>
            <w:r>
              <w:rPr>
                <w:vertAlign w:val="superscript"/>
              </w:rPr>
              <w:t>7</w:t>
            </w:r>
            <w:r>
              <w:t>;</w:t>
            </w:r>
          </w:p>
        </w:tc>
        <w:tc>
          <w:tcPr>
            <w:tcW w:w="4876" w:type="dxa"/>
            <w:tcBorders>
              <w:top w:val="nil"/>
              <w:left w:val="nil"/>
              <w:bottom w:val="nil"/>
              <w:right w:val="nil"/>
            </w:tcBorders>
          </w:tcPr>
          <w:p>
            <w:pPr>
              <w:pStyle w:val="Normal6a"/>
            </w:pPr>
            <w:r>
              <w:t>21.</w:t>
            </w:r>
            <w:r>
              <w:tab/>
            </w:r>
            <w:r>
              <w:t xml:space="preserve">subliniază rolul crucial pe care îl joacă femeile în </w:t>
            </w:r>
            <w:r>
              <w:rPr>
                <w:b/>
                <w:i/>
              </w:rPr>
              <w:t>calitate de actori din prima linie în</w:t>
            </w:r>
            <w:r>
              <w:t xml:space="preserve"> contexte umanitare; regretă că organizațiile locale conduse de femei </w:t>
            </w:r>
            <w:r>
              <w:rPr>
                <w:b/>
                <w:i/>
              </w:rPr>
              <w:t>și organizațiile LGBTIQ+</w:t>
            </w:r>
            <w:r>
              <w:t xml:space="preserve"> sunt printre cele mai afectate de recentele reduceri ale ajutorului extern și încurajează o </w:t>
            </w:r>
            <w:r>
              <w:rPr>
                <w:b/>
                <w:i/>
              </w:rPr>
              <w:t>colaborare deplină, egală și semnificativă</w:t>
            </w:r>
            <w:r>
              <w:t xml:space="preserve"> cu acestea în programarea umanitară</w:t>
            </w:r>
            <w:r>
              <w:rPr>
                <w:vertAlign w:val="superscript"/>
              </w:rPr>
              <w:t>7</w:t>
            </w:r>
            <w:r>
              <w:rPr>
                <w:b/>
                <w:i/>
              </w:rPr>
              <w:t>, inclusiv o finanțare mai mare, flexibilă și directă;</w:t>
            </w:r>
            <w:r>
              <w:rPr>
                <w:b/>
                <w:i/>
              </w:rPr>
              <w:t xml:space="preserve"> </w:t>
            </w:r>
            <w:r>
              <w:rPr>
                <w:b/>
                <w:i/>
              </w:rPr>
              <w:t>constată cu regret că aproape jumătate (47 %) dintre organizațiile conduse de femei și organizațiile de femei intervievate se așteaptă să se închidă în termen de șase luni dacă se mențin nivelurile actuale de finanțare, în timp ce peste o treime (35 %) se află într-o situație de incertitudine, nereușind să își planifice sau să își mențină activitatea, și doar 18 % declară că anticipează că vor putea rămâne operaționale timp de peste un an</w:t>
            </w:r>
            <w:r>
              <w:rPr>
                <w:b/>
                <w:i/>
                <w:vertAlign w:val="superscript"/>
              </w:rPr>
              <w:t>7a</w:t>
            </w:r>
            <w:r>
              <w:rPr>
                <w:b/>
                <w:i/>
              </w:rPr>
              <w:t>;</w:t>
            </w:r>
            <w:r>
              <w:rPr>
                <w:b/>
                <w:i/>
              </w:rPr>
              <w:t xml:space="preserve"> subliniază că este important să se garanteze siguranța și accesul la servicii bazate pe nevoi în taberele de refugiați și în centrele de primire, inclusiv salubritate adecvată, asistență medicală, sprijin psihosocial, îngrijire maternă, asistență juridică și spații sigure; subliniază că femeile și fetele se confruntă adesea cu riscuri agravate în astfel de contexte și că participarea lor substanțială la proiectarea, planificarea și gestionarea adăposturilor pentru refugiați este esențială astfel încât serviciile să fie accesibile, adecvate și receptive la nevoile lor specifice; </w:t>
            </w:r>
            <w:r>
              <w:rPr>
                <w:b/>
                <w:i/>
              </w:rPr>
              <w:t>invită Comisia și actorii umanitari să abordeze barierele legate de mobilitate și de transport care împiedică femeile și fetele să aibă acces la ajutor, inclusiv transportul în condiții de siguranță către centrele de sănătate, punctele de distribuție și adăposturi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ONU Femei, „Humanitarian funding cuts threaten women’s rights: What’s at stake and how to help” (Reducerea finanțării umanitare amenință drepturile femeilor: care este miza și ce se poate face), 13 mai 2025, https://www.unwomen.org/en/articles/explainer/humanitarian-funding-cuts-threaten-womens-rights-whats-at-stake-and-how-to-help.</w:t>
            </w:r>
          </w:p>
        </w:tc>
        <w:tc>
          <w:tcPr>
            <w:tcW w:w="4876" w:type="dxa"/>
            <w:tcBorders>
              <w:top w:val="nil"/>
              <w:left w:val="nil"/>
              <w:bottom w:val="nil"/>
              <w:right w:val="nil"/>
            </w:tcBorders>
          </w:tcPr>
          <w:p>
            <w:pPr>
              <w:pStyle w:val="Normal6a"/>
            </w:pPr>
            <w:r>
              <w:rPr>
                <w:vertAlign w:val="superscript"/>
              </w:rPr>
              <w:t>7</w:t>
            </w:r>
            <w:r>
              <w:t xml:space="preserve"> </w:t>
            </w:r>
            <w:r>
              <w:t>ONU Femei, „Humanitarian funding cuts threaten women’s rights: What’s at stake and how to help” (Reducerea finanțării umanitare amenință drepturile femeilor: care este miza și ce se poate face), 13 mai 2025, https://www.unwomen.org/en/articles/explainer/humanitarian-funding-cuts-threaten-womens-rights-whats-at-stake-and-how-to-help.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7a</w:t>
            </w:r>
            <w:r>
              <w:t xml:space="preserve"> </w:t>
            </w:r>
            <w:r>
              <w:rPr>
                <w:b/>
                <w:i/>
              </w:rPr>
              <w:t>https://www.unwomen.org/sites/default/files/2025-05/at-a-breaking-point-the-impact-of-foreign-aid-cuts-on-womens-organizations-in-humanitarian-crises-worldwide-en.pdf.</w:t>
            </w:r>
          </w:p>
        </w:tc>
      </w:tr>
    </w:tbl>
    <w:p>
      <w:r>
        <w:rPr>
          <w:rStyle w:val="HideTWBExt"/>
        </w:rPr>
        <w:t>&lt;/Amend&gt;</w:t>
      </w:r>
    </w:p>
    <w:p>
      <w:pPr>
        <w:pStyle w:val="AmNumberTabs"/>
      </w:pPr>
      <w:r>
        <w:rPr>
          <w:rStyle w:val="HideTWBExt"/>
        </w:rPr>
        <w:t>&lt;Amend&gt;</w:t>
      </w:r>
      <w:r>
        <w:t>Amendamentul</w:t>
      </w:r>
      <w:r>
        <w:tab/>
      </w:r>
      <w:r>
        <w:tab/>
      </w:r>
      <w:r>
        <w:rPr>
          <w:rStyle w:val="HideTWBExt"/>
        </w:rPr>
        <w:t>&lt;NumAm&gt;</w:t>
      </w:r>
      <w:r>
        <w:t>81</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subliniază vulnerabilitățile specifice ale femeilor din zonele rurale, îndepărtate și afectate de conflicte, care se confruntă adesea cu obstacole suplimentare în calea accesului la ajutor umanitar, inclusiv la servicii de sănătate și la sprijin psihologic; solicită o finanțare specifică și o programare incluzivă care să abordeze aceste probleme intersecționale;</w:t>
            </w:r>
          </w:p>
        </w:tc>
      </w:tr>
    </w:tbl>
    <w:p>
      <w:r>
        <w:rPr>
          <w:rStyle w:val="HideTWBExt"/>
        </w:rPr>
        <w:t>&lt;/Amend&gt;</w:t>
      </w:r>
    </w:p>
    <w:p>
      <w:pPr>
        <w:pStyle w:val="AmNumberTabs"/>
      </w:pPr>
      <w:r>
        <w:rPr>
          <w:rStyle w:val="HideTWBExt"/>
        </w:rPr>
        <w:t>&lt;Amend&gt;</w:t>
      </w:r>
      <w:r>
        <w:t>Amendamentul</w:t>
      </w:r>
      <w:r>
        <w:tab/>
      </w:r>
      <w:r>
        <w:tab/>
      </w:r>
      <w:r>
        <w:rPr>
          <w:rStyle w:val="HideTWBExt"/>
        </w:rPr>
        <w:t>&lt;NumAm&gt;</w:t>
      </w:r>
      <w:r>
        <w:t>82</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21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subliniază importanța protejării demnității tuturor persoanelor în contexte umanitare, acordând o atenție deosebită femeilor și fetelor, prin asigurarea accesului echitabil la servicii și materiale esențiale, inclusiv la absorbante igienice și produse de igienă menstruală, la spații sigure și private pentru alăptare și îngrijire maternă, la instalații sanitare care țin seama de dimensiunea de gen și la iluminare adecvată pentru a spori siguranța seara;</w:t>
            </w:r>
          </w:p>
        </w:tc>
      </w:tr>
    </w:tbl>
    <w:p>
      <w:r>
        <w:rPr>
          <w:rStyle w:val="HideTWBExt"/>
        </w:rPr>
        <w:t>&lt;/Amend&gt;</w:t>
      </w:r>
    </w:p>
    <w:p>
      <w:pPr>
        <w:pStyle w:val="AmNumberTabs"/>
      </w:pPr>
      <w:r>
        <w:rPr>
          <w:rStyle w:val="HideTWBExt"/>
        </w:rPr>
        <w:t>&lt;Amend&gt;</w:t>
      </w:r>
      <w:r>
        <w:t>Amendamentul</w:t>
      </w:r>
      <w:r>
        <w:tab/>
      </w:r>
      <w:r>
        <w:tab/>
      </w:r>
      <w:r>
        <w:rPr>
          <w:rStyle w:val="HideTWBExt"/>
        </w:rPr>
        <w:t>&lt;NumAm&gt;</w:t>
      </w:r>
      <w:r>
        <w:t>83</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încurajează Comisia, SEAE și statele membre să promoveze abordări care </w:t>
            </w:r>
            <w:r>
              <w:rPr>
                <w:b/>
                <w:i/>
              </w:rPr>
              <w:t>să ia</w:t>
            </w:r>
            <w:r>
              <w:t xml:space="preserve"> în considerare dimensiunea de gen în intervențiile umanitare și să își intensifice sprijinul pentru participarea femeilor la </w:t>
            </w:r>
            <w:r>
              <w:rPr>
                <w:b/>
                <w:i/>
              </w:rPr>
              <w:t>procesele</w:t>
            </w:r>
            <w:r>
              <w:t xml:space="preserve"> decizionale din domeniul umanitar, asigurându-se că se acordă prioritate perspectivelor și nevoilor acestora în conceperea și acordarea ajutorului, în conformitate cu obiectivele Rezoluției 1325 a Consiliului de Securitate al ONU;</w:t>
            </w:r>
          </w:p>
        </w:tc>
        <w:tc>
          <w:tcPr>
            <w:tcW w:w="4876" w:type="dxa"/>
            <w:tcBorders>
              <w:top w:val="nil"/>
              <w:left w:val="nil"/>
              <w:bottom w:val="nil"/>
              <w:right w:val="nil"/>
            </w:tcBorders>
          </w:tcPr>
          <w:p>
            <w:pPr>
              <w:pStyle w:val="Normal6a"/>
            </w:pPr>
            <w:r>
              <w:t>22.</w:t>
            </w:r>
            <w:r>
              <w:tab/>
            </w:r>
            <w:r>
              <w:t xml:space="preserve">încurajează Comisia, SEAE și statele membre să promoveze abordări care </w:t>
            </w:r>
            <w:r>
              <w:rPr>
                <w:b/>
                <w:i/>
              </w:rPr>
              <w:t>iau</w:t>
            </w:r>
            <w:r>
              <w:t xml:space="preserve"> în considerare dimensiunea de gen în intervențiile umanitare și să își intensifice sprijinul pentru participarea </w:t>
            </w:r>
            <w:r>
              <w:rPr>
                <w:b/>
                <w:i/>
              </w:rPr>
              <w:t>și afirmarea ca lideri deplină, egală și semnificativă a</w:t>
            </w:r>
            <w:r>
              <w:t xml:space="preserve"> femeilor la </w:t>
            </w:r>
            <w:r>
              <w:rPr>
                <w:b/>
                <w:i/>
              </w:rPr>
              <w:t>toate nivelurile proceselor</w:t>
            </w:r>
            <w:r>
              <w:t xml:space="preserve"> decizionale din domeniul umanitar, </w:t>
            </w:r>
            <w:r>
              <w:rPr>
                <w:b/>
                <w:i/>
              </w:rPr>
              <w:t>dezvoltând la nivel național și internațional strategii de dezvoltare care iau în considerare dimensiunea de gen și le permit femeilor să se afirme în siguranță și să preia conducerea în contexte de criză și</w:t>
            </w:r>
            <w:r>
              <w:t xml:space="preserve"> asigurându-se că se acordă prioritate perspectivelor și nevoilor acestora în conceperea și acordarea ajutorului, în conformitate cu obiectivele Rezoluției 1325 a Consiliului de Securitate al ONU;</w:t>
            </w:r>
            <w:r>
              <w:rPr>
                <w:b/>
                <w:i/>
              </w:rPr>
              <w:t xml:space="preserve"> solicită să se asigure participarea deplină, egală și semnificativă a femeilor în toate etapele unui proces de pace, inclusiv eforturile de mediere, prevenirea și soluționarea conflictelor armate, consolidarea păcii, reconstrucția post-conflict și negocierile de încetare a focului, consolidând în același timp protecția universală a tuturor femeilor;</w:t>
            </w:r>
          </w:p>
        </w:tc>
      </w:tr>
    </w:tbl>
    <w:p>
      <w:r>
        <w:rPr>
          <w:rStyle w:val="HideTWBExt"/>
        </w:rPr>
        <w:t>&lt;/Amend&gt;</w:t>
      </w:r>
    </w:p>
    <w:p>
      <w:pPr>
        <w:pStyle w:val="AmNumberTabs"/>
      </w:pPr>
      <w:r>
        <w:rPr>
          <w:rStyle w:val="HideTWBExt"/>
        </w:rPr>
        <w:t>&lt;Amend&gt;</w:t>
      </w:r>
      <w:r>
        <w:t>Amendamentul</w:t>
      </w:r>
      <w:r>
        <w:tab/>
      </w:r>
      <w:r>
        <w:tab/>
      </w:r>
      <w:r>
        <w:rPr>
          <w:rStyle w:val="HideTWBExt"/>
        </w:rPr>
        <w:t>&lt;NumAm&gt;</w:t>
      </w:r>
      <w:r>
        <w:t>84</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22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își exprimă profunda îngrijorare față de influența crescândă a mișcărilor fundamentaliste ultra-conservatoare, anti-gen și religioase – atât în interiorul, cât și în afara UE – care vizează subminarea drepturilor fundamentale ale femeilor și fetelor, inclusiv în situațiile umanitare; subliniază că astfel de mișcări răspândesc adesea dezinformarea, stigmatizează serviciile de sănătate sexuală și reproductivă și slăbesc protecția femeilor împotriva violenței de gen; invită Comisia, SEAE și statele membre să se asigure că programele umanitare finanțate de UE rămân ferm ancorate în standardele internaționale privind drepturile omului și egalitatea de gen și să sprijine activ organizațiile societății civile vizate de actorii anti-drepturi;</w:t>
            </w:r>
          </w:p>
        </w:tc>
      </w:tr>
    </w:tbl>
    <w:p>
      <w:r>
        <w:rPr>
          <w:rStyle w:val="HideTWBExt"/>
        </w:rPr>
        <w:t>&lt;/Amend&gt;</w:t>
      </w:r>
    </w:p>
    <w:p>
      <w:pPr>
        <w:pStyle w:val="AmNumberTabs"/>
      </w:pPr>
      <w:r>
        <w:rPr>
          <w:rStyle w:val="HideTWBExt"/>
        </w:rPr>
        <w:t>&lt;Amend&gt;</w:t>
      </w:r>
      <w:r>
        <w:t>Amendamentul</w:t>
      </w:r>
      <w:r>
        <w:tab/>
      </w:r>
      <w:r>
        <w:tab/>
      </w:r>
      <w:r>
        <w:rPr>
          <w:rStyle w:val="HideTWBExt"/>
        </w:rPr>
        <w:t>&lt;NumAm&gt;</w:t>
      </w:r>
      <w:r>
        <w:t>85</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își reiterează apelul ca statele membre ale UE să pună în aplicare pe deplin Rezoluția 1325 a Consiliului de Securitate al ONU;</w:t>
            </w:r>
          </w:p>
        </w:tc>
        <w:tc>
          <w:tcPr>
            <w:tcW w:w="4876" w:type="dxa"/>
            <w:tcBorders>
              <w:top w:val="nil"/>
              <w:left w:val="nil"/>
              <w:bottom w:val="nil"/>
              <w:right w:val="nil"/>
            </w:tcBorders>
          </w:tcPr>
          <w:p>
            <w:pPr>
              <w:pStyle w:val="Normal6a"/>
            </w:pPr>
            <w:r>
              <w:t>23.</w:t>
            </w:r>
            <w:r>
              <w:tab/>
            </w:r>
            <w:r>
              <w:t>își reiterează apelul ca statele membre ale UE să pună în aplicare pe deplin Rezoluția 1325 a Consiliului de Securitate al ONU;</w:t>
            </w:r>
            <w:r>
              <w:rPr>
                <w:b/>
                <w:i/>
              </w:rPr>
              <w:t xml:space="preserve"> încurajează statele membre să își actualizeze planurile naționale de acțiune (PNA) în conformitate cu Rezoluția 1325 a Consiliului de Securitate al ONU;</w:t>
            </w:r>
          </w:p>
        </w:tc>
      </w:tr>
    </w:tbl>
    <w:p>
      <w:r>
        <w:rPr>
          <w:rStyle w:val="HideTWBExt"/>
        </w:rPr>
        <w:t>&lt;/Amend&gt;</w:t>
      </w:r>
    </w:p>
    <w:p>
      <w:pPr>
        <w:pStyle w:val="AmNumberTabs"/>
      </w:pPr>
      <w:r>
        <w:rPr>
          <w:rStyle w:val="HideTWBExt"/>
        </w:rPr>
        <w:t>&lt;Amend&gt;</w:t>
      </w:r>
      <w:r>
        <w:t>Amendamentul</w:t>
      </w:r>
      <w:r>
        <w:tab/>
      </w:r>
      <w:r>
        <w:tab/>
      </w:r>
      <w:r>
        <w:rPr>
          <w:rStyle w:val="HideTWBExt"/>
        </w:rPr>
        <w:t>&lt;NumAm&gt;</w:t>
      </w:r>
      <w:r>
        <w:t>86</w:t>
      </w:r>
      <w:r>
        <w:rPr>
          <w:rStyle w:val="HideTWBExt"/>
        </w:rPr>
        <w:t>&lt;/NumAm&gt;</w:t>
      </w:r>
    </w:p>
    <w:p>
      <w:pPr>
        <w:pStyle w:val="NormalBold12b"/>
      </w:pPr>
      <w:r>
        <w:rPr>
          <w:rStyle w:val="HideTWBExt"/>
        </w:rPr>
        <w:t>&lt;DocAmend&gt;</w:t>
      </w:r>
      <w:r>
        <w:t>Propunere de rezoluție</w:t>
      </w:r>
      <w:r>
        <w:rPr>
          <w:rStyle w:val="HideTWBExt"/>
        </w:rPr>
        <w:t>&lt;/DocAmend&gt;</w:t>
      </w:r>
    </w:p>
    <w:p>
      <w:pPr>
        <w:pStyle w:val="NormalBold"/>
      </w:pPr>
      <w:r>
        <w:rPr>
          <w:rStyle w:val="HideTWBExt"/>
        </w:rPr>
        <w:t>&lt;Article&gt;</w:t>
      </w:r>
      <w:r>
        <w:t>Punctul 23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trage un semnal de alarmă privind violența instituțională și neglijența actorilor umanitari, inclusiv programarea insensibilă la problematica genului, mediile nesigure pentru femei și persoanele LGBTIQ+ și lipsa tragerii la răspundere pentru abuzuri; solicită standarde obligatorii privind dimensiunea de gen, sisteme de raportare cuprinzătoare și politici de toleranță zero în toate operațiunile umanitare finanțate de Uniune.</w:t>
            </w:r>
          </w:p>
        </w:tc>
      </w:tr>
    </w:tbl>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
      </w:pPr>
      <w:r>
        <w:t>ANEXĂ: DECLARAȚIE PRIVIND CONTRIBUȚIILE</w:t>
      </w:r>
    </w:p>
    <w:p>
      <w:pPr>
        <w:pStyle w:val="Normal12a"/>
      </w:pPr>
      <w:r>
        <w:rPr>
          <w:rStyle w:val="HideTWBExt"/>
        </w:rPr>
        <w:t>&lt;FootprintIntro&gt;</w:t>
      </w:r>
      <w:r>
        <w:rPr>
          <w:rStyle w:val="HideTWBExt"/>
        </w:rPr>
        <w:t>&lt;/FootprintIntro&gt;</w:t>
      </w:r>
    </w:p>
    <w:p>
      <w:pPr>
        <w:pStyle w:val="Normal12a"/>
      </w:pPr>
      <w:r>
        <w:t>Raportoarea declară pe propria răspundere că nu a inclus în raportul său nicio contribuție de la reprezentanți de interese care intră sub incidența Acordului interinstituțional privind un registru de transparență obligatoriu</w:t>
      </w:r>
      <w:r>
        <w:rPr>
          <w:rStyle w:val="FootnoteReference"/>
        </w:rPr>
        <w:footnoteReference w:customMarkFollows="1" w:id="2"/>
        <w:t xml:space="preserve">1</w:t>
      </w:r>
      <w:r>
        <w:t xml:space="preserve"> sau de la reprezentanți ai autorităților publice din țările terțe, inclusiv misiuni diplomatice și ambasade ale acestora, care trebuie inclusă în prezenta anexă în conformitate cu articolul 8 din anexa I la Regulamentul de procedură.</w:t>
      </w:r>
    </w:p>
    <w:p>
      <w:pPr>
        <w:sectPr>
          <w:footnotePr>
            <w:numRestart w:val="eachSect"/>
          </w:footnotePr>
          <w:type w:val="nextPage"/>
          <w:pgSz w:w="11909" w:h="16834"/>
          <w:pgMar w:top="1134" w:right="1417" w:bottom="1417" w:left="1417" w:header="1134" w:footer="567"/>
          <w:cols w:space="720"/>
        </w:sectPr>
      </w:pPr>
    </w:p>
    <w:p>
      <w:pPr>
        <w:pStyle w:val="PageHeading"/>
      </w:pPr>
      <w:r>
        <w:t>INFORMAȚII PRIVIND ADOPTAREA</w:t>
        <w:br/>
        <w:t>DE CĂTRE COMISIA SESIZATĂ PENTRU AVIZ</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3600"/>
        <w:gridCol w:w="64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3600" w:type="dxa"/>
          </w:tcPr>
          <w:p>
            <w:pPr>
              <w:pStyle w:val="ProcedureTableBold"/>
            </w:pPr>
            <w:r>
              <w:t>Data adoptării</w:t>
            </w:r>
          </w:p>
        </w:tc>
        <w:tc>
          <w:tcPr>
            <w:tcW w:w="6400" w:type="dxa"/>
            <w:tcBorders>
              <w:left w:val="dotted" w:sz="4" w:space="0" w:color="auto"/>
            </w:tcBorders>
          </w:tcPr>
          <w:p>
            <w:pPr>
              <w:pStyle w:val="ProcedureTable"/>
            </w:pPr>
            <w:r>
              <w:t>13.10.2025</w:t>
            </w:r>
          </w:p>
        </w:tc>
      </w:tr>
      <w:tr>
        <w:tblPrEx>
          <w:tblW w:w="0" w:type="auto"/>
          <w:tblLayout w:type="fixed"/>
          <w:tblCellMar>
            <w:left w:w="140" w:type="dxa"/>
            <w:right w:w="140" w:type="dxa"/>
          </w:tblCellMar>
        </w:tblPrEx>
        <w:tc>
          <w:tcPr>
            <w:tcW w:w="3600" w:type="dxa"/>
          </w:tcPr>
          <w:p>
            <w:pPr>
              <w:pStyle w:val="ProcedureTableBold"/>
            </w:pPr>
            <w:r>
              <w:t>Rezultatul votului final</w:t>
            </w:r>
          </w:p>
        </w:tc>
        <w:tc>
          <w:tcPr>
            <w:tcW w:w="6400" w:type="dxa"/>
            <w:tcBorders>
              <w:left w:val="dotted" w:sz="4" w:space="0" w:color="auto"/>
            </w:tcBorders>
          </w:tcPr>
          <w:p>
            <w:r>
              <w:t>+</w:t>
            </w:r>
            <w:r>
              <w:tab/>
            </w:r>
            <w:r>
              <w:t>:</w:t>
            </w:r>
            <w:r>
              <w:tab/>
            </w:r>
            <w:r>
              <w:t>25</w:t>
            </w:r>
          </w:p>
          <w:p>
            <w:r>
              <w:t>-</w:t>
            </w:r>
            <w:r>
              <w:tab/>
            </w:r>
            <w:r>
              <w:t>:</w:t>
            </w:r>
            <w:r>
              <w:tab/>
            </w:r>
            <w:r>
              <w:t>8</w:t>
            </w:r>
          </w:p>
          <w:p>
            <w:r>
              <w:t>0</w:t>
            </w:r>
            <w:r>
              <w:tab/>
            </w:r>
            <w:r>
              <w:t>:</w:t>
            </w:r>
            <w:r>
              <w:tab/>
            </w:r>
            <w:r>
              <w:t>1</w:t>
            </w:r>
          </w:p>
        </w:tc>
      </w:tr>
      <w:tr>
        <w:tblPrEx>
          <w:tblW w:w="0" w:type="auto"/>
          <w:tblLayout w:type="fixed"/>
          <w:tblCellMar>
            <w:left w:w="140" w:type="dxa"/>
            <w:right w:w="140" w:type="dxa"/>
          </w:tblCellMar>
        </w:tblPrEx>
        <w:tc>
          <w:tcPr>
            <w:tcW w:w="3600" w:type="dxa"/>
          </w:tcPr>
          <w:p>
            <w:pPr>
              <w:pStyle w:val="ProcedureTableBold"/>
            </w:pPr>
            <w:r>
              <w:t>Membri titulari prezenți la votul final</w:t>
            </w:r>
          </w:p>
        </w:tc>
        <w:tc>
          <w:tcPr>
            <w:tcW w:w="6400" w:type="dxa"/>
            <w:tcBorders>
              <w:left w:val="dotted" w:sz="4" w:space="0" w:color="auto"/>
            </w:tcBorders>
          </w:tcPr>
          <w:p>
            <w:pPr>
              <w:pStyle w:val="ProcedureTable"/>
            </w:pPr>
            <w:r>
              <w:t>Margarita de la Pisa Carrión, Valérie Devaux, Heléne Fritzon, Lina Gálvez, Alexandra Geese, Chiara Gemma, Fernand Kartheiser, Arba Kokalari, Elena Kountoura, Sebastian Kruis, Judita Laššáková, Eleonora Meleti, Carolina Morace, Maria Noichl, Sirpa Pietikäinen, Giusi Princi, Emma Rafowicz, Joanna Scheuring-Wielgus, Benedetta Scuderi, Laurence Trochu, Marko Vešligaj, Maria Walsh, Lucia Yar</w:t>
            </w:r>
          </w:p>
        </w:tc>
      </w:tr>
      <w:tr>
        <w:tblPrEx>
          <w:tblW w:w="0" w:type="auto"/>
          <w:tblLayout w:type="fixed"/>
          <w:tblCellMar>
            <w:left w:w="140" w:type="dxa"/>
            <w:right w:w="140" w:type="dxa"/>
          </w:tblCellMar>
        </w:tblPrEx>
        <w:tc>
          <w:tcPr>
            <w:tcW w:w="3600" w:type="dxa"/>
          </w:tcPr>
          <w:p>
            <w:pPr>
              <w:pStyle w:val="ProcedureTableBold"/>
            </w:pPr>
            <w:r>
              <w:t>Membri supleanți prezenți la votul final</w:t>
            </w:r>
          </w:p>
        </w:tc>
        <w:tc>
          <w:tcPr>
            <w:tcW w:w="6400" w:type="dxa"/>
            <w:tcBorders>
              <w:left w:val="dotted" w:sz="4" w:space="0" w:color="auto"/>
            </w:tcBorders>
          </w:tcPr>
          <w:p>
            <w:pPr>
              <w:pStyle w:val="ProcedureTable"/>
            </w:pPr>
            <w:r>
              <w:t>Christine Anderson, Veronika Cifrová Ostrihoňová, Paulo Do Nascimento Cabral, Elisabeth Grossmann, Billy Kelleher, Katrin Langensiepen, Manuela Ripa, Beatrice Timgren, Marianne Vind</w:t>
            </w:r>
          </w:p>
        </w:tc>
      </w:tr>
      <w:tr>
        <w:tblPrEx>
          <w:tblW w:w="0" w:type="auto"/>
          <w:tblLayout w:type="fixed"/>
          <w:tblCellMar>
            <w:left w:w="140" w:type="dxa"/>
            <w:right w:w="140" w:type="dxa"/>
          </w:tblCellMar>
        </w:tblPrEx>
        <w:tc>
          <w:tcPr>
            <w:tcW w:w="3600" w:type="dxa"/>
          </w:tcPr>
          <w:p>
            <w:pPr>
              <w:pStyle w:val="ProcedureTableBold"/>
            </w:pPr>
            <w:r>
              <w:t>Deputații vizați de articolul 216 alineatul (7) din Regulamentul de procedură prezenți la votul final</w:t>
            </w:r>
          </w:p>
        </w:tc>
        <w:tc>
          <w:tcPr>
            <w:tcW w:w="6400" w:type="dxa"/>
            <w:tcBorders>
              <w:left w:val="dotted" w:sz="4" w:space="0" w:color="auto"/>
            </w:tcBorders>
          </w:tcPr>
          <w:p>
            <w:pPr>
              <w:pStyle w:val="ProcedureTable"/>
            </w:pPr>
            <w:r>
              <w:t>Peter Agius, Daniel Caspary</w:t>
            </w:r>
          </w:p>
        </w:tc>
      </w:tr>
    </w:tbl>
    <w:p>
      <w:pPr>
        <w:sectPr>
          <w:type w:val="nextPage"/>
          <w:pgSz w:w="11909" w:h="16834"/>
          <w:pgMar w:top="1134" w:right="1417" w:bottom="1417" w:left="1417" w:header="1134" w:footer="567"/>
          <w:cols w:space="720"/>
        </w:sectPr>
      </w:pPr>
    </w:p>
    <w:p>
      <w:pPr>
        <w:pStyle w:val="PageHeading"/>
      </w:pPr>
      <w:r>
        <w:t>VOT FINAL PRIN APEL NOMINAL</w:t>
        <w:br/>
        <w:t>DE CĂTRE COMISIA SESIZATĂ PENTRU AVIZ</w:t>
      </w:r>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25</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Caspary Daniel, Do Nascimento Cabral Paulo, Kokalari Arba, Meleti Eleonora, Pietikäinen Sirpa, Princi Giusi, Ripa Manuela, Walsh Maria</w:t>
            </w:r>
          </w:p>
        </w:tc>
      </w:tr>
      <w:tr>
        <w:tblPrEx>
          <w:tblW w:w="0" w:type="auto"/>
          <w:tblLayout w:type="fixed"/>
          <w:tblCellMar>
            <w:top w:w="54" w:type="dxa"/>
            <w:left w:w="140" w:type="dxa"/>
            <w:bottom w:w="54" w:type="dxa"/>
            <w:right w:w="140" w:type="dxa"/>
          </w:tblCellMar>
        </w:tblPrEx>
        <w:tc>
          <w:tcPr>
            <w:tcW w:w="1600" w:type="dxa"/>
          </w:tcPr>
          <w:p>
            <w:pPr>
              <w:pStyle w:val="ProcedureTable"/>
            </w:pPr>
            <w:r>
              <w:t>Renew</w:t>
            </w:r>
          </w:p>
        </w:tc>
        <w:tc>
          <w:tcPr>
            <w:tcW w:w="7600" w:type="dxa"/>
          </w:tcPr>
          <w:p>
            <w:pPr>
              <w:pStyle w:val="ProcedureTable"/>
            </w:pPr>
            <w:r>
              <w:t>Cifrová Ostrihonová Veronika, Devaux Valérie, Kelleher Billy, Yar Lucia</w:t>
            </w:r>
          </w:p>
        </w:tc>
      </w:tr>
      <w:tr>
        <w:tblPrEx>
          <w:tblW w:w="0" w:type="auto"/>
          <w:tblLayout w:type="fixed"/>
          <w:tblCellMar>
            <w:top w:w="54" w:type="dxa"/>
            <w:left w:w="140" w:type="dxa"/>
            <w:bottom w:w="54" w:type="dxa"/>
            <w:right w:w="140" w:type="dxa"/>
          </w:tblCellMar>
        </w:tblPrEx>
        <w:tc>
          <w:tcPr>
            <w:tcW w:w="1600" w:type="dxa"/>
          </w:tcPr>
          <w:p>
            <w:pPr>
              <w:pStyle w:val="ProcedureTable"/>
            </w:pPr>
            <w:r>
              <w:t>S&amp;D</w:t>
            </w:r>
          </w:p>
        </w:tc>
        <w:tc>
          <w:tcPr>
            <w:tcW w:w="7600" w:type="dxa"/>
          </w:tcPr>
          <w:p>
            <w:pPr>
              <w:pStyle w:val="ProcedureTable"/>
            </w:pPr>
            <w:r>
              <w:t>Fritzon Heléne, Gálvez Lina, Grossmann Elisabeth, Noichl Maria, Rafowicz Emma, Scheuring-Wielgus Joanna, Vesligaj Marko, Vind Marianne</w:t>
            </w:r>
          </w:p>
        </w:tc>
      </w:tr>
      <w:tr>
        <w:tblPrEx>
          <w:tblW w:w="0" w:type="auto"/>
          <w:tblLayout w:type="fixed"/>
          <w:tblCellMar>
            <w:top w:w="54" w:type="dxa"/>
            <w:left w:w="140" w:type="dxa"/>
            <w:bottom w:w="54" w:type="dxa"/>
            <w:right w:w="140" w:type="dxa"/>
          </w:tblCellMar>
        </w:tblPrEx>
        <w:tc>
          <w:tcPr>
            <w:tcW w:w="1600" w:type="dxa"/>
          </w:tcPr>
          <w:p>
            <w:pPr>
              <w:pStyle w:val="ProcedureTable"/>
            </w:pPr>
            <w:r>
              <w:t>The Left</w:t>
            </w:r>
          </w:p>
        </w:tc>
        <w:tc>
          <w:tcPr>
            <w:tcW w:w="7600" w:type="dxa"/>
          </w:tcPr>
          <w:p>
            <w:pPr>
              <w:pStyle w:val="ProcedureTable"/>
            </w:pPr>
            <w:r>
              <w:t>Kountoura Elena, Morace Carolina</w:t>
            </w:r>
          </w:p>
        </w:tc>
      </w:tr>
      <w:tr>
        <w:tblPrEx>
          <w:tblW w:w="0" w:type="auto"/>
          <w:tblLayout w:type="fixed"/>
          <w:tblCellMar>
            <w:top w:w="54" w:type="dxa"/>
            <w:left w:w="140" w:type="dxa"/>
            <w:bottom w:w="54" w:type="dxa"/>
            <w:right w:w="140" w:type="dxa"/>
          </w:tblCellMar>
        </w:tblPrEx>
        <w:tc>
          <w:tcPr>
            <w:tcW w:w="1600" w:type="dxa"/>
          </w:tcPr>
          <w:p>
            <w:pPr>
              <w:pStyle w:val="ProcedureTable"/>
            </w:pPr>
            <w:r>
              <w:t>Verts/ALE</w:t>
            </w:r>
          </w:p>
        </w:tc>
        <w:tc>
          <w:tcPr>
            <w:tcW w:w="7600" w:type="dxa"/>
          </w:tcPr>
          <w:p>
            <w:pPr>
              <w:pStyle w:val="ProcedureTable"/>
            </w:pPr>
            <w:r>
              <w:t>Geese Alexandra, Langensiepen Katrin, Scuderi Benedetta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8</w:t>
            </w:r>
          </w:p>
        </w:tc>
        <w:tc>
          <w:tcPr>
            <w:tcW w:w="7600" w:type="dxa"/>
            <w:shd w:val="clear" w:color="auto" w:fill="C0C0C0"/>
          </w:tcPr>
          <w:p>
            <w:pPr>
              <w:pStyle w:val="Arial14CentreBold"/>
            </w:pPr>
            <w:r>
              <w:t>-</w:t>
            </w:r>
          </w:p>
        </w:tc>
      </w:tr>
      <w:tr>
        <w:tblPrEx>
          <w:tblW w:w="0" w:type="auto"/>
          <w:tblLayout w:type="fixed"/>
          <w:tblCellMar>
            <w:top w:w="54" w:type="dxa"/>
            <w:left w:w="140" w:type="dxa"/>
            <w:bottom w:w="54" w:type="dxa"/>
            <w:right w:w="140" w:type="dxa"/>
          </w:tblCellMar>
        </w:tblPrEx>
        <w:tc>
          <w:tcPr>
            <w:tcW w:w="1600" w:type="dxa"/>
          </w:tcPr>
          <w:p>
            <w:pPr>
              <w:pStyle w:val="ProcedureTable"/>
            </w:pPr>
            <w:r>
              <w:t>ECR</w:t>
            </w:r>
          </w:p>
        </w:tc>
        <w:tc>
          <w:tcPr>
            <w:tcW w:w="7600" w:type="dxa"/>
          </w:tcPr>
          <w:p>
            <w:pPr>
              <w:pStyle w:val="ProcedureTable"/>
            </w:pPr>
            <w:r>
              <w:t>Gemma Chiara, Timgren Beatrice, Trochu Laurence</w:t>
            </w:r>
          </w:p>
        </w:tc>
      </w:tr>
      <w:tr>
        <w:tblPrEx>
          <w:tblW w:w="0" w:type="auto"/>
          <w:tblLayout w:type="fixed"/>
          <w:tblCellMar>
            <w:top w:w="54" w:type="dxa"/>
            <w:left w:w="140" w:type="dxa"/>
            <w:bottom w:w="54" w:type="dxa"/>
            <w:right w:w="140" w:type="dxa"/>
          </w:tblCellMar>
        </w:tblPrEx>
        <w:tc>
          <w:tcPr>
            <w:tcW w:w="1600" w:type="dxa"/>
          </w:tcPr>
          <w:p>
            <w:pPr>
              <w:pStyle w:val="ProcedureTable"/>
            </w:pPr>
            <w:r>
              <w:t>ESN</w:t>
            </w:r>
          </w:p>
        </w:tc>
        <w:tc>
          <w:tcPr>
            <w:tcW w:w="7600" w:type="dxa"/>
          </w:tcPr>
          <w:p>
            <w:pPr>
              <w:pStyle w:val="ProcedureTable"/>
            </w:pPr>
            <w:r>
              <w:t>Anderson Christine</w:t>
            </w:r>
          </w:p>
        </w:tc>
      </w:tr>
      <w:tr>
        <w:tblPrEx>
          <w:tblW w:w="0" w:type="auto"/>
          <w:tblLayout w:type="fixed"/>
          <w:tblCellMar>
            <w:top w:w="54" w:type="dxa"/>
            <w:left w:w="140" w:type="dxa"/>
            <w:bottom w:w="54" w:type="dxa"/>
            <w:right w:w="140" w:type="dxa"/>
          </w:tblCellMar>
        </w:tblPrEx>
        <w:tc>
          <w:tcPr>
            <w:tcW w:w="1600" w:type="dxa"/>
          </w:tcPr>
          <w:p>
            <w:pPr>
              <w:pStyle w:val="ProcedureTable"/>
            </w:pPr>
            <w:r>
              <w:t>NI</w:t>
            </w:r>
          </w:p>
        </w:tc>
        <w:tc>
          <w:tcPr>
            <w:tcW w:w="7600" w:type="dxa"/>
          </w:tcPr>
          <w:p>
            <w:pPr>
              <w:pStyle w:val="ProcedureTable"/>
            </w:pPr>
            <w:r>
              <w:t>Kartheiser Fernand, Lassáková Judita</w:t>
            </w:r>
          </w:p>
        </w:tc>
      </w:tr>
      <w:tr>
        <w:tblPrEx>
          <w:tblW w:w="0" w:type="auto"/>
          <w:tblLayout w:type="fixed"/>
          <w:tblCellMar>
            <w:top w:w="54" w:type="dxa"/>
            <w:left w:w="140" w:type="dxa"/>
            <w:bottom w:w="54" w:type="dxa"/>
            <w:right w:w="140" w:type="dxa"/>
          </w:tblCellMar>
        </w:tblPrEx>
        <w:tc>
          <w:tcPr>
            <w:tcW w:w="1600" w:type="dxa"/>
          </w:tcPr>
          <w:p>
            <w:pPr>
              <w:pStyle w:val="ProcedureTable"/>
            </w:pPr>
            <w:r>
              <w:t>PfE</w:t>
            </w:r>
          </w:p>
        </w:tc>
        <w:tc>
          <w:tcPr>
            <w:tcW w:w="7600" w:type="dxa"/>
          </w:tcPr>
          <w:p>
            <w:pPr>
              <w:pStyle w:val="ProcedureTable"/>
            </w:pPr>
            <w:r>
              <w:t>Kruis Sebastian, de la Pisa Carrión Margarita</w:t>
            </w:r>
          </w:p>
        </w:tc>
      </w:tr>
    </w:tbl>
    <w:p/>
    <w:tbl>
      <w:tblPr>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
      <w:tblGrid>
        <w:gridCol w:w="1600"/>
        <w:gridCol w:w="7600"/>
      </w:tblGrid>
      <w:tr>
        <w:tblPrEx>
          <w:tblW w:w="0" w:type="auto"/>
          <w:tblBorders>
            <w:top w:val="double" w:sz="8" w:space="0" w:color="000000"/>
            <w:left w:val="double" w:sz="8" w:space="0" w:color="000000"/>
            <w:bottom w:val="double" w:sz="8" w:space="0" w:color="000000"/>
            <w:right w:val="double" w:sz="8" w:space="0" w:color="000000"/>
            <w:insideH w:val="single" w:sz="4" w:space="0" w:color="auto"/>
            <w:insideV w:val="single" w:sz="4" w:space="0" w:color="auto"/>
          </w:tblBorders>
          <w:tblLayout w:type="fixed"/>
          <w:tblCellMar>
            <w:top w:w="54" w:type="dxa"/>
            <w:left w:w="140" w:type="dxa"/>
            <w:bottom w:w="54" w:type="dxa"/>
            <w:right w:w="140" w:type="dxa"/>
          </w:tblCellMar>
        </w:tblPrEx>
        <w:tc>
          <w:tcPr>
            <w:tcW w:w="1600" w:type="dxa"/>
            <w:shd w:val="clear" w:color="auto" w:fill="C0C0C0"/>
          </w:tcPr>
          <w:p>
            <w:pPr>
              <w:pStyle w:val="NormalBold"/>
            </w:pPr>
            <w:r>
              <w:t>1</w:t>
            </w:r>
          </w:p>
        </w:tc>
        <w:tc>
          <w:tcPr>
            <w:tcW w:w="7600" w:type="dxa"/>
            <w:shd w:val="clear" w:color="auto" w:fill="C0C0C0"/>
          </w:tcPr>
          <w:p>
            <w:pPr>
              <w:pStyle w:val="Arial14CentreBold"/>
            </w:pPr>
            <w:r>
              <w:t>0</w:t>
            </w:r>
          </w:p>
        </w:tc>
      </w:tr>
      <w:tr>
        <w:tblPrEx>
          <w:tblW w:w="0" w:type="auto"/>
          <w:tblLayout w:type="fixed"/>
          <w:tblCellMar>
            <w:top w:w="54" w:type="dxa"/>
            <w:left w:w="140" w:type="dxa"/>
            <w:bottom w:w="54" w:type="dxa"/>
            <w:right w:w="140" w:type="dxa"/>
          </w:tblCellMar>
        </w:tblPrEx>
        <w:tc>
          <w:tcPr>
            <w:tcW w:w="1600" w:type="dxa"/>
          </w:tcPr>
          <w:p>
            <w:pPr>
              <w:pStyle w:val="ProcedureTable"/>
            </w:pPr>
            <w:r>
              <w:t>PPE</w:t>
            </w:r>
          </w:p>
        </w:tc>
        <w:tc>
          <w:tcPr>
            <w:tcW w:w="7600" w:type="dxa"/>
          </w:tcPr>
          <w:p>
            <w:pPr>
              <w:pStyle w:val="ProcedureTable"/>
            </w:pPr>
            <w:r>
              <w:t>Agius Peter</w:t>
            </w:r>
          </w:p>
        </w:tc>
      </w:tr>
    </w:tbl>
    <w:p/>
    <w:p>
      <w:r>
        <w:t>Legenda simbolurilor utilizate:</w:t>
      </w:r>
    </w:p>
    <w:p>
      <w:pPr>
        <w:pStyle w:val="NormalTab"/>
      </w:pPr>
      <w:r>
        <w:t>+</w:t>
      </w:r>
      <w:r>
        <w:t xml:space="preserve">  :  </w:t>
      </w:r>
      <w:r>
        <w:t>pentru</w:t>
      </w:r>
    </w:p>
    <w:p>
      <w:pPr>
        <w:pStyle w:val="NormalTab"/>
      </w:pPr>
      <w:r>
        <w:t>-</w:t>
      </w:r>
      <w:r>
        <w:t xml:space="preserve">  :  </w:t>
      </w:r>
      <w:r>
        <w:t>împotrivă</w:t>
      </w:r>
    </w:p>
    <w:p>
      <w:pPr>
        <w:pStyle w:val="NormalTab"/>
      </w:pPr>
      <w:r>
        <w:t>0</w:t>
      </w:r>
      <w:r>
        <w:t xml:space="preserve">  :  </w:t>
      </w:r>
      <w:r>
        <w:t>abțineri</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774.481</w:t>
    </w:r>
    <w:r>
      <w:rPr>
        <w:rStyle w:val="HideTWBExt"/>
      </w:rPr>
      <w:t>&lt;/NoPE&gt;</w:t>
    </w:r>
    <w:r>
      <w:rPr>
        <w:rStyle w:val="HideTWBExt"/>
      </w:rPr>
      <w:t>&lt;Version&gt;</w:t>
    </w:r>
    <w:r>
      <w:t>v02-00</w:t>
    </w:r>
    <w:r>
      <w:rPr>
        <w:rStyle w:val="HideTWBExt"/>
      </w:rPr>
      <w:t>&lt;/Version&gt;</w:t>
    </w:r>
    <w:r>
      <w:tab/>
    </w:r>
    <w:r>
      <w:fldChar w:fldCharType="begin"/>
    </w:r>
    <w:r>
      <w:instrText xml:space="preserve"> PAGE </w:instrText>
    </w:r>
    <w:r>
      <w:fldChar w:fldCharType="separate"/>
    </w:r>
    <w:r>
      <w:t>48</w:t>
    </w:r>
    <w:r>
      <w:fldChar w:fldCharType="end"/>
    </w:r>
    <w:r>
      <w:t>/</w:t>
    </w:r>
    <w:r>
      <w:fldChar w:fldCharType="begin"/>
    </w:r>
    <w:r>
      <w:instrText xml:space="preserve"> NUMPAGES </w:instrText>
    </w:r>
    <w:r>
      <w:fldChar w:fldCharType="separate"/>
    </w:r>
    <w:r>
      <w:t>48</w:t>
    </w:r>
    <w:r>
      <w:fldChar w:fldCharType="end"/>
    </w:r>
    <w:r>
      <w:tab/>
    </w:r>
    <w:r>
      <w:rPr>
        <w:rStyle w:val="HideTWBExt"/>
      </w:rPr>
      <w:t>&lt;PathFdR&gt;</w:t>
    </w:r>
    <w:r>
      <w:t>AD\1329163RO.docx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AD\1329163RO.docx</w:t>
    </w:r>
    <w:r>
      <w:rPr>
        <w:rStyle w:val="HideTWBExt"/>
      </w:rPr>
      <w:t>&lt;/PathFdR&gt;</w:t>
    </w:r>
    <w:r>
      <w:tab/>
    </w:r>
    <w:r>
      <w:fldChar w:fldCharType="begin"/>
    </w:r>
    <w:r>
      <w:instrText xml:space="preserve"> PAGE </w:instrText>
    </w:r>
    <w:r>
      <w:fldChar w:fldCharType="separate"/>
    </w:r>
    <w:r>
      <w:t>47</w:t>
    </w:r>
    <w:r>
      <w:fldChar w:fldCharType="end"/>
    </w:r>
    <w:r>
      <w:t>/</w:t>
    </w:r>
    <w:r>
      <w:fldChar w:fldCharType="begin"/>
    </w:r>
    <w:r>
      <w:instrText xml:space="preserve"> NUMPAGES </w:instrText>
    </w:r>
    <w:r>
      <w:fldChar w:fldCharType="separate"/>
    </w:r>
    <w:r>
      <w:t>48</w:t>
    </w:r>
    <w:r>
      <w:fldChar w:fldCharType="end"/>
    </w:r>
    <w:r>
      <w:tab/>
    </w:r>
    <w:r>
      <w:t>PE</w:t>
    </w:r>
    <w:r>
      <w:rPr>
        <w:rStyle w:val="HideTWBExt"/>
      </w:rPr>
      <w:t>&lt;NoPE&gt;</w:t>
    </w:r>
    <w:r>
      <w:t>774.481</w:t>
    </w:r>
    <w:r>
      <w:rPr>
        <w:rStyle w:val="HideTWBExt"/>
      </w:rPr>
      <w:t>&lt;/NoPE&gt;</w:t>
    </w:r>
    <w:r>
      <w:rPr>
        <w:rStyle w:val="HideTWBExt"/>
      </w:rPr>
      <w:t>&lt;Version&gt;</w:t>
    </w:r>
    <w:r>
      <w:t>v02-00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AD\1329163RO.docx</w:t>
    </w:r>
    <w:r>
      <w:rPr>
        <w:rStyle w:val="HideTWBExt"/>
      </w:rPr>
      <w:t>&lt;/PathFdR&gt;</w:t>
    </w:r>
    <w:r>
      <w:tab/>
    </w:r>
    <w:r>
      <w:tab/>
    </w:r>
    <w:r>
      <w:t>PE</w:t>
    </w:r>
    <w:r>
      <w:rPr>
        <w:rStyle w:val="HideTWBExt"/>
      </w:rPr>
      <w:t>&lt;NoPE&gt;</w:t>
    </w:r>
    <w:r>
      <w:t>774.481</w:t>
    </w:r>
    <w:r>
      <w:rPr>
        <w:rStyle w:val="HideTWBExt"/>
      </w:rPr>
      <w:t>&lt;/NoPE&gt;</w:t>
    </w:r>
    <w:r>
      <w:rPr>
        <w:rStyle w:val="HideTWBExt"/>
      </w:rPr>
      <w:t>&lt;Version&gt;</w:t>
    </w:r>
    <w:r>
      <w:t>v02-00</w:t>
    </w:r>
    <w:r>
      <w:rPr>
        <w:rStyle w:val="HideTWBExt"/>
      </w:rPr>
      <w:t>&lt;/Version&gt;</w:t>
    </w:r>
  </w:p>
  <w:p>
    <w:pPr>
      <w:pStyle w:val="EPFooter2"/>
    </w:pPr>
    <w:r>
      <w:t>RO</w:t>
    </w:r>
    <w:r>
      <w:tab/>
    </w:r>
    <w:r>
      <w:rPr>
        <w:rStyle w:val="EPFooter2Motto"/>
      </w:rPr>
      <w:t>Unită în diversitate</w:t>
    </w:r>
    <w:r>
      <w:tab/>
    </w:r>
    <w:r>
      <w:t>RO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Acordul interinstituțional din 20 mai 2021 dintre Parlamentul European, Consiliul Uniunii Europene și Comisia Europeană privind un registru de transparență obligatoriu (JO L 207, 11.6.2021, p. 1, ELI: </w:t>
      </w:r>
      <w:hyperlink r:id="rId1" w:tgtFrame="http://data.europa.eu/eli/agree_interinstit/2021/611/oj" w:history="1">
        <w:r>
          <w:rPr>
            <w:rStyle w:val="Hyperlink"/>
          </w:rPr>
          <w:t>http://data.europa.eu/eli/agree_interinstit/2021/611/oj</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13;_x000a_{\f34\fbidi \froman\fcharset0\fprq2{\*\panose 02040503050406030204}Cambria Math;}{\f38\fbidi \fswiss\fcharset128\fprq2{\*\panose 020b0300000000000000}Yu Gothic Light{\*\falt \'9f\'e0\'83\'53\'83\'56\'83\'62\'83\'4e Light};}&#13;_x000a_{\f163\fbidi \fswiss\fcharset128\fprq2 @Yu Gothic Light;}{\flomajor\f31500\fbidi \froman\fcharset0\fprq2{\*\panose 02020603050405020304}Times New Roman;}&#13;_x000a_{\fdbmajor\f31501\fbidi \fswiss\fcharset128\fprq2{\*\panose 020b0300000000000000}Yu Gothic Light{\*\falt \'9f\'e0\'83\'53\'83\'56\'83\'62\'83\'4e Light};}{\fhimajor\f31502\fbidi \fswiss\fcharset0\fprq2{\*\panose 020f0302020204030204}Calibri Light;}&#13;_x000a_{\fbimajor\f31503\fbidi \fswiss\fcharset0\fprq2 DokChampa;}{\flominor\f31504\fbidi \froman\fcharset0\fprq2{\*\panose 02020603050405020304}Times New Roman;}&#13;_x000a_{\fdbminor\f31505\fbidi \froman\fcharset128\fprq0{\*\panose 00000000000000000000}Yu Mincho{\*\falt \'9f\'e0\'96\'be\'92\'a9};}{\fhiminor\f31506\fbidi \fswiss\fcharset0\fprq2{\*\panose 020f0502020204030204}Calibri;}&#13;_x000a_{\fbiminor\f31507\fbidi \fswiss\fcharset0\fprq2 DokChampa;}{\f335\fbidi \froman\fcharset238\fprq2 Times New Roman CE;}{\f336\fbidi \froman\fcharset204\fprq2 Times New Roman Cyr;}{\f338\fbidi \froman\fcharset161\fprq2 Times New Roman Greek;}&#13;_x000a_{\f339\fbidi \froman\fcharset162\fprq2 Times New Roman Tur;}{\f340\fbidi \froman\fcharset177\fprq2 Times New Roman (Hebrew);}{\f341\fbidi \froman\fcharset178\fprq2 Times New Roman (Arabic);}{\f342\fbidi \froman\fcharset186\fprq2 Times New Roman Baltic;}&#13;_x000a_{\f343\fbidi \froman\fcharset163\fprq2 Times New Roman (Vietnamese);}{\f345\fbidi \fswiss\fcharset238\fprq2 Arial CE;}{\f346\fbidi \fswiss\fcharset204\fprq2 Arial Cyr;}{\f348\fbidi \fswiss\fcharset161\fprq2 Arial Greek;}&#13;_x000a_{\f349\fbidi \fswiss\fcharset162\fprq2 Arial Tur;}{\f350\fbidi \fswiss\fcharset177\fprq2 Arial (Hebrew);}{\f351\fbidi \fswiss\fcharset178\fprq2 Arial (Arabic);}{\f352\fbidi \fswiss\fcharset186\fprq2 Arial Baltic;}&#13;_x000a_{\f353\fbidi \fswiss\fcharset163\fprq2 Arial (Vietnamese);}{\f675\fbidi \froman\fcharset238\fprq2 Cambria Math CE;}{\f676\fbidi \froman\fcharset204\fprq2 Cambria Math Cyr;}{\f678\fbidi \froman\fcharset161\fprq2 Cambria Math Greek;}&#13;_x000a_{\f679\fbidi \froman\fcharset162\fprq2 Cambria Math Tur;}{\f682\fbidi \froman\fcharset186\fprq2 Cambria Math Baltic;}{\f683\fbidi \froman\fcharset163\fprq2 Cambria Math (Vietnamese);}&#13;_x000a_{\f717\fbidi \fswiss\fcharset0\fprq2 Yu Gothic Light Western{\*\falt \'9f\'e0\'83\'53\'83\'56\'83\'62\'83\'4e Light};}{\f715\fbidi \fswiss\fcharset238\fprq2 Yu Gothic Light CE{\*\falt \'9f\'e0\'83\'53\'83\'56\'83\'62\'83\'4e Light};}&#13;_x000a_{\f716\fbidi \fswiss\fcharset204\fprq2 Yu Gothic Light Cyr{\*\falt \'9f\'e0\'83\'53\'83\'56\'83\'62\'83\'4e Light};}{\f718\fbidi \fswiss\fcharset161\fprq2 Yu Gothic Light Greek{\*\falt \'9f\'e0\'83\'53\'83\'56\'83\'62\'83\'4e Light};}&#13;_x000a_{\f719\fbidi \fswiss\fcharset162\fprq2 Yu Gothic Light Tur{\*\falt \'9f\'e0\'83\'53\'83\'56\'83\'62\'83\'4e Light};}{\f722\fbidi \fswiss\fcharset186\fprq2 Yu Gothic Light Baltic{\*\falt \'9f\'e0\'83\'53\'83\'56\'83\'62\'83\'4e Light};}&#13;_x000a_{\f1967\fbidi \fswiss\fcharset0\fprq2 @Yu Gothic Light Western;}{\f1965\fbidi \fswiss\fcharset238\fprq2 @Yu Gothic Light CE;}{\f1966\fbidi \fswiss\fcharset204\fprq2 @Yu Gothic Light Cyr;}{\f1968\fbidi \fswiss\fcharset161\fprq2 @Yu Gothic Light Greek;}&#13;_x000a_{\f1969\fbidi \fswiss\fcharset162\fprq2 @Yu Gothic Light Tur;}{\f1972\fbidi \fswiss\fcharset186\fprq2 @Yu Gothic Light Baltic;}{\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swiss\fcharset0\fprq2 Yu Gothic Light Western{\*\falt \'9f\'e0\'83\'53\'83\'56\'83\'62\'83\'4e Light};}&#13;_x000a_{\fdbmajor\f31518\fbidi \fswiss\fcharset238\fprq2 Yu Gothic Light CE{\*\falt \'9f\'e0\'83\'53\'83\'56\'83\'62\'83\'4e Light};}{\fdbmajor\f31519\fbidi \fswiss\fcharset204\fprq2 Yu Gothic Light Cyr{\*\falt \'9f\'e0\'83\'53\'83\'56\'83\'62\'83\'4e Light};}&#13;_x000a_{\fdbmajor\f31521\fbidi \fswiss\fcharset161\fprq2 Yu Gothic Light Greek{\*\falt \'9f\'e0\'83\'53\'83\'56\'83\'62\'83\'4e Light};}&#13;_x000a_{\fdbmajor\f31522\fbidi \fswiss\fcharset162\fprq2 Yu Gothic Light Tur{\*\falt \'9f\'e0\'83\'53\'83\'56\'83\'62\'83\'4e Light};}&#13;_x000a_{\fdbmajor\f31525\fbidi \fswiss\fcharset186\fprq2 Yu Gothic Light Baltic{\*\falt \'9f\'e0\'83\'53\'83\'56\'83\'62\'83\'4e Light};}{\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7\fbidi \fswiss\fcharset222\fprq2 DokChampa (Tha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242834 HideTWBExt;}{&#13;_x000a_\s18\ql \li0\ri0\nowidctlpar\wrapdefault\aspalpha\aspnum\faauto\adjustright\rin0\lin0\itap0 \rtlch\fcs1 \af0\afs20\alang1025 \ltrch\fcs0 \b\fs24\lang2057\langfe2057\cgrid\langnp2057\langfenp2057 \sbasedon0 \snext18 \spriority0 \styrsid2242834 NormalBold;}&#13;_x000a_{\s19\qr \li0\ri0\sb240\sa240\nowidctlpar\wrapdefault\aspalpha\aspnum\faauto\adjustright\rin0\lin0\itap0 \rtlch\fcs1 \af0\afs20\alang1025 \ltrch\fcs0 \fs24\lang2057\langfe2057\cgrid\langnp2057\langfenp2057 \sbasedon0 \snext19 \spriority0 \styrsid2242834 &#13;_x000a_AmOrLang;}{\s20\ql \li0\ri0\sa120\nowidctlpar\wrapdefault\aspalpha\aspnum\faauto\adjustright\rin0\lin0\itap0 \rtlch\fcs1 \af0\afs20\alang1025 \ltrch\fcs0 \fs24\lang2057\langfe2057\cgrid\langnp2057\langfenp2057 &#13;_x000a_\sbasedon0 \snext20 \spriority0 \styrsid2242834 Normal6a;}{\s21\qc \li0\ri0\sa240\nowidctlpar\wrapdefault\aspalpha\aspnum\faauto\adjustright\rin0\lin0\itap0 \rtlch\fcs1 \af0\afs20\alang1025 \ltrch\fcs0 &#13;_x000a_\i\fs24\lang2057\langfe2057\cgrid\langnp2057\langfenp2057 \sbasedon0 \snext21 \spriority0 \styrsid2242834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2242834 AmNumberTabs;}{\s23\ql \li0\ri0\sb240\nowidctlpar\wrapdefault\aspalpha\aspnum\faauto\adjustright\rin0\lin0\itap0 \rtlch\fcs1 &#13;_x000a_\af0\afs20\alang1025 \ltrch\fcs0 \b\fs24\lang2057\langfe2057\cgrid\langnp2057\langfenp2057 \sbasedon0 \snext23 \spriority0 \styrsid2242834 NormalBold12b;}}{\*\rsidtbl \rsid24658\rsid223860\rsid735077\rsid1718133\rsid2242834\rsid2892074\rsid3565327&#13;_x000a_\rsid4666813\rsid6641733\rsid7823322\rsid9582763\rsid9636012\rsid10377208\rsid11215221\rsid11549030\rsid12154954\rsid14382809\rsid14424199\rsid15204470\rsid15285974\rsid15950462\rsid16324206\rsid16662270}{\mmathPr\mmathFont34\mbrkBin0\mbrkBinSub0&#13;_x000a_\msmallFrac0\mdispDef1\mlMargin0\mrMargin0\mdefJc1\mwrapIndent1440\mintLim0\mnaryLim1}{\info{\author nmonkuniene}{\operator MONKUNIENE Neringa}{\creatim\yr2024\mo5\dy23\hr11\min2}{\revtim\yr2024\mo5\dy23\hr11\min2}{\version1}{\edmins0}{\nofpages1}&#13;_x000a_{\nofwords120}{\nofchars69}{\nofcharsws188}{\vern109}}{\*\xmlnstbl {\xmlns1 http://schemas.microsoft.com/office/word/2003/wordml}}\paperw11906\paperh16838\margl1418\margr1418\margt1134\margb1418\gutter0\ltrsect &#13;_x000a_\facingp\widowctrl\ftnbj\aenddoc\ftnrestart\hyphhotz396\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242834\newtblstyruls\nogrowautofit\usenormstyforlist\noindnmbrts\felnbrelev\nocxsptable\indrlsweleven\noafcnsttbl\afelev\utinl\hwelev\spltpgpar\notcvasp\notbrkcnstfrctbl\notvatxbx\krnprsnet\cachedcolbal &#13;_x000a_\nouicompat \fet0{\*\wgrffmtfilter 013f}\nofeaturethrottle1\ilfomacatclnup0{\*\template C:\\Users\\NMONKU~1\\AppData\\Local\\Temp\\Blank1.dotx}{\*\ftnsep \ltrpar \pard\plain \ltrpar&#13;_x000a_\ql \li0\ri0\widctlpar\wrapdefault\aspalpha\aspnum\faauto\adjustright\rin0\lin0\itap0 \rtlch\fcs1 \af0\afs20\alang1025 \ltrch\fcs0 \fs24\lang2057\langfe2057\cgrid\langnp2057\langfenp2057 {\rtlch\fcs1 \af0 \ltrch\fcs0 \insrsid9582763 \chftnsep &#13;_x000a_\par }}{\*\ftnsepc \ltrpar \pard\plain \ltrpar\ql \li0\ri0\widctlpar\wrapdefault\aspalpha\aspnum\faauto\adjustright\rin0\lin0\itap0 \rtlch\fcs1 \af0\afs20\alang1025 \ltrch\fcs0 \fs24\lang2057\langfe2057\cgrid\langnp2057\langfenp2057 {\rtlch\fcs1 \af0 &#13;_x000a_\ltrch\fcs0 \insrsid9582763 \chftnsepc &#13;_x000a_\par }}{\*\aftnsep \ltrpar \pard\plain \ltrpar\ql \li0\ri0\widctlpar\wrapdefault\aspalpha\aspnum\faauto\adjustright\rin0\lin0\itap0 \rtlch\fcs1 \af0\afs20\alang1025 \ltrch\fcs0 \fs24\lang2057\langfe2057\cgrid\langnp2057\langfenp2057 {\rtlch\fcs1 \af0 &#13;_x000a_\ltrch\fcs0 \insrsid9582763 \chftnsep &#13;_x000a_\par }}{\*\aftnsepc \ltrpar \pard\plain \ltrpar\ql \li0\ri0\widctlpar\wrapdefault\aspalpha\aspnum\faauto\adjustright\rin0\lin0\itap0 \rtlch\fcs1 \af0\afs20\alang1025 \ltrch\fcs0 \fs24\lang2057\langfe2057\cgrid\langnp2057\langfenp2057 {\rtlch\fcs1 \af0 &#13;_x000a_\ltrch\fcs0 \insrsid958276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qc\pnstart1\pnindent720\pnhang {\pntxta .}}{\*\pnseclvl2\pnucltr\pnqc\pnstart1\pnindent720\pnhang {\pntxta .}}{\*\pnseclvl3\pndec\pnqc\pnstart1\pnindent720\pnhang {\pntxta .}}{\*\pnseclvl4\pnlcltr\pnqc\pnstart1\pnindent720\pnhang &#13;_x000a_{\pntxta )}}{\*\pnseclvl5\pndec\pnqc\pnstart1\pnindent720\pnhang {\pntxtb (}{\pntxta )}}{\*\pnseclvl6\pnlcltr\pnqc\pnstart1\pnindent720\pnhang {\pntxtb (}{\pntxta )}}{\*\pnseclvl7\pnlcrm\pnqc\pnstart1\pnindent720\pnhang {\pntxtb (}{\pntxta )}}&#13;_x000a_{\*\pnseclvl8\pnlcltr\pnqc\pnstart1\pnindent720\pnhang {\pntxtb (}{\pntxta )}}{\*\pnseclvl9\pnlcrm\pnqc\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2242834 \rtlch\fcs1 &#13;_x000a_\af0\afs20\alang1025 \ltrch\fcs0 \b\fs24\lang2057\langfe2057\cgrid\langnp2057\langfenp2057 {\rtlch\fcs1 \af0 \ltrch\fcs0 \cs17\b0\v\fs20\cf9\lang1024\langfe1024\loch\af1\hich\af1\dbch\af31501\noproof\langnp1036\insrsid2242834\charrsid4291528 &#13;_x000a_{\*\bkmkstart restart}\hich\af1\dbch\af31501\loch\f1 &lt;Amend&gt;}{\rtlch\fcs1 \af0 \ltrch\fcs0 \lang1036\langfe2057\langnp1036\insrsid2242834\charrsid4291528 [ZAMENDMENT]\tab \tab }{\rtlch\fcs1 \af0 \ltrch\fcs0 &#13;_x000a_\cs17\b0\v\fs20\cf9\lang1024\langfe1024\loch\af1\hich\af1\dbch\af31501\noproof\langnp1036\insrsid2242834\charrsid4291528 \hich\af1\dbch\af31501\loch\f1 &lt;NumAm&gt;}{\rtlch\fcs1 \af0 \ltrch\fcs0 \lang1036\langfe2057\langnp1036\insrsid2242834\charrsid4291528 &#13;_x000a_[ZNRAM]}{\rtlch\fcs1 \af0 \ltrch\fcs0 \cs17\b0\v\fs20\cf9\lang1024\langfe1024\loch\af1\hich\af1\dbch\af31501\noproof\langnp1036\insrsid2242834\charrsid4291528 \hich\af1\dbch\af31501\loch\f1 &lt;/NumAm&gt;}{\rtlch\fcs1 \af0 \ltrch\fcs0 &#13;_x000a_\lang1036\langfe2057\langnp1036\insrsid2242834\charrsid4291528 &#13;_x000a_\par }\pard\plain \ltrpar\s23\ql \li0\ri0\sb240\keepn\nowidctlpar\wrapdefault\aspalpha\aspnum\faauto\adjustright\rin0\lin0\itap0\pararsid2242834 \rtlch\fcs1 \af0\afs20\alang1025 \ltrch\fcs0 \b\fs24\lang2057\langfe2057\cgrid\langnp2057\langfenp2057 {&#13;_x000a_\rtlch\fcs1 \af0 \ltrch\fcs0 \cs17\b0\v\fs20\cf9\lang1024\langfe1024\loch\af1\hich\af1\dbch\af31501\noproof\langnp1036\insrsid2242834\charrsid4291528 \hich\af1\dbch\af31501\loch\f1 &lt;DocAmend&gt;}{\rtlch\fcs1 \af0 \ltrch\fcs0 &#13;_x000a_\lang1036\langfe2057\langnp1036\insrsid2242834\charrsid4291528 [}{\rtlch\fcs1 \af0 \ltrch\fcs0 \lang1036\langfe2057\langnp1036\insrsid2242834\charrsid3548259 ZPROPOSAL}{\rtlch\fcs1 \af0 \ltrch\fcs0 &#13;_x000a_\lang1036\langfe2057\langnp1036\insrsid2242834\charrsid4291528 ]}{\rtlch\fcs1 \af0 \ltrch\fcs0 \cs17\b0\v\fs20\cf9\lang1024\langfe1024\loch\af1\hich\af1\dbch\af31501\noproof\langnp1036\insrsid2242834\charrsid4291528 \hich\af1\dbch\af31501\loch\f1 &#13;_x000a_&lt;/DocAmend&gt;}{\rtlch\fcs1 \af0 \ltrch\fcs0 \lang1036\langfe2057\langnp1036\insrsid2242834\charrsid4291528 &#13;_x000a_\par }\pard\plain \ltrpar\s18\ql \li0\ri0\nowidctlpar\wrapdefault\aspalpha\aspnum\faauto\adjustright\rin0\lin0\itap0\pararsid2242834 \rtlch\fcs1 \af0\afs20\alang1025 \ltrch\fcs0 \b\fs24\lang2057\langfe2057\cgrid\langnp2057\langfenp2057 {\rtlch\fcs1 \af0 &#13;_x000a_\ltrch\fcs0 \cs17\b0\v\fs20\cf9\lang1024\langfe1024\loch\af1\hich\af1\dbch\af31501\noproof\langnp1036\insrsid2242834\charrsid4291528 \hich\af1\dbch\af31501\loch\f1 &lt;Article&gt;}{\rtlch\fcs1 \af0 \ltrch\fcs0 &#13;_x000a_\lang1036\langfe2057\langnp1036\insrsid2242834\charrsid4291528 [ZAMPART]}{\rtlch\fcs1 \af0 \ltrch\fcs0 \cs17\b0\v\fs20\cf9\lang1024\langfe1024\loch\af1\hich\af1\dbch\af31501\noproof\langnp1036\insrsid2242834\charrsid4291528 \hich\af1\dbch\af31501\loch\f1 &#13;_x000a_&lt;/Article&gt;}{\rtlch\fcs1 \af0 \ltrch\fcs0 \lang1036\langfe2057\langnp1036\insrsid2242834\charrsid4291528 &#13;_x000a_\par \ltrrow}\trowd \irow0\irowband0\ltrrow\ts11\trqc\trgaph340\trleft0\trftsWidth3\trwWidth9752\trftsWidthB3\trpaddl340\trpaddr340\trpaddfl3\trpaddft3\trpaddfb3\trpaddfr3\tblrsid9505846\tblind0\tblindtype3 \clvertalt\clbrdrt\brdrtbl \clbrdrl\brdrtbl \clbrdrb&#13;_x000a_\brdrtbl \clbrdrr\brdrtbl \cltxlrtb\clftsWidth3\clwWidth9752\clshdrawnil \cellx9752\pard\plain \ltrpar\ql \li0\ri0\keepn\widctlpar\intbl\wrapdefault\aspalpha\aspnum\faauto\adjustright\rin0\lin0\pararsid9505846 \rtlch\fcs1 \af0\afs20\alang1025 \ltrch\fcs0 &#13;_x000a_\fs24\lang2057\langfe2057\cgrid\langnp2057\langfenp2057 {\rtlch\fcs1 \af0 \ltrch\fcs0 \lang1036\langfe2057\langnp1036\insrsid2242834\charrsid4291528 \cell }\pard\plain \ltrpar&#13;_x000a_\ql \li0\ri0\widctlpar\intbl\wrapdefault\aspalpha\aspnum\faauto\adjustright\rin0\lin0 \rtlch\fcs1 \af0\afs20\alang1025 \ltrch\fcs0 \fs24\lang2057\langfe2057\cgrid\langnp2057\langfenp2057 {\rtlch\fcs1 \af0 \ltrch\fcs0 \insrsid2242834\charrsid4291528 &#13;_x000a_\trowd \irow0\irowband0\ltrrow\ts11\trqc\trgaph340\trleft0\trftsWidth3\trwWidth9752\trftsWidthB3\trpaddl340\trpaddr340\trpaddfl3\trpaddft3\trpaddfb3\trpaddfr3\tblrsid9505846\tblind0\tblindtype3 \clvertalt\clbrdrt\brdrtbl \clbrdrl\brdrtbl \clbrdrb\brdrtbl &#13;_x000a_\clbrdrr\brdrtbl \cltxlrtb\clftsWidth3\clwWidth9752\clshdrawnil \cellx9752\row \ltrrow}\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1\qc \li0\ri0\sa240\keepn\nowidctlpar\intbl\wrapdefault\aspalpha\aspnum\faauto\adjustright\rin0\lin0\pararsid9505846 \rtlch\fcs1 \af0\afs20\alang1025 \ltrch\fcs0 \i\fs24\lang2057\langfe2057\cgrid\langnp2057\langfenp2057 {\rtlch\fcs1 \af0 \ltrch\fcs0 &#13;_x000a_\insrsid2242834\charrsid6708014 [ZLEFT]\cell [ZRIGHT]\cell }\pard\plain \ltrpar\ql \li0\ri0\widctlpar\intbl\wrapdefault\aspalpha\aspnum\faauto\adjustright\rin0\lin0 \rtlch\fcs1 \af0\afs20\alang1025 \ltrch\fcs0 &#13;_x000a_\fs24\lang2057\langfe2057\cgrid\langnp2057\langfenp2057 {\rtlch\fcs1 \af0 \ltrch\fcs0 \insrsid2242834\charrsid6708014 \trowd \irow1\irowband1\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9505846 \rtlch\fcs1 \af0\afs20\alang1025 \ltrch\fcs0 \fs24\lang2057\langfe2057\cgrid\langnp2057\langfenp2057 {\rtlch\fcs1 \af0 \ltrch\fcs0 &#13;_x000a_\insrsid2242834\charrsid6708014 [ZTEXTL]\cell [ZTEXTR]}{\rtlch\fcs1 \af0\afs24 \ltrch\fcs0 \insrsid2242834\charrsid6708014 \cell }\pard\plain \ltrpar\ql \li0\ri0\widctlpar\intbl\wrapdefault\aspalpha\aspnum\faauto\adjustright\rin0\lin0 \rtlch\fcs1 &#13;_x000a_\af0\afs20\alang1025 \ltrch\fcs0 \fs24\lang2057\langfe2057\cgrid\langnp2057\langfenp2057 {\rtlch\fcs1 \af0 \ltrch\fcs0 \insrsid2242834\charrsid6708014 \trowd \irow2\irowband2\lastrow \ltrrow&#13;_x000a_\ts11\trqc\trgaph340\trleft0\trftsWidth3\trwWidth9752\trftsWidthB3\trpaddl340\trpaddr340\trpaddfl3\trpaddft3\trpaddfb3\trpaddfr3\tblrsid9505846\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2242834 \rtlch\fcs1 \af0\afs20\alang1025 \ltrch\fcs0 \fs24\lang2057\langfe2057\cgrid\langnp2057\langfenp2057 {\rtlch\fcs1 \af0 \ltrch\fcs0 &#13;_x000a_\insrsid2242834\charrsid6708014 Or. }{\rtlch\fcs1 \af0 \ltrch\fcs0 \cs17\v\fs20\cf9\lang1024\langfe1024\loch\af1\hich\af1\dbch\af31501\noproof\insrsid2242834\charrsid6708014 \hich\af1\dbch\af31501\loch\f1 &lt;Original&gt;}{\rtlch\fcs1 \af0 \ltrch\fcs0 &#13;_x000a_\insrsid2242834\charrsid6708014 [ZORLANG]}{\rtlch\fcs1 \af0 \ltrch\fcs0 \cs17\v\fs20\cf9\lang1024\langfe1024\loch\af1\hich\af1\dbch\af31501\noproof\insrsid2242834\charrsid6708014 \hich\af1\dbch\af31501\loch\f1 &lt;/Original&gt;}{\rtlch\fcs1 \af0 \ltrch\fcs0 &#13;_x000a_\insrsid2242834\charrsid6708014 &#13;_x000a_\par }\pard\plain \ltrpar\ql \li0\ri0\widctlpar\wrapdefault\aspalpha\aspnum\faauto\adjustright\rin0\lin0\itap0\pararsid2242834 \rtlch\fcs1 \af0\afs20\alang1025 \ltrch\fcs0 \fs24\lang2057\langfe2057\cgrid\langnp2057\langfenp2057 {\rtlch\fcs1 \af0 \ltrch\fcs0 &#13;_x000a_\cs17\v\fs20\cf9\lang1024\langfe1024\loch\af1\hich\af1\dbch\af31501\noproof\insrsid2242834\charrsid6708014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b4&#13;_x000a_ebf4efacda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48</Pages>
  <Words>9633</Words>
  <Characters>58515</Characters>
  <Application>Microsoft Office Word</Application>
  <DocSecurity>0</DocSecurity>
  <Lines>1</Lines>
  <Paragraphs>624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1329163</vt:lpwstr>
  </property>
  <property fmtid="{D5CDD505-2E9C-101B-9397-08002B2CF9AE}" pid="4" name="&lt;Model&gt;">
    <vt:lpwstr>PA_NonLeg</vt:lpwstr>
  </property>
  <property fmtid="{D5CDD505-2E9C-101B-9397-08002B2CF9AE}" pid="5" name="&lt;Type&gt;">
    <vt:lpwstr>AD</vt:lpwstr>
  </property>
  <property fmtid="{D5CDD505-2E9C-101B-9397-08002B2CF9AE}" pid="6" name="dmxml.render.id">
    <vt:lpwstr>277967</vt:lpwstr>
  </property>
  <property fmtid="{D5CDD505-2E9C-101B-9397-08002B2CF9AE}" pid="7" name="dmxml.render.traceId">
    <vt:lpwstr>6909cdb896d85862c4cad3c7d09fd545</vt:lpwstr>
  </property>
  <property fmtid="{D5CDD505-2E9C-101B-9397-08002B2CF9AE}" pid="8" name="FooterPath">
    <vt:lpwstr>AD\1329163RO.doc</vt:lpwstr>
  </property>
  <property fmtid="{D5CDD505-2E9C-101B-9397-08002B2CF9AE}" pid="9" name="PE Number">
    <vt:lpwstr>774.481</vt:lpwstr>
  </property>
  <property fmtid="{D5CDD505-2E9C-101B-9397-08002B2CF9AE}" pid="10" name="UID">
    <vt:lpwstr>eu.europa.europarl-DIN1-2025-0000182003_01.07-ro-01.00_text-xml</vt:lpwstr>
  </property>
</Properties>
</file>