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201D13" w14:paraId="67DB302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FF74F3" w14:textId="0B4A3CC9" w:rsidR="004F48ED" w:rsidRPr="00201D13" w:rsidRDefault="00433FF9" w:rsidP="00C85D0F">
            <w:pPr>
              <w:pStyle w:val="EPName"/>
            </w:pPr>
            <w:r>
              <w:t>Parlament Ewropew</w:t>
            </w:r>
          </w:p>
          <w:p w14:paraId="34364F9E" w14:textId="1F0E3DA5" w:rsidR="004F48ED" w:rsidRPr="00201D13" w:rsidRDefault="00201D13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29922DD" w14:textId="77777777" w:rsidR="004F48ED" w:rsidRPr="00201D13" w:rsidRDefault="004F48ED" w:rsidP="00C85D0F">
            <w:pPr>
              <w:pStyle w:val="EPLogo"/>
            </w:pPr>
            <w:r w:rsidRPr="00201D13">
              <w:rPr>
                <w:noProof/>
                <w:lang w:eastAsia="ja-JP"/>
              </w:rPr>
              <w:drawing>
                <wp:inline distT="0" distB="0" distL="0" distR="0" wp14:anchorId="36864C6E" wp14:editId="592EE9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441E1" w14:textId="77777777" w:rsidR="00E9601C" w:rsidRPr="00201D13" w:rsidRDefault="00E9601C" w:rsidP="00E9601C">
      <w:pPr>
        <w:pStyle w:val="LineTop"/>
      </w:pPr>
    </w:p>
    <w:p w14:paraId="0FF04788" w14:textId="7286E596" w:rsidR="00E9601C" w:rsidRPr="00201D13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Kumitat għad-Drittijiet tan-Nisa u l-Ugwaljanza bejn il-Ġeneri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0FF4EA60" w14:textId="77777777" w:rsidR="00E9601C" w:rsidRPr="00201D13" w:rsidRDefault="00E9601C" w:rsidP="00E9601C">
      <w:pPr>
        <w:pStyle w:val="LineBottom"/>
      </w:pPr>
    </w:p>
    <w:p w14:paraId="41D020AB" w14:textId="751173FB" w:rsidR="004E54DC" w:rsidRPr="00201D13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2025/2156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68821803" w14:textId="3A35B730" w:rsidR="002E2F2E" w:rsidRPr="00201D13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 w14:paraId="61E00766" w14:textId="55810852" w:rsidR="002E2F2E" w:rsidRPr="00201D13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14:paraId="6A88CBDD" w14:textId="16815D15" w:rsidR="002E2F2E" w:rsidRPr="00201D13" w:rsidRDefault="002E2F2E">
      <w:pPr>
        <w:pStyle w:val="CoverNormal24a"/>
      </w:pPr>
      <w:r>
        <w:rPr>
          <w:rStyle w:val="HideTWBExt"/>
        </w:rPr>
        <w:t>&lt;CommissionResp&gt;</w:t>
      </w:r>
      <w:r>
        <w:t>tal-Kumitat għad-Drittijiet tan-Nisa u l-Ugwaljanza bejn il-Ġeneri</w:t>
      </w:r>
      <w:r>
        <w:rPr>
          <w:rStyle w:val="HideTWBExt"/>
        </w:rPr>
        <w:t>&lt;/CommissionResp&gt;</w:t>
      </w:r>
    </w:p>
    <w:p w14:paraId="1D01C823" w14:textId="562325CC" w:rsidR="002E2F2E" w:rsidRPr="00201D13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għall-Kumitat għall-Kontroll tal-Baġit</w:t>
      </w:r>
      <w:r>
        <w:rPr>
          <w:rStyle w:val="HideTWBExt"/>
        </w:rPr>
        <w:t>&lt;/CommissionInt&gt;</w:t>
      </w:r>
    </w:p>
    <w:p w14:paraId="3DCEE209" w14:textId="77777777" w:rsidR="00201D13" w:rsidRPr="00201D13" w:rsidRDefault="00201D13" w:rsidP="00201D13">
      <w:pPr>
        <w:pStyle w:val="CoverNormal"/>
      </w:pPr>
      <w:r>
        <w:rPr>
          <w:rStyle w:val="HideTWBExt"/>
        </w:rPr>
        <w:t>&lt;Titre&gt;</w:t>
      </w:r>
      <w:r>
        <w:t>dwar il-</w:t>
      </w:r>
      <w:proofErr w:type="spellStart"/>
      <w:r>
        <w:t>kwittanza</w:t>
      </w:r>
      <w:proofErr w:type="spellEnd"/>
      <w:r>
        <w:t xml:space="preserve"> għall-implimentazzjoni tal-baġit tal-aġenziji tal-Unjoni Ewropea għas-sena finanzjarja 2024 – l-Aġenziji</w:t>
      </w:r>
      <w:r>
        <w:rPr>
          <w:rStyle w:val="HideTWBExt"/>
        </w:rPr>
        <w:t>&lt;/Titre&gt;</w:t>
      </w:r>
    </w:p>
    <w:p w14:paraId="44C24ADC" w14:textId="77777777" w:rsidR="00201D13" w:rsidRPr="00201D13" w:rsidRDefault="00201D13" w:rsidP="00201D13">
      <w:pPr>
        <w:pStyle w:val="CoverNormal24a"/>
      </w:pPr>
      <w:r>
        <w:rPr>
          <w:rStyle w:val="HideTWBExt"/>
        </w:rPr>
        <w:t>&lt;DocRef&gt;</w:t>
      </w:r>
      <w:r>
        <w:t>(2025/2156(DEC))</w:t>
      </w:r>
      <w:r>
        <w:rPr>
          <w:rStyle w:val="HideTWBExt"/>
        </w:rPr>
        <w:t>&lt;/DocRef&gt;</w:t>
      </w:r>
    </w:p>
    <w:p w14:paraId="1A51ED41" w14:textId="1E89665E" w:rsidR="002E2F2E" w:rsidRPr="00201D13" w:rsidRDefault="00201D13">
      <w:pPr>
        <w:pStyle w:val="CoverNormal24a"/>
      </w:pPr>
      <w:proofErr w:type="spellStart"/>
      <w:r>
        <w:t>Rapporteur</w:t>
      </w:r>
      <w:proofErr w:type="spellEnd"/>
      <w:r>
        <w:t xml:space="preserve"> għal opinjoni: </w:t>
      </w:r>
      <w:r>
        <w:rPr>
          <w:rStyle w:val="HideTWBExt"/>
        </w:rPr>
        <w:t>&lt;Depute&gt;</w:t>
      </w:r>
      <w:r>
        <w:t xml:space="preserve"> </w:t>
      </w:r>
      <w:proofErr w:type="spellStart"/>
      <w:r>
        <w:t>Raquel</w:t>
      </w:r>
      <w:proofErr w:type="spellEnd"/>
      <w:r>
        <w:t xml:space="preserve"> </w:t>
      </w:r>
      <w:proofErr w:type="spellStart"/>
      <w:r>
        <w:t>García</w:t>
      </w:r>
      <w:proofErr w:type="spellEnd"/>
      <w:r>
        <w:t xml:space="preserve"> </w:t>
      </w:r>
      <w:proofErr w:type="spellStart"/>
      <w:r>
        <w:t>Hermida</w:t>
      </w:r>
      <w:proofErr w:type="spellEnd"/>
      <w:r>
        <w:noBreakHyphen/>
        <w:t xml:space="preserve">Van </w:t>
      </w:r>
      <w:proofErr w:type="spellStart"/>
      <w:r>
        <w:t>Der</w:t>
      </w:r>
      <w:proofErr w:type="spellEnd"/>
      <w:r>
        <w:t xml:space="preserve"> </w:t>
      </w:r>
      <w:proofErr w:type="spellStart"/>
      <w:r>
        <w:t>Walle</w:t>
      </w:r>
      <w:proofErr w:type="spellEnd"/>
      <w:r>
        <w:t xml:space="preserve"> </w:t>
      </w:r>
      <w:r>
        <w:rPr>
          <w:rStyle w:val="HideTWBExt"/>
        </w:rPr>
        <w:t>&lt;/Depute&gt;</w:t>
      </w:r>
    </w:p>
    <w:p w14:paraId="5407A895" w14:textId="77777777" w:rsidR="00977F76" w:rsidRPr="00201D13" w:rsidRDefault="00977F76" w:rsidP="00977F76">
      <w:pPr>
        <w:pStyle w:val="CoverNormal"/>
      </w:pPr>
    </w:p>
    <w:p w14:paraId="44DB5164" w14:textId="2B61ED6E" w:rsidR="002E2F2E" w:rsidRPr="00201D13" w:rsidRDefault="002E2F2E" w:rsidP="00BB2AC1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PA_NonLegDec</w:t>
      </w:r>
      <w:proofErr w:type="spellEnd"/>
    </w:p>
    <w:p w14:paraId="2CCE4D6F" w14:textId="7B45630F" w:rsidR="003E06CF" w:rsidRPr="00201D13" w:rsidRDefault="002E2F2E" w:rsidP="003E06CF">
      <w:pPr>
        <w:pStyle w:val="PageHeadingNotTOC"/>
      </w:pPr>
      <w:r>
        <w:br w:type="page"/>
      </w:r>
      <w:r>
        <w:lastRenderedPageBreak/>
        <w:t>OPINJONI</w:t>
      </w:r>
    </w:p>
    <w:p w14:paraId="5BFD65F8" w14:textId="77777777" w:rsidR="00201D13" w:rsidRPr="00201D13" w:rsidRDefault="00201D13" w:rsidP="00201D13">
      <w:pPr>
        <w:pStyle w:val="Normal12a"/>
      </w:pPr>
      <w:r>
        <w:t>Il-Kumitat għad-Drittijiet tan-Nisa u l-Ugwaljanza bejn il-Ġeneri jistieden lill-Kumitat għall-Kontroll tal-Baġit, bħala l-kumitat responsabbli, biex jinkorpora dan li ġej fil-mozzjoni għal riżoluzzjoni tiegħu:</w:t>
      </w:r>
      <w:r>
        <w:rPr>
          <w:rStyle w:val="HideTWBExt"/>
        </w:rPr>
        <w:t>&lt;RepeatBlock-Dec&gt;</w:t>
      </w:r>
    </w:p>
    <w:p w14:paraId="233DCE09" w14:textId="77777777" w:rsidR="00201D13" w:rsidRPr="00201D13" w:rsidRDefault="00201D13" w:rsidP="00201D13">
      <w:pPr>
        <w:pStyle w:val="NormalHanging12a"/>
      </w:pPr>
      <w:r>
        <w:t>A.</w:t>
      </w:r>
      <w:r>
        <w:tab/>
        <w:t>billi l-ugwaljanza bejn il-ġeneri hija wieħed mill-valuri fundaturi tal-Unjoni u l-Unjoni hija impenjata li tippromwovi l-ugwaljanza bejn il-ġeneri fl-attivitajiet kollha tagħha kif minqux fl-Artikolu 8 tat-Trattat dwar il-Funzjonament tal-Unjoni Ewropea (TFUE), u b’hekk tistabbilixxi l-prinċipju tal-integrazzjoni tal-perspettiva tal-ġeneri u l-</w:t>
      </w:r>
      <w:proofErr w:type="spellStart"/>
      <w:r>
        <w:t>ibbaġitjar</w:t>
      </w:r>
      <w:proofErr w:type="spellEnd"/>
      <w:r>
        <w:t xml:space="preserve"> sensittiv għal kwistjonijiet ta’ ġeneru; billi l-ugwaljanza bejn il-ġeneri trid tiġi inkorporata fil-politiki u l-attivitajiet kollha tal-UE;</w:t>
      </w:r>
    </w:p>
    <w:p w14:paraId="1515FB2D" w14:textId="77777777" w:rsidR="00201D13" w:rsidRPr="00201D13" w:rsidRDefault="00201D13" w:rsidP="00201D13">
      <w:pPr>
        <w:pStyle w:val="NormalHanging12a"/>
        <w:rPr>
          <w:b/>
          <w:i/>
        </w:rPr>
      </w:pPr>
      <w:r>
        <w:t>B.</w:t>
      </w:r>
      <w:r>
        <w:rPr>
          <w:b/>
          <w:i/>
        </w:rPr>
        <w:tab/>
      </w:r>
      <w:r>
        <w:t xml:space="preserve">billi l-Istitut Ewropew għall-Ugwaljanza bejn is-Sessi (EIGE) ġie stabbilit biex jikkontribwixxi għall-promozzjoni tal-ugwaljanza bejn il-ġeneri fl-Unjoni u biex </w:t>
      </w:r>
      <w:proofErr w:type="spellStart"/>
      <w:r>
        <w:t>isaħħaħha</w:t>
      </w:r>
      <w:proofErr w:type="spellEnd"/>
      <w:r>
        <w:t xml:space="preserve">, inkluż l-integrazzjoni tal-perspettiva tal-ġeneri fil-politiki kollha tal-Unjoni u l-politiki nazzjonali li jirriżultaw, il-ġlieda kontra d-diskriminazzjoni </w:t>
      </w:r>
      <w:proofErr w:type="spellStart"/>
      <w:r>
        <w:t>bbażata</w:t>
      </w:r>
      <w:proofErr w:type="spellEnd"/>
      <w:r>
        <w:t xml:space="preserve"> fuq il-ġeneru, u s-</w:t>
      </w:r>
      <w:proofErr w:type="spellStart"/>
      <w:r>
        <w:t>sensibilizzazzjoni</w:t>
      </w:r>
      <w:proofErr w:type="spellEnd"/>
      <w:r>
        <w:t xml:space="preserve"> taċ-ċittadini tal-Unjoni dwar l-ugwaljanza bejn il-ġeneri, kompitu li fih wera li huwa vitali u effettiv; billi l-</w:t>
      </w:r>
      <w:proofErr w:type="spellStart"/>
      <w:r>
        <w:t>programmazzjoni</w:t>
      </w:r>
      <w:proofErr w:type="spellEnd"/>
      <w:r>
        <w:t xml:space="preserve"> annwali u </w:t>
      </w:r>
      <w:proofErr w:type="spellStart"/>
      <w:r>
        <w:t>pluriennali</w:t>
      </w:r>
      <w:proofErr w:type="spellEnd"/>
      <w:r>
        <w:t xml:space="preserve"> tal-EIGE allinjat b’mod konsistenti mal-prijoritajiet attwali tal-Unjoni; billi l-EIGE </w:t>
      </w:r>
      <w:proofErr w:type="spellStart"/>
      <w:r>
        <w:t>appoġġja</w:t>
      </w:r>
      <w:proofErr w:type="spellEnd"/>
      <w:r>
        <w:t xml:space="preserve"> dejjem aktar lill-aġenziji u l-korpi tal-UE fl-integrazzjoni tal-</w:t>
      </w:r>
      <w:proofErr w:type="spellStart"/>
      <w:r>
        <w:t>perspettivi</w:t>
      </w:r>
      <w:proofErr w:type="spellEnd"/>
      <w:r>
        <w:t xml:space="preserve"> tal-ġeneru fl-ipprogrammar u l-operazzjonijiet tagħhom;</w:t>
      </w:r>
    </w:p>
    <w:p w14:paraId="0751A0E7" w14:textId="77777777" w:rsidR="00201D13" w:rsidRPr="00201D13" w:rsidRDefault="00201D13" w:rsidP="00201D13">
      <w:pPr>
        <w:pStyle w:val="NormalHanging12a"/>
        <w:rPr>
          <w:b/>
          <w:i/>
        </w:rPr>
      </w:pPr>
      <w:r>
        <w:t>C.</w:t>
      </w:r>
      <w:r>
        <w:rPr>
          <w:b/>
          <w:i/>
        </w:rPr>
        <w:tab/>
      </w:r>
      <w:r>
        <w:t>billi l-QFP li jmiss jeħtieġ li jinkorpora l-objettivi tal-ugwaljanza bejn il-ġeneri, l-integrazzjoni tal-perspettiva tal-ġeneri u l-</w:t>
      </w:r>
      <w:proofErr w:type="spellStart"/>
      <w:r>
        <w:t>ibbaġitjar</w:t>
      </w:r>
      <w:proofErr w:type="spellEnd"/>
      <w:r>
        <w:t xml:space="preserve"> sensittiv għal kwistjonijiet ta’ ġeneru fil-programmi kollha ta’ finanzjament;</w:t>
      </w:r>
    </w:p>
    <w:p w14:paraId="61967031" w14:textId="77777777" w:rsidR="00201D13" w:rsidRPr="00201D13" w:rsidRDefault="00201D13" w:rsidP="00201D13">
      <w:pPr>
        <w:pStyle w:val="NormalHanging12a"/>
      </w:pPr>
      <w:r>
        <w:t>D.</w:t>
      </w:r>
      <w:r>
        <w:tab/>
        <w:t xml:space="preserve">billi mill-2010 l-Indiċi tal-Ugwaljanza bejn il-Ġeneri ġenerali tal-UE żdied b’7,9 punti, iżda minkejja din ix-xejra ’l fuq fit-tul, l-Indiċi tal-Ugwaljanza bejn il-Ġeneri tal-2025 juri li l-Istati Membri għamlu progress limitat b’punteġġ ta’ 63,4 għall-UE u żieda ta’ 0,8 biss fl-Indiċi tal-Ugwaljanza bejn il-Ġeneri tal-2024; billi skont l-Indiċi tal-2025, l-ugwaljanza bejn il-ġeneri fl-UE fadlilha mill-anqas 50 sena biex tintlaħaq; billi f’oqsma oħra, bħas-saħħa u l-edukazzjoni tan-nisa, il-progress </w:t>
      </w:r>
      <w:proofErr w:type="spellStart"/>
      <w:r>
        <w:t>staġna</w:t>
      </w:r>
      <w:proofErr w:type="spellEnd"/>
      <w:r>
        <w:t xml:space="preserve"> u saħansitra esperjenza </w:t>
      </w:r>
      <w:proofErr w:type="spellStart"/>
      <w:r>
        <w:t>rigress</w:t>
      </w:r>
      <w:proofErr w:type="spellEnd"/>
      <w:r>
        <w:t xml:space="preserve">; billi l-Indiċi tal-2024 juri </w:t>
      </w:r>
      <w:proofErr w:type="spellStart"/>
      <w:r>
        <w:t>disparitajiet</w:t>
      </w:r>
      <w:proofErr w:type="spellEnd"/>
      <w:r>
        <w:t xml:space="preserve"> kbar fost l-Istati Membri (l-ogħla punteġġ: 82,0; l-aktar punteġġ baxx: 57,5), li </w:t>
      </w:r>
      <w:proofErr w:type="spellStart"/>
      <w:r>
        <w:t>jissottolinja</w:t>
      </w:r>
      <w:proofErr w:type="spellEnd"/>
      <w:r>
        <w:t xml:space="preserve"> l-</w:t>
      </w:r>
      <w:proofErr w:type="spellStart"/>
      <w:r>
        <w:t>inugwaljanzi</w:t>
      </w:r>
      <w:proofErr w:type="spellEnd"/>
      <w:r>
        <w:t xml:space="preserve"> persistenti madwar l-Unjoni u l-ħtieġa għal </w:t>
      </w:r>
      <w:proofErr w:type="spellStart"/>
      <w:r>
        <w:t>monitoraġġ</w:t>
      </w:r>
      <w:proofErr w:type="spellEnd"/>
      <w:r>
        <w:t xml:space="preserve"> u appoġġ kontinwi minn aġenziji </w:t>
      </w:r>
      <w:proofErr w:type="spellStart"/>
      <w:r>
        <w:t>bħall</w:t>
      </w:r>
      <w:proofErr w:type="spellEnd"/>
      <w:r>
        <w:t>-EIGE;</w:t>
      </w:r>
    </w:p>
    <w:p w14:paraId="635B036E" w14:textId="77777777" w:rsidR="00201D13" w:rsidRPr="00201D13" w:rsidRDefault="00201D13" w:rsidP="00201D13">
      <w:pPr>
        <w:pStyle w:val="NormalHanging12a"/>
        <w:rPr>
          <w:b/>
          <w:i/>
        </w:rPr>
      </w:pPr>
      <w:r>
        <w:t>E.</w:t>
      </w:r>
      <w:r>
        <w:rPr>
          <w:b/>
          <w:i/>
        </w:rPr>
        <w:tab/>
      </w:r>
      <w:r>
        <w:t xml:space="preserve">billi l-ugwaljanza bejn il-ġeneri fl-Unjoni ġiet affettwata b’mod partikolari mill-konsegwenzi tal-gwerra fl-Ukrajna, il-kriżi tal-għoli tal-ħajja, li n-nisa huma affettwati b’mod </w:t>
      </w:r>
      <w:proofErr w:type="spellStart"/>
      <w:r>
        <w:t>sproporzjonat</w:t>
      </w:r>
      <w:proofErr w:type="spellEnd"/>
      <w:r>
        <w:t xml:space="preserve"> minnha, u r-</w:t>
      </w:r>
      <w:proofErr w:type="spellStart"/>
      <w:r>
        <w:t>rigressjoni</w:t>
      </w:r>
      <w:proofErr w:type="spellEnd"/>
      <w:r>
        <w:t xml:space="preserve"> kontra l-ugwaljanza bejn il-ġeneri u d-drittijiet tan-nisa, speċjalment fir-rigward tas-saħħa sesswali u riproduttiva u d-drittijiet relatati (SRHR) f’diversi Stati Membri; billi dan ikompli </w:t>
      </w:r>
      <w:proofErr w:type="spellStart"/>
      <w:r>
        <w:t>japprofondixxi</w:t>
      </w:r>
      <w:proofErr w:type="spellEnd"/>
      <w:r>
        <w:t xml:space="preserve"> l-</w:t>
      </w:r>
      <w:proofErr w:type="spellStart"/>
      <w:r>
        <w:t>inugwaljanzi</w:t>
      </w:r>
      <w:proofErr w:type="spellEnd"/>
      <w:r>
        <w:t xml:space="preserve"> u jxekkel l-ugwaljanza bejn il-ġeneri;</w:t>
      </w:r>
    </w:p>
    <w:p w14:paraId="359F87ED" w14:textId="77777777" w:rsidR="00201D13" w:rsidRPr="00201D13" w:rsidRDefault="00201D13" w:rsidP="00201D13">
      <w:pPr>
        <w:pStyle w:val="NormalHanging12a"/>
      </w:pPr>
      <w:r>
        <w:t>F.</w:t>
      </w:r>
      <w:r>
        <w:tab/>
        <w:t xml:space="preserve">billi kemm l-inflazzjoni kif ukoll </w:t>
      </w:r>
      <w:proofErr w:type="spellStart"/>
      <w:r>
        <w:t>is-sottofinanzjament</w:t>
      </w:r>
      <w:proofErr w:type="spellEnd"/>
      <w:r>
        <w:t xml:space="preserve"> fit-tul poġġew pressjoni dejjem akbar fuq il-baġit tal-EIGE, u naqqsu l-kapaċità operattiva tal-EIGE, li wasslu biex l-aġenzija ma jkollhiex biżżejjed persunal u tkun taħt pressjoni finanzjarja permanenti; billi l-evalwazzjoni esterna tal-2022 enfasizzat nuqqas serju ta’ persunal fl-integrazzjoni </w:t>
      </w:r>
      <w:r>
        <w:lastRenderedPageBreak/>
        <w:t xml:space="preserve">tal-perspettiva tal-ġeneri, </w:t>
      </w:r>
      <w:proofErr w:type="spellStart"/>
      <w:r>
        <w:t>bl</w:t>
      </w:r>
      <w:proofErr w:type="spellEnd"/>
      <w:r>
        <w:t>-EIGE jkun jista’ jwieġeb għal kwart biss tat-talbiet għall-assistenza teknika; billi l-EIGE għandu rwol ċentrali fl-appoġġ tal-istituzzjonijiet tal-Unjoni u tal-Istati Membri fil-kisba tal-ugwaljanza bejn il-ġeneri; billi huwa għalhekk issottolinja, li l-EIGE jeħtieġ li jiġi pprovdut b’riżorsi finanzjarji u umani suffiċjenti u stabbli biex iwettaq il-</w:t>
      </w:r>
      <w:proofErr w:type="spellStart"/>
      <w:r>
        <w:t>kompiti</w:t>
      </w:r>
      <w:proofErr w:type="spellEnd"/>
      <w:r>
        <w:t xml:space="preserve"> tiegħu;</w:t>
      </w:r>
    </w:p>
    <w:p w14:paraId="442E5754" w14:textId="77777777" w:rsidR="00201D13" w:rsidRPr="00201D13" w:rsidRDefault="00201D13" w:rsidP="00201D13">
      <w:pPr>
        <w:pStyle w:val="NormalHanging12a"/>
        <w:rPr>
          <w:b/>
          <w:i/>
        </w:rPr>
      </w:pPr>
      <w:r>
        <w:t>G.</w:t>
      </w:r>
      <w:r>
        <w:rPr>
          <w:b/>
          <w:i/>
        </w:rPr>
        <w:tab/>
      </w:r>
      <w:r>
        <w:t>billi l-inflazzjoni li qed tiżdied u ż-żieda tal-</w:t>
      </w:r>
      <w:proofErr w:type="spellStart"/>
      <w:r>
        <w:t>koeffiċjent</w:t>
      </w:r>
      <w:proofErr w:type="spellEnd"/>
      <w:r>
        <w:t xml:space="preserve"> ta’ korrezzjoni għal-Litwanja qed jaffettwaw l-ispejjeż relatati mas-salarji tal-EIGE, u dan joħloq sfida sinifikanti f’oqsma operattivi ewlenin bħall-għoti ta’ assistenza teknika għall-integrazzjoni tal-perspettiva tal-ġeneri lill-istituzzjonijiet tal-UE u lill-Istati Membri, kif ukoll fl-attivitajiet ta’ ġbir ta’ data tiegħu;</w:t>
      </w:r>
    </w:p>
    <w:p w14:paraId="40D90F40" w14:textId="77777777" w:rsidR="00201D13" w:rsidRPr="00201D13" w:rsidRDefault="00201D13" w:rsidP="00201D13">
      <w:pPr>
        <w:pStyle w:val="NormalHanging12a"/>
        <w:rPr>
          <w:b/>
          <w:i/>
        </w:rPr>
      </w:pPr>
      <w:r>
        <w:t>H.</w:t>
      </w:r>
      <w:r>
        <w:rPr>
          <w:b/>
          <w:i/>
        </w:rPr>
        <w:tab/>
      </w:r>
      <w:r>
        <w:t>billi l-missjoni ewlenija tal-EIGE tiffoka fuq il-kisba tal-ugwaljanza bejn il-ġeneri fl-UE billi tipprovdi riċerka, tiġbor u tikkomunika d-data, u tiżviluppa metodi biex ittejjeb l-istatistika u l-ġbir tad-data, filwaqt li tkejjel l-istat tal-ugwaljanza bejn il-ġeneri kemm fil-livell tal-UE kif ukoll f’dak tal-Istati Membri; billi l-EIGE kompla jtejjeb il-kwalità u l-</w:t>
      </w:r>
      <w:proofErr w:type="spellStart"/>
      <w:r>
        <w:t>komparabbiltà</w:t>
      </w:r>
      <w:proofErr w:type="spellEnd"/>
      <w:r>
        <w:t xml:space="preserve"> tad-data </w:t>
      </w:r>
      <w:proofErr w:type="spellStart"/>
      <w:r>
        <w:t>diżaggregata</w:t>
      </w:r>
      <w:proofErr w:type="spellEnd"/>
      <w:r>
        <w:t xml:space="preserve"> skont il-ġeneru madwar l-Unjoni, filwaqt li saħħaħ il-bażi tal-evidenza disponibbli għall-istituzzjonijiet tal-UE u l-Istati Membri; billi l-EIGE </w:t>
      </w:r>
      <w:proofErr w:type="spellStart"/>
      <w:r>
        <w:t>espanda</w:t>
      </w:r>
      <w:proofErr w:type="spellEnd"/>
      <w:r>
        <w:t xml:space="preserve"> l-għodod diġitali u l-pjattaformi online tiegħu, u tejjeb l-aċċess għall-istatistika, il-gwida </w:t>
      </w:r>
      <w:proofErr w:type="spellStart"/>
      <w:r>
        <w:t>metodoloġika</w:t>
      </w:r>
      <w:proofErr w:type="spellEnd"/>
      <w:r>
        <w:t xml:space="preserve"> u r-riżorsi prattiċi għal dawk li jfasslu l-politika u għall-partijiet ikkonċernati; billi l-EIGE saħħaħ il-kooperazzjoni tiegħu mal-uffiċċji nazzjonali tal-istatistika u mal-awtoritajiet kompetenti; billi l-ħidma tal-EIGE dwar il-vjolenza abbażi tal-ġeneru, bħall-istħarriġ tal-UE dwar il-vjolenza abbażi tal-ġeneru, li ppreżenta riżultati ewlenin ibbażati fuq data mis-27 Stat Membru kollha, </w:t>
      </w:r>
      <w:proofErr w:type="spellStart"/>
      <w:r>
        <w:t>appoġġjat</w:t>
      </w:r>
      <w:proofErr w:type="spellEnd"/>
      <w:r>
        <w:t xml:space="preserve"> l-objettiv tal-Unjoni li ttejjeb il-prevenzjoni, il-ġbir tad-data u l-koordinazzjoni tal-politika f’dan il-qasam;</w:t>
      </w:r>
    </w:p>
    <w:p w14:paraId="622AED01" w14:textId="77777777" w:rsidR="00201D13" w:rsidRPr="00201D13" w:rsidRDefault="00201D13" w:rsidP="00201D13">
      <w:pPr>
        <w:pStyle w:val="NormalHanging12a"/>
        <w:rPr>
          <w:b/>
          <w:i/>
        </w:rPr>
      </w:pPr>
      <w:r>
        <w:t>I.</w:t>
      </w:r>
      <w:r>
        <w:tab/>
        <w:t xml:space="preserve">billi l-EIGE ġie assenjat </w:t>
      </w:r>
      <w:proofErr w:type="spellStart"/>
      <w:r>
        <w:t>kompiti</w:t>
      </w:r>
      <w:proofErr w:type="spellEnd"/>
      <w:r>
        <w:t xml:space="preserve"> addizzjonali marbuta mal-implimentazzjoni u l-</w:t>
      </w:r>
      <w:proofErr w:type="spellStart"/>
      <w:r>
        <w:t>monitoraġġ</w:t>
      </w:r>
      <w:proofErr w:type="spellEnd"/>
      <w:r>
        <w:t xml:space="preserve"> ta’ Direttivi tal-UE li għadhom kif ġew adottati, inklużi d-Direttiva (UE) 2022/2381 dwar it-titjib tal-bilanċ bejn il-ġeneri fost diretturi ta’ kumpaniji elenkati, id-Direttiva (UE) 2023/970 dwar paga ugwali għal xogħol ugwali jew xogħol ta’ valur ugwali, id-Direttiva (UE) 2019/1158 dwar il-bilanċ bejn ix-xogħol u l-ħajja privata għall-ġenituri u għall-persuni li </w:t>
      </w:r>
      <w:proofErr w:type="spellStart"/>
      <w:r>
        <w:t>jindukraw</w:t>
      </w:r>
      <w:proofErr w:type="spellEnd"/>
      <w:r>
        <w:t xml:space="preserve">, id-Direttivi (UE) 2024/1499 u 2024/1500 dwar standards </w:t>
      </w:r>
      <w:proofErr w:type="spellStart"/>
      <w:r>
        <w:t>vinkolanti</w:t>
      </w:r>
      <w:proofErr w:type="spellEnd"/>
      <w:r>
        <w:t xml:space="preserve"> għall-korpi tal-ugwaljanza u d-Direttiva (UE) 2024/1385 dwar il-ġlieda kontra l-vjolenza kontra n-nisa u l-vjolenza domestika, kif ukoll l-adeżjoni tal-UE għall-Konvenzjoni tal-Kunsill tal-Ewropa dwar il-Prevenzjoni u l-Ġlieda Kontra l-Vjolenza fuq in-Nisa u l-Vjolenza Domestika, l-hekk imsejħa Konvenzjoni ta’ </w:t>
      </w:r>
      <w:proofErr w:type="spellStart"/>
      <w:r>
        <w:t>Istanbul</w:t>
      </w:r>
      <w:proofErr w:type="spellEnd"/>
      <w:r>
        <w:t>;</w:t>
      </w:r>
    </w:p>
    <w:p w14:paraId="23D328A4" w14:textId="77777777" w:rsidR="00201D13" w:rsidRPr="00201D13" w:rsidRDefault="00201D13" w:rsidP="00201D13">
      <w:pPr>
        <w:pStyle w:val="NormalHanging12a"/>
        <w:rPr>
          <w:b/>
          <w:i/>
        </w:rPr>
      </w:pPr>
      <w:r>
        <w:t>J.</w:t>
      </w:r>
      <w:r>
        <w:tab/>
        <w:t xml:space="preserve">billi dawn l-obbligi l-ġodda jirrikjedu kapaċità msaħħa </w:t>
      </w:r>
      <w:proofErr w:type="spellStart"/>
      <w:r>
        <w:t>għall-monitoraġġ</w:t>
      </w:r>
      <w:proofErr w:type="spellEnd"/>
      <w:r>
        <w:t xml:space="preserve"> </w:t>
      </w:r>
      <w:proofErr w:type="spellStart"/>
      <w:r>
        <w:t>leġiżlattiv</w:t>
      </w:r>
      <w:proofErr w:type="spellEnd"/>
      <w:r>
        <w:t>, għar-</w:t>
      </w:r>
      <w:proofErr w:type="spellStart"/>
      <w:r>
        <w:t>rapportar</w:t>
      </w:r>
      <w:proofErr w:type="spellEnd"/>
      <w:r>
        <w:t xml:space="preserve"> tal-</w:t>
      </w:r>
      <w:proofErr w:type="spellStart"/>
      <w:r>
        <w:t>konformità</w:t>
      </w:r>
      <w:proofErr w:type="spellEnd"/>
      <w:r>
        <w:t xml:space="preserve"> u għall-ġbir tad-data, inklużi mill-anqas ħames karigi addizzjonali ta’ Aġenti Temporanji u erba’ karigi ta’ Aġenti Kuntrattwali kif identifikati mill-EIGE, b’mod partikolari biex jerġgħu jiddaħħlu l-karigi mnaqqsa f’ċikli </w:t>
      </w:r>
      <w:proofErr w:type="spellStart"/>
      <w:r>
        <w:t>baġitarji</w:t>
      </w:r>
      <w:proofErr w:type="spellEnd"/>
      <w:r>
        <w:t xml:space="preserve"> preċedenti; billi r-Regolament il-ġdid tal-UE dwar </w:t>
      </w:r>
      <w:proofErr w:type="spellStart"/>
      <w:r>
        <w:t>iċ-Ċibersigurtà</w:t>
      </w:r>
      <w:proofErr w:type="spellEnd"/>
      <w:r>
        <w:t xml:space="preserve"> jirrikjedi li l-EIGE jsaħħaħ is-sistemi </w:t>
      </w:r>
      <w:proofErr w:type="spellStart"/>
      <w:r>
        <w:t>taċ-ċibersigurtà</w:t>
      </w:r>
      <w:proofErr w:type="spellEnd"/>
      <w:r>
        <w:t xml:space="preserve"> tiegħu, inkluż bil-ħatra ta’ Uffiċjal </w:t>
      </w:r>
      <w:proofErr w:type="spellStart"/>
      <w:r>
        <w:t>taċ-Ċibersigurtà</w:t>
      </w:r>
      <w:proofErr w:type="spellEnd"/>
      <w:r>
        <w:t xml:space="preserve"> u t-twettiq ta’ valutazzjonijiet u </w:t>
      </w:r>
      <w:proofErr w:type="spellStart"/>
      <w:r>
        <w:t>awditi</w:t>
      </w:r>
      <w:proofErr w:type="spellEnd"/>
      <w:r>
        <w:t xml:space="preserve"> regolari; billi l-EIGE jkun jeħtieġ Aġent Kuntrattwali wieħed (FG IV) għal Uffiċjal </w:t>
      </w:r>
      <w:proofErr w:type="spellStart"/>
      <w:r>
        <w:t>taċ-Ċibersigurtà</w:t>
      </w:r>
      <w:proofErr w:type="spellEnd"/>
      <w:r>
        <w:t xml:space="preserve"> u riżorsi </w:t>
      </w:r>
      <w:proofErr w:type="spellStart"/>
      <w:r>
        <w:t>baġitarji</w:t>
      </w:r>
      <w:proofErr w:type="spellEnd"/>
      <w:r>
        <w:t xml:space="preserve"> msaħħa biex jissodisfa dawn ir-rekwiżiti; billi l-EIGE huwa obbligat li jħallas EUR 200 000 għall-akkwist ta’ software finanzjarju ġdid obbligatorju SUMMA, li jirrappreżenta kważi 15 % tal-baġit tat-Titolu II tiegħu; billi din id-domanda </w:t>
      </w:r>
      <w:proofErr w:type="spellStart"/>
      <w:r>
        <w:t>baġitarja</w:t>
      </w:r>
      <w:proofErr w:type="spellEnd"/>
      <w:r>
        <w:t xml:space="preserve"> taffettwa b’mod </w:t>
      </w:r>
      <w:proofErr w:type="spellStart"/>
      <w:r>
        <w:t>sproporzjonat</w:t>
      </w:r>
      <w:proofErr w:type="spellEnd"/>
      <w:r>
        <w:t xml:space="preserve"> lill-aġenziji iżgħar; billi r-rappreżentanza </w:t>
      </w:r>
      <w:proofErr w:type="spellStart"/>
      <w:r>
        <w:t>bbilanċjata</w:t>
      </w:r>
      <w:proofErr w:type="spellEnd"/>
      <w:r>
        <w:t xml:space="preserve"> bejn il-ġeneri fi ħdan il-persunal għandha dejjem tiġi promossa fl-aġenziji kollha tal-UE kif ukoll fi ħdan l-EIGE permezz ta’ proċeduri ta’ reklutaġġ sensittivi għall-ġeneru;</w:t>
      </w:r>
    </w:p>
    <w:p w14:paraId="76CAD6EB" w14:textId="77777777" w:rsidR="00201D13" w:rsidRPr="00201D13" w:rsidRDefault="00201D13" w:rsidP="00201D13">
      <w:pPr>
        <w:pStyle w:val="NormalHanging12a"/>
      </w:pPr>
      <w:r>
        <w:t>1.</w:t>
      </w:r>
      <w:r>
        <w:tab/>
        <w:t xml:space="preserve">Ifakkar li l-EIGE ġie stabbilit biex jikkontribwixxi u jsaħħaħ il-promozzjoni ta’ riċerka indipendenti dwar l-ugwaljanza bejn il-ġeneri, jipproduċi data u għodod biex jgħin lill-UE u lill-Istati Membri tagħha jfasslu politiki </w:t>
      </w:r>
      <w:proofErr w:type="spellStart"/>
      <w:r>
        <w:t>inklużivi</w:t>
      </w:r>
      <w:proofErr w:type="spellEnd"/>
      <w:r>
        <w:t xml:space="preserve"> u </w:t>
      </w:r>
      <w:proofErr w:type="spellStart"/>
      <w:r>
        <w:t>trasformattivi</w:t>
      </w:r>
      <w:proofErr w:type="spellEnd"/>
      <w:r>
        <w:t xml:space="preserve"> għall-ġeneru, li huma politiki li jindirizzaw il-kawżi ewlenin tal-</w:t>
      </w:r>
      <w:proofErr w:type="spellStart"/>
      <w:r>
        <w:t>inugwaljanza</w:t>
      </w:r>
      <w:proofErr w:type="spellEnd"/>
      <w:r>
        <w:t xml:space="preserve"> bejn il-ġeneri billi </w:t>
      </w:r>
      <w:proofErr w:type="spellStart"/>
      <w:r>
        <w:t>jisfidaw</w:t>
      </w:r>
      <w:proofErr w:type="spellEnd"/>
      <w:r>
        <w:t xml:space="preserve"> normi diskriminatorji, diviżjoni </w:t>
      </w:r>
      <w:proofErr w:type="spellStart"/>
      <w:r>
        <w:t>inugwali</w:t>
      </w:r>
      <w:proofErr w:type="spellEnd"/>
      <w:r>
        <w:t xml:space="preserve"> tal-poter u prattiki dannużi u li għandhom l-għan li jbiddlu l-attitudnijiet u l-imġiba tas-soċjetà lejn ugwaljanza reali bejn il-ġeneri, u </w:t>
      </w:r>
      <w:proofErr w:type="spellStart"/>
      <w:r>
        <w:t>jintegraw</w:t>
      </w:r>
      <w:proofErr w:type="spellEnd"/>
      <w:r>
        <w:t xml:space="preserve"> l-ugwaljanza bejn il-ġeneri fil-politiki kollha tagħhom; jinnota l-importanza </w:t>
      </w:r>
      <w:proofErr w:type="spellStart"/>
      <w:r>
        <w:t>tad-disponibbiltà</w:t>
      </w:r>
      <w:proofErr w:type="spellEnd"/>
      <w:r>
        <w:t xml:space="preserve"> ta’ data affidabbli </w:t>
      </w:r>
      <w:proofErr w:type="spellStart"/>
      <w:r>
        <w:t>diżaggregata</w:t>
      </w:r>
      <w:proofErr w:type="spellEnd"/>
      <w:r>
        <w:t xml:space="preserve"> skont il-ġeneru sabiex ikun jista’ jsir tfassil ta’ politika </w:t>
      </w:r>
      <w:proofErr w:type="spellStart"/>
      <w:r>
        <w:t>bbażat</w:t>
      </w:r>
      <w:proofErr w:type="spellEnd"/>
      <w:r>
        <w:t xml:space="preserve"> fuq l-evidenza; jenfasizza l-urġenza li l-Unjoni tavvanza fl-ugwaljanza bejn il-ġeneri fid-dawl tal-kriżi li għaddejja bħalissa bħall-gwerer u l-kriżi </w:t>
      </w:r>
      <w:proofErr w:type="spellStart"/>
      <w:r>
        <w:t>klimatika</w:t>
      </w:r>
      <w:proofErr w:type="spellEnd"/>
      <w:r>
        <w:t xml:space="preserve">; jenfasizza wkoll </w:t>
      </w:r>
      <w:proofErr w:type="spellStart"/>
      <w:r>
        <w:t>ir-rigressjoni</w:t>
      </w:r>
      <w:proofErr w:type="spellEnd"/>
      <w:r>
        <w:t xml:space="preserve"> kontra l-ugwaljanza bejn il-ġeneri minn movimenti kontra l-ġeneru u kontra d-demokrazija;</w:t>
      </w:r>
    </w:p>
    <w:p w14:paraId="5EA3F02D" w14:textId="77777777" w:rsidR="00201D13" w:rsidRPr="00201D13" w:rsidRDefault="00201D13" w:rsidP="00201D13">
      <w:pPr>
        <w:pStyle w:val="NormalHanging12a"/>
        <w:rPr>
          <w:b/>
          <w:i/>
        </w:rPr>
      </w:pPr>
      <w:r>
        <w:t>2.</w:t>
      </w:r>
      <w:r>
        <w:rPr>
          <w:b/>
          <w:i/>
        </w:rPr>
        <w:tab/>
      </w:r>
      <w:r>
        <w:t xml:space="preserve">Jilqa’ l-kooperazzjoni li għaddejja bejn l-EIGE u l-Kumitat għad-Drittijiet </w:t>
      </w:r>
      <w:proofErr w:type="spellStart"/>
      <w:r>
        <w:t>għad-Drittijiet</w:t>
      </w:r>
      <w:proofErr w:type="spellEnd"/>
      <w:r>
        <w:t xml:space="preserve"> tan-Nisa u l-Ugwaljanza bejn il-Ġeneri (FEMM), b’mod partikolari l-kontribut tal-Istitut għall-isforzi kontinwi tal-Kumitat fir-rigward tal-vjolenza abbażi tal-ġeneru, il-bilanċ bejn ix-xogħol u l-ħajja privata, id-differenza bejn il-ġeneri fil-pagi u fil-pensjonijiet, l-impatt tal-kriżijiet fuq in-nisa, l-integrazzjoni tal-perspettiva tal-ġeneri u l-</w:t>
      </w:r>
      <w:proofErr w:type="spellStart"/>
      <w:r>
        <w:t>ibbaġitjar</w:t>
      </w:r>
      <w:proofErr w:type="spellEnd"/>
      <w:r>
        <w:t xml:space="preserve"> sensittiv għal kwistjonijiet ta’ ġeneru; jinnota l-kontribut siewi li l-EIGE jista’ jagħti lill-Kumitati kollha tal-Parlament Ewropew u aġenziji oħra tal-UE sabiex tiġi integrata aħjar l-perspettiva tal-ġeneri fil-politiki kollha tal-UE;</w:t>
      </w:r>
      <w:r>
        <w:rPr>
          <w:b/>
          <w:i/>
        </w:rPr>
        <w:t> </w:t>
      </w:r>
    </w:p>
    <w:p w14:paraId="5241E376" w14:textId="77777777" w:rsidR="00201D13" w:rsidRPr="00201D13" w:rsidRDefault="00201D13" w:rsidP="00201D13">
      <w:pPr>
        <w:pStyle w:val="NormalHanging12a"/>
      </w:pPr>
      <w:r>
        <w:t>3.</w:t>
      </w:r>
      <w:r>
        <w:tab/>
        <w:t xml:space="preserve">Itenni t-talba tal-Parlament għal aktar finanzjament u persunal </w:t>
      </w:r>
      <w:proofErr w:type="spellStart"/>
      <w:r>
        <w:t>għall</w:t>
      </w:r>
      <w:proofErr w:type="spellEnd"/>
      <w:r>
        <w:t>-EIGE, f’</w:t>
      </w:r>
      <w:proofErr w:type="spellStart"/>
      <w:r>
        <w:t>konformità</w:t>
      </w:r>
      <w:proofErr w:type="spellEnd"/>
      <w:r>
        <w:t xml:space="preserve"> mat-talbiet dejjem jiżdiedu għal assistenza teknika u spejjeż operattivi ogħla; jistieden għalhekk lill-Kummissjoni tipproponi r-riżorsi meħtieġa għall-Aġenzija biex tkun tista’ twettaq il-</w:t>
      </w:r>
      <w:proofErr w:type="spellStart"/>
      <w:r>
        <w:t>kompiti</w:t>
      </w:r>
      <w:proofErr w:type="spellEnd"/>
      <w:r>
        <w:t xml:space="preserve"> tagħha u twieġeb għal aktar talbiet għal għarfien espert, filwaqt li tiżgura l-</w:t>
      </w:r>
      <w:proofErr w:type="spellStart"/>
      <w:r>
        <w:t>kontinwità</w:t>
      </w:r>
      <w:proofErr w:type="spellEnd"/>
      <w:r>
        <w:t xml:space="preserve"> operattiva u ssaħħaħ il-kapaċitajiet </w:t>
      </w:r>
      <w:proofErr w:type="spellStart"/>
      <w:r>
        <w:t>analitiċi</w:t>
      </w:r>
      <w:proofErr w:type="spellEnd"/>
      <w:r>
        <w:t xml:space="preserve"> u ta’ koordinazzjoni tal-aġenzija; jitlob żieda ta’ 17 % fit-Tabella ta’ Persunal attwali tiegħu biex titqies il-ħtieġa ta’ mill-anqas ħames karigi addizzjonali ta’ Aġenti Temporanji (AD) u erba’ karigi addizzjonali ta’ Aġenti Kuntrattwali, kif ukoll karigi </w:t>
      </w:r>
      <w:proofErr w:type="spellStart"/>
      <w:r>
        <w:t>ddedikati</w:t>
      </w:r>
      <w:proofErr w:type="spellEnd"/>
      <w:r>
        <w:t xml:space="preserve"> </w:t>
      </w:r>
      <w:proofErr w:type="spellStart"/>
      <w:r>
        <w:t>għaċ-ċibersigurtà</w:t>
      </w:r>
      <w:proofErr w:type="spellEnd"/>
      <w:r>
        <w:t xml:space="preserve">, il-protezzjoni tad-data u l-implimentazzjoni ta’ obbligi </w:t>
      </w:r>
      <w:proofErr w:type="spellStart"/>
      <w:r>
        <w:t>leġiżlattivi</w:t>
      </w:r>
      <w:proofErr w:type="spellEnd"/>
      <w:r>
        <w:t xml:space="preserve"> ġodda; jisħaq fuq il-ħtieġa li jitnaqqsu l-ammonti </w:t>
      </w:r>
      <w:proofErr w:type="spellStart"/>
      <w:r>
        <w:t>eċċessivi</w:t>
      </w:r>
      <w:proofErr w:type="spellEnd"/>
      <w:r>
        <w:t xml:space="preserve"> ta’ xogħol li bħalissa qed jinġarru mill-persunal tal-EIGE; jappella għal baġit </w:t>
      </w:r>
      <w:proofErr w:type="spellStart"/>
      <w:r>
        <w:t>pluriennali</w:t>
      </w:r>
      <w:proofErr w:type="spellEnd"/>
      <w:r>
        <w:t xml:space="preserve"> prevedibbli u stabbli </w:t>
      </w:r>
      <w:proofErr w:type="spellStart"/>
      <w:r>
        <w:t>għall</w:t>
      </w:r>
      <w:proofErr w:type="spellEnd"/>
      <w:r>
        <w:t>-EIGE, li jnaqqas ir-riporti rikorrenti u jippermetti ppjanar fit-tul u xogħol ta’ riċerka u jiżgura ambjent tax-xogħol b’saħħtu u produttiv;</w:t>
      </w:r>
    </w:p>
    <w:p w14:paraId="44BFFC09" w14:textId="77777777" w:rsidR="00201D13" w:rsidRPr="00201D13" w:rsidRDefault="00201D13" w:rsidP="00201D13">
      <w:pPr>
        <w:pStyle w:val="NormalHanging12a"/>
      </w:pPr>
      <w:r>
        <w:t>4.</w:t>
      </w:r>
      <w:r>
        <w:tab/>
        <w:t>Jinnota l-eżekuzzjoni kontinwa tal-baġit tal-EIGE ta’ 95 % tal-programm ta’ ħidma tiegħu u l-</w:t>
      </w:r>
      <w:proofErr w:type="spellStart"/>
      <w:r>
        <w:t>ilħuq</w:t>
      </w:r>
      <w:proofErr w:type="spellEnd"/>
      <w:r>
        <w:t xml:space="preserve"> tal-miri fid-dokument ta’ </w:t>
      </w:r>
      <w:proofErr w:type="spellStart"/>
      <w:r>
        <w:t>programmazzjoni</w:t>
      </w:r>
      <w:proofErr w:type="spellEnd"/>
      <w:r>
        <w:t xml:space="preserve"> emendat 2024-2026, minkejja n-nuqqas ta’ persunal u r-riporti għoljin, u li l-Qorti Ewropea tal-Awdituri </w:t>
      </w:r>
      <w:proofErr w:type="spellStart"/>
      <w:r>
        <w:t>kkonfermat</w:t>
      </w:r>
      <w:proofErr w:type="spellEnd"/>
      <w:r>
        <w:t xml:space="preserve"> li l-kontijiet tiegħu jippreżentaw b’mod ġust il-pożizzjoni finanzjarja tiegħu;</w:t>
      </w:r>
    </w:p>
    <w:p w14:paraId="1434BAC4" w14:textId="77777777" w:rsidR="00201D13" w:rsidRPr="00201D13" w:rsidRDefault="00201D13" w:rsidP="00201D13">
      <w:pPr>
        <w:pStyle w:val="NormalHanging12a"/>
        <w:rPr>
          <w:b/>
          <w:i/>
        </w:rPr>
      </w:pPr>
      <w:r>
        <w:t>5.</w:t>
      </w:r>
      <w:r>
        <w:rPr>
          <w:b/>
          <w:i/>
        </w:rPr>
        <w:tab/>
      </w:r>
      <w:r>
        <w:t xml:space="preserve">Jenfasizza li fl-2024, l-EIGE laħaq l-objettivi strateġiċi tiegħu li jikkontribwixxi għal politika u teħid ta’ deċiżjonijiet infurmati aħjar u </w:t>
      </w:r>
      <w:proofErr w:type="spellStart"/>
      <w:r>
        <w:t>bbażati</w:t>
      </w:r>
      <w:proofErr w:type="spellEnd"/>
      <w:r>
        <w:t xml:space="preserve"> fuq l-evidenza biex tinkiseb l-ugwaljanza bejn il-ġeneri u tiġi miġġielda d-diskriminazzjoni </w:t>
      </w:r>
      <w:proofErr w:type="spellStart"/>
      <w:r>
        <w:t>bbażata</w:t>
      </w:r>
      <w:proofErr w:type="spellEnd"/>
      <w:r>
        <w:t xml:space="preserve"> fuq is-sess; li jappoġġja l-integrazzjoni ta’ perspettiva tal-ġeneru fil-politiki tal-UE u l-politiki nazzjonali li jirriżultaw; u li tiġi promossa b’mod effettiv l-ugwaljanza bejn il-ġeneri għall-partijiet ikkonċernati ewlenin u l-gruppi fil-mira; jenfasizza wkoll li dawn il-kisbiet saru minkejja nuqqas strutturali ta’ persunal, li jikkonferma l-ħtieġa ta’ riżorsi addizzjonali biex tiġi </w:t>
      </w:r>
      <w:proofErr w:type="spellStart"/>
      <w:r>
        <w:t>ssalvagwardjata</w:t>
      </w:r>
      <w:proofErr w:type="spellEnd"/>
      <w:r>
        <w:t xml:space="preserve"> l-prestazzjoni futura;</w:t>
      </w:r>
    </w:p>
    <w:p w14:paraId="45EDAE58" w14:textId="77777777" w:rsidR="00201D13" w:rsidRPr="00201D13" w:rsidRDefault="00201D13" w:rsidP="00201D13">
      <w:pPr>
        <w:pStyle w:val="NormalHanging12a"/>
        <w:rPr>
          <w:b/>
          <w:i/>
        </w:rPr>
      </w:pPr>
      <w:r>
        <w:t>6.</w:t>
      </w:r>
      <w:r>
        <w:rPr>
          <w:b/>
          <w:i/>
        </w:rPr>
        <w:tab/>
      </w:r>
      <w:r>
        <w:t xml:space="preserve">Iwissi li mingħajr persunal u investiment addizzjonali </w:t>
      </w:r>
      <w:proofErr w:type="spellStart"/>
      <w:r>
        <w:t>mmirati</w:t>
      </w:r>
      <w:proofErr w:type="spellEnd"/>
      <w:r>
        <w:t xml:space="preserve">, l-EIGE jirriskja li ma jkunx jista’ jissodisfa l-obbligi tiegħu li jirriżultaw minn </w:t>
      </w:r>
      <w:proofErr w:type="spellStart"/>
      <w:r>
        <w:t>leġiżlazzjonijiet</w:t>
      </w:r>
      <w:proofErr w:type="spellEnd"/>
      <w:r>
        <w:t xml:space="preserve"> li għadhom kif ġew adottati jew isostni aktar talbiet li jirriżultaw minn inizjattivi ta’ politika ġodda tal-Unjoni; jisħaq li t-talbiet </w:t>
      </w:r>
      <w:proofErr w:type="spellStart"/>
      <w:r>
        <w:t>baġitarji</w:t>
      </w:r>
      <w:proofErr w:type="spellEnd"/>
      <w:r>
        <w:t xml:space="preserve"> bħall-akkwist ta’ SUMMA jkomplu joħolqu pressjoni fuq il-baġit tal-EIGE; </w:t>
      </w:r>
      <w:proofErr w:type="spellStart"/>
      <w:r>
        <w:t>jissottolinja</w:t>
      </w:r>
      <w:proofErr w:type="spellEnd"/>
      <w:r>
        <w:t xml:space="preserve"> li aktar allokazzjonijiet </w:t>
      </w:r>
      <w:proofErr w:type="spellStart"/>
      <w:r>
        <w:t>baġitarji</w:t>
      </w:r>
      <w:proofErr w:type="spellEnd"/>
      <w:r>
        <w:t xml:space="preserve"> jridu jqisu l-infiq obbligatorju li l-aġenziji huma mistennija jagħmlu; jappella għal baġit stabbli u msaħħaħ </w:t>
      </w:r>
      <w:proofErr w:type="spellStart"/>
      <w:r>
        <w:t>għall</w:t>
      </w:r>
      <w:proofErr w:type="spellEnd"/>
      <w:r>
        <w:t xml:space="preserve">-EIGE bħala waħda mill-prijoritajiet relatati mal-ugwaljanza bejn il-ġeneri fil-Qafas Finanzjarju </w:t>
      </w:r>
      <w:proofErr w:type="spellStart"/>
      <w:r>
        <w:t>Pluriennali</w:t>
      </w:r>
      <w:proofErr w:type="spellEnd"/>
      <w:r>
        <w:t xml:space="preserve"> (QFP) li jmiss, filwaqt li jiġi żgurat li l-aġenzija tkun tista’ tkompli tipprovdi riċerka, data u appoġġ politiku ta’ kwalità għolja fil-prijoritajiet kollha tal-Unjoni;</w:t>
      </w:r>
    </w:p>
    <w:p w14:paraId="4A464833" w14:textId="77777777" w:rsidR="00201D13" w:rsidRPr="00201D13" w:rsidRDefault="00201D13" w:rsidP="00201D13">
      <w:pPr>
        <w:pStyle w:val="NormalHanging12a"/>
        <w:rPr>
          <w:bCs/>
          <w:iCs/>
        </w:rPr>
      </w:pPr>
      <w:r>
        <w:t>7.</w:t>
      </w:r>
      <w:r>
        <w:rPr>
          <w:b/>
          <w:i/>
        </w:rPr>
        <w:tab/>
      </w:r>
      <w:r>
        <w:t>Huwa tal-opinjoni li d-Direttur tal-Istitut Ewropew għall-Ugwaljanza bejn il-Ġeneri jista’ jingħata l-</w:t>
      </w:r>
      <w:proofErr w:type="spellStart"/>
      <w:r>
        <w:t>kwittanza</w:t>
      </w:r>
      <w:proofErr w:type="spellEnd"/>
      <w:r>
        <w:t xml:space="preserve"> għall-implimentazzjoni tal-baġit tal-Istitut għas-sena finanzjarja 2024.</w:t>
      </w:r>
    </w:p>
    <w:p w14:paraId="054CAB64" w14:textId="77777777" w:rsidR="00201D13" w:rsidRPr="00201D13" w:rsidRDefault="00201D13" w:rsidP="00201D13">
      <w:pPr>
        <w:ind w:left="567" w:hanging="567"/>
      </w:pPr>
      <w:r>
        <w:rPr>
          <w:rStyle w:val="HideTWBExt"/>
        </w:rPr>
        <w:t>&lt;/RepeatBlock-Dec&gt;</w:t>
      </w:r>
    </w:p>
    <w:p w14:paraId="6965FE10" w14:textId="77777777" w:rsidR="00201D13" w:rsidRPr="00201D13" w:rsidRDefault="00201D13" w:rsidP="00201D13"/>
    <w:p w14:paraId="1473CFDF" w14:textId="77777777" w:rsidR="00201D13" w:rsidRPr="00201D13" w:rsidRDefault="00201D13" w:rsidP="00201D13">
      <w:pPr>
        <w:sectPr w:rsidR="00201D13" w:rsidRPr="00201D13" w:rsidSect="00201D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D817B29" w14:textId="3D2ABF1D" w:rsidR="00201D13" w:rsidRPr="00201D13" w:rsidRDefault="00201D13" w:rsidP="002B2C72">
      <w:pPr>
        <w:pStyle w:val="PageHeadingNotTOC"/>
      </w:pPr>
      <w:bookmarkStart w:id="0" w:name="FootprintPageAD"/>
      <w:r>
        <w:t>ANNESS: DIKJARAZZJONI TAL-KONTRIBUT</w:t>
      </w:r>
    </w:p>
    <w:p w14:paraId="0B5E87AC" w14:textId="0ABC58C7" w:rsidR="00201D13" w:rsidRPr="00201D13" w:rsidRDefault="00201D13" w:rsidP="00037518">
      <w:pPr>
        <w:pStyle w:val="Normal24a"/>
      </w:pPr>
      <w:r>
        <w:rPr>
          <w:rStyle w:val="HideTWBExt"/>
        </w:rPr>
        <w:t>&lt;FootprintIntro&gt;</w:t>
      </w:r>
      <w:proofErr w:type="spellStart"/>
      <w:r>
        <w:t>Ir-rapporteur</w:t>
      </w:r>
      <w:proofErr w:type="spellEnd"/>
      <w:r>
        <w:t xml:space="preserve"> għal opinjoni tiddikjara, taħt ir-responsabbiltà </w:t>
      </w:r>
      <w:proofErr w:type="spellStart"/>
      <w:r>
        <w:t>esklużiva</w:t>
      </w:r>
      <w:proofErr w:type="spellEnd"/>
      <w:r>
        <w:t xml:space="preserve"> tagħha, li  fl-opinjoni tagħha  ma inkludiet ebda kontribut mingħand rappreżentanti ta’ gruppi ta’ interess li jaqgħu fil-kamp ta’ applikazzjoni tal-Ftehim </w:t>
      </w:r>
      <w:proofErr w:type="spellStart"/>
      <w:r>
        <w:t>Interistituzzjonali</w:t>
      </w:r>
      <w:proofErr w:type="spellEnd"/>
      <w:r>
        <w:t xml:space="preserve"> dwar Reġistru Obbligatorju ta’ Trasparenza</w:t>
      </w:r>
      <w:r w:rsidRPr="00201D13"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</w:t>
      </w:r>
      <w:proofErr w:type="spellStart"/>
      <w:r>
        <w:t>konformità</w:t>
      </w:r>
      <w:proofErr w:type="spellEnd"/>
      <w:r>
        <w:t xml:space="preserve"> mal-Artikolu 8 tal-Anness I tar-Regoli ta’ Proċedura.</w:t>
      </w:r>
      <w:r>
        <w:rPr>
          <w:rStyle w:val="HideTWBExt"/>
        </w:rPr>
        <w:t>&lt;/FootprintIntro&gt;</w:t>
      </w:r>
    </w:p>
    <w:p w14:paraId="200D2E44" w14:textId="77777777" w:rsidR="00201D13" w:rsidRPr="00201D13" w:rsidRDefault="00201D13" w:rsidP="00201D13"/>
    <w:bookmarkEnd w:id="0"/>
    <w:p w14:paraId="34B4BAEC" w14:textId="77777777" w:rsidR="00201D13" w:rsidRPr="00201D13" w:rsidRDefault="00201D13" w:rsidP="00201D13">
      <w:pPr>
        <w:sectPr w:rsidR="00201D13" w:rsidRPr="00201D13" w:rsidSect="00201D1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8F9881F" w14:textId="09A70CB8" w:rsidR="00201D13" w:rsidRPr="00201D13" w:rsidRDefault="00201D13" w:rsidP="00201D13">
      <w:pPr>
        <w:pStyle w:val="PageHeadingNotTOC"/>
      </w:pPr>
      <w:bookmarkStart w:id="1" w:name="ProcPageAD"/>
      <w:r>
        <w:t>INFORMAZZJONI DWAR L-ADOZZJONI</w:t>
      </w:r>
      <w:r>
        <w:br/>
        <w:t>MILL-KUMITAT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201D13" w:rsidRPr="00201D13" w14:paraId="5A0C830A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7E7E587" w14:textId="77777777" w:rsidR="00201D13" w:rsidRPr="00201D13" w:rsidRDefault="00201D1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5D44D6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268296" w14:textId="77777777" w:rsidR="00201D13" w:rsidRPr="00201D13" w:rsidRDefault="00201D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6C7ADA" w14:textId="77777777" w:rsidR="00201D13" w:rsidRPr="00201D13" w:rsidRDefault="00201D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B1C62D" w14:textId="77777777" w:rsidR="00201D13" w:rsidRPr="00201D13" w:rsidRDefault="00201D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201D13" w:rsidRPr="00201D13" w14:paraId="1898D4FA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D0BF68B" w14:textId="77777777" w:rsidR="00201D13" w:rsidRPr="00201D13" w:rsidRDefault="00201D1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EFDF927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304C3206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627D662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158755E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</w:p>
          <w:p w14:paraId="699B9C72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  <w:p w14:paraId="11CDA0A7" w14:textId="77777777" w:rsidR="00201D13" w:rsidRPr="00201D13" w:rsidRDefault="00201D1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</w:tbl>
    <w:p w14:paraId="3A2F380A" w14:textId="77777777" w:rsidR="00201D13" w:rsidRPr="00201D13" w:rsidRDefault="00201D13"/>
    <w:bookmarkEnd w:id="1"/>
    <w:p w14:paraId="13C35B7A" w14:textId="76A68555" w:rsidR="00201D13" w:rsidRPr="00201D13" w:rsidRDefault="00201D13">
      <w:pPr>
        <w:widowControl/>
      </w:pPr>
      <w:r>
        <w:br w:type="page"/>
      </w:r>
    </w:p>
    <w:p w14:paraId="49121CCC" w14:textId="77777777" w:rsidR="00201D13" w:rsidRPr="00201D13" w:rsidRDefault="00201D13" w:rsidP="00201D13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  <w:bookmarkStart w:id="2" w:name="RollCallPageAD"/>
      <w:r>
        <w:rPr>
          <w:rFonts w:ascii="Arial" w:hAnsi="Arial"/>
          <w:b/>
        </w:rPr>
        <w:t>VOTAZZJONI FINALI B’SEJĦA TAL-ISMIJIET</w:t>
      </w:r>
    </w:p>
    <w:p w14:paraId="75540BCF" w14:textId="56E7951A" w:rsidR="00201D13" w:rsidRPr="00201D13" w:rsidRDefault="00201D13" w:rsidP="00201D13">
      <w:pPr>
        <w:pStyle w:val="PageHeadingNotTOC"/>
      </w:pPr>
      <w:r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01D13" w:rsidRPr="00201D13" w14:paraId="73D1CE64" w14:textId="77777777" w:rsidTr="0022173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455FAF6" w14:textId="77777777" w:rsidR="00201D13" w:rsidRPr="00201D13" w:rsidRDefault="00201D13" w:rsidP="00221733">
            <w:pPr>
              <w:pStyle w:val="RollCallVotes"/>
            </w:pPr>
            <w:r>
              <w:t>24</w:t>
            </w:r>
          </w:p>
        </w:tc>
        <w:tc>
          <w:tcPr>
            <w:tcW w:w="7371" w:type="dxa"/>
            <w:shd w:val="pct10" w:color="000000" w:fill="FFFFFF"/>
          </w:tcPr>
          <w:p w14:paraId="61898575" w14:textId="77777777" w:rsidR="00201D13" w:rsidRPr="00201D13" w:rsidRDefault="00201D13" w:rsidP="00221733">
            <w:pPr>
              <w:pStyle w:val="RollCallSymbols14pt"/>
            </w:pPr>
            <w:r>
              <w:t>+</w:t>
            </w:r>
          </w:p>
        </w:tc>
      </w:tr>
      <w:tr w:rsidR="00201D13" w:rsidRPr="00201D13" w14:paraId="058A7564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52E7B9F4" w14:textId="77777777" w:rsidR="00201D13" w:rsidRPr="00201D13" w:rsidRDefault="00201D13" w:rsidP="00221733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1ED5A793" w14:textId="77777777" w:rsidR="00201D13" w:rsidRPr="00201D13" w:rsidRDefault="00201D13" w:rsidP="00221733">
            <w:pPr>
              <w:pStyle w:val="RollCallTable"/>
            </w:pPr>
            <w:r>
              <w:t xml:space="preserve">Rosa </w:t>
            </w:r>
            <w:proofErr w:type="spellStart"/>
            <w:r>
              <w:t>Estaràs</w:t>
            </w:r>
            <w:proofErr w:type="spellEnd"/>
            <w:r>
              <w:t xml:space="preserve"> </w:t>
            </w:r>
            <w:proofErr w:type="spellStart"/>
            <w:r>
              <w:t>Ferragut</w:t>
            </w:r>
            <w:proofErr w:type="spellEnd"/>
            <w:r>
              <w:t xml:space="preserve">,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Kokalari</w:t>
            </w:r>
            <w:proofErr w:type="spellEnd"/>
            <w:r>
              <w:t xml:space="preserve">, </w:t>
            </w:r>
            <w:proofErr w:type="spellStart"/>
            <w:r>
              <w:t>Ewa</w:t>
            </w:r>
            <w:proofErr w:type="spellEnd"/>
            <w:r>
              <w:t xml:space="preserve"> </w:t>
            </w:r>
            <w:proofErr w:type="spellStart"/>
            <w:r>
              <w:t>Kopacz</w:t>
            </w:r>
            <w:proofErr w:type="spellEnd"/>
            <w:r>
              <w:t xml:space="preserve">, </w:t>
            </w:r>
            <w:proofErr w:type="spellStart"/>
            <w:r>
              <w:t>Verena</w:t>
            </w:r>
            <w:proofErr w:type="spellEnd"/>
            <w:r>
              <w:t xml:space="preserve"> </w:t>
            </w:r>
            <w:proofErr w:type="spellStart"/>
            <w:r>
              <w:t>Mertens</w:t>
            </w:r>
            <w:proofErr w:type="spellEnd"/>
            <w:r>
              <w:t xml:space="preserve">, </w:t>
            </w:r>
            <w:proofErr w:type="spellStart"/>
            <w:r>
              <w:t>Mirosława</w:t>
            </w:r>
            <w:proofErr w:type="spellEnd"/>
            <w:r>
              <w:t xml:space="preserve"> </w:t>
            </w:r>
            <w:proofErr w:type="spellStart"/>
            <w:r>
              <w:t>Nykiel</w:t>
            </w:r>
            <w:proofErr w:type="spellEnd"/>
            <w:r>
              <w:t xml:space="preserve">, </w:t>
            </w:r>
            <w:proofErr w:type="spellStart"/>
            <w:r>
              <w:t>Giusi</w:t>
            </w:r>
            <w:proofErr w:type="spellEnd"/>
            <w:r>
              <w:t xml:space="preserve"> </w:t>
            </w:r>
            <w:proofErr w:type="spellStart"/>
            <w:r>
              <w:t>Princi</w:t>
            </w:r>
            <w:proofErr w:type="spellEnd"/>
            <w:r>
              <w:t xml:space="preserve">, Maria </w:t>
            </w:r>
            <w:proofErr w:type="spellStart"/>
            <w:r>
              <w:t>Walsh</w:t>
            </w:r>
            <w:proofErr w:type="spellEnd"/>
          </w:p>
        </w:tc>
      </w:tr>
      <w:tr w:rsidR="00201D13" w:rsidRPr="00201D13" w14:paraId="40A0DAF8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2BC63FA4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6F8446E6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Abir</w:t>
            </w:r>
            <w:proofErr w:type="spellEnd"/>
            <w:r>
              <w:t xml:space="preserve"> Al-</w:t>
            </w:r>
            <w:proofErr w:type="spellStart"/>
            <w:r>
              <w:t>Sahlani</w:t>
            </w:r>
            <w:proofErr w:type="spellEnd"/>
            <w:r>
              <w:t xml:space="preserve">, </w:t>
            </w:r>
            <w:proofErr w:type="spellStart"/>
            <w:r>
              <w:t>Raquel</w:t>
            </w:r>
            <w:proofErr w:type="spellEnd"/>
            <w:r>
              <w:t xml:space="preserve"> </w:t>
            </w:r>
            <w:proofErr w:type="spellStart"/>
            <w:r>
              <w:t>García</w:t>
            </w:r>
            <w:proofErr w:type="spellEnd"/>
            <w:r>
              <w:t xml:space="preserve"> </w:t>
            </w:r>
            <w:proofErr w:type="spellStart"/>
            <w:r>
              <w:t>Hermida</w:t>
            </w:r>
            <w:proofErr w:type="spellEnd"/>
            <w:r>
              <w:t xml:space="preserve">-Van </w:t>
            </w:r>
            <w:proofErr w:type="spellStart"/>
            <w:r>
              <w:t>Der</w:t>
            </w:r>
            <w:proofErr w:type="spellEnd"/>
            <w:r>
              <w:t xml:space="preserve"> </w:t>
            </w:r>
            <w:proofErr w:type="spellStart"/>
            <w:r>
              <w:t>Walle</w:t>
            </w:r>
            <w:proofErr w:type="spellEnd"/>
            <w:r>
              <w:t xml:space="preserve">, Lucia </w:t>
            </w:r>
            <w:proofErr w:type="spellStart"/>
            <w:r>
              <w:t>Yar</w:t>
            </w:r>
            <w:proofErr w:type="spellEnd"/>
            <w:r>
              <w:t xml:space="preserve">, </w:t>
            </w:r>
            <w:proofErr w:type="spellStart"/>
            <w:r>
              <w:t>Dainius</w:t>
            </w:r>
            <w:proofErr w:type="spellEnd"/>
            <w:r>
              <w:t xml:space="preserve"> </w:t>
            </w:r>
            <w:proofErr w:type="spellStart"/>
            <w:r>
              <w:t>Žalimas</w:t>
            </w:r>
            <w:proofErr w:type="spellEnd"/>
          </w:p>
        </w:tc>
      </w:tr>
      <w:tr w:rsidR="00201D13" w:rsidRPr="00201D13" w14:paraId="5710953B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75FD27D8" w14:textId="77777777" w:rsidR="00201D13" w:rsidRPr="00201D13" w:rsidRDefault="00201D13" w:rsidP="00221733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0BEE7BD0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Gabriela</w:t>
            </w:r>
            <w:proofErr w:type="spellEnd"/>
            <w:r>
              <w:t xml:space="preserve"> </w:t>
            </w:r>
            <w:proofErr w:type="spellStart"/>
            <w:r>
              <w:t>Firea</w:t>
            </w:r>
            <w:proofErr w:type="spellEnd"/>
            <w:r>
              <w:t xml:space="preserve">, </w:t>
            </w:r>
            <w:proofErr w:type="spellStart"/>
            <w:r>
              <w:t>Heléne</w:t>
            </w:r>
            <w:proofErr w:type="spellEnd"/>
            <w:r>
              <w:t xml:space="preserve"> </w:t>
            </w:r>
            <w:proofErr w:type="spellStart"/>
            <w:r>
              <w:t>Fritzon</w:t>
            </w:r>
            <w:proofErr w:type="spellEnd"/>
            <w:r>
              <w:t xml:space="preserve">, Lina </w:t>
            </w:r>
            <w:proofErr w:type="spellStart"/>
            <w:r>
              <w:t>Gálvez</w:t>
            </w:r>
            <w:proofErr w:type="spellEnd"/>
            <w:r>
              <w:t xml:space="preserve">, Maria </w:t>
            </w:r>
            <w:proofErr w:type="spellStart"/>
            <w:r>
              <w:t>Noichl</w:t>
            </w:r>
            <w:proofErr w:type="spellEnd"/>
            <w:r>
              <w:t xml:space="preserve">, Joanna </w:t>
            </w:r>
            <w:proofErr w:type="spellStart"/>
            <w:r>
              <w:t>Scheuring-Wielgus</w:t>
            </w:r>
            <w:proofErr w:type="spellEnd"/>
            <w:r>
              <w:t xml:space="preserve">, Cecilia Strada, Marko </w:t>
            </w:r>
            <w:proofErr w:type="spellStart"/>
            <w:r>
              <w:t>Vešligaj</w:t>
            </w:r>
            <w:proofErr w:type="spellEnd"/>
          </w:p>
        </w:tc>
      </w:tr>
      <w:tr w:rsidR="00201D13" w:rsidRPr="00201D13" w14:paraId="3F53E543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3239DAE4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08F2A3A" w14:textId="77777777" w:rsidR="00201D13" w:rsidRPr="00201D13" w:rsidRDefault="00201D13" w:rsidP="00221733">
            <w:pPr>
              <w:pStyle w:val="RollCallTable"/>
            </w:pPr>
            <w:r>
              <w:t xml:space="preserve">Hanna </w:t>
            </w:r>
            <w:proofErr w:type="spellStart"/>
            <w:r>
              <w:t>Gedin</w:t>
            </w:r>
            <w:proofErr w:type="spellEnd"/>
            <w:r>
              <w:t xml:space="preserve">, Irene </w:t>
            </w:r>
            <w:proofErr w:type="spellStart"/>
            <w:r>
              <w:t>Montero</w:t>
            </w:r>
            <w:proofErr w:type="spellEnd"/>
            <w:r>
              <w:t xml:space="preserve">, Carolina </w:t>
            </w:r>
            <w:proofErr w:type="spellStart"/>
            <w:r>
              <w:t>Morace</w:t>
            </w:r>
            <w:proofErr w:type="spellEnd"/>
          </w:p>
        </w:tc>
      </w:tr>
      <w:tr w:rsidR="00201D13" w:rsidRPr="00201D13" w14:paraId="0AD3160E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108F0E4A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Verts</w:t>
            </w:r>
            <w:proofErr w:type="spellEnd"/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14:paraId="5B23E348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Mélissa</w:t>
            </w:r>
            <w:proofErr w:type="spellEnd"/>
            <w:r>
              <w:t xml:space="preserve"> </w:t>
            </w:r>
            <w:proofErr w:type="spellStart"/>
            <w:r>
              <w:t>Camara</w:t>
            </w:r>
            <w:proofErr w:type="spellEnd"/>
            <w:r>
              <w:t xml:space="preserve">, Alexandra </w:t>
            </w:r>
            <w:proofErr w:type="spellStart"/>
            <w:r>
              <w:t>Geese</w:t>
            </w:r>
            <w:proofErr w:type="spellEnd"/>
            <w:r>
              <w:t xml:space="preserve">, Benedetta </w:t>
            </w:r>
            <w:proofErr w:type="spellStart"/>
            <w:r>
              <w:t>Scuderi</w:t>
            </w:r>
            <w:proofErr w:type="spellEnd"/>
          </w:p>
        </w:tc>
      </w:tr>
    </w:tbl>
    <w:p w14:paraId="5F01C2D8" w14:textId="77777777" w:rsidR="00201D13" w:rsidRPr="00201D13" w:rsidRDefault="00201D13" w:rsidP="00201D13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01D13" w:rsidRPr="00201D13" w14:paraId="78726B86" w14:textId="77777777" w:rsidTr="0022173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19CB54E" w14:textId="77777777" w:rsidR="00201D13" w:rsidRPr="00201D13" w:rsidRDefault="00201D13" w:rsidP="00221733">
            <w:pPr>
              <w:pStyle w:val="RollCallVotes"/>
            </w:pPr>
            <w:r>
              <w:t>9</w:t>
            </w:r>
          </w:p>
        </w:tc>
        <w:tc>
          <w:tcPr>
            <w:tcW w:w="7371" w:type="dxa"/>
            <w:shd w:val="pct10" w:color="000000" w:fill="FFFFFF"/>
          </w:tcPr>
          <w:p w14:paraId="53E44D32" w14:textId="77777777" w:rsidR="00201D13" w:rsidRPr="00201D13" w:rsidRDefault="00201D13" w:rsidP="00221733">
            <w:pPr>
              <w:pStyle w:val="RollCallSymbols14pt"/>
            </w:pPr>
            <w:r>
              <w:t>-</w:t>
            </w:r>
          </w:p>
        </w:tc>
      </w:tr>
      <w:tr w:rsidR="00201D13" w:rsidRPr="00201D13" w14:paraId="5F0B8066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5893F741" w14:textId="77777777" w:rsidR="00201D13" w:rsidRPr="00201D13" w:rsidRDefault="00201D13" w:rsidP="00221733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3F8150F4" w14:textId="77777777" w:rsidR="00201D13" w:rsidRPr="00201D13" w:rsidRDefault="00201D13" w:rsidP="00221733">
            <w:pPr>
              <w:pStyle w:val="RollCallTable"/>
            </w:pPr>
            <w:r>
              <w:t xml:space="preserve">Chiara </w:t>
            </w:r>
            <w:proofErr w:type="spellStart"/>
            <w:r>
              <w:t>Gemma</w:t>
            </w:r>
            <w:proofErr w:type="spellEnd"/>
            <w:r>
              <w:t xml:space="preserve">, Beatrice </w:t>
            </w:r>
            <w:proofErr w:type="spellStart"/>
            <w:r>
              <w:t>Timgren</w:t>
            </w:r>
            <w:proofErr w:type="spellEnd"/>
          </w:p>
        </w:tc>
      </w:tr>
      <w:tr w:rsidR="00201D13" w:rsidRPr="00201D13" w14:paraId="65047805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5749A823" w14:textId="77777777" w:rsidR="00201D13" w:rsidRPr="00201D13" w:rsidRDefault="00201D13" w:rsidP="00221733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3FC433D0" w14:textId="77777777" w:rsidR="00201D13" w:rsidRPr="00201D13" w:rsidRDefault="00201D13" w:rsidP="00221733">
            <w:pPr>
              <w:pStyle w:val="RollCallTable"/>
            </w:pPr>
            <w:r>
              <w:t>Christine Anderson</w:t>
            </w:r>
          </w:p>
        </w:tc>
      </w:tr>
      <w:tr w:rsidR="00201D13" w:rsidRPr="00201D13" w14:paraId="68C43A88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777D4043" w14:textId="77777777" w:rsidR="00201D13" w:rsidRPr="00201D13" w:rsidRDefault="00201D13" w:rsidP="00221733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1B17527D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Fernand</w:t>
            </w:r>
            <w:proofErr w:type="spellEnd"/>
            <w:r>
              <w:t xml:space="preserve"> </w:t>
            </w:r>
            <w:proofErr w:type="spellStart"/>
            <w:r>
              <w:t>Kartheiser</w:t>
            </w:r>
            <w:proofErr w:type="spellEnd"/>
          </w:p>
        </w:tc>
      </w:tr>
      <w:tr w:rsidR="00201D13" w:rsidRPr="00201D13" w14:paraId="7E1B947E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4B066B4B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04EE7B3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Mathilde</w:t>
            </w:r>
            <w:proofErr w:type="spellEnd"/>
            <w:r>
              <w:t xml:space="preserve"> </w:t>
            </w:r>
            <w:proofErr w:type="spellStart"/>
            <w:r>
              <w:t>Androuët</w:t>
            </w:r>
            <w:proofErr w:type="spellEnd"/>
            <w:r>
              <w:t xml:space="preserve">, </w:t>
            </w:r>
            <w:proofErr w:type="spellStart"/>
            <w:r>
              <w:t>Mireia</w:t>
            </w:r>
            <w:proofErr w:type="spellEnd"/>
            <w:r>
              <w:t xml:space="preserve"> </w:t>
            </w:r>
            <w:proofErr w:type="spellStart"/>
            <w:r>
              <w:t>Borrás</w:t>
            </w:r>
            <w:proofErr w:type="spellEnd"/>
            <w:r>
              <w:t xml:space="preserve"> </w:t>
            </w:r>
            <w:proofErr w:type="spellStart"/>
            <w:r>
              <w:t>Pabón</w:t>
            </w:r>
            <w:proofErr w:type="spellEnd"/>
            <w:r>
              <w:t xml:space="preserve">, Elisabeth </w:t>
            </w:r>
            <w:proofErr w:type="spellStart"/>
            <w:r>
              <w:t>Dieringer</w:t>
            </w:r>
            <w:proofErr w:type="spellEnd"/>
            <w:r>
              <w:t xml:space="preserve">, Margarita de la Pisa </w:t>
            </w:r>
            <w:proofErr w:type="spellStart"/>
            <w:r>
              <w:t>Carrión</w:t>
            </w:r>
            <w:proofErr w:type="spellEnd"/>
            <w:r>
              <w:t xml:space="preserve">, Anders </w:t>
            </w:r>
            <w:proofErr w:type="spellStart"/>
            <w:r>
              <w:t>Vistisen</w:t>
            </w:r>
            <w:proofErr w:type="spellEnd"/>
          </w:p>
        </w:tc>
      </w:tr>
    </w:tbl>
    <w:p w14:paraId="031C9725" w14:textId="77777777" w:rsidR="00201D13" w:rsidRPr="00201D13" w:rsidRDefault="00201D13" w:rsidP="00201D13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01D13" w:rsidRPr="00201D13" w14:paraId="2DB6424E" w14:textId="77777777" w:rsidTr="0022173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ADF132C" w14:textId="77777777" w:rsidR="00201D13" w:rsidRPr="00201D13" w:rsidRDefault="00201D13" w:rsidP="00221733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14:paraId="5AEF69AF" w14:textId="77777777" w:rsidR="00201D13" w:rsidRPr="00201D13" w:rsidRDefault="00201D13" w:rsidP="00221733">
            <w:pPr>
              <w:pStyle w:val="RollCallSymbols14pt"/>
            </w:pPr>
            <w:r>
              <w:t>0</w:t>
            </w:r>
          </w:p>
        </w:tc>
      </w:tr>
      <w:tr w:rsidR="00201D13" w:rsidRPr="00201D13" w14:paraId="41868070" w14:textId="77777777" w:rsidTr="00221733">
        <w:trPr>
          <w:cantSplit/>
        </w:trPr>
        <w:tc>
          <w:tcPr>
            <w:tcW w:w="1701" w:type="dxa"/>
            <w:shd w:val="clear" w:color="auto" w:fill="FFFFFF"/>
          </w:tcPr>
          <w:p w14:paraId="441A7B1C" w14:textId="77777777" w:rsidR="00201D13" w:rsidRPr="00201D13" w:rsidRDefault="00201D13" w:rsidP="00221733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46F1B3AB" w14:textId="77777777" w:rsidR="00201D13" w:rsidRPr="00201D13" w:rsidRDefault="00201D13" w:rsidP="00221733">
            <w:pPr>
              <w:pStyle w:val="RollCallTable"/>
            </w:pPr>
            <w:proofErr w:type="spellStart"/>
            <w:r>
              <w:t>Judita</w:t>
            </w:r>
            <w:proofErr w:type="spellEnd"/>
            <w:r>
              <w:t xml:space="preserve"> </w:t>
            </w:r>
            <w:proofErr w:type="spellStart"/>
            <w:r>
              <w:t>Laššáková</w:t>
            </w:r>
            <w:proofErr w:type="spellEnd"/>
          </w:p>
        </w:tc>
      </w:tr>
    </w:tbl>
    <w:p w14:paraId="5FFA0FF1" w14:textId="77777777" w:rsidR="00201D13" w:rsidRPr="00201D13" w:rsidRDefault="00201D13" w:rsidP="00201D13">
      <w:pPr>
        <w:pStyle w:val="Normal12a"/>
      </w:pPr>
    </w:p>
    <w:p w14:paraId="791C6CD3" w14:textId="77777777" w:rsidR="00201D13" w:rsidRPr="00201D13" w:rsidRDefault="00201D13" w:rsidP="00201D13">
      <w:pPr>
        <w:rPr>
          <w:szCs w:val="24"/>
        </w:rPr>
      </w:pPr>
      <w:r>
        <w:t xml:space="preserve">Tifsira tas-simboli użati: </w:t>
      </w:r>
    </w:p>
    <w:p w14:paraId="5287D263" w14:textId="77777777" w:rsidR="00201D13" w:rsidRPr="00201D13" w:rsidRDefault="00201D13" w:rsidP="00201D13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favur</w:t>
      </w:r>
    </w:p>
    <w:p w14:paraId="3F9F03FF" w14:textId="77777777" w:rsidR="00201D13" w:rsidRPr="00201D13" w:rsidRDefault="00201D13" w:rsidP="00201D13">
      <w:pPr>
        <w:tabs>
          <w:tab w:val="center" w:pos="284"/>
          <w:tab w:val="left" w:pos="426"/>
        </w:tabs>
        <w:rPr>
          <w:szCs w:val="24"/>
        </w:rPr>
      </w:pPr>
      <w:r>
        <w:t>-</w:t>
      </w:r>
      <w:r>
        <w:tab/>
        <w:t>:</w:t>
      </w:r>
      <w:r>
        <w:tab/>
        <w:t>kontra</w:t>
      </w:r>
    </w:p>
    <w:p w14:paraId="526913EB" w14:textId="77777777" w:rsidR="00201D13" w:rsidRPr="00201D13" w:rsidRDefault="00201D13" w:rsidP="00201D13">
      <w:pPr>
        <w:tabs>
          <w:tab w:val="center" w:pos="284"/>
          <w:tab w:val="left" w:pos="426"/>
        </w:tabs>
        <w:rPr>
          <w:szCs w:val="24"/>
        </w:rPr>
      </w:pPr>
      <w:r>
        <w:t>0</w:t>
      </w:r>
      <w:r>
        <w:tab/>
        <w:t>:</w:t>
      </w:r>
      <w:r>
        <w:tab/>
        <w:t>astensjoni</w:t>
      </w:r>
    </w:p>
    <w:p w14:paraId="04FA3F31" w14:textId="77777777" w:rsidR="00201D13" w:rsidRPr="00201D13" w:rsidRDefault="00201D13" w:rsidP="00201D13"/>
    <w:bookmarkEnd w:id="2"/>
    <w:p w14:paraId="0F56F147" w14:textId="77777777" w:rsidR="00201D13" w:rsidRPr="00201D13" w:rsidRDefault="00201D13" w:rsidP="00201D13"/>
    <w:p w14:paraId="6D56132D" w14:textId="77777777" w:rsidR="00201D13" w:rsidRPr="00201D13" w:rsidRDefault="00201D13" w:rsidP="00201D13"/>
    <w:sectPr w:rsidR="00201D13" w:rsidRPr="00201D13" w:rsidSect="00201D13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639D" w14:textId="77777777" w:rsidR="00433FF9" w:rsidRPr="00201D13" w:rsidRDefault="00433FF9">
      <w:r w:rsidRPr="00201D13">
        <w:separator/>
      </w:r>
    </w:p>
  </w:endnote>
  <w:endnote w:type="continuationSeparator" w:id="0">
    <w:p w14:paraId="218983BD" w14:textId="77777777" w:rsidR="00433FF9" w:rsidRPr="00201D13" w:rsidRDefault="00433FF9">
      <w:r w:rsidRPr="00201D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D9F70" w14:textId="77777777" w:rsidR="00201D13" w:rsidRPr="00201D13" w:rsidRDefault="00201D13" w:rsidP="00201D13">
    <w:pPr>
      <w:pStyle w:val="EPFooter"/>
    </w:pPr>
    <w:r w:rsidRPr="00201D13">
      <w:t>PE</w:t>
    </w:r>
    <w:r w:rsidRPr="00201D13">
      <w:rPr>
        <w:rStyle w:val="HideTWBExt"/>
      </w:rPr>
      <w:t>&lt;NoPE&gt;</w:t>
    </w:r>
    <w:r w:rsidRPr="00201D13">
      <w:t>779.729</w:t>
    </w:r>
    <w:r w:rsidRPr="00201D13">
      <w:rPr>
        <w:rStyle w:val="HideTWBExt"/>
      </w:rPr>
      <w:t>&lt;/NoPE&gt;&lt;Version&gt;</w:t>
    </w:r>
    <w:r w:rsidRPr="00201D13">
      <w:t>v02-00</w:t>
    </w:r>
    <w:r w:rsidRPr="00201D13">
      <w:rPr>
        <w:rStyle w:val="HideTWBExt"/>
      </w:rPr>
      <w:t>&lt;/Version&gt;</w:t>
    </w:r>
    <w:r w:rsidRPr="00201D13">
      <w:tab/>
    </w:r>
    <w:r w:rsidRPr="00201D13">
      <w:fldChar w:fldCharType="begin"/>
    </w:r>
    <w:r w:rsidRPr="00201D13">
      <w:instrText xml:space="preserve"> PAGE  \* MERGEFORMAT </w:instrText>
    </w:r>
    <w:r w:rsidRPr="00201D13">
      <w:fldChar w:fldCharType="separate"/>
    </w:r>
    <w:r w:rsidRPr="00201D13">
      <w:rPr>
        <w:noProof/>
      </w:rPr>
      <w:t>8</w:t>
    </w:r>
    <w:r w:rsidRPr="00201D13">
      <w:fldChar w:fldCharType="end"/>
    </w:r>
    <w:r w:rsidRPr="00201D13">
      <w:t>/</w:t>
    </w:r>
    <w:fldSimple w:instr=" NUMPAGES  \* MERGEFORMAT ">
      <w:r w:rsidRPr="00201D13">
        <w:rPr>
          <w:noProof/>
        </w:rPr>
        <w:t>8</w:t>
      </w:r>
    </w:fldSimple>
    <w:r w:rsidRPr="00201D13">
      <w:tab/>
    </w:r>
    <w:r w:rsidRPr="00201D13">
      <w:rPr>
        <w:rStyle w:val="HideTWBExt"/>
      </w:rPr>
      <w:t>&lt;PathFdR&gt;</w:t>
    </w:r>
    <w:r w:rsidRPr="00201D13">
      <w:t>AD\1335431MT.docx</w:t>
    </w:r>
    <w:r w:rsidRPr="00201D13">
      <w:rPr>
        <w:rStyle w:val="HideTWBExt"/>
      </w:rPr>
      <w:t>&lt;/PathFdR&gt;</w:t>
    </w:r>
  </w:p>
  <w:p w14:paraId="6D622856" w14:textId="2ACB84DF" w:rsidR="00C75378" w:rsidRPr="00201D13" w:rsidRDefault="00201D13" w:rsidP="00201D13">
    <w:pPr>
      <w:pStyle w:val="EPFooter2"/>
    </w:pPr>
    <w:r w:rsidRPr="00201D1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EEA5D" w14:textId="77777777" w:rsidR="00201D13" w:rsidRPr="00201D13" w:rsidRDefault="00201D13" w:rsidP="00201D13">
    <w:pPr>
      <w:pStyle w:val="EPFooter"/>
    </w:pPr>
    <w:r w:rsidRPr="00201D13">
      <w:rPr>
        <w:rStyle w:val="HideTWBExt"/>
      </w:rPr>
      <w:t>&lt;PathFdR&gt;</w:t>
    </w:r>
    <w:r w:rsidRPr="00201D13">
      <w:t>AD\1335431MT.docx</w:t>
    </w:r>
    <w:r w:rsidRPr="00201D13">
      <w:rPr>
        <w:rStyle w:val="HideTWBExt"/>
      </w:rPr>
      <w:t>&lt;/PathFdR&gt;</w:t>
    </w:r>
    <w:r w:rsidRPr="00201D13">
      <w:tab/>
    </w:r>
    <w:r w:rsidRPr="00201D13">
      <w:fldChar w:fldCharType="begin"/>
    </w:r>
    <w:r w:rsidRPr="00201D13">
      <w:instrText xml:space="preserve"> PAGE  \* MERGEFORMAT </w:instrText>
    </w:r>
    <w:r w:rsidRPr="00201D13">
      <w:fldChar w:fldCharType="separate"/>
    </w:r>
    <w:r w:rsidRPr="00201D13">
      <w:rPr>
        <w:noProof/>
      </w:rPr>
      <w:t>9</w:t>
    </w:r>
    <w:r w:rsidRPr="00201D13">
      <w:fldChar w:fldCharType="end"/>
    </w:r>
    <w:r w:rsidRPr="00201D13">
      <w:t>/</w:t>
    </w:r>
    <w:fldSimple w:instr=" NUMPAGES  \* MERGEFORMAT ">
      <w:r w:rsidRPr="00201D13">
        <w:rPr>
          <w:noProof/>
        </w:rPr>
        <w:t>8</w:t>
      </w:r>
    </w:fldSimple>
    <w:r w:rsidRPr="00201D13">
      <w:tab/>
      <w:t>PE</w:t>
    </w:r>
    <w:r w:rsidRPr="00201D13">
      <w:rPr>
        <w:rStyle w:val="HideTWBExt"/>
      </w:rPr>
      <w:t>&lt;NoPE&gt;</w:t>
    </w:r>
    <w:r w:rsidRPr="00201D13">
      <w:t>779.729</w:t>
    </w:r>
    <w:r w:rsidRPr="00201D13">
      <w:rPr>
        <w:rStyle w:val="HideTWBExt"/>
      </w:rPr>
      <w:t>&lt;/NoPE&gt;&lt;Version&gt;</w:t>
    </w:r>
    <w:r w:rsidRPr="00201D13">
      <w:t>v02-00</w:t>
    </w:r>
    <w:r w:rsidRPr="00201D13">
      <w:rPr>
        <w:rStyle w:val="HideTWBExt"/>
      </w:rPr>
      <w:t>&lt;/Version&gt;</w:t>
    </w:r>
  </w:p>
  <w:p w14:paraId="43B989E8" w14:textId="5951AA9B" w:rsidR="00C75378" w:rsidRPr="00201D13" w:rsidRDefault="00201D13" w:rsidP="00201D13">
    <w:pPr>
      <w:pStyle w:val="EPFooter2"/>
    </w:pPr>
    <w:r w:rsidRPr="00201D13">
      <w:tab/>
    </w:r>
    <w:r w:rsidRPr="00201D1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85B7" w14:textId="77777777" w:rsidR="00201D13" w:rsidRPr="00201D13" w:rsidRDefault="00201D13" w:rsidP="00201D13">
    <w:pPr>
      <w:pStyle w:val="EPFooter"/>
    </w:pPr>
    <w:r w:rsidRPr="00201D13">
      <w:rPr>
        <w:rStyle w:val="HideTWBExt"/>
      </w:rPr>
      <w:t>&lt;PathFdR&gt;</w:t>
    </w:r>
    <w:r w:rsidRPr="00201D13">
      <w:t>AD\1335431MT.docx</w:t>
    </w:r>
    <w:r w:rsidRPr="00201D13">
      <w:rPr>
        <w:rStyle w:val="HideTWBExt"/>
      </w:rPr>
      <w:t>&lt;/PathFdR&gt;</w:t>
    </w:r>
    <w:r w:rsidRPr="00201D13">
      <w:tab/>
    </w:r>
    <w:r w:rsidRPr="00201D13">
      <w:tab/>
      <w:t>PE</w:t>
    </w:r>
    <w:r w:rsidRPr="00201D13">
      <w:rPr>
        <w:rStyle w:val="HideTWBExt"/>
      </w:rPr>
      <w:t>&lt;NoPE&gt;</w:t>
    </w:r>
    <w:r w:rsidRPr="00201D13">
      <w:t>779.729</w:t>
    </w:r>
    <w:r w:rsidRPr="00201D13">
      <w:rPr>
        <w:rStyle w:val="HideTWBExt"/>
      </w:rPr>
      <w:t>&lt;/NoPE&gt;&lt;Version&gt;</w:t>
    </w:r>
    <w:r w:rsidRPr="00201D13">
      <w:t>v02-00</w:t>
    </w:r>
    <w:r w:rsidRPr="00201D13">
      <w:rPr>
        <w:rStyle w:val="HideTWBExt"/>
      </w:rPr>
      <w:t>&lt;/Version&gt;</w:t>
    </w:r>
  </w:p>
  <w:p w14:paraId="24BC2BF6" w14:textId="0115624F" w:rsidR="00C75378" w:rsidRPr="00201D13" w:rsidRDefault="00201D13" w:rsidP="00201D13">
    <w:pPr>
      <w:pStyle w:val="EPFooter2"/>
    </w:pPr>
    <w:r w:rsidRPr="00201D13">
      <w:t>MT</w:t>
    </w:r>
    <w:r w:rsidRPr="00201D13">
      <w:tab/>
    </w:r>
    <w:r w:rsidRPr="00201D13">
      <w:rPr>
        <w:b w:val="0"/>
        <w:i/>
        <w:color w:val="C0C0C0"/>
        <w:sz w:val="22"/>
      </w:rPr>
      <w:t>Magħquda fid-diversità</w:t>
    </w:r>
    <w:r w:rsidRPr="00201D1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DE72F" w14:textId="77777777" w:rsidR="00433FF9" w:rsidRPr="00201D13" w:rsidRDefault="00433FF9">
      <w:r w:rsidRPr="00201D13">
        <w:separator/>
      </w:r>
    </w:p>
  </w:footnote>
  <w:footnote w:type="continuationSeparator" w:id="0">
    <w:p w14:paraId="41A91199" w14:textId="77777777" w:rsidR="00433FF9" w:rsidRPr="00201D13" w:rsidRDefault="00433FF9">
      <w:r w:rsidRPr="00201D13">
        <w:continuationSeparator/>
      </w:r>
    </w:p>
  </w:footnote>
  <w:footnote w:id="1">
    <w:p w14:paraId="2489A4C3" w14:textId="152D4085" w:rsidR="00201D13" w:rsidRPr="00201D13" w:rsidRDefault="00201D13">
      <w:pPr>
        <w:pStyle w:val="FootnoteText"/>
      </w:pPr>
      <w:r>
        <w:rPr>
          <w:rStyle w:val="FootnoteReference"/>
        </w:rPr>
        <w:footnoteRef/>
      </w:r>
      <w:r>
        <w:t xml:space="preserve">   Il-Ftehim Interistituzzjonali tal-20 ta’ Mejju 2021 bejn il-Parlament Ewropew, il-Kunsill tal-Unjoni Ewropea u l-Kummissjoni Ewropea dwar Reġistru Obbligatorju ta’ Trasparenza (ĠU L 207, 11.6.2021, p.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B472" w14:textId="77777777" w:rsidR="006C7D5F" w:rsidRDefault="006C7D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31ED" w14:textId="77777777" w:rsidR="006C7D5F" w:rsidRDefault="006C7D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66D60" w14:textId="77777777" w:rsidR="006C7D5F" w:rsidRDefault="006C7D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007544">
    <w:abstractNumId w:val="9"/>
  </w:num>
  <w:num w:numId="2" w16cid:durableId="2037466811">
    <w:abstractNumId w:val="9"/>
  </w:num>
  <w:num w:numId="3" w16cid:durableId="1502740703">
    <w:abstractNumId w:val="7"/>
  </w:num>
  <w:num w:numId="4" w16cid:durableId="435487988">
    <w:abstractNumId w:val="7"/>
  </w:num>
  <w:num w:numId="5" w16cid:durableId="1206604684">
    <w:abstractNumId w:val="6"/>
  </w:num>
  <w:num w:numId="6" w16cid:durableId="1519391179">
    <w:abstractNumId w:val="6"/>
  </w:num>
  <w:num w:numId="7" w16cid:durableId="1696926121">
    <w:abstractNumId w:val="5"/>
  </w:num>
  <w:num w:numId="8" w16cid:durableId="1247962416">
    <w:abstractNumId w:val="5"/>
  </w:num>
  <w:num w:numId="9" w16cid:durableId="914784095">
    <w:abstractNumId w:val="4"/>
  </w:num>
  <w:num w:numId="10" w16cid:durableId="936444017">
    <w:abstractNumId w:val="4"/>
  </w:num>
  <w:num w:numId="11" w16cid:durableId="1528911208">
    <w:abstractNumId w:val="8"/>
  </w:num>
  <w:num w:numId="12" w16cid:durableId="759911855">
    <w:abstractNumId w:val="8"/>
  </w:num>
  <w:num w:numId="13" w16cid:durableId="223413553">
    <w:abstractNumId w:val="3"/>
  </w:num>
  <w:num w:numId="14" w16cid:durableId="1049956028">
    <w:abstractNumId w:val="3"/>
  </w:num>
  <w:num w:numId="15" w16cid:durableId="2051879957">
    <w:abstractNumId w:val="2"/>
  </w:num>
  <w:num w:numId="16" w16cid:durableId="688415998">
    <w:abstractNumId w:val="2"/>
  </w:num>
  <w:num w:numId="17" w16cid:durableId="1763800546">
    <w:abstractNumId w:val="1"/>
  </w:num>
  <w:num w:numId="18" w16cid:durableId="229771175">
    <w:abstractNumId w:val="1"/>
  </w:num>
  <w:num w:numId="19" w16cid:durableId="207035222">
    <w:abstractNumId w:val="0"/>
  </w:num>
  <w:num w:numId="20" w16cid:durableId="1638681499">
    <w:abstractNumId w:val="0"/>
  </w:num>
  <w:num w:numId="21" w16cid:durableId="1628463848">
    <w:abstractNumId w:val="9"/>
  </w:num>
  <w:num w:numId="22" w16cid:durableId="796414899">
    <w:abstractNumId w:val="7"/>
  </w:num>
  <w:num w:numId="23" w16cid:durableId="972246750">
    <w:abstractNumId w:val="6"/>
  </w:num>
  <w:num w:numId="24" w16cid:durableId="1323893993">
    <w:abstractNumId w:val="5"/>
  </w:num>
  <w:num w:numId="25" w16cid:durableId="1316716482">
    <w:abstractNumId w:val="4"/>
  </w:num>
  <w:num w:numId="26" w16cid:durableId="1726175662">
    <w:abstractNumId w:val="8"/>
  </w:num>
  <w:num w:numId="27" w16cid:durableId="1160002443">
    <w:abstractNumId w:val="3"/>
  </w:num>
  <w:num w:numId="28" w16cid:durableId="1220482962">
    <w:abstractNumId w:val="2"/>
  </w:num>
  <w:num w:numId="29" w16cid:durableId="1842352590">
    <w:abstractNumId w:val="1"/>
  </w:num>
  <w:num w:numId="30" w16cid:durableId="115832385">
    <w:abstractNumId w:val="0"/>
  </w:num>
  <w:num w:numId="31" w16cid:durableId="1845120956">
    <w:abstractNumId w:val="9"/>
  </w:num>
  <w:num w:numId="32" w16cid:durableId="1026324261">
    <w:abstractNumId w:val="7"/>
  </w:num>
  <w:num w:numId="33" w16cid:durableId="181671309">
    <w:abstractNumId w:val="6"/>
  </w:num>
  <w:num w:numId="34" w16cid:durableId="1836384456">
    <w:abstractNumId w:val="5"/>
  </w:num>
  <w:num w:numId="35" w16cid:durableId="879122670">
    <w:abstractNumId w:val="4"/>
  </w:num>
  <w:num w:numId="36" w16cid:durableId="1474060922">
    <w:abstractNumId w:val="8"/>
  </w:num>
  <w:num w:numId="37" w16cid:durableId="1053886652">
    <w:abstractNumId w:val="3"/>
  </w:num>
  <w:num w:numId="38" w16cid:durableId="210118270">
    <w:abstractNumId w:val="2"/>
  </w:num>
  <w:num w:numId="39" w16cid:durableId="1065374214">
    <w:abstractNumId w:val="1"/>
  </w:num>
  <w:num w:numId="40" w16cid:durableId="59960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MKEY" w:val="FEMM"/>
    <w:docVar w:name="CONTRIBUTIONMNU" w:val=" 2"/>
    <w:docVar w:name="FONCTIONMNU" w:val=" 1"/>
    <w:docVar w:name="LastEditedSection" w:val=" 1"/>
    <w:docVar w:name="strDocTypeID" w:val="PA_NonLegDec"/>
    <w:docVar w:name="strSubDir" w:val="1335"/>
    <w:docVar w:name="TXTAUTHOR" w:val=" Raquel García Hermida_x001e_Van Der Walle "/>
    <w:docVar w:name="TXTLANGUE" w:val="MT"/>
    <w:docVar w:name="TXTLANGUEMIN" w:val="mt"/>
    <w:docVar w:name="TXTNRPE" w:val="779.729"/>
    <w:docVar w:name="TXTNRPROC" w:val="2025/2156"/>
    <w:docVar w:name="TXTPEorAP" w:val="PE"/>
    <w:docVar w:name="TXTROUTE" w:val="AD\1335431MT.docx"/>
    <w:docVar w:name="TXTVERSION" w:val="02-00"/>
  </w:docVars>
  <w:rsids>
    <w:rsidRoot w:val="00433FF9"/>
    <w:rsid w:val="000048A8"/>
    <w:rsid w:val="00007A18"/>
    <w:rsid w:val="00062634"/>
    <w:rsid w:val="000A05CA"/>
    <w:rsid w:val="000B6C4B"/>
    <w:rsid w:val="000D001F"/>
    <w:rsid w:val="000D099F"/>
    <w:rsid w:val="000E6813"/>
    <w:rsid w:val="000F07FE"/>
    <w:rsid w:val="00123196"/>
    <w:rsid w:val="001275F4"/>
    <w:rsid w:val="001A455F"/>
    <w:rsid w:val="001F2766"/>
    <w:rsid w:val="001F6ED8"/>
    <w:rsid w:val="00201D13"/>
    <w:rsid w:val="00212D35"/>
    <w:rsid w:val="00245C7F"/>
    <w:rsid w:val="00271180"/>
    <w:rsid w:val="002A4AC9"/>
    <w:rsid w:val="002B2892"/>
    <w:rsid w:val="002C0EE6"/>
    <w:rsid w:val="002C34AE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33FF9"/>
    <w:rsid w:val="00487232"/>
    <w:rsid w:val="00495CA4"/>
    <w:rsid w:val="004A34E6"/>
    <w:rsid w:val="004C28FB"/>
    <w:rsid w:val="004E54DC"/>
    <w:rsid w:val="004F48ED"/>
    <w:rsid w:val="00514664"/>
    <w:rsid w:val="0055017A"/>
    <w:rsid w:val="00577018"/>
    <w:rsid w:val="005779E7"/>
    <w:rsid w:val="005D0786"/>
    <w:rsid w:val="005E3670"/>
    <w:rsid w:val="00600DC9"/>
    <w:rsid w:val="00643F39"/>
    <w:rsid w:val="0066728C"/>
    <w:rsid w:val="006819E0"/>
    <w:rsid w:val="006C7D5F"/>
    <w:rsid w:val="006F712D"/>
    <w:rsid w:val="0071319E"/>
    <w:rsid w:val="00716E0F"/>
    <w:rsid w:val="00722749"/>
    <w:rsid w:val="00806587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200E"/>
    <w:rsid w:val="009B5265"/>
    <w:rsid w:val="00A2041C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362F7"/>
    <w:rsid w:val="00B775CB"/>
    <w:rsid w:val="00BB2AC1"/>
    <w:rsid w:val="00C04938"/>
    <w:rsid w:val="00C175C0"/>
    <w:rsid w:val="00C47E30"/>
    <w:rsid w:val="00C54F53"/>
    <w:rsid w:val="00C75378"/>
    <w:rsid w:val="00CA0D01"/>
    <w:rsid w:val="00CF2A22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4D61A"/>
  <w15:chartTrackingRefBased/>
  <w15:docId w15:val="{8C8BB8EC-ABAF-444F-B5A5-7F6FA2E3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201D13"/>
    <w:rPr>
      <w:sz w:val="24"/>
      <w:lang w:val="mt-MT"/>
    </w:rPr>
  </w:style>
  <w:style w:type="paragraph" w:customStyle="1" w:styleId="Normal24a">
    <w:name w:val="Normal24a"/>
    <w:basedOn w:val="Normal"/>
    <w:rsid w:val="00201D13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201D13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01D1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01D13"/>
    <w:rPr>
      <w:szCs w:val="24"/>
    </w:rPr>
  </w:style>
  <w:style w:type="paragraph" w:styleId="FootnoteText">
    <w:name w:val="footnote text"/>
    <w:basedOn w:val="Normal"/>
    <w:link w:val="FootnoteTextChar"/>
    <w:rsid w:val="00201D1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01D13"/>
    <w:rPr>
      <w:lang w:val="mt-MT"/>
    </w:rPr>
  </w:style>
  <w:style w:type="character" w:styleId="FootnoteReference">
    <w:name w:val="footnote reference"/>
    <w:basedOn w:val="DefaultParagraphFont"/>
    <w:rsid w:val="00201D13"/>
    <w:rPr>
      <w:vertAlign w:val="superscript"/>
    </w:rPr>
  </w:style>
  <w:style w:type="character" w:styleId="Hyperlink">
    <w:name w:val="Hyperlink"/>
    <w:basedOn w:val="DefaultParagraphFont"/>
    <w:rsid w:val="00201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D13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201D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01D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01D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01D13"/>
    <w:pPr>
      <w:spacing w:before="120" w:after="120"/>
    </w:pPr>
    <w:rPr>
      <w:snapToGrid w:val="0"/>
      <w:sz w:val="16"/>
      <w:lang w:eastAsia="en-US"/>
    </w:rPr>
  </w:style>
  <w:style w:type="paragraph" w:customStyle="1" w:styleId="PGTitleEP">
    <w:name w:val="PG Title EP"/>
    <w:basedOn w:val="Normal"/>
    <w:rsid w:val="00201D13"/>
    <w:pPr>
      <w:widowControl/>
      <w:jc w:val="center"/>
    </w:pPr>
    <w:rPr>
      <w:rFonts w:ascii="Arial" w:hAnsi="Arial"/>
      <w:sz w:val="56"/>
    </w:rPr>
  </w:style>
  <w:style w:type="paragraph" w:styleId="Footer">
    <w:name w:val="footer"/>
    <w:basedOn w:val="Normal"/>
    <w:link w:val="FooterChar"/>
    <w:semiHidden/>
    <w:rsid w:val="006C7D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C7D5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1728</Words>
  <Characters>12874</Characters>
  <Application>Microsoft Office Word</Application>
  <DocSecurity>0</DocSecurity>
  <Lines>107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2026-02-06T09:36:00Z</dcterms:created>
  <dcterms:modified xsi:type="dcterms:W3CDTF">2026-02-06T09:36:00Z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1335431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\\eiciLUXpr1\pdocep$\DocEP\TRANSFIL\MT\PA_NonLegDec.MT(21/01/2025 11:10:00)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AD\1335431MT.docx</vt:lpwstr>
  </property>
  <property fmtid="{D5CDD505-2E9C-101B-9397-08002B2CF9AE}" pid="11" name="PE number">
    <vt:lpwstr>779.729</vt:lpwstr>
  </property>
  <property fmtid="{D5CDD505-2E9C-101B-9397-08002B2CF9AE}" pid="12" name="Bookout">
    <vt:lpwstr>OK(HDG) - 2026/02/06 10:34</vt:lpwstr>
  </property>
  <property fmtid="{D5CDD505-2E9C-101B-9397-08002B2CF9AE}" pid="13" name="SDLStudio">
    <vt:lpwstr/>
  </property>
</Properties>
</file>