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A7DE5" w:rsidRPr="008B01DA" w14:paraId="5CF44D19" w14:textId="77777777" w:rsidTr="00C85D0F">
        <w:trPr>
          <w:trHeight w:hRule="exact" w:val="1418"/>
        </w:trPr>
        <w:tc>
          <w:tcPr>
            <w:tcW w:w="6804" w:type="dxa"/>
            <w:shd w:val="clear" w:color="auto" w:fill="auto"/>
            <w:vAlign w:val="center"/>
          </w:tcPr>
          <w:p w14:paraId="5C940962" w14:textId="77777777" w:rsidR="004F48ED" w:rsidRPr="008B01DA" w:rsidRDefault="0074309E" w:rsidP="00C85D0F">
            <w:pPr>
              <w:pStyle w:val="EPName"/>
            </w:pPr>
            <w:r w:rsidRPr="008B01DA">
              <w:t>Europees Parlement</w:t>
            </w:r>
          </w:p>
          <w:p w14:paraId="3638D0D7" w14:textId="77777777" w:rsidR="004F48ED" w:rsidRPr="008B01DA" w:rsidRDefault="0074309E" w:rsidP="00C85D0F">
            <w:pPr>
              <w:pStyle w:val="EPTerm"/>
            </w:pPr>
            <w:r w:rsidRPr="008B01DA">
              <w:t>2024-2029</w:t>
            </w:r>
          </w:p>
        </w:tc>
        <w:tc>
          <w:tcPr>
            <w:tcW w:w="2268" w:type="dxa"/>
            <w:shd w:val="clear" w:color="auto" w:fill="auto"/>
          </w:tcPr>
          <w:p w14:paraId="3CB09296" w14:textId="77777777" w:rsidR="004F48ED" w:rsidRPr="008B01DA" w:rsidRDefault="0074309E" w:rsidP="00C85D0F">
            <w:pPr>
              <w:pStyle w:val="EPLogo"/>
            </w:pPr>
            <w:r w:rsidRPr="008B01DA">
              <w:rPr>
                <w:noProof/>
                <w:lang w:eastAsia="ja-JP"/>
              </w:rPr>
              <w:drawing>
                <wp:inline distT="0" distB="0" distL="0" distR="0" wp14:anchorId="16934C37" wp14:editId="2BDFA7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33E924C" w14:textId="77777777" w:rsidR="00E9601C" w:rsidRPr="008B01DA" w:rsidRDefault="00E9601C" w:rsidP="00E9601C">
      <w:pPr>
        <w:pStyle w:val="LineTop"/>
      </w:pPr>
    </w:p>
    <w:p w14:paraId="327F3BC3" w14:textId="77777777" w:rsidR="00E9601C" w:rsidRPr="008B01DA" w:rsidRDefault="0074309E" w:rsidP="00E9601C">
      <w:pPr>
        <w:pStyle w:val="EPBody"/>
      </w:pPr>
      <w:r w:rsidRPr="008B01DA">
        <w:rPr>
          <w:rStyle w:val="HideTWBExt"/>
        </w:rPr>
        <w:t>&lt;</w:t>
      </w:r>
      <w:r w:rsidRPr="008B01DA">
        <w:rPr>
          <w:rStyle w:val="HideTWBExt"/>
          <w:i w:val="0"/>
        </w:rPr>
        <w:t>Commission</w:t>
      </w:r>
      <w:r w:rsidRPr="008B01DA">
        <w:rPr>
          <w:rStyle w:val="HideTWBExt"/>
        </w:rPr>
        <w:t>&gt;</w:t>
      </w:r>
      <w:r w:rsidRPr="008B01DA">
        <w:rPr>
          <w:rStyle w:val="HideTWBInt"/>
          <w:color w:val="auto"/>
        </w:rPr>
        <w:t>{FEMM}</w:t>
      </w:r>
      <w:r w:rsidRPr="008B01DA">
        <w:t>Commissie vrouwenrechten en gendergelijkheid</w:t>
      </w:r>
      <w:r w:rsidRPr="008B01DA">
        <w:rPr>
          <w:rStyle w:val="HideTWBExt"/>
        </w:rPr>
        <w:t>&lt;/</w:t>
      </w:r>
      <w:r w:rsidRPr="008B01DA">
        <w:rPr>
          <w:rStyle w:val="HideTWBExt"/>
          <w:i w:val="0"/>
        </w:rPr>
        <w:t>Commission</w:t>
      </w:r>
      <w:r w:rsidRPr="008B01DA">
        <w:rPr>
          <w:rStyle w:val="HideTWBExt"/>
        </w:rPr>
        <w:t>&gt;</w:t>
      </w:r>
    </w:p>
    <w:p w14:paraId="56246C9F" w14:textId="77777777" w:rsidR="00E9601C" w:rsidRPr="008B01DA" w:rsidRDefault="00E9601C" w:rsidP="00E9601C">
      <w:pPr>
        <w:pStyle w:val="LineBottom"/>
      </w:pPr>
    </w:p>
    <w:p w14:paraId="4E680639" w14:textId="77777777" w:rsidR="004E54DC" w:rsidRPr="008B01DA" w:rsidRDefault="0074309E" w:rsidP="004E54DC">
      <w:pPr>
        <w:pStyle w:val="CoverReference"/>
      </w:pPr>
      <w:r w:rsidRPr="008B01DA">
        <w:rPr>
          <w:rStyle w:val="HideTWBExt"/>
          <w:b w:val="0"/>
        </w:rPr>
        <w:t>&lt;RefProc&gt;</w:t>
      </w:r>
      <w:r w:rsidRPr="008B01DA">
        <w:t>2025/2156</w:t>
      </w:r>
      <w:r w:rsidRPr="008B01DA">
        <w:rPr>
          <w:rStyle w:val="HideTWBExt"/>
          <w:b w:val="0"/>
        </w:rPr>
        <w:t>&lt;/RefProc&gt;&lt;RefTypeProc&gt;</w:t>
      </w:r>
      <w:r w:rsidRPr="008B01DA">
        <w:t>(DEC)</w:t>
      </w:r>
      <w:r w:rsidRPr="008B01DA">
        <w:rPr>
          <w:rStyle w:val="HideTWBExt"/>
          <w:b w:val="0"/>
        </w:rPr>
        <w:t>&lt;/RefTypeProc&gt;</w:t>
      </w:r>
    </w:p>
    <w:p w14:paraId="07C39938" w14:textId="77777777" w:rsidR="002E2F2E" w:rsidRPr="008B01DA" w:rsidRDefault="0074309E">
      <w:pPr>
        <w:pStyle w:val="CoverDate"/>
      </w:pPr>
      <w:r w:rsidRPr="008B01DA">
        <w:rPr>
          <w:rStyle w:val="HideTWBExt"/>
        </w:rPr>
        <w:t>&lt;Date&gt;</w:t>
      </w:r>
      <w:r w:rsidRPr="008B01DA">
        <w:rPr>
          <w:rStyle w:val="HideTWBInt"/>
          <w:color w:val="auto"/>
        </w:rPr>
        <w:t>{28/01/2026}</w:t>
      </w:r>
      <w:r w:rsidRPr="008B01DA">
        <w:t>28.1.2026</w:t>
      </w:r>
      <w:r w:rsidRPr="008B01DA">
        <w:rPr>
          <w:rStyle w:val="HideTWBExt"/>
        </w:rPr>
        <w:t>&lt;/Date&gt;</w:t>
      </w:r>
    </w:p>
    <w:p w14:paraId="75D9AB05" w14:textId="77777777" w:rsidR="002E2F2E" w:rsidRPr="008B01DA" w:rsidRDefault="0074309E">
      <w:pPr>
        <w:pStyle w:val="CoverDocType24a"/>
      </w:pPr>
      <w:r w:rsidRPr="008B01DA">
        <w:rPr>
          <w:rStyle w:val="HideTWBExt"/>
          <w:b w:val="0"/>
        </w:rPr>
        <w:t>&lt;TitreType&gt;</w:t>
      </w:r>
      <w:r w:rsidRPr="008B01DA">
        <w:t>ADVIES</w:t>
      </w:r>
      <w:r w:rsidRPr="008B01DA">
        <w:rPr>
          <w:rStyle w:val="HideTWBExt"/>
          <w:b w:val="0"/>
        </w:rPr>
        <w:t>&lt;/TitreType&gt;</w:t>
      </w:r>
    </w:p>
    <w:p w14:paraId="3A82C911" w14:textId="77777777" w:rsidR="002E2F2E" w:rsidRPr="008B01DA" w:rsidRDefault="0074309E">
      <w:pPr>
        <w:pStyle w:val="CoverNormal24a"/>
      </w:pPr>
      <w:r w:rsidRPr="008B01DA">
        <w:rPr>
          <w:rStyle w:val="HideTWBExt"/>
        </w:rPr>
        <w:t>&lt;CommissionResp&gt;</w:t>
      </w:r>
      <w:r w:rsidRPr="008B01DA">
        <w:t>van de Commissie vrouwenrechten en gendergelijkheid</w:t>
      </w:r>
      <w:r w:rsidRPr="008B01DA">
        <w:rPr>
          <w:rStyle w:val="HideTWBExt"/>
        </w:rPr>
        <w:t>&lt;/CommissionResp&gt;</w:t>
      </w:r>
    </w:p>
    <w:p w14:paraId="46685A88" w14:textId="77777777" w:rsidR="002E2F2E" w:rsidRPr="008B01DA" w:rsidRDefault="0074309E" w:rsidP="0095497D">
      <w:pPr>
        <w:pStyle w:val="CoverNormal24a"/>
      </w:pPr>
      <w:r w:rsidRPr="008B01DA">
        <w:rPr>
          <w:rStyle w:val="HideTWBExt"/>
        </w:rPr>
        <w:t>&lt;CommissionInt&gt;</w:t>
      </w:r>
      <w:r w:rsidRPr="008B01DA">
        <w:t>aan de Commissie begrotingscontrole</w:t>
      </w:r>
      <w:r w:rsidRPr="008B01DA">
        <w:rPr>
          <w:rStyle w:val="HideTWBExt"/>
        </w:rPr>
        <w:t>&lt;/CommissionInt&gt;</w:t>
      </w:r>
    </w:p>
    <w:p w14:paraId="2C65E694" w14:textId="77777777" w:rsidR="00F93F85" w:rsidRPr="008B01DA" w:rsidRDefault="0074309E" w:rsidP="000D69B4">
      <w:pPr>
        <w:pStyle w:val="CoverNormal"/>
      </w:pPr>
      <w:r w:rsidRPr="008B01DA">
        <w:rPr>
          <w:rStyle w:val="HideTWBExt"/>
        </w:rPr>
        <w:t>&lt;Titre&gt;</w:t>
      </w:r>
      <w:r w:rsidRPr="008B01DA">
        <w:t>inzake het verlenen van kwijting voor de uitvoering van de begroting van de agentschappen van de EU voor het begrotingsjaar 2024</w:t>
      </w:r>
      <w:r w:rsidRPr="008B01DA">
        <w:rPr>
          <w:rStyle w:val="HideTWBExt"/>
        </w:rPr>
        <w:t>&lt;/Titre&gt;</w:t>
      </w:r>
    </w:p>
    <w:p w14:paraId="5C4B8711" w14:textId="77777777" w:rsidR="002E2F2E" w:rsidRPr="008B01DA" w:rsidRDefault="0074309E" w:rsidP="00F93F85">
      <w:pPr>
        <w:pStyle w:val="CoverNormal24a"/>
      </w:pPr>
      <w:r w:rsidRPr="008B01DA">
        <w:rPr>
          <w:rStyle w:val="HideTWBExt"/>
        </w:rPr>
        <w:t>&lt;DocRef&gt;</w:t>
      </w:r>
      <w:r w:rsidRPr="008B01DA">
        <w:t>(2025/2156(DEC))</w:t>
      </w:r>
      <w:r w:rsidRPr="008B01DA">
        <w:rPr>
          <w:rStyle w:val="HideTWBExt"/>
        </w:rPr>
        <w:t>&lt;/DocRef&gt;</w:t>
      </w:r>
    </w:p>
    <w:p w14:paraId="58898612" w14:textId="77777777" w:rsidR="002E2F2E" w:rsidRPr="008B01DA" w:rsidRDefault="0074309E">
      <w:pPr>
        <w:pStyle w:val="CoverNormal24a"/>
      </w:pPr>
      <w:r w:rsidRPr="008B01DA">
        <w:t xml:space="preserve">Rapporteur voor advies: </w:t>
      </w:r>
      <w:r w:rsidRPr="008B01DA">
        <w:rPr>
          <w:rStyle w:val="HideTWBExt"/>
        </w:rPr>
        <w:t>&lt;Depute&gt;</w:t>
      </w:r>
      <w:r w:rsidRPr="008B01DA">
        <w:t>Raquel García Hermida</w:t>
      </w:r>
      <w:r w:rsidRPr="008B01DA">
        <w:noBreakHyphen/>
        <w:t>Van Der Walle</w:t>
      </w:r>
      <w:r w:rsidRPr="008B01DA">
        <w:rPr>
          <w:rStyle w:val="HideTWBExt"/>
        </w:rPr>
        <w:t>&lt;/Depute&gt;</w:t>
      </w:r>
    </w:p>
    <w:p w14:paraId="2EE933C9" w14:textId="77777777" w:rsidR="009879D7" w:rsidRPr="008B01DA" w:rsidRDefault="009879D7">
      <w:pPr>
        <w:pStyle w:val="CoverNormal24a"/>
      </w:pPr>
    </w:p>
    <w:p w14:paraId="4374784A" w14:textId="77777777" w:rsidR="00A7288B" w:rsidRPr="008B01DA" w:rsidRDefault="0074309E">
      <w:pPr>
        <w:widowControl/>
      </w:pPr>
      <w:r w:rsidRPr="008B01DA">
        <w:br w:type="page"/>
      </w:r>
    </w:p>
    <w:p w14:paraId="663799A7" w14:textId="77777777" w:rsidR="00977F76" w:rsidRPr="008B01DA" w:rsidRDefault="00977F76" w:rsidP="00977F76">
      <w:pPr>
        <w:pStyle w:val="CoverNormal"/>
      </w:pPr>
    </w:p>
    <w:p w14:paraId="7E0E95A6" w14:textId="77777777" w:rsidR="002E2F2E" w:rsidRPr="008B01DA" w:rsidRDefault="0074309E" w:rsidP="00BB2AC1">
      <w:pPr>
        <w:widowControl/>
        <w:tabs>
          <w:tab w:val="center" w:pos="4677"/>
        </w:tabs>
      </w:pPr>
      <w:r w:rsidRPr="008B01DA">
        <w:t>PA_NonLegDec</w:t>
      </w:r>
    </w:p>
    <w:p w14:paraId="108FF66C" w14:textId="77777777" w:rsidR="00A7288B" w:rsidRPr="008B01DA" w:rsidRDefault="0074309E">
      <w:pPr>
        <w:widowControl/>
      </w:pPr>
      <w:r w:rsidRPr="008B01DA">
        <w:br w:type="page"/>
      </w:r>
    </w:p>
    <w:p w14:paraId="7DED3D1C" w14:textId="77777777" w:rsidR="003E06CF" w:rsidRPr="008B01DA" w:rsidRDefault="0074309E" w:rsidP="003E06CF">
      <w:pPr>
        <w:pStyle w:val="PageHeadingNotTOC"/>
      </w:pPr>
      <w:r w:rsidRPr="008B01DA">
        <w:lastRenderedPageBreak/>
        <w:t>ADVIES</w:t>
      </w:r>
    </w:p>
    <w:p w14:paraId="114E5E00" w14:textId="77777777" w:rsidR="00A7288B" w:rsidRPr="008B01DA" w:rsidRDefault="0074309E" w:rsidP="003E06CF">
      <w:pPr>
        <w:pStyle w:val="Normal12a"/>
      </w:pPr>
      <w:r w:rsidRPr="008B01DA">
        <w:t xml:space="preserve">De Commissie vrouwenrechten en gendergelijkheid verzoekt de bevoegde </w:t>
      </w:r>
      <w:r w:rsidRPr="008B01DA">
        <w:t>Commissie begrotingscontrole in haar ontwerpresolutie het onderstaande op te nemen:</w:t>
      </w:r>
      <w:r w:rsidRPr="008B01DA">
        <w:rPr>
          <w:rStyle w:val="HideTWBExt"/>
        </w:rPr>
        <w:t>&lt;RepeatBlock-Dec&gt;</w:t>
      </w:r>
    </w:p>
    <w:p w14:paraId="0678DF2D" w14:textId="77777777" w:rsidR="00F34E0A" w:rsidRPr="008B01DA" w:rsidRDefault="0074309E" w:rsidP="00F34E0A">
      <w:pPr>
        <w:pStyle w:val="NormalHanging12a"/>
      </w:pPr>
      <w:r w:rsidRPr="008B01DA">
        <w:t>A.</w:t>
      </w:r>
      <w:r w:rsidRPr="008B01DA">
        <w:tab/>
        <w:t>overwegende dat gendergelijkheid een van de fundamentele waarden van de Unie is en dat de Unie zich inzet voor de bevordering van gendergelijkheid in al haar activiteiten, zoals verankerd in artikel 8 van het Verdrag betreffende de werking van de Europese Unie (VWEU), waarmee dus ook het beginsel van gendermainstreaming en genderbudgettering wordt vastgelegd; overwegende dat gendergelijkheid in al het beleid en alle activiteiten van de EU moet worden geïntegreerd;</w:t>
      </w:r>
    </w:p>
    <w:p w14:paraId="66166529" w14:textId="417D4123" w:rsidR="00F34E0A" w:rsidRPr="008B01DA" w:rsidRDefault="0074309E" w:rsidP="00F34E0A">
      <w:pPr>
        <w:pStyle w:val="NormalHanging12a"/>
        <w:rPr>
          <w:b/>
          <w:i/>
        </w:rPr>
      </w:pPr>
      <w:r w:rsidRPr="008B01DA">
        <w:t>B.</w:t>
      </w:r>
      <w:r w:rsidRPr="008B01DA">
        <w:rPr>
          <w:b/>
          <w:i/>
        </w:rPr>
        <w:tab/>
      </w:r>
      <w:r w:rsidRPr="008B01DA">
        <w:t>overwegende dat het Europees Instituut voor gendergelijkheid (EIGE) is opgericht om bij te dragen aan gendergelijkheid in de Unie en om de bevordering ervan te versterken, onder meer door gendermainstreaming op te nemen in alle beleidssectoren van de Unie en het daaruit voortvloeiende nationale beleid, om discriminatie op grond van geslacht te bestrijden en om de burgers van de Unie bewust te maken van de noodzaak van gendergelijkheid, een taak waarvoor het van vitaal belang en doeltreffend is gebleken; ov</w:t>
      </w:r>
      <w:r w:rsidRPr="008B01DA">
        <w:t>erwegende dat de jaarlijkse en meerjarige programmering van het EIGE consistent is afgestemd op de huidige prioriteiten van de Unie; overwegende dat het EIGE EU</w:t>
      </w:r>
      <w:r>
        <w:noBreakHyphen/>
      </w:r>
      <w:r w:rsidRPr="008B01DA">
        <w:t>agentschappen en -organen in toenemende mate ondersteunt bij het integreren van genderperspectieven in hun programmering en activiteiten;</w:t>
      </w:r>
    </w:p>
    <w:p w14:paraId="0433CF5B" w14:textId="77777777" w:rsidR="00F34E0A" w:rsidRPr="008B01DA" w:rsidRDefault="0074309E" w:rsidP="00F34E0A">
      <w:pPr>
        <w:pStyle w:val="NormalHanging12a"/>
        <w:rPr>
          <w:b/>
          <w:i/>
        </w:rPr>
      </w:pPr>
      <w:r w:rsidRPr="008B01DA">
        <w:t>C.</w:t>
      </w:r>
      <w:r w:rsidRPr="008B01DA">
        <w:rPr>
          <w:b/>
          <w:i/>
        </w:rPr>
        <w:tab/>
      </w:r>
      <w:r w:rsidRPr="008B01DA">
        <w:t>overwegende dat in het volgende MFK doelstellingen op het gebied van gendergelijkheid, gendermainstreaming en genderbudgettering moeten worden opgenomen in alle financieringsprogramma’s;</w:t>
      </w:r>
    </w:p>
    <w:p w14:paraId="52A69A64" w14:textId="77777777" w:rsidR="00F34E0A" w:rsidRPr="008B01DA" w:rsidRDefault="0074309E" w:rsidP="00F34E0A">
      <w:pPr>
        <w:pStyle w:val="NormalHanging12a"/>
      </w:pPr>
      <w:r w:rsidRPr="008B01DA">
        <w:t>D.</w:t>
      </w:r>
      <w:r w:rsidRPr="008B01DA">
        <w:tab/>
        <w:t>overwegende dat, hoewel de totale gendergelijkheidsindex van de EU sinds 2010 met 7,9 punten is gestegen, uit de gendergelijkheidsindex 2025 blijkt dat de lidstaten, ondanks deze opwaartse trend op lange termijn, beperkte vooruitgang hebben geboekt, met een score voor de EU van 63,4 en slechts een stijging van 0,8 in de gendergelijkheidsindex 2024; overwegende dat er volgens de index van 2025 nog ten minste vijftig jaar nodig is om gendergelijkheid in de EU te bereiken; overwegende dat de vooruitgang op an</w:t>
      </w:r>
      <w:r w:rsidRPr="008B01DA">
        <w:t>dere terreinen, zoals de gezondheid en het onderwijs van vrouwen, stagneert en er zelfs sprake is van achteruitgang; overwegende dat de index van 2024 grote verschillen tussen de lidstaten laat zien (hoogste score: 82,0; laagste score: 57,5), wat wijst op hardnekkige ongelijkheden in de hele Unie en de noodzaak van aanhoudende monitoring en ondersteuning door agentschappen zoals het EIGE;</w:t>
      </w:r>
    </w:p>
    <w:p w14:paraId="5C7DE157" w14:textId="77777777" w:rsidR="00F34E0A" w:rsidRPr="008B01DA" w:rsidRDefault="0074309E" w:rsidP="00F34E0A">
      <w:pPr>
        <w:pStyle w:val="NormalHanging12a"/>
        <w:rPr>
          <w:b/>
          <w:i/>
        </w:rPr>
      </w:pPr>
      <w:r w:rsidRPr="008B01DA">
        <w:t>E.</w:t>
      </w:r>
      <w:r w:rsidRPr="008B01DA">
        <w:rPr>
          <w:b/>
          <w:i/>
        </w:rPr>
        <w:tab/>
      </w:r>
      <w:r w:rsidRPr="008B01DA">
        <w:t>overwegende dat gendergelijkheid in de Unie sterk te lijden heeft gehad onder de gevolgen van de oorlog in Oekraïne en onder de crisis in verband met de kosten van levensonderhoud, waardoor vrouwen onevenredig hard worden getroffen, en de weerstand tegen gendergelijkheid en vrouwenrechten, met name op het gebied van seksuele en reproductieve gezondheid en rechten (SRGR) in verscheidene lidstaten; overwegende dat dit leidt tot meer ongelijkheid en gendergelijkheid in de weg staat;</w:t>
      </w:r>
    </w:p>
    <w:p w14:paraId="643ABFD6" w14:textId="77777777" w:rsidR="00F34E0A" w:rsidRPr="008B01DA" w:rsidRDefault="0074309E" w:rsidP="00F34E0A">
      <w:pPr>
        <w:pStyle w:val="NormalHanging12a"/>
      </w:pPr>
      <w:r w:rsidRPr="008B01DA">
        <w:t>F.</w:t>
      </w:r>
      <w:r w:rsidRPr="008B01DA">
        <w:tab/>
        <w:t xml:space="preserve">overwegende dat zowel de inflatie als de langdurige onderfinanciering de begroting van het EIGE steeds meer onder druk zet en de operationele capaciteit van het EIGE heeft verminderd, waardoor het instituut onvoldoende personeel heeft en onder permanente </w:t>
      </w:r>
      <w:r w:rsidRPr="008B01DA">
        <w:lastRenderedPageBreak/>
        <w:t>financiële druk staat; overwegende dat in de externe evaluatie van 2022 werd gewezen op een ernstig personeelstekort op het gebied van gendermainstreaming, waarbij het EIGE slechts op een kwart van de verzoeken om technische bijstand kon reageren; overwege</w:t>
      </w:r>
      <w:r w:rsidRPr="008B01DA">
        <w:t>nde dat het EIGE een centrale rol speelt bij de ondersteuning van de instellingen van de Unie en de lidstaten bij de verwezenlijking van gendergelijkheid; overwegende dat het EIGE daarom voldoende en stabiele financiële en personele middelen moet krijgen om zijn taken te kunnen vervullen;</w:t>
      </w:r>
    </w:p>
    <w:p w14:paraId="3CDE70E6" w14:textId="77777777" w:rsidR="00F34E0A" w:rsidRPr="008B01DA" w:rsidRDefault="0074309E" w:rsidP="00F34E0A">
      <w:pPr>
        <w:pStyle w:val="NormalHanging12a"/>
        <w:rPr>
          <w:b/>
          <w:i/>
        </w:rPr>
      </w:pPr>
      <w:r w:rsidRPr="008B01DA">
        <w:t>G.</w:t>
      </w:r>
      <w:r w:rsidRPr="008B01DA">
        <w:rPr>
          <w:b/>
          <w:i/>
        </w:rPr>
        <w:tab/>
      </w:r>
      <w:r w:rsidRPr="008B01DA">
        <w:t>overwegende dat de stijgende inflatie en de verhoging van de correctiecoëfficiënt voor Litouwen van invloed zijn geweest op de salarisgerelateerde kosten van het EIGE, wat een aanzienlijke uitdaging vormt op belangrijke operationele gebieden zoals het verlenen van technische bijstand voor gendermainstreaming aan EU-instellingen en lidstaten, alsook bij zijn activiteiten op het gebied van gegevensverzameling;</w:t>
      </w:r>
    </w:p>
    <w:p w14:paraId="3C9E0092" w14:textId="77777777" w:rsidR="00F34E0A" w:rsidRPr="008B01DA" w:rsidRDefault="0074309E" w:rsidP="00F34E0A">
      <w:pPr>
        <w:pStyle w:val="NormalHanging12a"/>
        <w:rPr>
          <w:b/>
          <w:i/>
        </w:rPr>
      </w:pPr>
      <w:r w:rsidRPr="008B01DA">
        <w:t>H.</w:t>
      </w:r>
      <w:r w:rsidRPr="008B01DA">
        <w:rPr>
          <w:b/>
          <w:i/>
        </w:rPr>
        <w:tab/>
      </w:r>
      <w:r w:rsidRPr="008B01DA">
        <w:t>overwegende dat de kerntaak van het EIGE gericht is op het bereiken van gendergelijkheid in de EU door onderzoek te verrichten, gegevens te verzamelen en door te geven, methoden te ontwikkelen om statistieken en gegevensverzameling te verbeteren, en de stand van zaken op het gebied van gendergelijkheid op zowel EU- als lidstaatniveau te meten; overwegende dat het EIGE de kwaliteit en vergelijkbaarheid van naar gender uitgesplitste gegevens in de hele Unie is blijven verbeteren en zo de empirische basis waa</w:t>
      </w:r>
      <w:r w:rsidRPr="008B01DA">
        <w:t xml:space="preserve">rover de EU-instellingen en de lidstaten beschikken, heeft versterkt; overwegende dat het EIGE zijn digitale instrumenten en onlineplatforms heeft uitgebreid en de toegang tot statistieken, methodologische richtsnoeren en praktische hulpmiddelen voor beleidsmakers en belanghebbenden heeft verbeterd; overwegende dat het EIGE zijn samenwerking met de nationale bureaus voor de statistiek en bevoegde autoriteiten heeft versterkt; overwegende dat de werkzaamheden van het EIGE op het gebied van gendergerelateerd </w:t>
      </w:r>
      <w:r w:rsidRPr="008B01DA">
        <w:t>geweld, zoals de EU-enquête over gendergerelateerd geweld, die belangrijke resultaten heeft opgeleverd op basis van gegevens uit alle 27 lidstaten, de doelstelling van de Unie om de preventie, gegevensverzameling en beleidscoördinatie op dit gebied te verbeteren, hebben ondersteund;</w:t>
      </w:r>
    </w:p>
    <w:p w14:paraId="1488B2CA" w14:textId="77777777" w:rsidR="00644C72" w:rsidRPr="008B01DA" w:rsidRDefault="0074309E" w:rsidP="00644C72">
      <w:pPr>
        <w:pStyle w:val="NormalHanging12a"/>
        <w:rPr>
          <w:b/>
          <w:i/>
        </w:rPr>
      </w:pPr>
      <w:r w:rsidRPr="008B01DA">
        <w:t>I.</w:t>
      </w:r>
      <w:r w:rsidRPr="008B01DA">
        <w:tab/>
        <w:t>overwegende dat het EIGE aanvullende taken heeft gekregen in verband met de uitvoering en monitoring van recent vastgestelde EU-richtlijnen, waaronder Richtlijn (EU) 2022/2381 inzake het verbeteren van het genderevenwicht bij bestuurders van beursgenoteerde ondernemingen, Richtlijn (EU) 2023/970 ter versterking van de toepassing van het beginsel van gelijke beloning van mannen en vrouwen voor gelijke of gelijkwaardige arbeid door middel van beloningstransparantie en handhavingsmechanismen, Richtlijn (EU) 2</w:t>
      </w:r>
      <w:r w:rsidRPr="008B01DA">
        <w:t>019/1158 betreffende het evenwicht tussen werk en privéleven voor ouders en mantelzorgers, en de Richtlijnen (EU) 2024/1499 en (EU) 2024/1500 betreffende bindende normen voor organen voor gelijke behandeling, en Richtlijn (EU) 2024/1385 ter bestrijding van geweld tegen vrouwen en huiselijk geweld, alsmede de toetreding van de EU tot het Verdrag van de Raad van Europa inzake het voorkomen en bestrijden van geweld tegen vrouwen en huiselijk geweld (Verdrag van Istanbul);</w:t>
      </w:r>
    </w:p>
    <w:p w14:paraId="5B3FA960" w14:textId="77777777" w:rsidR="00F34E0A" w:rsidRPr="008B01DA" w:rsidRDefault="0074309E" w:rsidP="00F34E0A">
      <w:pPr>
        <w:pStyle w:val="NormalHanging12a"/>
        <w:rPr>
          <w:b/>
          <w:i/>
        </w:rPr>
      </w:pPr>
      <w:r w:rsidRPr="008B01DA">
        <w:t>J.</w:t>
      </w:r>
      <w:r w:rsidRPr="008B01DA">
        <w:tab/>
        <w:t xml:space="preserve">overwegende dat deze nieuwe verplichtingen een versterking van de capaciteit vereisen op het gebied van toezicht op de wetgeving, verslaglegging over de naleving en gegevensverzameling, met inbegrip van ten minste vijf extra tijdelijke functionarissen </w:t>
      </w:r>
      <w:r w:rsidRPr="008B01DA">
        <w:lastRenderedPageBreak/>
        <w:t>en vier extra arbeidscontractanten, zoals vastgesteld door het EIGE, met name om posten die in eerdere begrotingscycli zijn geschrapt te herstellen; overwegende dat het EIGE op grond van de nieuwe EU-cyberbeveiligingsverordening zijn cyberbeveiligingssystemen</w:t>
      </w:r>
      <w:r w:rsidRPr="008B01DA">
        <w:t xml:space="preserve"> moet versterken, onder meer door een cyberbeveiligingsfunctionaris aan te stellen en regelmatige beoordelingen en audits uit te voeren; overwegende dat het EIGE één arbeidscontractant (FG IV) nodig heeft voor een cyberbeveiligingsfunctionaris en meer begrotingsmiddelen om aan deze vereisten te voldoen; overwegende dat het EIGE 200 000 EUR moet betalen voor de aankoop van de verplichte nieuwe financiële software SUMMA, wat neerkomt op bijna 15 % van zijn begroting voor titel II; overwegende dat deze begroti</w:t>
      </w:r>
      <w:r w:rsidRPr="008B01DA">
        <w:t>ngsvraag een onevenredige last vormt voor kleinere agentschappen; overwegende dat een evenwichtige vertegenwoordiging van mannen en vrouwen binnen het personeel altijd moet worden bevorderd in alle EU-agentschappen en binnen het EIGE door middel van genderbewuste aanwervingsprocedures;</w:t>
      </w:r>
    </w:p>
    <w:p w14:paraId="3451B858" w14:textId="77777777" w:rsidR="00F34E0A" w:rsidRPr="008B01DA" w:rsidRDefault="0074309E" w:rsidP="00F34E0A">
      <w:pPr>
        <w:pStyle w:val="NormalHanging12a"/>
      </w:pPr>
      <w:r w:rsidRPr="008B01DA">
        <w:t>1.</w:t>
      </w:r>
      <w:r w:rsidRPr="008B01DA">
        <w:tab/>
        <w:t>wijst erop dat het EIGE is opgericht om bij te dragen aan onafhankelijk onderzoek op het gebied van gendergelijkheid en om de bevordering hiervan te versterken, gegevens en instrumenten te produceren om de EU en haar lidstaten te helpen inclusief en gendertransformatief beleid te ontwerpen, dat wil zeggen beleid dat de onderliggende oorzaken van genderongelijkheid aanpakt door discriminerende normen, ongelijke machtsverdeling en schadelijke praktijken aan te vechten en ernaar te streven maatschappelijke at</w:t>
      </w:r>
      <w:r w:rsidRPr="008B01DA">
        <w:t>titudes en gedragingen te verschuiven naar echte gendergelijkheid, en gendergelijkheid in al hun beleidsmaatregelen te integreren; benadrukt hoe belangrijk de beschikbaarheid van betrouwbare naar gender uitgesplitste gegevens is voor empirisch onderbouwde beleidsvorming; benadrukt dat de Unie in het licht van aanhoudende crises, zoals oorlogen en de klimaatcrisis, dringend vooruitgang moet boeken op het gebied van gendergelijkheid; wijst voorts op de achteruitgang op het gebied van gendergelijkheid door ant</w:t>
      </w:r>
      <w:r w:rsidRPr="008B01DA">
        <w:t>igender- en antidemocratische bewegingen;</w:t>
      </w:r>
    </w:p>
    <w:p w14:paraId="3E19D419" w14:textId="77777777" w:rsidR="00F34E0A" w:rsidRPr="008B01DA" w:rsidRDefault="0074309E" w:rsidP="00F34E0A">
      <w:pPr>
        <w:pStyle w:val="NormalHanging12a"/>
        <w:rPr>
          <w:b/>
          <w:i/>
        </w:rPr>
      </w:pPr>
      <w:r w:rsidRPr="008B01DA">
        <w:t>2.</w:t>
      </w:r>
      <w:r w:rsidRPr="008B01DA">
        <w:rPr>
          <w:b/>
          <w:i/>
        </w:rPr>
        <w:tab/>
      </w:r>
      <w:r w:rsidRPr="008B01DA">
        <w:t>is ingenomen met de bestaande samenwerking tussen het EIGE en de Commissie vrouwenrechten en gendergelijkheid (FEMM), en in het bijzonder met de bijdrage van het instituut aan de lopende inspanningen van de commissie op het gebied van gendergerelateerd geweld, het evenwicht tussen werk en privéleven, de genderloon- en genderpensioenkloof, de gevolgen van crises voor vrouwen, gendermainstreaming en genderbudgettering; wijst op de waardevolle bijdrage die het EIGE kan leveren aan alle commissies van het Euro</w:t>
      </w:r>
      <w:r w:rsidRPr="008B01DA">
        <w:t>pees Parlement en andere EU-agentschappen wat betreft betere integratie van gendermainstreaming in al het EU-beleid;</w:t>
      </w:r>
      <w:r w:rsidRPr="008B01DA">
        <w:rPr>
          <w:b/>
          <w:i/>
        </w:rPr>
        <w:t> </w:t>
      </w:r>
    </w:p>
    <w:p w14:paraId="7FEA8B89" w14:textId="77777777" w:rsidR="00F34E0A" w:rsidRPr="008B01DA" w:rsidRDefault="0074309E" w:rsidP="00F34E0A">
      <w:pPr>
        <w:pStyle w:val="NormalHanging12a"/>
      </w:pPr>
      <w:r w:rsidRPr="008B01DA">
        <w:t>3.</w:t>
      </w:r>
      <w:r w:rsidRPr="008B01DA">
        <w:tab/>
        <w:t xml:space="preserve">herhaalt het verzoek van het Parlement om meer financiering en personeel voor het EIGE, in overeenstemming met het toenemende aantal aanvragen voor technische bijstand en hogere operationele kosten; verzoekt de Commissie daarom de nodige middelen voor het instituut voor te stellen om het in staat te stellen zijn taken te vervullen en in te spelen op de toegenomen vraag naar deskundigheid, de operationele continuïteit te waarborgen en de analytische en coördinatiecapaciteit van het instituut te versterken; </w:t>
      </w:r>
      <w:r w:rsidRPr="008B01DA">
        <w:t xml:space="preserve">verzoekt om een verhoging van 17 % van het aantal posten in zijn huidige personeelsformatie om rekening te houden met de behoefte aan ten minste vijf extra tijdelijke functionarissen (AD) en vier extra arbeidscontractanten, alsmede specifieke posten voor cyberbeveiliging, gegevensbescherming en de uitvoering van nieuwe wettelijke verplichtingen; benadrukt dat de buitensporige werkdruk waaronder het </w:t>
      </w:r>
      <w:r w:rsidRPr="008B01DA">
        <w:lastRenderedPageBreak/>
        <w:t>personeel van het EIGE momenteel gebukt gaat, moet worden verminderd; dringt aan op een voorspelbare en stabie</w:t>
      </w:r>
      <w:r w:rsidRPr="008B01DA">
        <w:t>le meerjarenbegroting voor het EIGE, waarbij terugkerende overdrachten worden verminderd en langetermijnplanning en onderzoekswerkzaamheden mogelijk worden gemaakt en een gezonde en productieve werkomgeving wordt gewaarborgd;</w:t>
      </w:r>
    </w:p>
    <w:p w14:paraId="63F7F968" w14:textId="77777777" w:rsidR="00062634" w:rsidRPr="008B01DA" w:rsidRDefault="0074309E" w:rsidP="00BD08F1">
      <w:pPr>
        <w:pStyle w:val="NormalHanging12a"/>
      </w:pPr>
      <w:r w:rsidRPr="008B01DA">
        <w:t>4.</w:t>
      </w:r>
      <w:r w:rsidRPr="008B01DA">
        <w:tab/>
        <w:t>merkt op dat het werkprogramma van het EIGE voortdurend een begrotingsuitvoering van 95 % vertoont en dat het EIGE de streefdoelen in het gewijzigde programmeringsdocument 2024-2026 tot nu toe heeft gehaald, ondanks het personeelstekort en hoge overdrachten, en dat de Europese Rekenkamer heeft bevestigd dat zijn rekeningen een getrouw beeld geven van zijn financiële situatie;</w:t>
      </w:r>
    </w:p>
    <w:p w14:paraId="3B2807B0" w14:textId="77777777" w:rsidR="00F34E0A" w:rsidRPr="008B01DA" w:rsidRDefault="0074309E" w:rsidP="00F34E0A">
      <w:pPr>
        <w:pStyle w:val="NormalHanging12a"/>
        <w:rPr>
          <w:b/>
          <w:i/>
        </w:rPr>
      </w:pPr>
      <w:r w:rsidRPr="008B01DA">
        <w:t>5.</w:t>
      </w:r>
      <w:r w:rsidRPr="008B01DA">
        <w:rPr>
          <w:b/>
          <w:i/>
        </w:rPr>
        <w:tab/>
      </w:r>
      <w:r w:rsidRPr="008B01DA">
        <w:t xml:space="preserve">benadrukt dat het EIGE in 2024 zijn strategische doelstellingen heeft verwezenlijkt om bij te dragen aan </w:t>
      </w:r>
      <w:r w:rsidRPr="008B01DA">
        <w:t xml:space="preserve">beleidsmaatregelen en besluitvorming die beter geïnformeerd en empirisch onderbouwd zijn, teneinde gendergelijkheid te bereiken en discriminatie op grond van geslacht te bestrijden, de integratie van een genderperspectief in het EU-beleid en het daaruit voortvloeiende nationale beleid te ondersteunen en gendergelijkheid doeltreffend te bevorderen bij de belangrijkste belanghebbenden en doelgroepen; benadrukt voorts dat deze resultaten zijn behaald ondanks een structureel personeelstekort, wat bevestigt dat </w:t>
      </w:r>
      <w:r w:rsidRPr="008B01DA">
        <w:t>er extra middelen nodig zijn om toekomstige prestaties veilig te stellen;</w:t>
      </w:r>
    </w:p>
    <w:p w14:paraId="09BBBCEA" w14:textId="77777777" w:rsidR="009879D7" w:rsidRPr="008B01DA" w:rsidRDefault="0074309E" w:rsidP="009879D7">
      <w:pPr>
        <w:pStyle w:val="NormalHanging12a"/>
        <w:rPr>
          <w:b/>
          <w:i/>
        </w:rPr>
      </w:pPr>
      <w:r w:rsidRPr="008B01DA">
        <w:t>6.</w:t>
      </w:r>
      <w:r w:rsidRPr="008B01DA">
        <w:rPr>
          <w:b/>
          <w:i/>
        </w:rPr>
        <w:tab/>
      </w:r>
      <w:r w:rsidRPr="008B01DA">
        <w:t>waarschuwt dat het EIGE zonder gerichte extra personele middelen en investeringen het risico loopt niet te kunnen voldoen aan zijn verplichtingen die voortvloeien uit onlangs aangenomen wetgeving of aan de toegenomen vraag als gevolg van nieuwe beleidsinitiatieven van de Unie; benadrukt dat begrotingseisen, zoals de aankoop van SUMMA, verder op de begroting van het EIGE drukken; onderstreept dat bij verdere begrotingstoewijzingen rekening moet worden gehouden met de verplichte uitgaven die agentschappen na</w:t>
      </w:r>
      <w:r w:rsidRPr="008B01DA">
        <w:t>ar verwachting zullen doen; dringt aan op een stabiele en versterkte begroting voor het EIGE als een van de prioriteiten met betrekking tot gendergelijkheid in het volgende meerjarig financieel kader (MFK), om ervoor te zorgen dat het instituut onderzoek, gegevens en beleidsondersteuning van hoge kwaliteit kan blijven bieden voor alle prioriteiten van de Unie;</w:t>
      </w:r>
    </w:p>
    <w:p w14:paraId="024B058C" w14:textId="77777777" w:rsidR="005F008F" w:rsidRPr="008B01DA" w:rsidRDefault="0074309E" w:rsidP="005F008F">
      <w:pPr>
        <w:pStyle w:val="NormalHanging12a"/>
        <w:rPr>
          <w:bCs/>
          <w:iCs/>
        </w:rPr>
      </w:pPr>
      <w:r w:rsidRPr="008B01DA">
        <w:t>7.</w:t>
      </w:r>
      <w:r w:rsidRPr="008B01DA">
        <w:rPr>
          <w:b/>
          <w:i/>
        </w:rPr>
        <w:tab/>
      </w:r>
      <w:r w:rsidRPr="008B01DA">
        <w:t>is van mening dat kwijting kan worden verleend aan de directeur van het Europees Instituut voor gendergelijkheid voor de uitvoering van de begroting van het Instituut voor het begrotingsjaar 2024.</w:t>
      </w:r>
    </w:p>
    <w:p w14:paraId="1320899A" w14:textId="77777777" w:rsidR="00E05697" w:rsidRPr="008B01DA" w:rsidRDefault="0074309E" w:rsidP="00FC26A4">
      <w:pPr>
        <w:ind w:left="567" w:hanging="567"/>
      </w:pPr>
      <w:r w:rsidRPr="008B01DA">
        <w:rPr>
          <w:rStyle w:val="HideTWBExt"/>
        </w:rPr>
        <w:t>&lt;/RepeatBlock-Dec&gt;</w:t>
      </w:r>
    </w:p>
    <w:p w14:paraId="624BA632" w14:textId="77777777" w:rsidR="004B2770" w:rsidRPr="008B01DA" w:rsidRDefault="004B2770" w:rsidP="00FC26A4">
      <w:pPr>
        <w:sectPr w:rsidR="004B2770" w:rsidRPr="008B01DA" w:rsidSect="008B01D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B33C76D" w14:textId="77777777" w:rsidR="004B2770" w:rsidRPr="008B01DA" w:rsidRDefault="0074309E" w:rsidP="002B2C72">
      <w:pPr>
        <w:pStyle w:val="PageHeadingNotTOC"/>
      </w:pPr>
      <w:bookmarkStart w:id="0" w:name="FootprintPageAD"/>
      <w:r w:rsidRPr="008B01DA">
        <w:lastRenderedPageBreak/>
        <w:t>BIJLAGE: BEKENDMAKING VAN INPUT</w:t>
      </w:r>
    </w:p>
    <w:p w14:paraId="5C764C5B" w14:textId="77777777" w:rsidR="004B2770" w:rsidRPr="008B01DA" w:rsidRDefault="0074309E" w:rsidP="00037518">
      <w:pPr>
        <w:pStyle w:val="Normal24a"/>
      </w:pPr>
      <w:r w:rsidRPr="008B01DA">
        <w:rPr>
          <w:rStyle w:val="HideTWBExt"/>
        </w:rPr>
        <w:t>&lt;FootprintIntro&gt;</w:t>
      </w:r>
      <w:r w:rsidRPr="008B01DA">
        <w:t>De rapporteur voor advies verklaart onder haar exclusieve verantwoordelijkheid geen input in het advies te hebben opgenomen van belangenvertegenwoordigers die binnen het toepassingsgebied van het Interinstitutioneel Akkoord over een verplicht transparantieregister</w:t>
      </w:r>
      <w:r w:rsidRPr="008B01DA">
        <w:rPr>
          <w:rStyle w:val="FootnoteReference"/>
        </w:rPr>
        <w:footnoteReference w:id="1"/>
      </w:r>
      <w:r w:rsidRPr="008B01DA">
        <w:t xml:space="preserve"> vallen of van vertegenwoordigers van overheidsinstanties van derde landen, met inbegrip van hun diplomatieke vertegenwoordigingen en ambassades, die overeenkomstig artikel 8 van bijlage I bij het Reglement in deze bijlage moeten worden vermeld.</w:t>
      </w:r>
      <w:r w:rsidRPr="008B01DA">
        <w:rPr>
          <w:rStyle w:val="HideTWBExt"/>
        </w:rPr>
        <w:t>&lt;/FootprintIntro&gt;</w:t>
      </w:r>
    </w:p>
    <w:p w14:paraId="415C1BE5" w14:textId="77777777" w:rsidR="004B2770" w:rsidRPr="008B01DA" w:rsidRDefault="004B2770" w:rsidP="007D2CC7"/>
    <w:bookmarkEnd w:id="0"/>
    <w:p w14:paraId="05A6FC0F" w14:textId="77777777" w:rsidR="004B2770" w:rsidRPr="008B01DA" w:rsidRDefault="004B2770" w:rsidP="007D2CC7">
      <w:pPr>
        <w:sectPr w:rsidR="004B2770" w:rsidRPr="008B01DA" w:rsidSect="004B27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207315" w14:textId="77777777" w:rsidR="007D2CC7" w:rsidRPr="008B01DA" w:rsidRDefault="0074309E" w:rsidP="007D2CC7">
      <w:pPr>
        <w:pStyle w:val="PageHeadingNotTOC"/>
      </w:pPr>
      <w:bookmarkStart w:id="1" w:name="ProcPageAD"/>
      <w:r w:rsidRPr="008B01DA">
        <w:lastRenderedPageBreak/>
        <w:t xml:space="preserve">INFORMATIE </w:t>
      </w:r>
      <w:r w:rsidRPr="008B01DA">
        <w:t>OVER DE GOEDKEURING IN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A7DE5" w:rsidRPr="008B01DA" w14:paraId="0E7264F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1EBF034" w14:textId="77777777" w:rsidR="007D2CC7" w:rsidRPr="008B01DA" w:rsidRDefault="0074309E">
            <w:pPr>
              <w:autoSpaceDE w:val="0"/>
              <w:autoSpaceDN w:val="0"/>
              <w:adjustRightInd w:val="0"/>
              <w:rPr>
                <w:b/>
                <w:bCs/>
                <w:color w:val="000000"/>
                <w:sz w:val="20"/>
              </w:rPr>
            </w:pPr>
            <w:r w:rsidRPr="008B01DA">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36AD33B" w14:textId="77777777" w:rsidR="007D2CC7" w:rsidRPr="008B01DA" w:rsidRDefault="0074309E">
            <w:pPr>
              <w:autoSpaceDE w:val="0"/>
              <w:autoSpaceDN w:val="0"/>
              <w:adjustRightInd w:val="0"/>
              <w:rPr>
                <w:color w:val="000000"/>
                <w:sz w:val="20"/>
              </w:rPr>
            </w:pPr>
            <w:r w:rsidRPr="008B01DA">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4365E32" w14:textId="77777777" w:rsidR="007D2CC7" w:rsidRPr="008B01DA" w:rsidRDefault="007D2C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4C85CE2" w14:textId="77777777" w:rsidR="007D2CC7" w:rsidRPr="008B01DA" w:rsidRDefault="007D2C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A03733" w14:textId="77777777" w:rsidR="007D2CC7" w:rsidRPr="008B01DA" w:rsidRDefault="007D2CC7">
            <w:pPr>
              <w:autoSpaceDE w:val="0"/>
              <w:autoSpaceDN w:val="0"/>
              <w:adjustRightInd w:val="0"/>
              <w:rPr>
                <w:rFonts w:ascii="sans-serif" w:hAnsi="sans-serif" w:cs="sans-serif"/>
                <w:color w:val="000000"/>
              </w:rPr>
            </w:pPr>
          </w:p>
        </w:tc>
      </w:tr>
      <w:tr w:rsidR="008A7DE5" w:rsidRPr="008B01DA" w14:paraId="4EB68FB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598FFFF" w14:textId="77777777" w:rsidR="007D2CC7" w:rsidRPr="008B01DA" w:rsidRDefault="0074309E">
            <w:pPr>
              <w:autoSpaceDE w:val="0"/>
              <w:autoSpaceDN w:val="0"/>
              <w:adjustRightInd w:val="0"/>
              <w:rPr>
                <w:b/>
                <w:bCs/>
                <w:color w:val="000000"/>
                <w:sz w:val="20"/>
              </w:rPr>
            </w:pPr>
            <w:r w:rsidRPr="008B01DA">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9A1BB6A" w14:textId="77777777" w:rsidR="007D2CC7" w:rsidRPr="008B01DA" w:rsidRDefault="0074309E">
            <w:pPr>
              <w:autoSpaceDE w:val="0"/>
              <w:autoSpaceDN w:val="0"/>
              <w:adjustRightInd w:val="0"/>
              <w:rPr>
                <w:color w:val="000000"/>
                <w:sz w:val="20"/>
              </w:rPr>
            </w:pPr>
            <w:r w:rsidRPr="008B01DA">
              <w:rPr>
                <w:color w:val="000000"/>
                <w:sz w:val="20"/>
              </w:rPr>
              <w:t>+:</w:t>
            </w:r>
          </w:p>
          <w:p w14:paraId="7C9FD348" w14:textId="77777777" w:rsidR="007D2CC7" w:rsidRPr="008B01DA" w:rsidRDefault="0074309E">
            <w:pPr>
              <w:autoSpaceDE w:val="0"/>
              <w:autoSpaceDN w:val="0"/>
              <w:adjustRightInd w:val="0"/>
              <w:rPr>
                <w:color w:val="000000"/>
                <w:sz w:val="20"/>
              </w:rPr>
            </w:pPr>
            <w:r w:rsidRPr="008B01DA">
              <w:rPr>
                <w:color w:val="000000"/>
                <w:sz w:val="20"/>
              </w:rPr>
              <w:t>–:</w:t>
            </w:r>
          </w:p>
          <w:p w14:paraId="1A796213" w14:textId="77777777" w:rsidR="007D2CC7" w:rsidRPr="008B01DA" w:rsidRDefault="0074309E">
            <w:pPr>
              <w:autoSpaceDE w:val="0"/>
              <w:autoSpaceDN w:val="0"/>
              <w:adjustRightInd w:val="0"/>
              <w:rPr>
                <w:color w:val="000000"/>
                <w:sz w:val="20"/>
              </w:rPr>
            </w:pPr>
            <w:r w:rsidRPr="008B01D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DB4428D" w14:textId="77777777" w:rsidR="007D2CC7" w:rsidRPr="008B01DA" w:rsidRDefault="0074309E">
            <w:pPr>
              <w:autoSpaceDE w:val="0"/>
              <w:autoSpaceDN w:val="0"/>
              <w:adjustRightInd w:val="0"/>
              <w:rPr>
                <w:color w:val="000000"/>
                <w:sz w:val="20"/>
              </w:rPr>
            </w:pPr>
            <w:r w:rsidRPr="008B01DA">
              <w:rPr>
                <w:color w:val="000000"/>
                <w:sz w:val="20"/>
              </w:rPr>
              <w:t>24</w:t>
            </w:r>
          </w:p>
          <w:p w14:paraId="4769F849" w14:textId="77777777" w:rsidR="007D2CC7" w:rsidRPr="008B01DA" w:rsidRDefault="0074309E">
            <w:pPr>
              <w:autoSpaceDE w:val="0"/>
              <w:autoSpaceDN w:val="0"/>
              <w:adjustRightInd w:val="0"/>
              <w:rPr>
                <w:color w:val="000000"/>
                <w:sz w:val="20"/>
              </w:rPr>
            </w:pPr>
            <w:r w:rsidRPr="008B01DA">
              <w:rPr>
                <w:color w:val="000000"/>
                <w:sz w:val="20"/>
              </w:rPr>
              <w:t>9</w:t>
            </w:r>
          </w:p>
          <w:p w14:paraId="4766D2EC" w14:textId="77777777" w:rsidR="007D2CC7" w:rsidRPr="008B01DA" w:rsidRDefault="0074309E">
            <w:pPr>
              <w:autoSpaceDE w:val="0"/>
              <w:autoSpaceDN w:val="0"/>
              <w:adjustRightInd w:val="0"/>
              <w:rPr>
                <w:color w:val="000000"/>
                <w:sz w:val="20"/>
              </w:rPr>
            </w:pPr>
            <w:r w:rsidRPr="008B01DA">
              <w:rPr>
                <w:color w:val="000000"/>
                <w:sz w:val="20"/>
              </w:rPr>
              <w:t>1</w:t>
            </w:r>
          </w:p>
        </w:tc>
      </w:tr>
    </w:tbl>
    <w:p w14:paraId="4CB4FDA2" w14:textId="77777777" w:rsidR="007D2CC7" w:rsidRPr="008B01DA" w:rsidRDefault="007D2CC7"/>
    <w:bookmarkEnd w:id="1"/>
    <w:p w14:paraId="5672FDA0" w14:textId="77777777" w:rsidR="004B2770" w:rsidRPr="008B01DA" w:rsidRDefault="004B2770" w:rsidP="007D2CC7">
      <w:pPr>
        <w:sectPr w:rsidR="004B2770" w:rsidRPr="008B01DA" w:rsidSect="004B2770">
          <w:pgSz w:w="11894" w:h="15840"/>
          <w:pgMar w:top="1700" w:right="1417" w:bottom="1417" w:left="1417" w:header="720" w:footer="720" w:gutter="0"/>
          <w:cols w:space="720"/>
          <w:noEndnote/>
          <w:docGrid w:linePitch="326"/>
        </w:sectPr>
      </w:pPr>
    </w:p>
    <w:p w14:paraId="1478D1CC" w14:textId="77777777" w:rsidR="004B2770" w:rsidRPr="008B01DA" w:rsidRDefault="0074309E" w:rsidP="00C36610">
      <w:pPr>
        <w:pStyle w:val="PageHeadingNotTOC"/>
      </w:pPr>
      <w:bookmarkStart w:id="2" w:name="RollCallPageAD"/>
      <w:r w:rsidRPr="008B01DA">
        <w:lastRenderedPageBreak/>
        <w:t>HOOFDELIJKE EINDSTEMMING</w:t>
      </w:r>
      <w:r w:rsidRPr="008B01DA">
        <w:br/>
        <w:t>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A7DE5" w:rsidRPr="008B01DA" w14:paraId="789DFCDD" w14:textId="77777777" w:rsidTr="008920AC">
        <w:trPr>
          <w:cantSplit/>
        </w:trPr>
        <w:tc>
          <w:tcPr>
            <w:tcW w:w="1701" w:type="dxa"/>
            <w:shd w:val="pct10" w:color="000000" w:fill="FFFFFF"/>
            <w:vAlign w:val="center"/>
          </w:tcPr>
          <w:p w14:paraId="7A153D72" w14:textId="77777777" w:rsidR="004B2770" w:rsidRPr="008B01DA" w:rsidRDefault="0074309E" w:rsidP="003858C5">
            <w:pPr>
              <w:pStyle w:val="RollCallVotes"/>
            </w:pPr>
            <w:r w:rsidRPr="008B01DA">
              <w:t>24</w:t>
            </w:r>
          </w:p>
        </w:tc>
        <w:tc>
          <w:tcPr>
            <w:tcW w:w="7371" w:type="dxa"/>
            <w:shd w:val="pct10" w:color="000000" w:fill="FFFFFF"/>
          </w:tcPr>
          <w:p w14:paraId="1BE3436A" w14:textId="77777777" w:rsidR="004B2770" w:rsidRPr="008B01DA" w:rsidRDefault="0074309E" w:rsidP="003858C5">
            <w:pPr>
              <w:pStyle w:val="RollCallSymbols14pt"/>
            </w:pPr>
            <w:r w:rsidRPr="008B01DA">
              <w:t>+</w:t>
            </w:r>
          </w:p>
        </w:tc>
      </w:tr>
      <w:tr w:rsidR="008A7DE5" w:rsidRPr="008B01DA" w14:paraId="7153E73F" w14:textId="77777777" w:rsidTr="008920AC">
        <w:trPr>
          <w:cantSplit/>
        </w:trPr>
        <w:tc>
          <w:tcPr>
            <w:tcW w:w="1701" w:type="dxa"/>
            <w:shd w:val="clear" w:color="auto" w:fill="FFFFFF"/>
          </w:tcPr>
          <w:p w14:paraId="5FFAB5CD" w14:textId="77777777" w:rsidR="004B2770" w:rsidRPr="008B01DA" w:rsidRDefault="0074309E" w:rsidP="003858C5">
            <w:pPr>
              <w:pStyle w:val="RollCallTable"/>
            </w:pPr>
            <w:r w:rsidRPr="008B01DA">
              <w:t>PPE</w:t>
            </w:r>
          </w:p>
        </w:tc>
        <w:tc>
          <w:tcPr>
            <w:tcW w:w="7371" w:type="dxa"/>
            <w:shd w:val="clear" w:color="auto" w:fill="FFFFFF"/>
          </w:tcPr>
          <w:p w14:paraId="301D5BB4" w14:textId="77777777" w:rsidR="004B2770" w:rsidRPr="008B01DA" w:rsidRDefault="0074309E" w:rsidP="003858C5">
            <w:pPr>
              <w:pStyle w:val="RollCallTable"/>
            </w:pPr>
            <w:r w:rsidRPr="008B01DA">
              <w:t xml:space="preserve">Rosa Estaràs Ferragut, Arba Kokalari, Ewa </w:t>
            </w:r>
            <w:r w:rsidRPr="008B01DA">
              <w:t>Kopacz, Verena Mertens, Mirosława Nykiel, Giusi Princi, Maria Walsh</w:t>
            </w:r>
          </w:p>
        </w:tc>
      </w:tr>
      <w:tr w:rsidR="008A7DE5" w:rsidRPr="008B01DA" w14:paraId="2D2B9C36" w14:textId="77777777" w:rsidTr="008920AC">
        <w:trPr>
          <w:cantSplit/>
        </w:trPr>
        <w:tc>
          <w:tcPr>
            <w:tcW w:w="1701" w:type="dxa"/>
            <w:shd w:val="clear" w:color="auto" w:fill="FFFFFF"/>
          </w:tcPr>
          <w:p w14:paraId="3ADB5A71" w14:textId="77777777" w:rsidR="004B2770" w:rsidRPr="008B01DA" w:rsidRDefault="0074309E" w:rsidP="003858C5">
            <w:pPr>
              <w:pStyle w:val="RollCallTable"/>
            </w:pPr>
            <w:r w:rsidRPr="008B01DA">
              <w:t>Renew</w:t>
            </w:r>
          </w:p>
        </w:tc>
        <w:tc>
          <w:tcPr>
            <w:tcW w:w="7371" w:type="dxa"/>
            <w:shd w:val="clear" w:color="auto" w:fill="FFFFFF"/>
          </w:tcPr>
          <w:p w14:paraId="0C2972F3" w14:textId="77777777" w:rsidR="004B2770" w:rsidRPr="008B01DA" w:rsidRDefault="0074309E" w:rsidP="003858C5">
            <w:pPr>
              <w:pStyle w:val="RollCallTable"/>
            </w:pPr>
            <w:r w:rsidRPr="008B01DA">
              <w:t>Abir Al-Sahlani, Raquel García Hermida-Van Der Walle, Lucia Yar, Dainius Žalimas</w:t>
            </w:r>
          </w:p>
        </w:tc>
      </w:tr>
      <w:tr w:rsidR="008A7DE5" w:rsidRPr="008B01DA" w14:paraId="2E8A31E0" w14:textId="77777777" w:rsidTr="008920AC">
        <w:trPr>
          <w:cantSplit/>
        </w:trPr>
        <w:tc>
          <w:tcPr>
            <w:tcW w:w="1701" w:type="dxa"/>
            <w:shd w:val="clear" w:color="auto" w:fill="FFFFFF"/>
          </w:tcPr>
          <w:p w14:paraId="7D14857A" w14:textId="77777777" w:rsidR="004B2770" w:rsidRPr="008B01DA" w:rsidRDefault="0074309E" w:rsidP="003858C5">
            <w:pPr>
              <w:pStyle w:val="RollCallTable"/>
            </w:pPr>
            <w:r w:rsidRPr="008B01DA">
              <w:t>S&amp;D</w:t>
            </w:r>
          </w:p>
        </w:tc>
        <w:tc>
          <w:tcPr>
            <w:tcW w:w="7371" w:type="dxa"/>
            <w:shd w:val="clear" w:color="auto" w:fill="FFFFFF"/>
          </w:tcPr>
          <w:p w14:paraId="17518C90" w14:textId="77777777" w:rsidR="004B2770" w:rsidRPr="008B01DA" w:rsidRDefault="0074309E" w:rsidP="003858C5">
            <w:pPr>
              <w:pStyle w:val="RollCallTable"/>
            </w:pPr>
            <w:r w:rsidRPr="008B01DA">
              <w:t xml:space="preserve">Gabriela Firea, Heléne Fritzon, Lina Gálvez, Maria Noichl, Joanna </w:t>
            </w:r>
            <w:r w:rsidRPr="008B01DA">
              <w:t>Scheuring-Wielgus, Cecilia Strada, Marko Vešligaj</w:t>
            </w:r>
          </w:p>
        </w:tc>
      </w:tr>
      <w:tr w:rsidR="008A7DE5" w:rsidRPr="008B01DA" w14:paraId="0E5EA4AB" w14:textId="77777777" w:rsidTr="008920AC">
        <w:trPr>
          <w:cantSplit/>
        </w:trPr>
        <w:tc>
          <w:tcPr>
            <w:tcW w:w="1701" w:type="dxa"/>
            <w:shd w:val="clear" w:color="auto" w:fill="FFFFFF"/>
          </w:tcPr>
          <w:p w14:paraId="06A835BF" w14:textId="77777777" w:rsidR="004B2770" w:rsidRPr="008B01DA" w:rsidRDefault="0074309E" w:rsidP="003858C5">
            <w:pPr>
              <w:pStyle w:val="RollCallTable"/>
            </w:pPr>
            <w:r w:rsidRPr="008B01DA">
              <w:t>The Left</w:t>
            </w:r>
          </w:p>
        </w:tc>
        <w:tc>
          <w:tcPr>
            <w:tcW w:w="7371" w:type="dxa"/>
            <w:shd w:val="clear" w:color="auto" w:fill="FFFFFF"/>
          </w:tcPr>
          <w:p w14:paraId="7E228BEB" w14:textId="77777777" w:rsidR="004B2770" w:rsidRPr="008B01DA" w:rsidRDefault="0074309E" w:rsidP="003858C5">
            <w:pPr>
              <w:pStyle w:val="RollCallTable"/>
            </w:pPr>
            <w:r w:rsidRPr="008B01DA">
              <w:t>Hanna Gedin, Irene Montero, Carolina Morace</w:t>
            </w:r>
          </w:p>
        </w:tc>
      </w:tr>
      <w:tr w:rsidR="008A7DE5" w:rsidRPr="008B01DA" w14:paraId="6793C402" w14:textId="77777777" w:rsidTr="008920AC">
        <w:trPr>
          <w:cantSplit/>
        </w:trPr>
        <w:tc>
          <w:tcPr>
            <w:tcW w:w="1701" w:type="dxa"/>
            <w:shd w:val="clear" w:color="auto" w:fill="FFFFFF"/>
          </w:tcPr>
          <w:p w14:paraId="5FDFF5FB" w14:textId="77777777" w:rsidR="004B2770" w:rsidRPr="008B01DA" w:rsidRDefault="0074309E" w:rsidP="003858C5">
            <w:pPr>
              <w:pStyle w:val="RollCallTable"/>
            </w:pPr>
            <w:r w:rsidRPr="008B01DA">
              <w:t>Verts/ALE</w:t>
            </w:r>
          </w:p>
        </w:tc>
        <w:tc>
          <w:tcPr>
            <w:tcW w:w="7371" w:type="dxa"/>
            <w:shd w:val="clear" w:color="auto" w:fill="FFFFFF"/>
          </w:tcPr>
          <w:p w14:paraId="2DEC916D" w14:textId="77777777" w:rsidR="004B2770" w:rsidRPr="008B01DA" w:rsidRDefault="0074309E" w:rsidP="003858C5">
            <w:pPr>
              <w:pStyle w:val="RollCallTable"/>
            </w:pPr>
            <w:r w:rsidRPr="008B01DA">
              <w:t>Mélissa Camara, Alexandra Geese, Benedetta Scuderi</w:t>
            </w:r>
          </w:p>
        </w:tc>
      </w:tr>
    </w:tbl>
    <w:p w14:paraId="2AD37085" w14:textId="77777777" w:rsidR="004B2770" w:rsidRPr="008B01DA" w:rsidRDefault="004B2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A7DE5" w:rsidRPr="008B01DA" w14:paraId="02EA13D9" w14:textId="77777777" w:rsidTr="008920AC">
        <w:trPr>
          <w:cantSplit/>
        </w:trPr>
        <w:tc>
          <w:tcPr>
            <w:tcW w:w="1701" w:type="dxa"/>
            <w:shd w:val="pct10" w:color="000000" w:fill="FFFFFF"/>
            <w:vAlign w:val="center"/>
          </w:tcPr>
          <w:p w14:paraId="0C907875" w14:textId="77777777" w:rsidR="004B2770" w:rsidRPr="008B01DA" w:rsidRDefault="0074309E" w:rsidP="003858C5">
            <w:pPr>
              <w:pStyle w:val="RollCallVotes"/>
            </w:pPr>
            <w:r w:rsidRPr="008B01DA">
              <w:t>9</w:t>
            </w:r>
          </w:p>
        </w:tc>
        <w:tc>
          <w:tcPr>
            <w:tcW w:w="7371" w:type="dxa"/>
            <w:shd w:val="pct10" w:color="000000" w:fill="FFFFFF"/>
          </w:tcPr>
          <w:p w14:paraId="1D69E7B0" w14:textId="77777777" w:rsidR="004B2770" w:rsidRPr="008B01DA" w:rsidRDefault="0074309E" w:rsidP="003858C5">
            <w:pPr>
              <w:pStyle w:val="RollCallSymbols14pt"/>
            </w:pPr>
            <w:r w:rsidRPr="008B01DA">
              <w:t>-</w:t>
            </w:r>
          </w:p>
        </w:tc>
      </w:tr>
      <w:tr w:rsidR="008A7DE5" w:rsidRPr="008B01DA" w14:paraId="0C21B4AB" w14:textId="77777777" w:rsidTr="008920AC">
        <w:trPr>
          <w:cantSplit/>
        </w:trPr>
        <w:tc>
          <w:tcPr>
            <w:tcW w:w="1701" w:type="dxa"/>
            <w:shd w:val="clear" w:color="auto" w:fill="FFFFFF"/>
          </w:tcPr>
          <w:p w14:paraId="69081531" w14:textId="77777777" w:rsidR="004B2770" w:rsidRPr="008B01DA" w:rsidRDefault="0074309E" w:rsidP="003858C5">
            <w:pPr>
              <w:pStyle w:val="RollCallTable"/>
            </w:pPr>
            <w:r w:rsidRPr="008B01DA">
              <w:t>ECR</w:t>
            </w:r>
          </w:p>
        </w:tc>
        <w:tc>
          <w:tcPr>
            <w:tcW w:w="7371" w:type="dxa"/>
            <w:shd w:val="clear" w:color="auto" w:fill="FFFFFF"/>
          </w:tcPr>
          <w:p w14:paraId="7621DCD4" w14:textId="77777777" w:rsidR="004B2770" w:rsidRPr="008B01DA" w:rsidRDefault="0074309E" w:rsidP="003858C5">
            <w:pPr>
              <w:pStyle w:val="RollCallTable"/>
            </w:pPr>
            <w:r w:rsidRPr="008B01DA">
              <w:t>Chiara Gemma, Beatrice Timgren</w:t>
            </w:r>
          </w:p>
        </w:tc>
      </w:tr>
      <w:tr w:rsidR="008A7DE5" w:rsidRPr="008B01DA" w14:paraId="1C6E44EA" w14:textId="77777777" w:rsidTr="008920AC">
        <w:trPr>
          <w:cantSplit/>
        </w:trPr>
        <w:tc>
          <w:tcPr>
            <w:tcW w:w="1701" w:type="dxa"/>
            <w:shd w:val="clear" w:color="auto" w:fill="FFFFFF"/>
          </w:tcPr>
          <w:p w14:paraId="041CBD25" w14:textId="77777777" w:rsidR="004B2770" w:rsidRPr="008B01DA" w:rsidRDefault="0074309E" w:rsidP="003858C5">
            <w:pPr>
              <w:pStyle w:val="RollCallTable"/>
            </w:pPr>
            <w:r w:rsidRPr="008B01DA">
              <w:t>ESN</w:t>
            </w:r>
          </w:p>
        </w:tc>
        <w:tc>
          <w:tcPr>
            <w:tcW w:w="7371" w:type="dxa"/>
            <w:shd w:val="clear" w:color="auto" w:fill="FFFFFF"/>
          </w:tcPr>
          <w:p w14:paraId="5D90F0AF" w14:textId="77777777" w:rsidR="004B2770" w:rsidRPr="008B01DA" w:rsidRDefault="0074309E" w:rsidP="003858C5">
            <w:pPr>
              <w:pStyle w:val="RollCallTable"/>
            </w:pPr>
            <w:r w:rsidRPr="008B01DA">
              <w:t>Christine Anderson</w:t>
            </w:r>
          </w:p>
        </w:tc>
      </w:tr>
      <w:tr w:rsidR="008A7DE5" w:rsidRPr="008B01DA" w14:paraId="5353A0BA" w14:textId="77777777" w:rsidTr="008920AC">
        <w:trPr>
          <w:cantSplit/>
        </w:trPr>
        <w:tc>
          <w:tcPr>
            <w:tcW w:w="1701" w:type="dxa"/>
            <w:shd w:val="clear" w:color="auto" w:fill="FFFFFF"/>
          </w:tcPr>
          <w:p w14:paraId="4D568898" w14:textId="77777777" w:rsidR="004B2770" w:rsidRPr="008B01DA" w:rsidRDefault="0074309E" w:rsidP="003858C5">
            <w:pPr>
              <w:pStyle w:val="RollCallTable"/>
            </w:pPr>
            <w:r w:rsidRPr="008B01DA">
              <w:t>NI</w:t>
            </w:r>
          </w:p>
        </w:tc>
        <w:tc>
          <w:tcPr>
            <w:tcW w:w="7371" w:type="dxa"/>
            <w:shd w:val="clear" w:color="auto" w:fill="FFFFFF"/>
          </w:tcPr>
          <w:p w14:paraId="0BC302EB" w14:textId="77777777" w:rsidR="004B2770" w:rsidRPr="008B01DA" w:rsidRDefault="0074309E" w:rsidP="003858C5">
            <w:pPr>
              <w:pStyle w:val="RollCallTable"/>
            </w:pPr>
            <w:r w:rsidRPr="008B01DA">
              <w:t xml:space="preserve">Fernand </w:t>
            </w:r>
            <w:r w:rsidRPr="008B01DA">
              <w:t>Kartheiser</w:t>
            </w:r>
          </w:p>
        </w:tc>
      </w:tr>
      <w:tr w:rsidR="008A7DE5" w:rsidRPr="008B01DA" w14:paraId="250EC0B0" w14:textId="77777777" w:rsidTr="008920AC">
        <w:trPr>
          <w:cantSplit/>
        </w:trPr>
        <w:tc>
          <w:tcPr>
            <w:tcW w:w="1701" w:type="dxa"/>
            <w:shd w:val="clear" w:color="auto" w:fill="FFFFFF"/>
          </w:tcPr>
          <w:p w14:paraId="4A49D19E" w14:textId="77777777" w:rsidR="004B2770" w:rsidRPr="008B01DA" w:rsidRDefault="0074309E" w:rsidP="003858C5">
            <w:pPr>
              <w:pStyle w:val="RollCallTable"/>
            </w:pPr>
            <w:r w:rsidRPr="008B01DA">
              <w:t>PfE</w:t>
            </w:r>
          </w:p>
        </w:tc>
        <w:tc>
          <w:tcPr>
            <w:tcW w:w="7371" w:type="dxa"/>
            <w:shd w:val="clear" w:color="auto" w:fill="FFFFFF"/>
          </w:tcPr>
          <w:p w14:paraId="0CFB7045" w14:textId="77777777" w:rsidR="004B2770" w:rsidRPr="008B01DA" w:rsidRDefault="0074309E" w:rsidP="003858C5">
            <w:pPr>
              <w:pStyle w:val="RollCallTable"/>
            </w:pPr>
            <w:r w:rsidRPr="008B01DA">
              <w:t>Mathilde Androuët, Mireia Borrás Pabón, Elisabeth Dieringer, Margarita de la Pisa Carrión, Anders Vistisen</w:t>
            </w:r>
          </w:p>
        </w:tc>
      </w:tr>
    </w:tbl>
    <w:p w14:paraId="4202ED90" w14:textId="77777777" w:rsidR="004B2770" w:rsidRPr="008B01DA" w:rsidRDefault="004B2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A7DE5" w:rsidRPr="008B01DA" w14:paraId="0CCD8370" w14:textId="77777777" w:rsidTr="008920AC">
        <w:trPr>
          <w:cantSplit/>
        </w:trPr>
        <w:tc>
          <w:tcPr>
            <w:tcW w:w="1701" w:type="dxa"/>
            <w:shd w:val="pct10" w:color="000000" w:fill="FFFFFF"/>
            <w:vAlign w:val="center"/>
          </w:tcPr>
          <w:p w14:paraId="05608E0C" w14:textId="77777777" w:rsidR="004B2770" w:rsidRPr="008B01DA" w:rsidRDefault="0074309E" w:rsidP="003858C5">
            <w:pPr>
              <w:pStyle w:val="RollCallVotes"/>
            </w:pPr>
            <w:r w:rsidRPr="008B01DA">
              <w:t>1</w:t>
            </w:r>
          </w:p>
        </w:tc>
        <w:tc>
          <w:tcPr>
            <w:tcW w:w="7371" w:type="dxa"/>
            <w:shd w:val="pct10" w:color="000000" w:fill="FFFFFF"/>
          </w:tcPr>
          <w:p w14:paraId="643628F1" w14:textId="77777777" w:rsidR="004B2770" w:rsidRPr="008B01DA" w:rsidRDefault="0074309E" w:rsidP="003858C5">
            <w:pPr>
              <w:pStyle w:val="RollCallSymbols14pt"/>
            </w:pPr>
            <w:r w:rsidRPr="008B01DA">
              <w:t>0</w:t>
            </w:r>
          </w:p>
        </w:tc>
      </w:tr>
      <w:tr w:rsidR="008A7DE5" w:rsidRPr="008B01DA" w14:paraId="033BC382" w14:textId="77777777" w:rsidTr="008920AC">
        <w:trPr>
          <w:cantSplit/>
        </w:trPr>
        <w:tc>
          <w:tcPr>
            <w:tcW w:w="1701" w:type="dxa"/>
            <w:shd w:val="clear" w:color="auto" w:fill="FFFFFF"/>
          </w:tcPr>
          <w:p w14:paraId="43382A04" w14:textId="77777777" w:rsidR="004B2770" w:rsidRPr="008B01DA" w:rsidRDefault="0074309E" w:rsidP="003858C5">
            <w:pPr>
              <w:pStyle w:val="RollCallTable"/>
            </w:pPr>
            <w:r w:rsidRPr="008B01DA">
              <w:t>NI</w:t>
            </w:r>
          </w:p>
        </w:tc>
        <w:tc>
          <w:tcPr>
            <w:tcW w:w="7371" w:type="dxa"/>
            <w:shd w:val="clear" w:color="auto" w:fill="FFFFFF"/>
          </w:tcPr>
          <w:p w14:paraId="5CB0BC7C" w14:textId="77777777" w:rsidR="004B2770" w:rsidRPr="008B01DA" w:rsidRDefault="0074309E" w:rsidP="003858C5">
            <w:pPr>
              <w:pStyle w:val="RollCallTable"/>
            </w:pPr>
            <w:r w:rsidRPr="008B01DA">
              <w:t>Judita Laššáková</w:t>
            </w:r>
          </w:p>
        </w:tc>
      </w:tr>
    </w:tbl>
    <w:p w14:paraId="26C7F944" w14:textId="77777777" w:rsidR="004B2770" w:rsidRPr="008B01DA" w:rsidRDefault="004B2770" w:rsidP="00147FBF">
      <w:pPr>
        <w:pStyle w:val="Normal12a"/>
      </w:pPr>
    </w:p>
    <w:p w14:paraId="60B27188" w14:textId="77777777" w:rsidR="004B2770" w:rsidRPr="008B01DA" w:rsidRDefault="0074309E" w:rsidP="00B735E3">
      <w:r w:rsidRPr="008B01DA">
        <w:t>Verklaring van de gebruikte tekens:</w:t>
      </w:r>
    </w:p>
    <w:p w14:paraId="38BA585B" w14:textId="77777777" w:rsidR="004B2770" w:rsidRPr="008B01DA" w:rsidRDefault="0074309E" w:rsidP="003858C5">
      <w:pPr>
        <w:pStyle w:val="RollCallTabs"/>
      </w:pPr>
      <w:r w:rsidRPr="008B01DA">
        <w:t>+</w:t>
      </w:r>
      <w:r w:rsidRPr="008B01DA">
        <w:tab/>
        <w:t>:</w:t>
      </w:r>
      <w:r w:rsidRPr="008B01DA">
        <w:tab/>
        <w:t>voor</w:t>
      </w:r>
    </w:p>
    <w:p w14:paraId="5FDC6EC0" w14:textId="77777777" w:rsidR="004B2770" w:rsidRPr="008B01DA" w:rsidRDefault="0074309E" w:rsidP="003858C5">
      <w:pPr>
        <w:pStyle w:val="RollCallTabs"/>
      </w:pPr>
      <w:r w:rsidRPr="008B01DA">
        <w:t>-</w:t>
      </w:r>
      <w:r w:rsidRPr="008B01DA">
        <w:tab/>
        <w:t>:</w:t>
      </w:r>
      <w:r w:rsidRPr="008B01DA">
        <w:tab/>
        <w:t>tegen</w:t>
      </w:r>
    </w:p>
    <w:p w14:paraId="2691B7D5" w14:textId="77777777" w:rsidR="004B2770" w:rsidRPr="008B01DA" w:rsidRDefault="0074309E" w:rsidP="003858C5">
      <w:pPr>
        <w:pStyle w:val="RollCallTabs"/>
      </w:pPr>
      <w:r w:rsidRPr="008B01DA">
        <w:t>0</w:t>
      </w:r>
      <w:r w:rsidRPr="008B01DA">
        <w:tab/>
        <w:t>:</w:t>
      </w:r>
      <w:r w:rsidRPr="008B01DA">
        <w:tab/>
        <w:t>onthouding(en)</w:t>
      </w:r>
    </w:p>
    <w:p w14:paraId="3F46386D" w14:textId="77777777" w:rsidR="004B2770" w:rsidRPr="008B01DA" w:rsidRDefault="004B2770" w:rsidP="00207509"/>
    <w:bookmarkEnd w:id="2"/>
    <w:p w14:paraId="03EF8378" w14:textId="77777777" w:rsidR="00E00FA5" w:rsidRPr="008B01DA" w:rsidRDefault="00E00FA5" w:rsidP="00FC26A4"/>
    <w:sectPr w:rsidR="00E00FA5" w:rsidRPr="008B01DA" w:rsidSect="004B2770">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04879" w14:textId="77777777" w:rsidR="0074309E" w:rsidRPr="008B01DA" w:rsidRDefault="0074309E">
      <w:r w:rsidRPr="008B01DA">
        <w:separator/>
      </w:r>
    </w:p>
  </w:endnote>
  <w:endnote w:type="continuationSeparator" w:id="0">
    <w:p w14:paraId="3AF091D1" w14:textId="77777777" w:rsidR="0074309E" w:rsidRPr="008B01DA" w:rsidRDefault="0074309E">
      <w:r w:rsidRPr="008B01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1FF4F" w14:textId="77777777" w:rsidR="008B01DA" w:rsidRPr="008B01DA" w:rsidRDefault="008B01DA" w:rsidP="008B01DA">
    <w:pPr>
      <w:pStyle w:val="EPFooter"/>
    </w:pPr>
    <w:r w:rsidRPr="008B01DA">
      <w:t>PE</w:t>
    </w:r>
    <w:r w:rsidRPr="008B01DA">
      <w:rPr>
        <w:rStyle w:val="HideTWBExt"/>
      </w:rPr>
      <w:t>&lt;NoPE&gt;</w:t>
    </w:r>
    <w:r w:rsidRPr="008B01DA">
      <w:t>779.729</w:t>
    </w:r>
    <w:r w:rsidRPr="008B01DA">
      <w:rPr>
        <w:rStyle w:val="HideTWBExt"/>
      </w:rPr>
      <w:t>&lt;/NoPE&gt;&lt;Version&gt;</w:t>
    </w:r>
    <w:r w:rsidRPr="008B01DA">
      <w:t>v02-00</w:t>
    </w:r>
    <w:r w:rsidRPr="008B01DA">
      <w:rPr>
        <w:rStyle w:val="HideTWBExt"/>
      </w:rPr>
      <w:t>&lt;/Version&gt;</w:t>
    </w:r>
    <w:r w:rsidRPr="008B01DA">
      <w:tab/>
    </w:r>
    <w:r w:rsidRPr="008B01DA">
      <w:fldChar w:fldCharType="begin"/>
    </w:r>
    <w:r w:rsidRPr="008B01DA">
      <w:instrText xml:space="preserve"> PAGE  \* MERGEFORMAT </w:instrText>
    </w:r>
    <w:r w:rsidRPr="008B01DA">
      <w:fldChar w:fldCharType="separate"/>
    </w:r>
    <w:r w:rsidRPr="008B01DA">
      <w:rPr>
        <w:noProof/>
      </w:rPr>
      <w:t>2</w:t>
    </w:r>
    <w:r w:rsidRPr="008B01DA">
      <w:fldChar w:fldCharType="end"/>
    </w:r>
    <w:r w:rsidRPr="008B01DA">
      <w:t>/</w:t>
    </w:r>
    <w:fldSimple w:instr=" NUMPAGES  \* MERGEFORMAT ">
      <w:r w:rsidRPr="008B01DA">
        <w:rPr>
          <w:noProof/>
        </w:rPr>
        <w:t>9</w:t>
      </w:r>
    </w:fldSimple>
    <w:r w:rsidRPr="008B01DA">
      <w:tab/>
    </w:r>
    <w:r w:rsidRPr="008B01DA">
      <w:rPr>
        <w:rStyle w:val="HideTWBExt"/>
      </w:rPr>
      <w:t>&lt;PathFdR&gt;</w:t>
    </w:r>
    <w:r w:rsidRPr="008B01DA">
      <w:t>AD\1335431NL.docx</w:t>
    </w:r>
    <w:r w:rsidRPr="008B01DA">
      <w:rPr>
        <w:rStyle w:val="HideTWBExt"/>
      </w:rPr>
      <w:t>&lt;/PathFdR&gt;</w:t>
    </w:r>
  </w:p>
  <w:p w14:paraId="6CC249C8" w14:textId="49782539" w:rsidR="00C75378" w:rsidRPr="008B01DA" w:rsidRDefault="008B01DA" w:rsidP="008B01DA">
    <w:pPr>
      <w:pStyle w:val="EPFooter2"/>
    </w:pPr>
    <w:r w:rsidRPr="008B01DA">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0330" w14:textId="77777777" w:rsidR="008B01DA" w:rsidRPr="008B01DA" w:rsidRDefault="008B01DA" w:rsidP="008B01DA">
    <w:pPr>
      <w:pStyle w:val="EPFooter"/>
    </w:pPr>
    <w:r w:rsidRPr="008B01DA">
      <w:rPr>
        <w:rStyle w:val="HideTWBExt"/>
      </w:rPr>
      <w:t>&lt;PathFdR&gt;</w:t>
    </w:r>
    <w:r w:rsidRPr="008B01DA">
      <w:t>AD\1335431NL.docx</w:t>
    </w:r>
    <w:r w:rsidRPr="008B01DA">
      <w:rPr>
        <w:rStyle w:val="HideTWBExt"/>
      </w:rPr>
      <w:t>&lt;/PathFdR&gt;</w:t>
    </w:r>
    <w:r w:rsidRPr="008B01DA">
      <w:tab/>
    </w:r>
    <w:r w:rsidRPr="008B01DA">
      <w:fldChar w:fldCharType="begin"/>
    </w:r>
    <w:r w:rsidRPr="008B01DA">
      <w:instrText xml:space="preserve"> PAGE  \* MERGEFORMAT </w:instrText>
    </w:r>
    <w:r w:rsidRPr="008B01DA">
      <w:fldChar w:fldCharType="separate"/>
    </w:r>
    <w:r w:rsidRPr="008B01DA">
      <w:rPr>
        <w:noProof/>
      </w:rPr>
      <w:t>9</w:t>
    </w:r>
    <w:r w:rsidRPr="008B01DA">
      <w:fldChar w:fldCharType="end"/>
    </w:r>
    <w:r w:rsidRPr="008B01DA">
      <w:t>/</w:t>
    </w:r>
    <w:fldSimple w:instr=" NUMPAGES  \* MERGEFORMAT ">
      <w:r w:rsidRPr="008B01DA">
        <w:rPr>
          <w:noProof/>
        </w:rPr>
        <w:t>9</w:t>
      </w:r>
    </w:fldSimple>
    <w:r w:rsidRPr="008B01DA">
      <w:tab/>
      <w:t>PE</w:t>
    </w:r>
    <w:r w:rsidRPr="008B01DA">
      <w:rPr>
        <w:rStyle w:val="HideTWBExt"/>
      </w:rPr>
      <w:t>&lt;NoPE&gt;</w:t>
    </w:r>
    <w:r w:rsidRPr="008B01DA">
      <w:t>779.729</w:t>
    </w:r>
    <w:r w:rsidRPr="008B01DA">
      <w:rPr>
        <w:rStyle w:val="HideTWBExt"/>
      </w:rPr>
      <w:t>&lt;/NoPE&gt;&lt;Version&gt;</w:t>
    </w:r>
    <w:r w:rsidRPr="008B01DA">
      <w:t>v02-00</w:t>
    </w:r>
    <w:r w:rsidRPr="008B01DA">
      <w:rPr>
        <w:rStyle w:val="HideTWBExt"/>
      </w:rPr>
      <w:t>&lt;/Version&gt;</w:t>
    </w:r>
  </w:p>
  <w:p w14:paraId="72E83D42" w14:textId="0DB2C484" w:rsidR="00C75378" w:rsidRPr="008B01DA" w:rsidRDefault="008B01DA" w:rsidP="008B01DA">
    <w:pPr>
      <w:pStyle w:val="EPFooter2"/>
    </w:pPr>
    <w:r w:rsidRPr="008B01DA">
      <w:tab/>
    </w:r>
    <w:r w:rsidRPr="008B01DA">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84943" w14:textId="77777777" w:rsidR="008B01DA" w:rsidRPr="008B01DA" w:rsidRDefault="008B01DA" w:rsidP="008B01DA">
    <w:pPr>
      <w:pStyle w:val="EPFooter"/>
    </w:pPr>
    <w:r w:rsidRPr="008B01DA">
      <w:rPr>
        <w:rStyle w:val="HideTWBExt"/>
      </w:rPr>
      <w:t>&lt;PathFdR&gt;</w:t>
    </w:r>
    <w:r w:rsidRPr="008B01DA">
      <w:t>AD\1335431NL.docx</w:t>
    </w:r>
    <w:r w:rsidRPr="008B01DA">
      <w:rPr>
        <w:rStyle w:val="HideTWBExt"/>
      </w:rPr>
      <w:t>&lt;/PathFdR&gt;</w:t>
    </w:r>
    <w:r w:rsidRPr="008B01DA">
      <w:tab/>
    </w:r>
    <w:r w:rsidRPr="008B01DA">
      <w:tab/>
      <w:t>PE</w:t>
    </w:r>
    <w:r w:rsidRPr="008B01DA">
      <w:rPr>
        <w:rStyle w:val="HideTWBExt"/>
      </w:rPr>
      <w:t>&lt;NoPE&gt;</w:t>
    </w:r>
    <w:r w:rsidRPr="008B01DA">
      <w:t>779.729</w:t>
    </w:r>
    <w:r w:rsidRPr="008B01DA">
      <w:rPr>
        <w:rStyle w:val="HideTWBExt"/>
      </w:rPr>
      <w:t>&lt;/NoPE&gt;&lt;Version&gt;</w:t>
    </w:r>
    <w:r w:rsidRPr="008B01DA">
      <w:t>v02-00</w:t>
    </w:r>
    <w:r w:rsidRPr="008B01DA">
      <w:rPr>
        <w:rStyle w:val="HideTWBExt"/>
      </w:rPr>
      <w:t>&lt;/Version&gt;</w:t>
    </w:r>
  </w:p>
  <w:p w14:paraId="2DD848BD" w14:textId="11EEC0EF" w:rsidR="00C75378" w:rsidRPr="008B01DA" w:rsidRDefault="008B01DA" w:rsidP="008B01DA">
    <w:pPr>
      <w:pStyle w:val="EPFooter2"/>
    </w:pPr>
    <w:r w:rsidRPr="008B01DA">
      <w:t>NL</w:t>
    </w:r>
    <w:r w:rsidRPr="008B01DA">
      <w:tab/>
    </w:r>
    <w:r w:rsidRPr="008B01DA">
      <w:rPr>
        <w:b w:val="0"/>
        <w:i/>
        <w:color w:val="C0C0C0"/>
        <w:sz w:val="22"/>
      </w:rPr>
      <w:t>In verscheidenheid verenigd</w:t>
    </w:r>
    <w:r w:rsidRPr="008B01DA">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35A93" w14:textId="77777777" w:rsidR="0026150B" w:rsidRPr="008B01DA" w:rsidRDefault="0074309E">
      <w:r w:rsidRPr="008B01DA">
        <w:separator/>
      </w:r>
    </w:p>
  </w:footnote>
  <w:footnote w:type="continuationSeparator" w:id="0">
    <w:p w14:paraId="4E267A12" w14:textId="77777777" w:rsidR="0026150B" w:rsidRPr="008B01DA" w:rsidRDefault="0074309E">
      <w:r w:rsidRPr="008B01DA">
        <w:continuationSeparator/>
      </w:r>
    </w:p>
  </w:footnote>
  <w:footnote w:id="1">
    <w:p w14:paraId="1A435C2C" w14:textId="6416EDC2" w:rsidR="004B2770" w:rsidRPr="008B01DA" w:rsidRDefault="0074309E">
      <w:pPr>
        <w:pStyle w:val="FootnoteText"/>
      </w:pPr>
      <w:r w:rsidRPr="008B01DA">
        <w:rPr>
          <w:rStyle w:val="FootnoteReference"/>
        </w:rPr>
        <w:footnoteRef/>
      </w:r>
      <w:r w:rsidRPr="008B01DA">
        <w:t xml:space="preserve"> Interinstitutioneel Akkoord van 20 mei 2021 tussen het Europees Parlement, de Raad van de Europese Unie en de Europese Commissie over een verplicht transparantieregister (PB L 207 van 11.6.2021, blz. 1, ELI: </w:t>
      </w:r>
      <w:hyperlink r:id="rId1" w:history="1">
        <w:r w:rsidRPr="008B01DA">
          <w:rPr>
            <w:rStyle w:val="Hyperlink"/>
            <w:sz w:val="24"/>
          </w:rPr>
          <w:t>http://data.europa.eu/eli/agree_interinstit/2021/611/oj</w:t>
        </w:r>
      </w:hyperlink>
      <w:r w:rsidRPr="008B01D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1E0B1" w14:textId="77777777" w:rsidR="0074309E" w:rsidRDefault="007430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136D8" w14:textId="77777777" w:rsidR="0074309E" w:rsidRDefault="007430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555A5" w14:textId="77777777" w:rsidR="0074309E" w:rsidRDefault="00743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90418099">
    <w:abstractNumId w:val="9"/>
  </w:num>
  <w:num w:numId="2" w16cid:durableId="1096287308">
    <w:abstractNumId w:val="9"/>
  </w:num>
  <w:num w:numId="3" w16cid:durableId="1873154565">
    <w:abstractNumId w:val="7"/>
  </w:num>
  <w:num w:numId="4" w16cid:durableId="201020814">
    <w:abstractNumId w:val="7"/>
  </w:num>
  <w:num w:numId="5" w16cid:durableId="863716726">
    <w:abstractNumId w:val="6"/>
  </w:num>
  <w:num w:numId="6" w16cid:durableId="283540670">
    <w:abstractNumId w:val="6"/>
  </w:num>
  <w:num w:numId="7" w16cid:durableId="399790441">
    <w:abstractNumId w:val="5"/>
  </w:num>
  <w:num w:numId="8" w16cid:durableId="1150097090">
    <w:abstractNumId w:val="5"/>
  </w:num>
  <w:num w:numId="9" w16cid:durableId="1954625954">
    <w:abstractNumId w:val="4"/>
  </w:num>
  <w:num w:numId="10" w16cid:durableId="890845769">
    <w:abstractNumId w:val="4"/>
  </w:num>
  <w:num w:numId="11" w16cid:durableId="1807163248">
    <w:abstractNumId w:val="8"/>
  </w:num>
  <w:num w:numId="12" w16cid:durableId="1199319938">
    <w:abstractNumId w:val="8"/>
  </w:num>
  <w:num w:numId="13" w16cid:durableId="1952467364">
    <w:abstractNumId w:val="3"/>
  </w:num>
  <w:num w:numId="14" w16cid:durableId="1325814075">
    <w:abstractNumId w:val="3"/>
  </w:num>
  <w:num w:numId="15" w16cid:durableId="499197118">
    <w:abstractNumId w:val="2"/>
  </w:num>
  <w:num w:numId="16" w16cid:durableId="612832300">
    <w:abstractNumId w:val="2"/>
  </w:num>
  <w:num w:numId="17" w16cid:durableId="365955626">
    <w:abstractNumId w:val="1"/>
  </w:num>
  <w:num w:numId="18" w16cid:durableId="897135543">
    <w:abstractNumId w:val="1"/>
  </w:num>
  <w:num w:numId="19" w16cid:durableId="1898391877">
    <w:abstractNumId w:val="0"/>
  </w:num>
  <w:num w:numId="20" w16cid:durableId="278730030">
    <w:abstractNumId w:val="0"/>
  </w:num>
  <w:num w:numId="21" w16cid:durableId="1877043185">
    <w:abstractNumId w:val="9"/>
  </w:num>
  <w:num w:numId="22" w16cid:durableId="2092505848">
    <w:abstractNumId w:val="7"/>
  </w:num>
  <w:num w:numId="23" w16cid:durableId="1871215330">
    <w:abstractNumId w:val="6"/>
  </w:num>
  <w:num w:numId="24" w16cid:durableId="855264869">
    <w:abstractNumId w:val="5"/>
  </w:num>
  <w:num w:numId="25" w16cid:durableId="1752894662">
    <w:abstractNumId w:val="4"/>
  </w:num>
  <w:num w:numId="26" w16cid:durableId="2115633578">
    <w:abstractNumId w:val="8"/>
  </w:num>
  <w:num w:numId="27" w16cid:durableId="823811319">
    <w:abstractNumId w:val="3"/>
  </w:num>
  <w:num w:numId="28" w16cid:durableId="1667857488">
    <w:abstractNumId w:val="2"/>
  </w:num>
  <w:num w:numId="29" w16cid:durableId="437718752">
    <w:abstractNumId w:val="1"/>
  </w:num>
  <w:num w:numId="30" w16cid:durableId="1829513394">
    <w:abstractNumId w:val="0"/>
  </w:num>
  <w:num w:numId="31" w16cid:durableId="1194805569">
    <w:abstractNumId w:val="9"/>
  </w:num>
  <w:num w:numId="32" w16cid:durableId="795220350">
    <w:abstractNumId w:val="7"/>
  </w:num>
  <w:num w:numId="33" w16cid:durableId="1206410519">
    <w:abstractNumId w:val="6"/>
  </w:num>
  <w:num w:numId="34" w16cid:durableId="1608929393">
    <w:abstractNumId w:val="5"/>
  </w:num>
  <w:num w:numId="35" w16cid:durableId="694228830">
    <w:abstractNumId w:val="4"/>
  </w:num>
  <w:num w:numId="36" w16cid:durableId="333456576">
    <w:abstractNumId w:val="8"/>
  </w:num>
  <w:num w:numId="37" w16cid:durableId="280958520">
    <w:abstractNumId w:val="3"/>
  </w:num>
  <w:num w:numId="38" w16cid:durableId="749423892">
    <w:abstractNumId w:val="2"/>
  </w:num>
  <w:num w:numId="39" w16cid:durableId="139270770">
    <w:abstractNumId w:val="1"/>
  </w:num>
  <w:num w:numId="40" w16cid:durableId="184732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ITLEMNU" w:val=" 13"/>
    <w:docVar w:name="AUTHORMFMNU" w:val=" 2"/>
    <w:docVar w:name="COMKEY" w:val="FEMM"/>
    <w:docVar w:name="CONTRIBUTIONMNU" w:val=" 2"/>
    <w:docVar w:name="CopyCurrentAMExNoFinalMsg" w:val="False"/>
    <w:docVar w:name="CopyToNetwork" w:val="-1"/>
    <w:docVar w:name="DOCDT" w:val="24/11/2025"/>
    <w:docVar w:name="FONCTIONMNU" w:val=" 1"/>
    <w:docVar w:name="LastAMInserted" w:val="16"/>
    <w:docVar w:name="LastEditedSection" w:val=" 1"/>
    <w:docVar w:name="NumberAMInserted" w:val="16"/>
    <w:docVar w:name="PARTCOUNT" w:val="0"/>
    <w:docVar w:name="strDocTypeID" w:val="PA_NonLegDec"/>
    <w:docVar w:name="strSubDir" w:val="1335"/>
    <w:docVar w:name="TITLEMNU" w:val=" 1"/>
    <w:docVar w:name="TXTAUTHOR" w:val="Raquel García Hermida_x001e_Van Der Walle"/>
    <w:docVar w:name="TXTBUDYEAR" w:val="2024"/>
    <w:docVar w:name="TXTLANGUE" w:val="EN"/>
    <w:docVar w:name="TXTLANGUEMIN" w:val="en"/>
    <w:docVar w:name="TXTNRPE" w:val="779.729"/>
    <w:docVar w:name="TXTNRPROC" w:val="2025/2156"/>
    <w:docVar w:name="TXTPEorAP" w:val="PE"/>
    <w:docVar w:name="TXTROUTE" w:val="AD\1335431EN.docx"/>
    <w:docVar w:name="TXTVERSION" w:val="02-00"/>
  </w:docVars>
  <w:rsids>
    <w:rsidRoot w:val="00AC5540"/>
    <w:rsid w:val="000048A8"/>
    <w:rsid w:val="00004E79"/>
    <w:rsid w:val="00007A18"/>
    <w:rsid w:val="00037518"/>
    <w:rsid w:val="00062634"/>
    <w:rsid w:val="000A05CA"/>
    <w:rsid w:val="000B6C4B"/>
    <w:rsid w:val="000C2F42"/>
    <w:rsid w:val="000D001F"/>
    <w:rsid w:val="000D099F"/>
    <w:rsid w:val="000D3815"/>
    <w:rsid w:val="000D69B4"/>
    <w:rsid w:val="000E6813"/>
    <w:rsid w:val="000F07FE"/>
    <w:rsid w:val="000F3882"/>
    <w:rsid w:val="000F5166"/>
    <w:rsid w:val="001275F4"/>
    <w:rsid w:val="00147FBF"/>
    <w:rsid w:val="00180254"/>
    <w:rsid w:val="0019349F"/>
    <w:rsid w:val="001A455F"/>
    <w:rsid w:val="001A627F"/>
    <w:rsid w:val="001B478D"/>
    <w:rsid w:val="001E0B63"/>
    <w:rsid w:val="001F2766"/>
    <w:rsid w:val="001F6ED8"/>
    <w:rsid w:val="00207509"/>
    <w:rsid w:val="00212D35"/>
    <w:rsid w:val="00226626"/>
    <w:rsid w:val="00245C7F"/>
    <w:rsid w:val="00250546"/>
    <w:rsid w:val="0026150B"/>
    <w:rsid w:val="00271180"/>
    <w:rsid w:val="00292C9D"/>
    <w:rsid w:val="002A4AC9"/>
    <w:rsid w:val="002B2892"/>
    <w:rsid w:val="002B2C72"/>
    <w:rsid w:val="002B6B2E"/>
    <w:rsid w:val="002C0EE6"/>
    <w:rsid w:val="002C34AE"/>
    <w:rsid w:val="002D106D"/>
    <w:rsid w:val="002E2F2E"/>
    <w:rsid w:val="00307C14"/>
    <w:rsid w:val="003158D5"/>
    <w:rsid w:val="00321E04"/>
    <w:rsid w:val="003703FE"/>
    <w:rsid w:val="003707A7"/>
    <w:rsid w:val="003858C5"/>
    <w:rsid w:val="00385BAB"/>
    <w:rsid w:val="0039003E"/>
    <w:rsid w:val="00394296"/>
    <w:rsid w:val="00396FA9"/>
    <w:rsid w:val="003A1FEB"/>
    <w:rsid w:val="003A4377"/>
    <w:rsid w:val="003B72FC"/>
    <w:rsid w:val="003D684B"/>
    <w:rsid w:val="003E06CF"/>
    <w:rsid w:val="003E12CB"/>
    <w:rsid w:val="003E35FB"/>
    <w:rsid w:val="003F3B83"/>
    <w:rsid w:val="00431E30"/>
    <w:rsid w:val="00487232"/>
    <w:rsid w:val="00495CA4"/>
    <w:rsid w:val="004A34E6"/>
    <w:rsid w:val="004B2770"/>
    <w:rsid w:val="004C28FB"/>
    <w:rsid w:val="004E54DC"/>
    <w:rsid w:val="004F48ED"/>
    <w:rsid w:val="00514664"/>
    <w:rsid w:val="0055017A"/>
    <w:rsid w:val="00552E22"/>
    <w:rsid w:val="00556722"/>
    <w:rsid w:val="00565852"/>
    <w:rsid w:val="0056647C"/>
    <w:rsid w:val="00577018"/>
    <w:rsid w:val="005779E7"/>
    <w:rsid w:val="0058605A"/>
    <w:rsid w:val="00586693"/>
    <w:rsid w:val="005D0786"/>
    <w:rsid w:val="005E3670"/>
    <w:rsid w:val="005F008F"/>
    <w:rsid w:val="00600DC9"/>
    <w:rsid w:val="00643F39"/>
    <w:rsid w:val="00644C72"/>
    <w:rsid w:val="0064631C"/>
    <w:rsid w:val="00663340"/>
    <w:rsid w:val="00664EBB"/>
    <w:rsid w:val="0066728C"/>
    <w:rsid w:val="006819E0"/>
    <w:rsid w:val="006873DF"/>
    <w:rsid w:val="006935B5"/>
    <w:rsid w:val="006F5A0C"/>
    <w:rsid w:val="0071319E"/>
    <w:rsid w:val="00722749"/>
    <w:rsid w:val="0074309E"/>
    <w:rsid w:val="00794E21"/>
    <w:rsid w:val="007B559D"/>
    <w:rsid w:val="007C42E0"/>
    <w:rsid w:val="007D2CC7"/>
    <w:rsid w:val="007F41E0"/>
    <w:rsid w:val="00806587"/>
    <w:rsid w:val="008818A9"/>
    <w:rsid w:val="008A7DE5"/>
    <w:rsid w:val="008B01DA"/>
    <w:rsid w:val="008C6240"/>
    <w:rsid w:val="008E315D"/>
    <w:rsid w:val="008E7494"/>
    <w:rsid w:val="008F36CD"/>
    <w:rsid w:val="008F7002"/>
    <w:rsid w:val="0095301E"/>
    <w:rsid w:val="00953AAA"/>
    <w:rsid w:val="0095497D"/>
    <w:rsid w:val="009669A8"/>
    <w:rsid w:val="00972FD8"/>
    <w:rsid w:val="00977F76"/>
    <w:rsid w:val="0098140C"/>
    <w:rsid w:val="009879D7"/>
    <w:rsid w:val="009A33F4"/>
    <w:rsid w:val="009A403C"/>
    <w:rsid w:val="009B5265"/>
    <w:rsid w:val="00A2041C"/>
    <w:rsid w:val="00A2091E"/>
    <w:rsid w:val="00A24FB1"/>
    <w:rsid w:val="00A722B1"/>
    <w:rsid w:val="00A7288B"/>
    <w:rsid w:val="00A8267E"/>
    <w:rsid w:val="00A93570"/>
    <w:rsid w:val="00A9617A"/>
    <w:rsid w:val="00AA1A2C"/>
    <w:rsid w:val="00AA223C"/>
    <w:rsid w:val="00AC5540"/>
    <w:rsid w:val="00AF77DA"/>
    <w:rsid w:val="00B107A4"/>
    <w:rsid w:val="00B1441B"/>
    <w:rsid w:val="00B362F7"/>
    <w:rsid w:val="00B735E3"/>
    <w:rsid w:val="00BA3E0B"/>
    <w:rsid w:val="00BB2AC1"/>
    <w:rsid w:val="00BB514D"/>
    <w:rsid w:val="00BC5A92"/>
    <w:rsid w:val="00BD08F1"/>
    <w:rsid w:val="00C04938"/>
    <w:rsid w:val="00C175C0"/>
    <w:rsid w:val="00C36610"/>
    <w:rsid w:val="00C47E30"/>
    <w:rsid w:val="00C54F53"/>
    <w:rsid w:val="00C636F1"/>
    <w:rsid w:val="00C75378"/>
    <w:rsid w:val="00C85D0F"/>
    <w:rsid w:val="00CA0D01"/>
    <w:rsid w:val="00CE18D0"/>
    <w:rsid w:val="00CF7076"/>
    <w:rsid w:val="00D044C5"/>
    <w:rsid w:val="00D41244"/>
    <w:rsid w:val="00D438D0"/>
    <w:rsid w:val="00D44697"/>
    <w:rsid w:val="00D47632"/>
    <w:rsid w:val="00D625A2"/>
    <w:rsid w:val="00D71751"/>
    <w:rsid w:val="00D759AA"/>
    <w:rsid w:val="00D81FF7"/>
    <w:rsid w:val="00DA7632"/>
    <w:rsid w:val="00DB4D61"/>
    <w:rsid w:val="00E00FA5"/>
    <w:rsid w:val="00E01434"/>
    <w:rsid w:val="00E03CCB"/>
    <w:rsid w:val="00E05697"/>
    <w:rsid w:val="00E12435"/>
    <w:rsid w:val="00E3428B"/>
    <w:rsid w:val="00E3462E"/>
    <w:rsid w:val="00E37A1D"/>
    <w:rsid w:val="00E7171E"/>
    <w:rsid w:val="00E729C7"/>
    <w:rsid w:val="00E73071"/>
    <w:rsid w:val="00E83B40"/>
    <w:rsid w:val="00E9601C"/>
    <w:rsid w:val="00EA78B3"/>
    <w:rsid w:val="00EB19AA"/>
    <w:rsid w:val="00EC2C85"/>
    <w:rsid w:val="00EC5864"/>
    <w:rsid w:val="00ED7603"/>
    <w:rsid w:val="00F034ED"/>
    <w:rsid w:val="00F036E0"/>
    <w:rsid w:val="00F03D47"/>
    <w:rsid w:val="00F129D0"/>
    <w:rsid w:val="00F13113"/>
    <w:rsid w:val="00F34E0A"/>
    <w:rsid w:val="00F46E44"/>
    <w:rsid w:val="00F611FC"/>
    <w:rsid w:val="00F61E8C"/>
    <w:rsid w:val="00F707AB"/>
    <w:rsid w:val="00F73264"/>
    <w:rsid w:val="00F93F85"/>
    <w:rsid w:val="00F96D53"/>
    <w:rsid w:val="00FB459D"/>
    <w:rsid w:val="00FC1DEC"/>
    <w:rsid w:val="00FC26A4"/>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5BD6F"/>
  <w15:chartTrackingRefBased/>
  <w15:docId w15:val="{01900289-90DA-4A6C-A579-40284C0B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BD08F1"/>
    <w:rPr>
      <w:sz w:val="24"/>
    </w:rPr>
  </w:style>
  <w:style w:type="paragraph" w:styleId="Footer">
    <w:name w:val="footer"/>
    <w:basedOn w:val="Normal"/>
    <w:link w:val="FooterChar"/>
    <w:semiHidden/>
    <w:rsid w:val="00BA3E0B"/>
    <w:pPr>
      <w:tabs>
        <w:tab w:val="center" w:pos="4513"/>
        <w:tab w:val="right" w:pos="9026"/>
      </w:tabs>
    </w:pPr>
  </w:style>
  <w:style w:type="character" w:customStyle="1" w:styleId="FooterChar">
    <w:name w:val="Footer Char"/>
    <w:basedOn w:val="DefaultParagraphFont"/>
    <w:link w:val="Footer"/>
    <w:semiHidden/>
    <w:rsid w:val="00BA3E0B"/>
    <w:rPr>
      <w:sz w:val="24"/>
    </w:rPr>
  </w:style>
  <w:style w:type="paragraph" w:styleId="Revision">
    <w:name w:val="Revision"/>
    <w:hidden/>
    <w:uiPriority w:val="99"/>
    <w:semiHidden/>
    <w:rsid w:val="00A2091E"/>
    <w:rPr>
      <w:sz w:val="24"/>
    </w:rPr>
  </w:style>
  <w:style w:type="paragraph" w:customStyle="1" w:styleId="Normal24a">
    <w:name w:val="Normal24a"/>
    <w:basedOn w:val="Normal"/>
    <w:rsid w:val="004B2770"/>
    <w:pPr>
      <w:spacing w:after="480"/>
    </w:pPr>
    <w:rPr>
      <w:szCs w:val="24"/>
    </w:rPr>
  </w:style>
  <w:style w:type="paragraph" w:customStyle="1" w:styleId="NormalBoldCenter">
    <w:name w:val="NormalBoldCenter"/>
    <w:basedOn w:val="Normal"/>
    <w:rsid w:val="004B2770"/>
    <w:pPr>
      <w:jc w:val="center"/>
    </w:pPr>
    <w:rPr>
      <w:b/>
      <w:szCs w:val="24"/>
    </w:rPr>
  </w:style>
  <w:style w:type="paragraph" w:customStyle="1" w:styleId="Footprint12b">
    <w:name w:val="Footprint12b"/>
    <w:basedOn w:val="Normal"/>
    <w:rsid w:val="004B2770"/>
    <w:pPr>
      <w:spacing w:before="240"/>
    </w:pPr>
    <w:rPr>
      <w:szCs w:val="24"/>
    </w:rPr>
  </w:style>
  <w:style w:type="paragraph" w:customStyle="1" w:styleId="NormalSingle">
    <w:name w:val="NormalSingle"/>
    <w:basedOn w:val="Normal"/>
    <w:qFormat/>
    <w:rsid w:val="004B2770"/>
    <w:rPr>
      <w:szCs w:val="24"/>
    </w:rPr>
  </w:style>
  <w:style w:type="paragraph" w:styleId="FootnoteText">
    <w:name w:val="footnote text"/>
    <w:basedOn w:val="Normal"/>
    <w:link w:val="FootnoteTextChar"/>
    <w:rsid w:val="004B2770"/>
    <w:rPr>
      <w:sz w:val="20"/>
    </w:rPr>
  </w:style>
  <w:style w:type="character" w:customStyle="1" w:styleId="FootnoteTextChar">
    <w:name w:val="Footnote Text Char"/>
    <w:basedOn w:val="DefaultParagraphFont"/>
    <w:link w:val="FootnoteText"/>
    <w:rsid w:val="004B2770"/>
  </w:style>
  <w:style w:type="character" w:styleId="FootnoteReference">
    <w:name w:val="footnote reference"/>
    <w:basedOn w:val="DefaultParagraphFont"/>
    <w:rsid w:val="004B2770"/>
    <w:rPr>
      <w:vertAlign w:val="superscript"/>
    </w:rPr>
  </w:style>
  <w:style w:type="character" w:styleId="Hyperlink">
    <w:name w:val="Hyperlink"/>
    <w:basedOn w:val="DefaultParagraphFont"/>
    <w:rsid w:val="004B2770"/>
    <w:rPr>
      <w:color w:val="0563C1" w:themeColor="hyperlink"/>
      <w:u w:val="single"/>
    </w:rPr>
  </w:style>
  <w:style w:type="character" w:styleId="UnresolvedMention">
    <w:name w:val="Unresolved Mention"/>
    <w:basedOn w:val="DefaultParagraphFont"/>
    <w:uiPriority w:val="99"/>
    <w:semiHidden/>
    <w:unhideWhenUsed/>
    <w:rsid w:val="004B2770"/>
    <w:rPr>
      <w:color w:val="605E5C"/>
      <w:shd w:val="clear" w:color="auto" w:fill="E1DFDD"/>
    </w:rPr>
  </w:style>
  <w:style w:type="paragraph" w:customStyle="1" w:styleId="RollCallSymbols14pt">
    <w:name w:val="RollCallSymbols14pt"/>
    <w:basedOn w:val="Normal"/>
    <w:rsid w:val="004B277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B2770"/>
    <w:pPr>
      <w:tabs>
        <w:tab w:val="center" w:pos="284"/>
        <w:tab w:val="left" w:pos="426"/>
      </w:tabs>
    </w:pPr>
    <w:rPr>
      <w:snapToGrid w:val="0"/>
      <w:lang w:eastAsia="en-US"/>
    </w:rPr>
  </w:style>
  <w:style w:type="paragraph" w:customStyle="1" w:styleId="RollCallVotes">
    <w:name w:val="RollCallVotes"/>
    <w:basedOn w:val="Normal"/>
    <w:rsid w:val="004B2770"/>
    <w:pPr>
      <w:spacing w:before="120" w:after="120"/>
      <w:jc w:val="center"/>
    </w:pPr>
    <w:rPr>
      <w:b/>
      <w:bCs/>
      <w:snapToGrid w:val="0"/>
      <w:sz w:val="16"/>
      <w:lang w:eastAsia="en-US"/>
    </w:rPr>
  </w:style>
  <w:style w:type="paragraph" w:customStyle="1" w:styleId="RollCallTable">
    <w:name w:val="RollCallTable"/>
    <w:basedOn w:val="Normal"/>
    <w:rsid w:val="004B277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2128</Words>
  <Characters>13048</Characters>
  <Application>Microsoft Office Word</Application>
  <DocSecurity>0</DocSecurity>
  <Lines>260</Lines>
  <Paragraphs>87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2026-02-11T08:41:00Z</dcterms:created>
  <dcterms:modified xsi:type="dcterms:W3CDTF">2026-02-11T08:41:00Z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1335431</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\\eiciBRUpr1\pdocep$\DocEP\TRANSFIL\EN\PA_NonLegDec.EN(21/01/2025 14:39:00)</vt:lpwstr>
  </property>
  <property fmtid="{D5CDD505-2E9C-101B-9397-08002B2CF9AE}" pid="7" name="&lt;Type&gt;">
    <vt:lpwstr>AD</vt:lpwstr>
  </property>
  <property fmtid="{D5CDD505-2E9C-101B-9397-08002B2CF9AE}" pid="8" name="Created with">
    <vt:lpwstr>10.2.0 Build [20251001]</vt:lpwstr>
  </property>
  <property fmtid="{D5CDD505-2E9C-101B-9397-08002B2CF9AE}" pid="9" name="FooterPath">
    <vt:lpwstr>AD\1335431NL.docx</vt:lpwstr>
  </property>
  <property fmtid="{D5CDD505-2E9C-101B-9397-08002B2CF9AE}" pid="10" name="LastEdited with">
    <vt:lpwstr>10.2.1 Build [20260110]</vt:lpwstr>
  </property>
  <property fmtid="{D5CDD505-2E9C-101B-9397-08002B2CF9AE}" pid="11" name="PE number">
    <vt:lpwstr>779.729</vt:lpwstr>
  </property>
  <property fmtid="{D5CDD505-2E9C-101B-9397-08002B2CF9AE}" pid="12" name="SDLStudio">
    <vt:lpwstr/>
  </property>
  <property fmtid="{D5CDD505-2E9C-101B-9397-08002B2CF9AE}" pid="13" name="SendToEpades">
    <vt:lpwstr>OK - 2026/01/28 17:48</vt:lpwstr>
  </property>
  <property fmtid="{D5CDD505-2E9C-101B-9397-08002B2CF9AE}" pid="14" name="Bookout">
    <vt:lpwstr>OK - 2026/02/11 09:40</vt:lpwstr>
  </property>
</Properties>
</file>