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8D5F60" w14:paraId="4E37942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5257A4" w14:textId="77777777" w:rsidR="004F48ED" w:rsidRPr="008D5F60" w:rsidRDefault="00AC5540" w:rsidP="00C85D0F">
            <w:pPr>
              <w:pStyle w:val="EPName"/>
            </w:pPr>
            <w:r w:rsidRPr="008D5F60">
              <w:t>Parlament Europejski</w:t>
            </w:r>
          </w:p>
          <w:p w14:paraId="65F8F3A9" w14:textId="4E208661" w:rsidR="004F48ED" w:rsidRPr="008D5F60" w:rsidRDefault="003158D5" w:rsidP="00C85D0F">
            <w:pPr>
              <w:pStyle w:val="EPTerm"/>
            </w:pPr>
            <w:r w:rsidRPr="008D5F60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AA8865E" w14:textId="77777777" w:rsidR="004F48ED" w:rsidRPr="008D5F60" w:rsidRDefault="004F48ED" w:rsidP="00C85D0F">
            <w:pPr>
              <w:pStyle w:val="EPLogo"/>
            </w:pPr>
            <w:r w:rsidRPr="008D5F60">
              <w:rPr>
                <w:noProof/>
                <w:lang w:eastAsia="ja-JP"/>
              </w:rPr>
              <w:drawing>
                <wp:inline distT="0" distB="0" distL="0" distR="0" wp14:anchorId="0BDA2EC3" wp14:editId="4C40A0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3C3586" w14:textId="77777777" w:rsidR="00E9601C" w:rsidRPr="008D5F60" w:rsidRDefault="00E9601C" w:rsidP="00E9601C">
      <w:pPr>
        <w:pStyle w:val="LineTop"/>
      </w:pPr>
    </w:p>
    <w:p w14:paraId="31DE31D8" w14:textId="5A820E8C" w:rsidR="00E9601C" w:rsidRPr="008D5F60" w:rsidRDefault="00E9601C" w:rsidP="00E9601C">
      <w:pPr>
        <w:pStyle w:val="EPBody"/>
      </w:pPr>
      <w:r w:rsidRPr="008D5F60">
        <w:rPr>
          <w:rStyle w:val="HideTWBExt"/>
        </w:rPr>
        <w:t>&lt;</w:t>
      </w:r>
      <w:r w:rsidRPr="008D5F60">
        <w:rPr>
          <w:rStyle w:val="HideTWBExt"/>
          <w:i w:val="0"/>
        </w:rPr>
        <w:t>Commission</w:t>
      </w:r>
      <w:r w:rsidRPr="008D5F60">
        <w:rPr>
          <w:rStyle w:val="HideTWBExt"/>
        </w:rPr>
        <w:t>&gt;</w:t>
      </w:r>
      <w:r w:rsidRPr="008D5F60">
        <w:rPr>
          <w:rStyle w:val="HideTWBInt"/>
        </w:rPr>
        <w:t>{FEMM}</w:t>
      </w:r>
      <w:r w:rsidRPr="008D5F60">
        <w:t>Komisja Praw Kobiet i Równouprawnienia</w:t>
      </w:r>
      <w:r w:rsidRPr="008D5F60">
        <w:rPr>
          <w:rStyle w:val="HideTWBExt"/>
        </w:rPr>
        <w:t>&lt;/</w:t>
      </w:r>
      <w:r w:rsidRPr="008D5F60">
        <w:rPr>
          <w:rStyle w:val="HideTWBExt"/>
          <w:i w:val="0"/>
        </w:rPr>
        <w:t>Commission</w:t>
      </w:r>
      <w:r w:rsidRPr="008D5F60">
        <w:rPr>
          <w:rStyle w:val="HideTWBExt"/>
        </w:rPr>
        <w:t>&gt;</w:t>
      </w:r>
    </w:p>
    <w:p w14:paraId="342AEEFB" w14:textId="77777777" w:rsidR="00E9601C" w:rsidRPr="008D5F60" w:rsidRDefault="00E9601C" w:rsidP="00E9601C">
      <w:pPr>
        <w:pStyle w:val="LineBottom"/>
      </w:pPr>
    </w:p>
    <w:p w14:paraId="6E1EDFE8" w14:textId="0C1FBFDE" w:rsidR="004E54DC" w:rsidRPr="008D5F60" w:rsidRDefault="004E54DC" w:rsidP="004E54DC">
      <w:pPr>
        <w:pStyle w:val="CoverReference"/>
      </w:pPr>
      <w:r w:rsidRPr="008D5F60">
        <w:rPr>
          <w:rStyle w:val="HideTWBExt"/>
          <w:b w:val="0"/>
        </w:rPr>
        <w:t>&lt;RefProc&gt;</w:t>
      </w:r>
      <w:r w:rsidRPr="008D5F60">
        <w:t>2025/2156</w:t>
      </w:r>
      <w:r w:rsidRPr="008D5F60">
        <w:rPr>
          <w:rStyle w:val="HideTWBExt"/>
          <w:b w:val="0"/>
        </w:rPr>
        <w:t>&lt;/RefProc&gt;&lt;RefTypeProc&gt;</w:t>
      </w:r>
      <w:r w:rsidRPr="008D5F60">
        <w:t>(DEC)</w:t>
      </w:r>
      <w:r w:rsidRPr="008D5F60">
        <w:rPr>
          <w:rStyle w:val="HideTWBExt"/>
          <w:b w:val="0"/>
        </w:rPr>
        <w:t>&lt;/RefTypeProc&gt;</w:t>
      </w:r>
    </w:p>
    <w:p w14:paraId="3180C77C" w14:textId="359FACE0" w:rsidR="002E2F2E" w:rsidRPr="00F27B1A" w:rsidRDefault="002E2F2E">
      <w:pPr>
        <w:pStyle w:val="CoverDate"/>
        <w:rPr>
          <w:lang w:val="fr-BE"/>
        </w:rPr>
      </w:pPr>
      <w:r w:rsidRPr="00F27B1A">
        <w:rPr>
          <w:rStyle w:val="HideTWBExt"/>
          <w:lang w:val="fr-BE"/>
        </w:rPr>
        <w:t>&lt;Date&gt;</w:t>
      </w:r>
      <w:r w:rsidRPr="00F27B1A">
        <w:rPr>
          <w:rStyle w:val="HideTWBInt"/>
          <w:lang w:val="fr-BE"/>
        </w:rPr>
        <w:t>{28/01/2026}</w:t>
      </w:r>
      <w:r w:rsidRPr="00F27B1A">
        <w:rPr>
          <w:lang w:val="fr-BE"/>
        </w:rPr>
        <w:t>28.1.2026</w:t>
      </w:r>
      <w:r w:rsidRPr="00F27B1A">
        <w:rPr>
          <w:rStyle w:val="HideTWBExt"/>
          <w:lang w:val="fr-BE"/>
        </w:rPr>
        <w:t>&lt;/Date&gt;</w:t>
      </w:r>
    </w:p>
    <w:p w14:paraId="3471B1CB" w14:textId="63B9B73E" w:rsidR="002E2F2E" w:rsidRPr="00F27B1A" w:rsidRDefault="002E2F2E">
      <w:pPr>
        <w:pStyle w:val="CoverDocType24a"/>
        <w:rPr>
          <w:lang w:val="fr-BE"/>
        </w:rPr>
      </w:pPr>
      <w:r w:rsidRPr="00F27B1A">
        <w:rPr>
          <w:rStyle w:val="HideTWBExt"/>
          <w:b w:val="0"/>
          <w:lang w:val="fr-BE"/>
        </w:rPr>
        <w:t>&lt;TitreType&gt;</w:t>
      </w:r>
      <w:r w:rsidRPr="00F27B1A">
        <w:rPr>
          <w:lang w:val="fr-BE"/>
        </w:rPr>
        <w:t>OPINIA</w:t>
      </w:r>
      <w:r w:rsidRPr="00F27B1A">
        <w:rPr>
          <w:rStyle w:val="HideTWBExt"/>
          <w:b w:val="0"/>
          <w:lang w:val="fr-BE"/>
        </w:rPr>
        <w:t>&lt;/TitreType&gt;</w:t>
      </w:r>
    </w:p>
    <w:p w14:paraId="08BE991C" w14:textId="142645E4" w:rsidR="002E2F2E" w:rsidRPr="008D5F60" w:rsidRDefault="002E2F2E">
      <w:pPr>
        <w:pStyle w:val="CoverNormal24a"/>
      </w:pPr>
      <w:r w:rsidRPr="008D5F60">
        <w:rPr>
          <w:rStyle w:val="HideTWBExt"/>
        </w:rPr>
        <w:t>&lt;CommissionResp&gt;</w:t>
      </w:r>
      <w:r w:rsidRPr="008D5F60">
        <w:t>Komisji Praw Kobiet i Równouprawnienia</w:t>
      </w:r>
      <w:r w:rsidRPr="008D5F60">
        <w:rPr>
          <w:rStyle w:val="HideTWBExt"/>
        </w:rPr>
        <w:t>&lt;/CommissionResp&gt;</w:t>
      </w:r>
    </w:p>
    <w:p w14:paraId="13046AEA" w14:textId="77777777" w:rsidR="002E2F2E" w:rsidRPr="008D5F60" w:rsidRDefault="002E2F2E" w:rsidP="0095497D">
      <w:pPr>
        <w:pStyle w:val="CoverNormal24a"/>
      </w:pPr>
      <w:r w:rsidRPr="008D5F60">
        <w:rPr>
          <w:rStyle w:val="HideTWBExt"/>
        </w:rPr>
        <w:t>&lt;CommissionInt&gt;</w:t>
      </w:r>
      <w:r w:rsidRPr="008D5F60">
        <w:t>dla Komisji Kontroli Budżetowej</w:t>
      </w:r>
      <w:r w:rsidRPr="008D5F60">
        <w:rPr>
          <w:rStyle w:val="HideTWBExt"/>
        </w:rPr>
        <w:t>&lt;/CommissionInt&gt;</w:t>
      </w:r>
    </w:p>
    <w:p w14:paraId="3CFD566A" w14:textId="65122EB6" w:rsidR="00F93F85" w:rsidRPr="008D5F60" w:rsidRDefault="00A2091E" w:rsidP="000D69B4">
      <w:pPr>
        <w:pStyle w:val="CoverNormal"/>
      </w:pPr>
      <w:r w:rsidRPr="008D5F60">
        <w:rPr>
          <w:rStyle w:val="HideTWBExt"/>
        </w:rPr>
        <w:t>&lt;Titre&gt;</w:t>
      </w:r>
      <w:r w:rsidRPr="008D5F60">
        <w:t>w sprawie absolutorium z wykonania budżetu agencji Unii Europejskiej za rok budżetowy 2024 – agencje</w:t>
      </w:r>
      <w:r w:rsidRPr="008D5F60">
        <w:rPr>
          <w:rStyle w:val="HideTWBExt"/>
        </w:rPr>
        <w:t>&lt;/Titre&gt;</w:t>
      </w:r>
    </w:p>
    <w:p w14:paraId="5CFC8A2B" w14:textId="6408B464" w:rsidR="002E2F2E" w:rsidRPr="008D5F60" w:rsidRDefault="002E2F2E" w:rsidP="00F93F85">
      <w:pPr>
        <w:pStyle w:val="CoverNormal24a"/>
      </w:pPr>
      <w:r w:rsidRPr="008D5F60">
        <w:rPr>
          <w:rStyle w:val="HideTWBExt"/>
        </w:rPr>
        <w:t>&lt;DocRef&gt;</w:t>
      </w:r>
      <w:r w:rsidRPr="008D5F60">
        <w:t>(2025/2156(DEC))</w:t>
      </w:r>
      <w:r w:rsidRPr="008D5F60">
        <w:rPr>
          <w:rStyle w:val="HideTWBExt"/>
        </w:rPr>
        <w:t>&lt;/DocRef&gt;</w:t>
      </w:r>
    </w:p>
    <w:p w14:paraId="5F4D8643" w14:textId="28AF89AE" w:rsidR="002E2F2E" w:rsidRPr="008D5F60" w:rsidRDefault="00AC5540">
      <w:pPr>
        <w:pStyle w:val="CoverNormal24a"/>
      </w:pPr>
      <w:r w:rsidRPr="008D5F60">
        <w:t xml:space="preserve">Sprawozdawczyni komisji opiniodawczej: </w:t>
      </w:r>
      <w:r w:rsidRPr="008D5F60">
        <w:rPr>
          <w:rStyle w:val="HideTWBExt"/>
        </w:rPr>
        <w:t>&lt;Depute&gt;</w:t>
      </w:r>
      <w:r w:rsidRPr="008D5F60">
        <w:t>Raquel García Hermida</w:t>
      </w:r>
      <w:r w:rsidRPr="008D5F60">
        <w:noBreakHyphen/>
        <w:t>Van Der Walle</w:t>
      </w:r>
      <w:r w:rsidRPr="008D5F60">
        <w:rPr>
          <w:rStyle w:val="HideTWBExt"/>
        </w:rPr>
        <w:t>&lt;/Depute&gt;</w:t>
      </w:r>
    </w:p>
    <w:p w14:paraId="2AF30F94" w14:textId="7692318F" w:rsidR="009879D7" w:rsidRPr="008D5F60" w:rsidRDefault="009879D7">
      <w:pPr>
        <w:pStyle w:val="CoverNormal24a"/>
      </w:pPr>
    </w:p>
    <w:p w14:paraId="3C248EBC" w14:textId="6D056945" w:rsidR="00A7288B" w:rsidRPr="008D5F60" w:rsidRDefault="00A7288B">
      <w:pPr>
        <w:widowControl/>
      </w:pPr>
      <w:r w:rsidRPr="008D5F60">
        <w:br w:type="page"/>
      </w:r>
    </w:p>
    <w:p w14:paraId="03A468F1" w14:textId="77777777" w:rsidR="00977F76" w:rsidRPr="008D5F60" w:rsidRDefault="00977F76" w:rsidP="00977F76">
      <w:pPr>
        <w:pStyle w:val="CoverNormal"/>
      </w:pPr>
    </w:p>
    <w:p w14:paraId="61848654" w14:textId="555A962E" w:rsidR="002E2F2E" w:rsidRPr="008D5F60" w:rsidRDefault="00AC5540" w:rsidP="00BB2AC1">
      <w:pPr>
        <w:widowControl/>
        <w:tabs>
          <w:tab w:val="center" w:pos="4677"/>
        </w:tabs>
      </w:pPr>
      <w:r w:rsidRPr="008D5F60">
        <w:t>PA_NonLegDec</w:t>
      </w:r>
    </w:p>
    <w:p w14:paraId="2DB62687" w14:textId="3FF0C908" w:rsidR="00A7288B" w:rsidRPr="008D5F60" w:rsidRDefault="00A7288B">
      <w:pPr>
        <w:widowControl/>
      </w:pPr>
      <w:r w:rsidRPr="008D5F60">
        <w:br w:type="page"/>
      </w:r>
    </w:p>
    <w:p w14:paraId="34224206" w14:textId="7530D60A" w:rsidR="003E06CF" w:rsidRPr="008D5F60" w:rsidRDefault="00AC5540" w:rsidP="003E06CF">
      <w:pPr>
        <w:pStyle w:val="PageHeadingNotTOC"/>
      </w:pPr>
      <w:r w:rsidRPr="008D5F60">
        <w:lastRenderedPageBreak/>
        <w:t>OPINIA</w:t>
      </w:r>
    </w:p>
    <w:p w14:paraId="758BDB2E" w14:textId="7297E571" w:rsidR="00A7288B" w:rsidRPr="008D5F60" w:rsidRDefault="00AC5540" w:rsidP="003E06CF">
      <w:pPr>
        <w:pStyle w:val="Normal12a"/>
      </w:pPr>
      <w:r w:rsidRPr="008D5F60">
        <w:t>Komisja Praw Kobiet i Równouprawnienia zwraca się do Komisji Kontroli Budżetowej, jako komisji przedmiotowo właściwej, o uwzględnienie w końcowym tekście projektu rezolucji tego, co następuje:</w:t>
      </w:r>
      <w:r w:rsidRPr="008D5F60">
        <w:rPr>
          <w:rStyle w:val="HideTWBExt"/>
        </w:rPr>
        <w:t>&lt;RepeatBlock-Dec&gt;</w:t>
      </w:r>
    </w:p>
    <w:p w14:paraId="5F5B1D45" w14:textId="3213E128" w:rsidR="00F34E0A" w:rsidRPr="008D5F60" w:rsidRDefault="00F34E0A" w:rsidP="00F34E0A">
      <w:pPr>
        <w:pStyle w:val="NormalHanging12a"/>
      </w:pPr>
      <w:r w:rsidRPr="008D5F60">
        <w:t>A.</w:t>
      </w:r>
      <w:r w:rsidRPr="008D5F60">
        <w:tab/>
        <w:t>mając na uwadze, że równouprawnienie jest jedną z fundamentalnych wartości Unii, a Unia – zgodnie z art. 8 Traktatu o funkcjonowaniu Unii Europejskiej, który ustanawia zasadę o uwzględnianiu aspektu płci i sporządzaniu budżetu z uwzględnieniem aspektu płci – jest zobowiązana do promowania równości płci we wszystkich swoich działaniach; mając na uwadze, że równość płci musi być uwzględniana we wszystkich strategiach politycznych i działaniach UE;</w:t>
      </w:r>
    </w:p>
    <w:p w14:paraId="4C59D038" w14:textId="1EA7A7AE" w:rsidR="00F34E0A" w:rsidRPr="008D5F60" w:rsidRDefault="00C636F1" w:rsidP="00F34E0A">
      <w:pPr>
        <w:pStyle w:val="NormalHanging12a"/>
        <w:rPr>
          <w:b/>
          <w:i/>
        </w:rPr>
      </w:pPr>
      <w:r w:rsidRPr="008D5F60">
        <w:t>B.</w:t>
      </w:r>
      <w:r w:rsidRPr="008D5F60">
        <w:rPr>
          <w:b/>
          <w:i/>
        </w:rPr>
        <w:tab/>
      </w:r>
      <w:r w:rsidRPr="008D5F60">
        <w:t>mając na uwadze, że Europejski Instytut ds. Równości Kobiet i Mężczyzn (EIGE) ustanowiono w celu wniesienia wkładu na rzecz równouprawnienia płci i lepszego propagowania równouprawnienia płci w Unii, w tym poprzez włączanie problematyki płci do głównego nurtu we wszystkich obszarach polityki Unii oraz w wynikających z nich krajowych strategiach politycznych, a także zwalczanie dyskryminacji ze względu na płeć i szerzenie wśród obywateli Unii wiedzy na temat problematyki równouprawnienia płci, co Instytut czyni z dużym zaangażowaniem i skutecznie; mając na uwadze, że roczne i wieloletnie programowanie EIGE jest konsekwentnie dostosowane do obecnych priorytetów Unii; mając na uwadze, że EIGE w coraz większym stopniu wspiera agencje i organy UE we włączaniu perspektywy płci do ich programowania i działań;</w:t>
      </w:r>
    </w:p>
    <w:p w14:paraId="3F5E8EE6" w14:textId="59739720" w:rsidR="00F34E0A" w:rsidRPr="008D5F60" w:rsidRDefault="00C636F1" w:rsidP="00F34E0A">
      <w:pPr>
        <w:pStyle w:val="NormalHanging12a"/>
        <w:rPr>
          <w:b/>
          <w:i/>
        </w:rPr>
      </w:pPr>
      <w:r w:rsidRPr="008D5F60">
        <w:t>C.</w:t>
      </w:r>
      <w:r w:rsidRPr="008D5F60">
        <w:rPr>
          <w:b/>
          <w:i/>
        </w:rPr>
        <w:tab/>
      </w:r>
      <w:r w:rsidRPr="008D5F60">
        <w:t>mając na uwadze, że w następnych WRF należy uwzględnić cele w zakresie równouprawnienia płci, uwzględnianie aspektu płci i sporządzanie budżetu z uwzględnieniem aspektu płci we wszystkich programach finansowania;</w:t>
      </w:r>
    </w:p>
    <w:p w14:paraId="10A64154" w14:textId="35551A3D" w:rsidR="00F34E0A" w:rsidRPr="008D5F60" w:rsidRDefault="00C636F1" w:rsidP="00F34E0A">
      <w:pPr>
        <w:pStyle w:val="NormalHanging12a"/>
      </w:pPr>
      <w:r w:rsidRPr="008D5F60">
        <w:t>D.</w:t>
      </w:r>
      <w:r w:rsidRPr="008D5F60">
        <w:tab/>
        <w:t>mając na uwadze, że od 2010 r. ogólny wskaźnik równouprawnienia płci w UE wzrósł o 7,9 pkt, jednak pomimo tej długoterminowej tendencji wzrostowej wskaźnik równouprawnienia płci z 2025 r. pokazuje, że państwa członkowskie poczyniły ograniczone postępy, osiągając wynik 63,4 dla całej UE i wzrost o zaledwie 0,8 pkt w porównaniu ze wskaźnikiem równouprawnienia płci z 2024 r.; mając na uwadze, że według wskaźnika równouprawnienie płci z roku 2025 równość płci w UE nie stanie się rzeczywistością przez co najmniej kolejne 50 lat; mając na uwadze, że w innych obszarach, takich jak zdrowie i edukacja kobiet, postęp uległ stagnacji, a nawet zaobserwowano regres; mając na uwadze, że wskaźnik z 2024 r. wykazuje duże różnice między państwami członkowskimi (najwyższy wynik: 82.0; najniższy 57,5), co uwypukla utrzymujące się nierówności w całej Unii oraz potrzebę dalszego monitorowania i wsparcia ze strony agencji takich jak EIGE;</w:t>
      </w:r>
    </w:p>
    <w:p w14:paraId="30A873A9" w14:textId="76D6CBE0" w:rsidR="00F34E0A" w:rsidRPr="008D5F60" w:rsidRDefault="00C636F1" w:rsidP="00F34E0A">
      <w:pPr>
        <w:pStyle w:val="NormalHanging12a"/>
        <w:rPr>
          <w:b/>
          <w:i/>
        </w:rPr>
      </w:pPr>
      <w:r w:rsidRPr="008D5F60">
        <w:t>E.</w:t>
      </w:r>
      <w:r w:rsidRPr="008D5F60">
        <w:rPr>
          <w:b/>
          <w:i/>
        </w:rPr>
        <w:tab/>
      </w:r>
      <w:r w:rsidRPr="008D5F60">
        <w:t>mając na uwadze, że na równouprawnienie płci w Unii szczególnie wpłynęły skutki wojny w Ukrainie, kryzys związany z kosztami utrzymania, który w nieproporcjonalny sposób dotyka kobiety, oraz regres w kwestii równości płci i praw kobiet, zwłaszcza w odniesieniu do zdrowia seksualnego i reprodukcyjnego oraz praw reprodukcyjnych i seksualnych w kilku państwach członkowskich; mając na uwadze, że pogłębia to nierówności i utrudnia równouprawnienie płci;</w:t>
      </w:r>
    </w:p>
    <w:p w14:paraId="4F0EC91C" w14:textId="70EB3AED" w:rsidR="00F34E0A" w:rsidRPr="008D5F60" w:rsidRDefault="00C636F1" w:rsidP="00F34E0A">
      <w:pPr>
        <w:pStyle w:val="NormalHanging12a"/>
      </w:pPr>
      <w:r w:rsidRPr="008D5F60">
        <w:t>F.</w:t>
      </w:r>
      <w:r w:rsidRPr="008D5F60">
        <w:tab/>
        <w:t xml:space="preserve">mając na uwadze, że zarówno inflacja, jak i długotrwałe niedofinansowanie wywierają </w:t>
      </w:r>
      <w:r w:rsidRPr="008D5F60">
        <w:lastRenderedPageBreak/>
        <w:t>rosnącą presję na budżet EIGE, ograniczając zdolność operacyjną Instytutu, co doprowadziło do braków kadrowych w warunkach stałego obciążenia finansowego; mając na uwadze, że w ocenie zewnętrznej z 2022 r. podkreślono poważny niedobór personelu w zakresie uwzględniania aspektu płci, przy czym EIGE był w stanie odpowiedzieć tylko na jedną czwartą wniosków o pomoc techniczną; mając na uwadze, że EIGE odgrywa najważniejszą rolę we wspieraniu instytucji Unii i państw członkowskich w osiąganiu równouprawnienia płci; mając na uwadze, że w związku z tym podkreśla się, iż EIGE musi dysponować wystarczającymi i stabilnymi zasobami finansowymi i ludzkimi, aby móc wypełniać swoje zadania;</w:t>
      </w:r>
    </w:p>
    <w:p w14:paraId="5D314D0A" w14:textId="3BE171E5" w:rsidR="00F34E0A" w:rsidRPr="008D5F60" w:rsidRDefault="00C636F1" w:rsidP="00F34E0A">
      <w:pPr>
        <w:pStyle w:val="NormalHanging12a"/>
        <w:rPr>
          <w:b/>
          <w:i/>
        </w:rPr>
      </w:pPr>
      <w:r w:rsidRPr="008D5F60">
        <w:t>G.</w:t>
      </w:r>
      <w:r w:rsidRPr="008D5F60">
        <w:rPr>
          <w:b/>
          <w:i/>
        </w:rPr>
        <w:tab/>
      </w:r>
      <w:r w:rsidRPr="008D5F60">
        <w:t>mając na uwadze, że rosnąca inflacja i wzrost współczynnika korygującego dla Litwy mają wpływ na koszty związane z wynagrodzeniami w EIGE, co stanowi poważne wyzwanie w podstawowych obszarach operacyjnych, takich jak udzielanie pomocy technicznej instytucjom UE i państwom członkowskim w zakresie uwzględniania aspektu płci, a także w ramach działań związanych z gromadzeniem danych;</w:t>
      </w:r>
    </w:p>
    <w:p w14:paraId="4469AFC5" w14:textId="351AE36C" w:rsidR="00F34E0A" w:rsidRPr="008D5F60" w:rsidRDefault="00C636F1" w:rsidP="00F34E0A">
      <w:pPr>
        <w:pStyle w:val="NormalHanging12a"/>
        <w:rPr>
          <w:b/>
          <w:i/>
        </w:rPr>
      </w:pPr>
      <w:r w:rsidRPr="008D5F60">
        <w:t>H.</w:t>
      </w:r>
      <w:r w:rsidRPr="008D5F60">
        <w:rPr>
          <w:b/>
          <w:i/>
        </w:rPr>
        <w:tab/>
      </w:r>
      <w:r w:rsidRPr="008D5F60">
        <w:t>mając na uwadze, że podstawowa misja EIGE koncentruje się na osiągnięciu równości płci w UE i polega na prowadzeniu badań, gromadzeniu i przekazywaniu danych, opracowywaniu metod poprawy statystyk i gromadzenia danych oraz mierzeniu stanu równouprawnienia płci zarówno na poziomie UE, jak i państw członkowskich; mając na uwadze, że EIGE nadal poprawia jakość i porównywalność danych z podziałem na płeć w całej Unii, wzmacniając bazę dowodową dostępną dla instytucji UE i państw członkowskich; mając na uwadze, że EIGE rozszerzył swoje narzędzia cyfrowe i platformy internetowe, poprawiając dostęp do statystyk, wytycznych metodycznych i praktycznych zasobów dla decydentów i zainteresowanych stron; mając na uwadze, że EIGE zacieśnił współpracę z krajowymi urzędami statystycznymi i właściwymi organami; mając na uwadze, że prace EIGE dotyczące przemocy ze względu na płeć, takie jak unijne badanie dotyczące przemocy ze względu na płeć, w którym przedstawiono kluczowe wyniki oparte na danych ze wszystkich 27 państw członkowskich, pomagają w realizacji celu Unii, jakim jest poprawa w zakresie zapobiegania, gromadzenia danych i koordynacji polityki w tej dziedzinie;</w:t>
      </w:r>
    </w:p>
    <w:p w14:paraId="3554009F" w14:textId="2DB317E7" w:rsidR="00644C72" w:rsidRPr="008D5F60" w:rsidRDefault="00C636F1" w:rsidP="00644C72">
      <w:pPr>
        <w:pStyle w:val="NormalHanging12a"/>
        <w:rPr>
          <w:b/>
          <w:i/>
        </w:rPr>
      </w:pPr>
      <w:r w:rsidRPr="008D5F60">
        <w:t>I.</w:t>
      </w:r>
      <w:r w:rsidRPr="008D5F60">
        <w:tab/>
        <w:t>mając na uwadze, że EIGE powierzono dodatkowe zadania związane z wdrażaniem i monitorowaniem nowo przyjętych dyrektyw UE, w tym dyrektywy (UE) 2022/2381 w sprawie poprawy równowagi płci wśród dyrektorów spółek giełdowych, dyrektywy (UE) 2023/970 w sprawie równości wynagrodzeń za taką samą pracę lub pracę o takiej samej wartości, dyrektywy (UE) 2019/1158 w sprawie równowagi między życiem zawodowym a prywatnym rodziców i opiekunów, dyrektywy (UE) 2024/1499 i dyrektywy (UE) 2024/1500 w sprawie wiążących norm dotyczących organów ds. równości oraz dyrektywy (UE) 2024/1385 w sprawie zwalczania przemocy wobec kobiet i przemocy domowej, a także z przystąpieniem UE do Konwencji Rady Europy o zapobieganiu i zwalczaniu przemocy wobec kobiet i przemocy domowej, czyli tzw. konwencji stambulskiej;</w:t>
      </w:r>
    </w:p>
    <w:p w14:paraId="471986F4" w14:textId="013C9A4B" w:rsidR="00F34E0A" w:rsidRPr="008D5F60" w:rsidRDefault="00F03D47" w:rsidP="00F34E0A">
      <w:pPr>
        <w:pStyle w:val="NormalHanging12a"/>
        <w:rPr>
          <w:b/>
          <w:i/>
        </w:rPr>
      </w:pPr>
      <w:r w:rsidRPr="008D5F60">
        <w:t>J.</w:t>
      </w:r>
      <w:r w:rsidRPr="008D5F60">
        <w:tab/>
        <w:t>mając na uwadze, że owe nowe obowiązki wymagają zwiększenia zdolności w zakresie monitorowania legislacyjnego, sprawozdawczości w zakresie zgodności z przepisami i gromadzenia danych, w tym pięciu dodatkowych stanowisk dla pracowników zatrudnionych na czas określony i czterech stanowisk dla pracowników kontraktowych, zgodnie z ustaleniami EIGE, w szczególności w celu przywrócenia stanowisk zlikwidowanych w poprzednich cyklach budżetowych; mając na uwadze, że nowe rozporządzenie UE w sprawie cyberbezpieczeństwa zobowiązuje EIGE do wzmocnienia systemów cyberbezpieczeństwa, w tym do wyznaczenia urzędnika ds. cyberbezpieczeństwa oraz przeprowadzania regularnych ocen i audytów; mając na uwadze, że EIGE potrzebowałby jednego pracownika kontraktowego (GF IV) na stanowisko urzędnika ds. cyberbezpieczeństwa oraz większych zasobów budżetowych, aby spełnić te wymogi; mając na uwadze, że EIGE jest zobowiązany do zapłaty 200 000 EUR za nabycie obowiązkowego nowego oprogramowania finansowego SUMMA, co stanowi prawie 15% jego środków budżetowych w tytule II; mając na uwadze, że takie potrzeby budżetowe w nieproporcjonalny sposób obciążają mniejsze agencje; mając na uwadze, że we wszystkich agencjach UE, a więc także w EIGE, zawsze należy promować zrównoważoną pod względem płci reprezentację wśród pracowników, stosując procedury rekrutacyjne uwzględniające aspekt płci;</w:t>
      </w:r>
    </w:p>
    <w:p w14:paraId="760B7516" w14:textId="77777777" w:rsidR="00F34E0A" w:rsidRPr="008D5F60" w:rsidRDefault="00F34E0A" w:rsidP="00F34E0A">
      <w:pPr>
        <w:pStyle w:val="NormalHanging12a"/>
      </w:pPr>
      <w:r w:rsidRPr="008D5F60">
        <w:t>1.</w:t>
      </w:r>
      <w:r w:rsidRPr="008D5F60">
        <w:tab/>
        <w:t>przypomina, że EIGE powstał, aby propagować niezależne badania nad równouprawnieniem płci, gromadzić dane i tworzyć narzędzia pomagające UE i jej państwom członkowskim w opracowywaniu włączających strategii politycznych, transformacyjnych z punktu widzenia równości płci, które eliminują pierwotne przyczyny różnic w traktowaniu kobiet i mężczyzn poprzez kwestionowanie dyskryminacyjnych norm, nierównego podziału władzy i szkodliwych praktyk oraz mają na celu zmianę postaw i zachowań społecznych w kierunku rzeczywistej równości płci, a także uwzględnianie równości płci we wszystkich strategiach politycznych; zwraca uwagę na znaczenie dostępności wiarygodnych danych segregowanych według kryterium płci, aby umożliwić kształtowanie polityki opartej na rzetelnych informacjach; podkreśla pilną potrzebę, aby Unia poczyniła postępy w zakresie równouprawnienia płci w związku z trwającymi kryzysami, takimi jak wojny i kryzys klimatyczny; podkreśla ponadto regres w zakresie równouprawnienia płci będący skutkiem ruchów antygenderowych i antydemokratycznych;</w:t>
      </w:r>
    </w:p>
    <w:p w14:paraId="666E8A18" w14:textId="0307984A" w:rsidR="00F34E0A" w:rsidRPr="008D5F60" w:rsidRDefault="00C636F1" w:rsidP="00F34E0A">
      <w:pPr>
        <w:pStyle w:val="NormalHanging12a"/>
        <w:rPr>
          <w:b/>
          <w:i/>
        </w:rPr>
      </w:pPr>
      <w:r w:rsidRPr="008D5F60">
        <w:t>2.</w:t>
      </w:r>
      <w:r w:rsidRPr="008D5F60">
        <w:rPr>
          <w:b/>
          <w:i/>
        </w:rPr>
        <w:tab/>
      </w:r>
      <w:r w:rsidRPr="008D5F60">
        <w:t>z zadowoleniem przyjmuje trwającą współpracę między EIGE a Komisją Praw Kobiet i Równouprawnienia (FEMM), w szczególności wkład Instytutu w bieżące wysiłki komisji dotyczące przeciwdziałania przemocy ze względu na płeć, równowagi między życiem zawodowym a prywatnym, zróżnicowania wynagrodzenia i emerytur ze względu na płeć, wpływu kryzysów na kobiety, uwzględniania aspektu płci i sporządzania budżetu z uwzględnieniem tego aspektu; zwraca uwagę na cenny wkład, jaki EIGE może wnieść w prace wszystkich komisji Parlamentu Europejskiego i innych agencji UE z myślą o lepszym uwzględnianiu aspektu płci we wszystkich strategiach politycznych UE;</w:t>
      </w:r>
      <w:r w:rsidRPr="008D5F60">
        <w:rPr>
          <w:b/>
          <w:i/>
        </w:rPr>
        <w:t> </w:t>
      </w:r>
    </w:p>
    <w:p w14:paraId="14EF35BF" w14:textId="4923C46B" w:rsidR="00F34E0A" w:rsidRPr="008D5F60" w:rsidRDefault="00C636F1" w:rsidP="00F34E0A">
      <w:pPr>
        <w:pStyle w:val="NormalHanging12a"/>
      </w:pPr>
      <w:r w:rsidRPr="008D5F60">
        <w:t>3.</w:t>
      </w:r>
      <w:r w:rsidRPr="008D5F60">
        <w:tab/>
        <w:t>ponownie wzywa do zwiększenia finansowania i liczby personelu EIGE z powodu rosnącego zapotrzebowania na wsparcie techniczne oraz wyższych kosztów operacyjnych; apeluje zatem do Komisji o zaproponowanie Instytutowi niezbędnych zasobów, aby umożliwić mu wykonywanie jego zadań i reagowanie na zwiększone zapotrzebowanie na wiedzę fachową, a także zapewnić ciągłość operacyjną oraz wzmocnić zdolności analityczne i koordynacyjne Instytutu; wzywa do zwiększenia obecnego planu zatrudnienia o 17%, aby uwzględnić zapotrzebowanie na co najmniej pięć dodatkowych stanowisk dla pracowników zatrudnionych na czas określony (AD), cztery dodatkowe stanowiska dla pracowników kontraktowych oraz wyspecjalizowane stanowiska w zakresie cyberbezpieczeństwa, ochrony danych i realizacji nowych zobowiązań legislacyjnych; podkreśla potrzebę zmniejszenia nadmiernego obciążenia pracą, z jakim borykają się obecnie pracownicy EIGE; apeluje o przewidywalny i stabilny wieloletni budżet dla EIGE, ograniczający powtarzające się przeniesienia środków, umożliwiający długoterminowe planowanie i prace badawcze oraz gwarantujący zdrowe warunki pracy sprzyjające produktywności;</w:t>
      </w:r>
    </w:p>
    <w:p w14:paraId="0A3B4ACC" w14:textId="784C46CB" w:rsidR="00062634" w:rsidRPr="008D5F60" w:rsidRDefault="00C636F1" w:rsidP="00BD08F1">
      <w:pPr>
        <w:pStyle w:val="NormalHanging12a"/>
      </w:pPr>
      <w:r w:rsidRPr="008D5F60">
        <w:t>4.</w:t>
      </w:r>
      <w:r w:rsidRPr="008D5F60">
        <w:tab/>
        <w:t>zauważa, że w ramach swojego programu prac EIGE utrzymuje wskaźnik wykonania budżetu na stałym poziomie 95% oraz osiąga cele określone w zmienionym dokumencie programowym na lata 2024–2026 pomimo niedoboru personelu i wysokich przeniesień środków, a Europejski Trybunał Obrachunkowy potwierdził, iż sprawozdania Instytutu wiernie przedstawiają jego sytuację finansową;</w:t>
      </w:r>
    </w:p>
    <w:p w14:paraId="681D0552" w14:textId="6AE2A028" w:rsidR="00F34E0A" w:rsidRPr="008D5F60" w:rsidRDefault="00C636F1" w:rsidP="00F34E0A">
      <w:pPr>
        <w:pStyle w:val="NormalHanging12a"/>
        <w:rPr>
          <w:b/>
          <w:i/>
        </w:rPr>
      </w:pPr>
      <w:r w:rsidRPr="008D5F60">
        <w:t>5.</w:t>
      </w:r>
      <w:r w:rsidRPr="008D5F60">
        <w:rPr>
          <w:b/>
          <w:i/>
        </w:rPr>
        <w:tab/>
      </w:r>
      <w:r w:rsidRPr="008D5F60">
        <w:t>podkreśla, że w 2024 r. EIGE osiągnął swoje cele strategiczne polegające na przyczynianiu się do kształtowania polityki i podejmowania decyzji w oparciu o lepsze informacje i dowody, aby osiągnąć równouprawnienie płci i zwalczać dyskryminację ze względu na płeć, wspierać włączanie perspektywy płci do polityk UE i wynikających z nich polityk krajowych oraz skutecznie promować równości płci wśród kluczowych zainteresowanych stron i grup docelowych; podkreśla ponadto, że dokonania te osiągnięto pomimo strukturalnego niedoboru personelu, co potwierdza konieczność zapewnienia dodatkowych zasobów w celu zabezpieczenia wyników w przyszłości;</w:t>
      </w:r>
    </w:p>
    <w:p w14:paraId="79BD1DE3" w14:textId="257C4830" w:rsidR="009879D7" w:rsidRPr="008D5F60" w:rsidRDefault="00C636F1" w:rsidP="009879D7">
      <w:pPr>
        <w:pStyle w:val="NormalHanging12a"/>
        <w:rPr>
          <w:b/>
          <w:i/>
        </w:rPr>
      </w:pPr>
      <w:r w:rsidRPr="008D5F60">
        <w:t>6.</w:t>
      </w:r>
      <w:r w:rsidRPr="008D5F60">
        <w:rPr>
          <w:b/>
          <w:i/>
        </w:rPr>
        <w:tab/>
      </w:r>
      <w:r w:rsidRPr="008D5F60">
        <w:t>ostrzega, że bez zgodnego z zapotrzebowaniem zwiększenia zatrudnienia i inwestycji EIGE może nie być w stanie wywiązywać się ze swoich zobowiązań prawnych wynikających z przyjętych ostatnio przepisów ani sprostać większym wymaganiom wynikającym z nowych unijnych inicjatyw politycznych; podkreśla, że potrzeby budżetowe takie jak nabycie oprogramowania SUMMA dodatkowo obciążają budżet EIGE; podkreśla, że dalsze przydziały środków budżetowych muszą uwzględniać obowiązkowe wydatki, jakie agencje muszą ponosić; apeluje o stabilny i wyższy budżet dla EIGE w kolejnych wieloletnich ramach finansowych, gdyż jest to jeden z priorytetów związanych z równością płci, tak aby Instytut mógł nadal prowadzić wysokiej jakości badania naukowe, gromadzić dane i udzielać wsparcia politycznego w odniesieniu do wszystkich priorytetów Unii;</w:t>
      </w:r>
    </w:p>
    <w:p w14:paraId="62DD72C5" w14:textId="05745D3B" w:rsidR="005F008F" w:rsidRPr="008D5F60" w:rsidRDefault="00C636F1" w:rsidP="005F008F">
      <w:pPr>
        <w:pStyle w:val="NormalHanging12a"/>
        <w:rPr>
          <w:bCs/>
          <w:iCs/>
        </w:rPr>
      </w:pPr>
      <w:r w:rsidRPr="008D5F60">
        <w:t>7.</w:t>
      </w:r>
      <w:r w:rsidRPr="008D5F60">
        <w:rPr>
          <w:b/>
          <w:i/>
        </w:rPr>
        <w:tab/>
      </w:r>
      <w:r w:rsidRPr="008D5F60">
        <w:t>jest zdania, że dyrektor Europejskiego Instytutu ds. Równości Kobiet i Mężczyzn można udzielić absolutorium z wykonania budżetu Instytutu za rok budżetowy 2024.</w:t>
      </w:r>
    </w:p>
    <w:p w14:paraId="6806B128" w14:textId="0C6B4560" w:rsidR="00E05697" w:rsidRPr="008D5F60" w:rsidRDefault="00A7288B" w:rsidP="00FC26A4">
      <w:pPr>
        <w:ind w:left="567" w:hanging="567"/>
      </w:pPr>
      <w:r w:rsidRPr="008D5F60">
        <w:rPr>
          <w:rStyle w:val="HideTWBExt"/>
        </w:rPr>
        <w:t>&lt;/RepeatBlock-Dec&gt;</w:t>
      </w:r>
    </w:p>
    <w:p w14:paraId="6CD6F61D" w14:textId="77777777" w:rsidR="004B2770" w:rsidRPr="008D5F60" w:rsidRDefault="004B2770" w:rsidP="00FC26A4">
      <w:pPr>
        <w:sectPr w:rsidR="004B2770" w:rsidRPr="008D5F60" w:rsidSect="008D5F6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7B4AD063" w14:textId="5009CADE" w:rsidR="004B2770" w:rsidRPr="008D5F60" w:rsidRDefault="004B2770" w:rsidP="002B2C72">
      <w:pPr>
        <w:pStyle w:val="PageHeadingNotTOC"/>
      </w:pPr>
      <w:bookmarkStart w:id="0" w:name="FootprintPageAD"/>
      <w:r w:rsidRPr="008D5F60">
        <w:t>ZAŁĄCZNIK: WYKAZ PODMIOTÓW, OD KTÓRYCH SPRAWOZDAWCA OTRZYMAŁ INFORMACJE</w:t>
      </w:r>
    </w:p>
    <w:p w14:paraId="002953BD" w14:textId="1ACE8668" w:rsidR="004B2770" w:rsidRPr="008D5F60" w:rsidRDefault="004B2770" w:rsidP="00037518">
      <w:pPr>
        <w:pStyle w:val="Normal24a"/>
      </w:pPr>
      <w:r w:rsidRPr="008D5F60">
        <w:rPr>
          <w:rStyle w:val="HideTWBExt"/>
        </w:rPr>
        <w:t>&lt;FootprintIntro&gt;</w:t>
      </w:r>
      <w:r w:rsidRPr="008D5F60">
        <w:t>Sprawozdawczyni komisji opiniodawczej oświadcza na swoją wyłączną odpowiedzialność, że nie ujęła w swojej opinii żadnych informacji od przedstawicieli grup interesu objętych zakresem porozumienia międzyinstytucjonalnego w sprawie obowiązkowego rejestru służącego przejrzystości</w:t>
      </w:r>
      <w:r w:rsidRPr="008D5F60">
        <w:rPr>
          <w:rStyle w:val="FootnoteReference"/>
        </w:rPr>
        <w:footnoteReference w:id="1"/>
      </w:r>
      <w:r w:rsidRPr="008D5F60">
        <w:t xml:space="preserve"> ani od przedstawicieli organów publicznych państw trzecich, w tym ich misji dyplomatycznych i ambasad, których należy wskazać w tym załączniku zgodnie z art. 8 załącznika I do Regulaminu.</w:t>
      </w:r>
      <w:r w:rsidRPr="008D5F60">
        <w:rPr>
          <w:rStyle w:val="HideTWBExt"/>
        </w:rPr>
        <w:t>&lt;/FootprintIntro&gt;</w:t>
      </w:r>
    </w:p>
    <w:p w14:paraId="1966E05D" w14:textId="77777777" w:rsidR="004B2770" w:rsidRPr="008D5F60" w:rsidRDefault="004B2770" w:rsidP="007D2CC7"/>
    <w:bookmarkEnd w:id="0"/>
    <w:p w14:paraId="1ABA0177" w14:textId="77777777" w:rsidR="004B2770" w:rsidRPr="008D5F60" w:rsidRDefault="004B2770" w:rsidP="007D2CC7">
      <w:pPr>
        <w:sectPr w:rsidR="004B2770" w:rsidRPr="008D5F60" w:rsidSect="004B277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CCC72A8" w14:textId="2EE8A165" w:rsidR="007D2CC7" w:rsidRPr="008D5F60" w:rsidRDefault="007D2CC7" w:rsidP="007D2CC7">
      <w:pPr>
        <w:pStyle w:val="PageHeadingNotTOC"/>
      </w:pPr>
      <w:bookmarkStart w:id="1" w:name="ProcPageAD"/>
      <w:r w:rsidRPr="008D5F60">
        <w:t>INFORMACJE O PRZYJĘCIU PRZEZ KOMISJĘ OPINIODAWCZĄ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7D2CC7" w:rsidRPr="008D5F60" w14:paraId="528926A1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A578E2A" w14:textId="77777777" w:rsidR="007D2CC7" w:rsidRPr="008D5F60" w:rsidRDefault="007D2CC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D5F60"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BF5DA45" w14:textId="77777777" w:rsidR="007D2CC7" w:rsidRPr="008D5F60" w:rsidRDefault="007D2CC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F60"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1C34A07" w14:textId="77777777" w:rsidR="007D2CC7" w:rsidRPr="008D5F60" w:rsidRDefault="007D2CC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BFBDAE3" w14:textId="77777777" w:rsidR="007D2CC7" w:rsidRPr="008D5F60" w:rsidRDefault="007D2CC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809297B" w14:textId="77777777" w:rsidR="007D2CC7" w:rsidRPr="008D5F60" w:rsidRDefault="007D2CC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7D2CC7" w:rsidRPr="008D5F60" w14:paraId="2953233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29BCB3F" w14:textId="77777777" w:rsidR="007D2CC7" w:rsidRPr="008D5F60" w:rsidRDefault="007D2CC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8D5F60"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DD12B24" w14:textId="77777777" w:rsidR="007D2CC7" w:rsidRPr="008D5F60" w:rsidRDefault="007D2CC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F60">
              <w:rPr>
                <w:color w:val="000000"/>
                <w:sz w:val="20"/>
              </w:rPr>
              <w:t>+:</w:t>
            </w:r>
          </w:p>
          <w:p w14:paraId="3C70FCA3" w14:textId="77777777" w:rsidR="007D2CC7" w:rsidRPr="008D5F60" w:rsidRDefault="007D2CC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F60">
              <w:rPr>
                <w:color w:val="000000"/>
                <w:sz w:val="20"/>
              </w:rPr>
              <w:t>–:</w:t>
            </w:r>
          </w:p>
          <w:p w14:paraId="5598DD05" w14:textId="77777777" w:rsidR="007D2CC7" w:rsidRPr="008D5F60" w:rsidRDefault="007D2CC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F60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63E08E" w14:textId="77777777" w:rsidR="007D2CC7" w:rsidRPr="008D5F60" w:rsidRDefault="007D2CC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F60">
              <w:rPr>
                <w:color w:val="000000"/>
                <w:sz w:val="20"/>
              </w:rPr>
              <w:t>24</w:t>
            </w:r>
          </w:p>
          <w:p w14:paraId="66AA9C52" w14:textId="77777777" w:rsidR="007D2CC7" w:rsidRPr="008D5F60" w:rsidRDefault="007D2CC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F60">
              <w:rPr>
                <w:color w:val="000000"/>
                <w:sz w:val="20"/>
              </w:rPr>
              <w:t>9</w:t>
            </w:r>
          </w:p>
          <w:p w14:paraId="3A3BF5D8" w14:textId="77777777" w:rsidR="007D2CC7" w:rsidRPr="008D5F60" w:rsidRDefault="007D2CC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F60">
              <w:rPr>
                <w:color w:val="000000"/>
                <w:sz w:val="20"/>
              </w:rPr>
              <w:t>1</w:t>
            </w:r>
          </w:p>
        </w:tc>
      </w:tr>
    </w:tbl>
    <w:p w14:paraId="757A6385" w14:textId="77777777" w:rsidR="007D2CC7" w:rsidRPr="008D5F60" w:rsidRDefault="007D2CC7"/>
    <w:bookmarkEnd w:id="1"/>
    <w:p w14:paraId="01A7AC0A" w14:textId="6F627327" w:rsidR="004B2770" w:rsidRPr="008D5F60" w:rsidRDefault="004B2770" w:rsidP="007D2CC7">
      <w:pPr>
        <w:sectPr w:rsidR="004B2770" w:rsidRPr="008D5F60" w:rsidSect="004B2770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2A0C929E" w14:textId="4EC89B9F" w:rsidR="004B2770" w:rsidRPr="008D5F60" w:rsidRDefault="004B2770" w:rsidP="00C36610">
      <w:pPr>
        <w:pStyle w:val="PageHeadingNotTOC"/>
      </w:pPr>
      <w:bookmarkStart w:id="2" w:name="RollCallPageAD"/>
      <w:r w:rsidRPr="008D5F60">
        <w:t>GŁOSOWANIE KOŃCOWE W FORMIE GŁOSOWANIA IMIENNEGO 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B2770" w:rsidRPr="008D5F60" w14:paraId="78956CCD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F617B49" w14:textId="70E84511" w:rsidR="004B2770" w:rsidRPr="008D5F60" w:rsidRDefault="004B2770" w:rsidP="003858C5">
            <w:pPr>
              <w:pStyle w:val="RollCallVotes"/>
            </w:pPr>
            <w:r w:rsidRPr="008D5F60">
              <w:t>24</w:t>
            </w:r>
          </w:p>
        </w:tc>
        <w:tc>
          <w:tcPr>
            <w:tcW w:w="7371" w:type="dxa"/>
            <w:shd w:val="pct10" w:color="000000" w:fill="FFFFFF"/>
          </w:tcPr>
          <w:p w14:paraId="19C368BA" w14:textId="77777777" w:rsidR="004B2770" w:rsidRPr="008D5F60" w:rsidRDefault="004B2770" w:rsidP="003858C5">
            <w:pPr>
              <w:pStyle w:val="RollCallSymbols14pt"/>
            </w:pPr>
            <w:r w:rsidRPr="008D5F60">
              <w:t>+</w:t>
            </w:r>
          </w:p>
        </w:tc>
      </w:tr>
      <w:tr w:rsidR="004B2770" w:rsidRPr="008D5F60" w14:paraId="08C682C4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77BEE62" w14:textId="0F6DD5CD" w:rsidR="004B2770" w:rsidRPr="008D5F60" w:rsidRDefault="004B2770" w:rsidP="003858C5">
            <w:pPr>
              <w:pStyle w:val="RollCallTable"/>
            </w:pPr>
            <w:r w:rsidRPr="008D5F60">
              <w:t>PPE</w:t>
            </w:r>
          </w:p>
        </w:tc>
        <w:tc>
          <w:tcPr>
            <w:tcW w:w="7371" w:type="dxa"/>
            <w:shd w:val="clear" w:color="auto" w:fill="FFFFFF"/>
          </w:tcPr>
          <w:p w14:paraId="0874ED76" w14:textId="0BE5E5FA" w:rsidR="004B2770" w:rsidRPr="008D5F60" w:rsidRDefault="004B2770" w:rsidP="003858C5">
            <w:pPr>
              <w:pStyle w:val="RollCallTable"/>
            </w:pPr>
            <w:r w:rsidRPr="008D5F60">
              <w:t>Rosa Estaràs Ferragut, Arba Kokalari, Ewa Kopacz, Verena Mertens, Mirosława Nykiel, Giusi Princi, Maria Walsh</w:t>
            </w:r>
          </w:p>
        </w:tc>
      </w:tr>
      <w:tr w:rsidR="004B2770" w:rsidRPr="008D5F60" w14:paraId="5106D172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7855660" w14:textId="0D9DDEA7" w:rsidR="004B2770" w:rsidRPr="008D5F60" w:rsidRDefault="004B2770" w:rsidP="003858C5">
            <w:pPr>
              <w:pStyle w:val="RollCallTable"/>
            </w:pPr>
            <w:r w:rsidRPr="008D5F60">
              <w:t>Renew</w:t>
            </w:r>
          </w:p>
        </w:tc>
        <w:tc>
          <w:tcPr>
            <w:tcW w:w="7371" w:type="dxa"/>
            <w:shd w:val="clear" w:color="auto" w:fill="FFFFFF"/>
          </w:tcPr>
          <w:p w14:paraId="314F79F7" w14:textId="7C737725" w:rsidR="004B2770" w:rsidRPr="008D5F60" w:rsidRDefault="004B2770" w:rsidP="003858C5">
            <w:pPr>
              <w:pStyle w:val="RollCallTable"/>
            </w:pPr>
            <w:r w:rsidRPr="008D5F60">
              <w:t>Abir Al-Sahlani, Raquel García Hermida-Van Der Walle, Lucia Yar, Dainius Žalimas</w:t>
            </w:r>
          </w:p>
        </w:tc>
      </w:tr>
      <w:tr w:rsidR="004B2770" w:rsidRPr="008D5F60" w14:paraId="5124F980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6911284" w14:textId="12847CBE" w:rsidR="004B2770" w:rsidRPr="008D5F60" w:rsidRDefault="004B2770" w:rsidP="003858C5">
            <w:pPr>
              <w:pStyle w:val="RollCallTable"/>
            </w:pPr>
            <w:r w:rsidRPr="008D5F60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16804007" w14:textId="7FB2454F" w:rsidR="004B2770" w:rsidRPr="008D5F60" w:rsidRDefault="004B2770" w:rsidP="003858C5">
            <w:pPr>
              <w:pStyle w:val="RollCallTable"/>
            </w:pPr>
            <w:r w:rsidRPr="008D5F60">
              <w:t>Gabriela Firea, Heléne Fritzon, Lina Gálvez, Maria Noichl, Joanna Scheuring-Wielgus, Cecilia Strada, Marko Vešligaj</w:t>
            </w:r>
          </w:p>
        </w:tc>
      </w:tr>
      <w:tr w:rsidR="004B2770" w:rsidRPr="00F27B1A" w14:paraId="2BBC8E79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648C8B8" w14:textId="7BB2789E" w:rsidR="004B2770" w:rsidRPr="008D5F60" w:rsidRDefault="004B2770" w:rsidP="003858C5">
            <w:pPr>
              <w:pStyle w:val="RollCallTable"/>
            </w:pPr>
            <w:r w:rsidRPr="008D5F60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41491522" w14:textId="08CA3C3D" w:rsidR="004B2770" w:rsidRPr="00F27B1A" w:rsidRDefault="004B2770" w:rsidP="003858C5">
            <w:pPr>
              <w:pStyle w:val="RollCallTable"/>
              <w:rPr>
                <w:lang w:val="it-IT"/>
              </w:rPr>
            </w:pPr>
            <w:r w:rsidRPr="00F27B1A">
              <w:rPr>
                <w:lang w:val="it-IT"/>
              </w:rPr>
              <w:t>Hanna Gedin, Irene Montero, Carolina Morace</w:t>
            </w:r>
          </w:p>
        </w:tc>
      </w:tr>
      <w:tr w:rsidR="004B2770" w:rsidRPr="00F27B1A" w14:paraId="27BA8002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EB8920B" w14:textId="38CDA6CB" w:rsidR="004B2770" w:rsidRPr="008D5F60" w:rsidRDefault="004B2770" w:rsidP="003858C5">
            <w:pPr>
              <w:pStyle w:val="RollCallTable"/>
            </w:pPr>
            <w:r w:rsidRPr="008D5F60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69C78EB4" w14:textId="448479F6" w:rsidR="004B2770" w:rsidRPr="00F27B1A" w:rsidRDefault="004B2770" w:rsidP="003858C5">
            <w:pPr>
              <w:pStyle w:val="RollCallTable"/>
              <w:rPr>
                <w:lang w:val="it-IT"/>
              </w:rPr>
            </w:pPr>
            <w:r w:rsidRPr="00F27B1A">
              <w:rPr>
                <w:lang w:val="it-IT"/>
              </w:rPr>
              <w:t>Mélissa Camara, Alexandra Geese, Benedetta Scuderi</w:t>
            </w:r>
          </w:p>
        </w:tc>
      </w:tr>
    </w:tbl>
    <w:p w14:paraId="429343D6" w14:textId="77777777" w:rsidR="004B2770" w:rsidRPr="00F27B1A" w:rsidRDefault="004B2770" w:rsidP="00147FBF">
      <w:pPr>
        <w:rPr>
          <w:lang w:val="it-IT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B2770" w:rsidRPr="008D5F60" w14:paraId="0D32B313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69E5025" w14:textId="5890DE29" w:rsidR="004B2770" w:rsidRPr="008D5F60" w:rsidRDefault="004B2770" w:rsidP="003858C5">
            <w:pPr>
              <w:pStyle w:val="RollCallVotes"/>
            </w:pPr>
            <w:r w:rsidRPr="008D5F60">
              <w:t>9</w:t>
            </w:r>
          </w:p>
        </w:tc>
        <w:tc>
          <w:tcPr>
            <w:tcW w:w="7371" w:type="dxa"/>
            <w:shd w:val="pct10" w:color="000000" w:fill="FFFFFF"/>
          </w:tcPr>
          <w:p w14:paraId="22756865" w14:textId="77777777" w:rsidR="004B2770" w:rsidRPr="008D5F60" w:rsidRDefault="004B2770" w:rsidP="003858C5">
            <w:pPr>
              <w:pStyle w:val="RollCallSymbols14pt"/>
            </w:pPr>
            <w:r w:rsidRPr="008D5F60">
              <w:t>-</w:t>
            </w:r>
          </w:p>
        </w:tc>
      </w:tr>
      <w:tr w:rsidR="004B2770" w:rsidRPr="008D5F60" w14:paraId="1D585304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D0CA535" w14:textId="3BBAB50B" w:rsidR="004B2770" w:rsidRPr="008D5F60" w:rsidRDefault="004B2770" w:rsidP="003858C5">
            <w:pPr>
              <w:pStyle w:val="RollCallTable"/>
            </w:pPr>
            <w:r w:rsidRPr="008D5F60">
              <w:t>ECR</w:t>
            </w:r>
          </w:p>
        </w:tc>
        <w:tc>
          <w:tcPr>
            <w:tcW w:w="7371" w:type="dxa"/>
            <w:shd w:val="clear" w:color="auto" w:fill="FFFFFF"/>
          </w:tcPr>
          <w:p w14:paraId="192AE322" w14:textId="5AD26DF6" w:rsidR="004B2770" w:rsidRPr="008D5F60" w:rsidRDefault="004B2770" w:rsidP="003858C5">
            <w:pPr>
              <w:pStyle w:val="RollCallTable"/>
            </w:pPr>
            <w:r w:rsidRPr="008D5F60">
              <w:t>Chiara Gemma, Beatrice Timgren</w:t>
            </w:r>
          </w:p>
        </w:tc>
      </w:tr>
      <w:tr w:rsidR="004B2770" w:rsidRPr="008D5F60" w14:paraId="60CA4A67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6C6A8F02" w14:textId="4B952D21" w:rsidR="004B2770" w:rsidRPr="008D5F60" w:rsidRDefault="004B2770" w:rsidP="003858C5">
            <w:pPr>
              <w:pStyle w:val="RollCallTable"/>
            </w:pPr>
            <w:r w:rsidRPr="008D5F60">
              <w:t>ESN</w:t>
            </w:r>
          </w:p>
        </w:tc>
        <w:tc>
          <w:tcPr>
            <w:tcW w:w="7371" w:type="dxa"/>
            <w:shd w:val="clear" w:color="auto" w:fill="FFFFFF"/>
          </w:tcPr>
          <w:p w14:paraId="4EFD26E7" w14:textId="34F1316B" w:rsidR="004B2770" w:rsidRPr="008D5F60" w:rsidRDefault="004B2770" w:rsidP="003858C5">
            <w:pPr>
              <w:pStyle w:val="RollCallTable"/>
            </w:pPr>
            <w:r w:rsidRPr="008D5F60">
              <w:t>Christine Anderson</w:t>
            </w:r>
          </w:p>
        </w:tc>
      </w:tr>
      <w:tr w:rsidR="004B2770" w:rsidRPr="008D5F60" w14:paraId="56DAA58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387935CE" w14:textId="1D0DFAE6" w:rsidR="004B2770" w:rsidRPr="008D5F60" w:rsidRDefault="004B2770" w:rsidP="003858C5">
            <w:pPr>
              <w:pStyle w:val="RollCallTable"/>
            </w:pPr>
            <w:r w:rsidRPr="008D5F60">
              <w:t>NI</w:t>
            </w:r>
          </w:p>
        </w:tc>
        <w:tc>
          <w:tcPr>
            <w:tcW w:w="7371" w:type="dxa"/>
            <w:shd w:val="clear" w:color="auto" w:fill="FFFFFF"/>
          </w:tcPr>
          <w:p w14:paraId="1D1201C5" w14:textId="3C5F19E1" w:rsidR="004B2770" w:rsidRPr="008D5F60" w:rsidRDefault="004B2770" w:rsidP="003858C5">
            <w:pPr>
              <w:pStyle w:val="RollCallTable"/>
            </w:pPr>
            <w:r w:rsidRPr="008D5F60">
              <w:t>Fernand Kartheiser</w:t>
            </w:r>
          </w:p>
        </w:tc>
      </w:tr>
      <w:tr w:rsidR="004B2770" w:rsidRPr="008D5F60" w14:paraId="6858B46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1D130AD3" w14:textId="2E0D3992" w:rsidR="004B2770" w:rsidRPr="008D5F60" w:rsidRDefault="004B2770" w:rsidP="003858C5">
            <w:pPr>
              <w:pStyle w:val="RollCallTable"/>
            </w:pPr>
            <w:r w:rsidRPr="008D5F60">
              <w:t>PfE</w:t>
            </w:r>
          </w:p>
        </w:tc>
        <w:tc>
          <w:tcPr>
            <w:tcW w:w="7371" w:type="dxa"/>
            <w:shd w:val="clear" w:color="auto" w:fill="FFFFFF"/>
          </w:tcPr>
          <w:p w14:paraId="7E92FF4A" w14:textId="4C665654" w:rsidR="004B2770" w:rsidRPr="008D5F60" w:rsidRDefault="004B2770" w:rsidP="003858C5">
            <w:pPr>
              <w:pStyle w:val="RollCallTable"/>
            </w:pPr>
            <w:r w:rsidRPr="008D5F60">
              <w:t>Mathilde Androuët, Mireia Borrás Pabón, Elisabeth Dieringer, Margarita de la Pisa Carrión, Anders Vistisen</w:t>
            </w:r>
          </w:p>
        </w:tc>
      </w:tr>
    </w:tbl>
    <w:p w14:paraId="607574C0" w14:textId="77777777" w:rsidR="004B2770" w:rsidRPr="008D5F60" w:rsidRDefault="004B2770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B2770" w:rsidRPr="008D5F60" w14:paraId="547BE17A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50CE1B7" w14:textId="66F97D55" w:rsidR="004B2770" w:rsidRPr="008D5F60" w:rsidRDefault="004B2770" w:rsidP="003858C5">
            <w:pPr>
              <w:pStyle w:val="RollCallVotes"/>
            </w:pPr>
            <w:r w:rsidRPr="008D5F60">
              <w:t>1</w:t>
            </w:r>
          </w:p>
        </w:tc>
        <w:tc>
          <w:tcPr>
            <w:tcW w:w="7371" w:type="dxa"/>
            <w:shd w:val="pct10" w:color="000000" w:fill="FFFFFF"/>
          </w:tcPr>
          <w:p w14:paraId="2A3BD58A" w14:textId="77777777" w:rsidR="004B2770" w:rsidRPr="008D5F60" w:rsidRDefault="004B2770" w:rsidP="003858C5">
            <w:pPr>
              <w:pStyle w:val="RollCallSymbols14pt"/>
            </w:pPr>
            <w:r w:rsidRPr="008D5F60">
              <w:t>0</w:t>
            </w:r>
          </w:p>
        </w:tc>
      </w:tr>
      <w:tr w:rsidR="004B2770" w:rsidRPr="008D5F60" w14:paraId="3206FC30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F85F710" w14:textId="6CEF74D1" w:rsidR="004B2770" w:rsidRPr="008D5F60" w:rsidRDefault="004B2770" w:rsidP="003858C5">
            <w:pPr>
              <w:pStyle w:val="RollCallTable"/>
            </w:pPr>
            <w:r w:rsidRPr="008D5F60">
              <w:t>NI</w:t>
            </w:r>
          </w:p>
        </w:tc>
        <w:tc>
          <w:tcPr>
            <w:tcW w:w="7371" w:type="dxa"/>
            <w:shd w:val="clear" w:color="auto" w:fill="FFFFFF"/>
          </w:tcPr>
          <w:p w14:paraId="4163F050" w14:textId="675A4BA2" w:rsidR="004B2770" w:rsidRPr="008D5F60" w:rsidRDefault="004B2770" w:rsidP="003858C5">
            <w:pPr>
              <w:pStyle w:val="RollCallTable"/>
            </w:pPr>
            <w:r w:rsidRPr="008D5F60">
              <w:t>Judita Laššáková</w:t>
            </w:r>
          </w:p>
        </w:tc>
      </w:tr>
    </w:tbl>
    <w:p w14:paraId="51059015" w14:textId="77777777" w:rsidR="004B2770" w:rsidRPr="008D5F60" w:rsidRDefault="004B2770" w:rsidP="00147FBF">
      <w:pPr>
        <w:pStyle w:val="Normal12a"/>
      </w:pPr>
    </w:p>
    <w:p w14:paraId="5D755CE1" w14:textId="701D49B6" w:rsidR="004B2770" w:rsidRPr="008D5F60" w:rsidRDefault="004B2770" w:rsidP="00B735E3">
      <w:r w:rsidRPr="008D5F60">
        <w:t>Objaśnienie używanych znaków:</w:t>
      </w:r>
    </w:p>
    <w:p w14:paraId="7A79091D" w14:textId="0FCB3CEC" w:rsidR="004B2770" w:rsidRPr="008D5F60" w:rsidRDefault="004B2770" w:rsidP="003858C5">
      <w:pPr>
        <w:pStyle w:val="RollCallTabs"/>
      </w:pPr>
      <w:r w:rsidRPr="008D5F60">
        <w:t>+</w:t>
      </w:r>
      <w:r w:rsidRPr="008D5F60">
        <w:tab/>
        <w:t>:</w:t>
      </w:r>
      <w:r w:rsidRPr="008D5F60">
        <w:tab/>
        <w:t>za</w:t>
      </w:r>
    </w:p>
    <w:p w14:paraId="105F9486" w14:textId="541A5059" w:rsidR="004B2770" w:rsidRPr="008D5F60" w:rsidRDefault="004B2770" w:rsidP="003858C5">
      <w:pPr>
        <w:pStyle w:val="RollCallTabs"/>
      </w:pPr>
      <w:r w:rsidRPr="008D5F60">
        <w:t>-</w:t>
      </w:r>
      <w:r w:rsidRPr="008D5F60">
        <w:tab/>
        <w:t>:</w:t>
      </w:r>
      <w:r w:rsidRPr="008D5F60">
        <w:tab/>
        <w:t>przeciw</w:t>
      </w:r>
    </w:p>
    <w:p w14:paraId="3DD19D3D" w14:textId="7E9A87B2" w:rsidR="004B2770" w:rsidRPr="008D5F60" w:rsidRDefault="004B2770" w:rsidP="003858C5">
      <w:pPr>
        <w:pStyle w:val="RollCallTabs"/>
      </w:pPr>
      <w:r w:rsidRPr="008D5F60">
        <w:t>0</w:t>
      </w:r>
      <w:r w:rsidRPr="008D5F60">
        <w:tab/>
        <w:t>:</w:t>
      </w:r>
      <w:r w:rsidRPr="008D5F60">
        <w:tab/>
        <w:t>wstrzymało się</w:t>
      </w:r>
    </w:p>
    <w:p w14:paraId="2D8A0EB8" w14:textId="77777777" w:rsidR="004B2770" w:rsidRPr="008D5F60" w:rsidRDefault="004B2770" w:rsidP="00207509"/>
    <w:bookmarkEnd w:id="2"/>
    <w:p w14:paraId="67C82EE5" w14:textId="50C7B1A2" w:rsidR="00E00FA5" w:rsidRPr="008D5F60" w:rsidRDefault="00E00FA5" w:rsidP="00FC26A4"/>
    <w:sectPr w:rsidR="00E00FA5" w:rsidRPr="008D5F60" w:rsidSect="004B2770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56A37" w14:textId="77777777" w:rsidR="0026150B" w:rsidRPr="008D5F60" w:rsidRDefault="0026150B">
      <w:r w:rsidRPr="008D5F60">
        <w:separator/>
      </w:r>
    </w:p>
  </w:endnote>
  <w:endnote w:type="continuationSeparator" w:id="0">
    <w:p w14:paraId="13E4AA08" w14:textId="77777777" w:rsidR="0026150B" w:rsidRPr="008D5F60" w:rsidRDefault="0026150B">
      <w:r w:rsidRPr="008D5F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B5CD9" w14:textId="77777777" w:rsidR="008D5F60" w:rsidRPr="008D5F60" w:rsidRDefault="008D5F60" w:rsidP="008D5F60">
    <w:pPr>
      <w:pStyle w:val="EPFooter"/>
    </w:pPr>
    <w:r w:rsidRPr="008D5F60">
      <w:t>PE</w:t>
    </w:r>
    <w:r w:rsidRPr="008D5F60">
      <w:rPr>
        <w:rStyle w:val="HideTWBExt"/>
      </w:rPr>
      <w:t>&lt;NoPE&gt;</w:t>
    </w:r>
    <w:r w:rsidRPr="008D5F60">
      <w:t>779.729</w:t>
    </w:r>
    <w:r w:rsidRPr="008D5F60">
      <w:rPr>
        <w:rStyle w:val="HideTWBExt"/>
      </w:rPr>
      <w:t>&lt;/NoPE&gt;&lt;Version&gt;</w:t>
    </w:r>
    <w:r w:rsidRPr="008D5F60">
      <w:t>v02-00</w:t>
    </w:r>
    <w:r w:rsidRPr="008D5F60">
      <w:rPr>
        <w:rStyle w:val="HideTWBExt"/>
      </w:rPr>
      <w:t>&lt;/Version&gt;</w:t>
    </w:r>
    <w:r w:rsidRPr="008D5F60">
      <w:tab/>
    </w:r>
    <w:r w:rsidRPr="008D5F60">
      <w:fldChar w:fldCharType="begin"/>
    </w:r>
    <w:r w:rsidRPr="008D5F60">
      <w:instrText xml:space="preserve"> PAGE  \* MERGEFORMAT </w:instrText>
    </w:r>
    <w:r w:rsidRPr="008D5F60">
      <w:fldChar w:fldCharType="separate"/>
    </w:r>
    <w:r w:rsidRPr="008D5F60">
      <w:rPr>
        <w:noProof/>
      </w:rPr>
      <w:t>2</w:t>
    </w:r>
    <w:r w:rsidRPr="008D5F60">
      <w:fldChar w:fldCharType="end"/>
    </w:r>
    <w:r w:rsidRPr="008D5F60">
      <w:t>/</w:t>
    </w:r>
    <w:fldSimple w:instr=" NUMPAGES  \* MERGEFORMAT ">
      <w:r w:rsidRPr="008D5F60">
        <w:rPr>
          <w:noProof/>
        </w:rPr>
        <w:t>9</w:t>
      </w:r>
    </w:fldSimple>
    <w:r w:rsidRPr="008D5F60">
      <w:tab/>
    </w:r>
    <w:r w:rsidRPr="008D5F60">
      <w:rPr>
        <w:rStyle w:val="HideTWBExt"/>
      </w:rPr>
      <w:t>&lt;PathFdR&gt;</w:t>
    </w:r>
    <w:r w:rsidRPr="008D5F60">
      <w:t>AD\1335431PL.docx</w:t>
    </w:r>
    <w:r w:rsidRPr="008D5F60">
      <w:rPr>
        <w:rStyle w:val="HideTWBExt"/>
      </w:rPr>
      <w:t>&lt;/PathFdR&gt;</w:t>
    </w:r>
  </w:p>
  <w:p w14:paraId="61770458" w14:textId="1CF5C524" w:rsidR="00C75378" w:rsidRPr="008D5F60" w:rsidRDefault="008D5F60" w:rsidP="008D5F60">
    <w:pPr>
      <w:pStyle w:val="EPFooter2"/>
    </w:pPr>
    <w:r w:rsidRPr="008D5F60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0B3F2" w14:textId="77777777" w:rsidR="008D5F60" w:rsidRPr="008D5F60" w:rsidRDefault="008D5F60" w:rsidP="008D5F60">
    <w:pPr>
      <w:pStyle w:val="EPFooter"/>
    </w:pPr>
    <w:r w:rsidRPr="008D5F60">
      <w:rPr>
        <w:rStyle w:val="HideTWBExt"/>
      </w:rPr>
      <w:t>&lt;PathFdR&gt;</w:t>
    </w:r>
    <w:r w:rsidRPr="008D5F60">
      <w:t>AD\1335431PL.docx</w:t>
    </w:r>
    <w:r w:rsidRPr="008D5F60">
      <w:rPr>
        <w:rStyle w:val="HideTWBExt"/>
      </w:rPr>
      <w:t>&lt;/PathFdR&gt;</w:t>
    </w:r>
    <w:r w:rsidRPr="008D5F60">
      <w:tab/>
    </w:r>
    <w:r w:rsidRPr="008D5F60">
      <w:fldChar w:fldCharType="begin"/>
    </w:r>
    <w:r w:rsidRPr="008D5F60">
      <w:instrText xml:space="preserve"> PAGE  \* MERGEFORMAT </w:instrText>
    </w:r>
    <w:r w:rsidRPr="008D5F60">
      <w:fldChar w:fldCharType="separate"/>
    </w:r>
    <w:r w:rsidRPr="008D5F60">
      <w:rPr>
        <w:noProof/>
      </w:rPr>
      <w:t>3</w:t>
    </w:r>
    <w:r w:rsidRPr="008D5F60">
      <w:fldChar w:fldCharType="end"/>
    </w:r>
    <w:r w:rsidRPr="008D5F60">
      <w:t>/</w:t>
    </w:r>
    <w:fldSimple w:instr=" NUMPAGES  \* MERGEFORMAT ">
      <w:r w:rsidRPr="008D5F60">
        <w:rPr>
          <w:noProof/>
        </w:rPr>
        <w:t>9</w:t>
      </w:r>
    </w:fldSimple>
    <w:r w:rsidRPr="008D5F60">
      <w:tab/>
      <w:t>PE</w:t>
    </w:r>
    <w:r w:rsidRPr="008D5F60">
      <w:rPr>
        <w:rStyle w:val="HideTWBExt"/>
      </w:rPr>
      <w:t>&lt;NoPE&gt;</w:t>
    </w:r>
    <w:r w:rsidRPr="008D5F60">
      <w:t>779.729</w:t>
    </w:r>
    <w:r w:rsidRPr="008D5F60">
      <w:rPr>
        <w:rStyle w:val="HideTWBExt"/>
      </w:rPr>
      <w:t>&lt;/NoPE&gt;&lt;Version&gt;</w:t>
    </w:r>
    <w:r w:rsidRPr="008D5F60">
      <w:t>v02-00</w:t>
    </w:r>
    <w:r w:rsidRPr="008D5F60">
      <w:rPr>
        <w:rStyle w:val="HideTWBExt"/>
      </w:rPr>
      <w:t>&lt;/Version&gt;</w:t>
    </w:r>
  </w:p>
  <w:p w14:paraId="01A036E0" w14:textId="7D0E6435" w:rsidR="00C75378" w:rsidRPr="008D5F60" w:rsidRDefault="008D5F60" w:rsidP="008D5F60">
    <w:pPr>
      <w:pStyle w:val="EPFooter2"/>
    </w:pPr>
    <w:r w:rsidRPr="008D5F60">
      <w:tab/>
    </w:r>
    <w:r w:rsidRPr="008D5F60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C247" w14:textId="77777777" w:rsidR="008D5F60" w:rsidRPr="008D5F60" w:rsidRDefault="008D5F60" w:rsidP="008D5F60">
    <w:pPr>
      <w:pStyle w:val="EPFooter"/>
    </w:pPr>
    <w:r w:rsidRPr="008D5F60">
      <w:rPr>
        <w:rStyle w:val="HideTWBExt"/>
      </w:rPr>
      <w:t>&lt;PathFdR&gt;</w:t>
    </w:r>
    <w:r w:rsidRPr="008D5F60">
      <w:t>AD\1335431PL.docx</w:t>
    </w:r>
    <w:r w:rsidRPr="008D5F60">
      <w:rPr>
        <w:rStyle w:val="HideTWBExt"/>
      </w:rPr>
      <w:t>&lt;/PathFdR&gt;</w:t>
    </w:r>
    <w:r w:rsidRPr="008D5F60">
      <w:tab/>
    </w:r>
    <w:r w:rsidRPr="008D5F60">
      <w:tab/>
      <w:t>PE</w:t>
    </w:r>
    <w:r w:rsidRPr="008D5F60">
      <w:rPr>
        <w:rStyle w:val="HideTWBExt"/>
      </w:rPr>
      <w:t>&lt;NoPE&gt;</w:t>
    </w:r>
    <w:r w:rsidRPr="008D5F60">
      <w:t>779.729</w:t>
    </w:r>
    <w:r w:rsidRPr="008D5F60">
      <w:rPr>
        <w:rStyle w:val="HideTWBExt"/>
      </w:rPr>
      <w:t>&lt;/NoPE&gt;&lt;Version&gt;</w:t>
    </w:r>
    <w:r w:rsidRPr="008D5F60">
      <w:t>v02-00</w:t>
    </w:r>
    <w:r w:rsidRPr="008D5F60">
      <w:rPr>
        <w:rStyle w:val="HideTWBExt"/>
      </w:rPr>
      <w:t>&lt;/Version&gt;</w:t>
    </w:r>
  </w:p>
  <w:p w14:paraId="7FE5EB19" w14:textId="30B8EC8D" w:rsidR="00C75378" w:rsidRPr="008D5F60" w:rsidRDefault="008D5F60" w:rsidP="008D5F60">
    <w:pPr>
      <w:pStyle w:val="EPFooter2"/>
    </w:pPr>
    <w:r w:rsidRPr="008D5F60">
      <w:t>PL</w:t>
    </w:r>
    <w:r w:rsidRPr="008D5F60">
      <w:tab/>
    </w:r>
    <w:r w:rsidRPr="008D5F60">
      <w:rPr>
        <w:b w:val="0"/>
        <w:i/>
        <w:color w:val="C0C0C0"/>
        <w:sz w:val="22"/>
      </w:rPr>
      <w:t>Zjednoczona w różnorodności</w:t>
    </w:r>
    <w:r w:rsidRPr="008D5F60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221DC" w14:textId="77777777" w:rsidR="0026150B" w:rsidRPr="008D5F60" w:rsidRDefault="0026150B">
      <w:r w:rsidRPr="008D5F60">
        <w:separator/>
      </w:r>
    </w:p>
  </w:footnote>
  <w:footnote w:type="continuationSeparator" w:id="0">
    <w:p w14:paraId="78A275E8" w14:textId="77777777" w:rsidR="0026150B" w:rsidRPr="008D5F60" w:rsidRDefault="0026150B">
      <w:r w:rsidRPr="008D5F60">
        <w:continuationSeparator/>
      </w:r>
    </w:p>
  </w:footnote>
  <w:footnote w:id="1">
    <w:p w14:paraId="00070858" w14:textId="3D26C953" w:rsidR="004B2770" w:rsidRPr="008D5F60" w:rsidRDefault="004B2770">
      <w:pPr>
        <w:pStyle w:val="FootnoteText"/>
      </w:pPr>
      <w:r w:rsidRPr="008D5F60">
        <w:rPr>
          <w:rStyle w:val="FootnoteReference"/>
        </w:rPr>
        <w:footnoteRef/>
      </w:r>
      <w:r w:rsidRPr="008D5F60">
        <w:t xml:space="preserve"> Porozumienie międzyinstytucjonalne z 20 maja 2021 r. pomiędzy Parlamentem Europejskim, Radą Unii Europejskiej i Komisją Europejską w sprawie obowiązkowego rejestru służącego przejrzystości (Dz.U. L 207 z 11.6.2021, s. 1, ELI: </w:t>
      </w:r>
      <w:hyperlink r:id="rId1" w:history="1">
        <w:r w:rsidRPr="008D5F60">
          <w:rPr>
            <w:rStyle w:val="Hyperlink"/>
            <w:sz w:val="24"/>
          </w:rPr>
          <w:t>http://data.europa.eu/eli/agree_interinstit/2021/611/oj</w:t>
        </w:r>
      </w:hyperlink>
      <w:r w:rsidRPr="008D5F60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E579" w14:textId="77777777" w:rsidR="00F27B1A" w:rsidRDefault="00F27B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8735" w14:textId="77777777" w:rsidR="00F27B1A" w:rsidRDefault="00F27B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021C" w14:textId="77777777" w:rsidR="00F27B1A" w:rsidRDefault="00F27B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0418099">
    <w:abstractNumId w:val="9"/>
  </w:num>
  <w:num w:numId="2" w16cid:durableId="1096287308">
    <w:abstractNumId w:val="9"/>
  </w:num>
  <w:num w:numId="3" w16cid:durableId="1873154565">
    <w:abstractNumId w:val="7"/>
  </w:num>
  <w:num w:numId="4" w16cid:durableId="201020814">
    <w:abstractNumId w:val="7"/>
  </w:num>
  <w:num w:numId="5" w16cid:durableId="863716726">
    <w:abstractNumId w:val="6"/>
  </w:num>
  <w:num w:numId="6" w16cid:durableId="283540670">
    <w:abstractNumId w:val="6"/>
  </w:num>
  <w:num w:numId="7" w16cid:durableId="399790441">
    <w:abstractNumId w:val="5"/>
  </w:num>
  <w:num w:numId="8" w16cid:durableId="1150097090">
    <w:abstractNumId w:val="5"/>
  </w:num>
  <w:num w:numId="9" w16cid:durableId="1954625954">
    <w:abstractNumId w:val="4"/>
  </w:num>
  <w:num w:numId="10" w16cid:durableId="890845769">
    <w:abstractNumId w:val="4"/>
  </w:num>
  <w:num w:numId="11" w16cid:durableId="1807163248">
    <w:abstractNumId w:val="8"/>
  </w:num>
  <w:num w:numId="12" w16cid:durableId="1199319938">
    <w:abstractNumId w:val="8"/>
  </w:num>
  <w:num w:numId="13" w16cid:durableId="1952467364">
    <w:abstractNumId w:val="3"/>
  </w:num>
  <w:num w:numId="14" w16cid:durableId="1325814075">
    <w:abstractNumId w:val="3"/>
  </w:num>
  <w:num w:numId="15" w16cid:durableId="499197118">
    <w:abstractNumId w:val="2"/>
  </w:num>
  <w:num w:numId="16" w16cid:durableId="612832300">
    <w:abstractNumId w:val="2"/>
  </w:num>
  <w:num w:numId="17" w16cid:durableId="365955626">
    <w:abstractNumId w:val="1"/>
  </w:num>
  <w:num w:numId="18" w16cid:durableId="897135543">
    <w:abstractNumId w:val="1"/>
  </w:num>
  <w:num w:numId="19" w16cid:durableId="1898391877">
    <w:abstractNumId w:val="0"/>
  </w:num>
  <w:num w:numId="20" w16cid:durableId="278730030">
    <w:abstractNumId w:val="0"/>
  </w:num>
  <w:num w:numId="21" w16cid:durableId="1877043185">
    <w:abstractNumId w:val="9"/>
  </w:num>
  <w:num w:numId="22" w16cid:durableId="2092505848">
    <w:abstractNumId w:val="7"/>
  </w:num>
  <w:num w:numId="23" w16cid:durableId="1871215330">
    <w:abstractNumId w:val="6"/>
  </w:num>
  <w:num w:numId="24" w16cid:durableId="855264869">
    <w:abstractNumId w:val="5"/>
  </w:num>
  <w:num w:numId="25" w16cid:durableId="1752894662">
    <w:abstractNumId w:val="4"/>
  </w:num>
  <w:num w:numId="26" w16cid:durableId="2115633578">
    <w:abstractNumId w:val="8"/>
  </w:num>
  <w:num w:numId="27" w16cid:durableId="823811319">
    <w:abstractNumId w:val="3"/>
  </w:num>
  <w:num w:numId="28" w16cid:durableId="1667857488">
    <w:abstractNumId w:val="2"/>
  </w:num>
  <w:num w:numId="29" w16cid:durableId="437718752">
    <w:abstractNumId w:val="1"/>
  </w:num>
  <w:num w:numId="30" w16cid:durableId="1829513394">
    <w:abstractNumId w:val="0"/>
  </w:num>
  <w:num w:numId="31" w16cid:durableId="1194805569">
    <w:abstractNumId w:val="9"/>
  </w:num>
  <w:num w:numId="32" w16cid:durableId="795220350">
    <w:abstractNumId w:val="7"/>
  </w:num>
  <w:num w:numId="33" w16cid:durableId="1206410519">
    <w:abstractNumId w:val="6"/>
  </w:num>
  <w:num w:numId="34" w16cid:durableId="1608929393">
    <w:abstractNumId w:val="5"/>
  </w:num>
  <w:num w:numId="35" w16cid:durableId="694228830">
    <w:abstractNumId w:val="4"/>
  </w:num>
  <w:num w:numId="36" w16cid:durableId="333456576">
    <w:abstractNumId w:val="8"/>
  </w:num>
  <w:num w:numId="37" w16cid:durableId="280958520">
    <w:abstractNumId w:val="3"/>
  </w:num>
  <w:num w:numId="38" w16cid:durableId="749423892">
    <w:abstractNumId w:val="2"/>
  </w:num>
  <w:num w:numId="39" w16cid:durableId="139270770">
    <w:abstractNumId w:val="1"/>
  </w:num>
  <w:num w:numId="40" w16cid:durableId="184732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ITLEMNU" w:val=" 13"/>
    <w:docVar w:name="AUTHORMFMNU" w:val=" 2"/>
    <w:docVar w:name="COMKEY" w:val="FEMM"/>
    <w:docVar w:name="CONTRIBUTIONMNU" w:val=" 2"/>
    <w:docVar w:name="CopyCurrentAMExNoFinalMsg" w:val="False"/>
    <w:docVar w:name="CopyToNetwork" w:val="-1"/>
    <w:docVar w:name="DOCDT" w:val="24/11/2025"/>
    <w:docVar w:name="FONCTIONMNU" w:val=" 1"/>
    <w:docVar w:name="LastAMInserted" w:val="16"/>
    <w:docVar w:name="LastEditedSection" w:val=" 1"/>
    <w:docVar w:name="NumberAMInserted" w:val="16"/>
    <w:docVar w:name="PARTCOUNT" w:val="0"/>
    <w:docVar w:name="strDocTypeID" w:val="PA_NonLegDec"/>
    <w:docVar w:name="strSubDir" w:val="1335"/>
    <w:docVar w:name="TITLEMNU" w:val=" 1"/>
    <w:docVar w:name="TXTAUTHOR" w:val="Raquel García Hermida_x001e_Van Der Walle"/>
    <w:docVar w:name="TXTBUDYEAR" w:val="2024"/>
    <w:docVar w:name="TXTLANGUE" w:val="EN"/>
    <w:docVar w:name="TXTLANGUEMIN" w:val="en"/>
    <w:docVar w:name="TXTNRPE" w:val="779.729"/>
    <w:docVar w:name="TXTNRPROC" w:val="2025/2156"/>
    <w:docVar w:name="TXTPEorAP" w:val="PE"/>
    <w:docVar w:name="TXTROUTE" w:val="AD\1335431EN.docx"/>
    <w:docVar w:name="TXTVERSION" w:val="02-00"/>
  </w:docVars>
  <w:rsids>
    <w:rsidRoot w:val="00AC5540"/>
    <w:rsid w:val="000048A8"/>
    <w:rsid w:val="00004E79"/>
    <w:rsid w:val="00007A18"/>
    <w:rsid w:val="00062634"/>
    <w:rsid w:val="000A05CA"/>
    <w:rsid w:val="000B6C4B"/>
    <w:rsid w:val="000C2F42"/>
    <w:rsid w:val="000D001F"/>
    <w:rsid w:val="000D099F"/>
    <w:rsid w:val="000D3815"/>
    <w:rsid w:val="000D69B4"/>
    <w:rsid w:val="000E6813"/>
    <w:rsid w:val="000F07FE"/>
    <w:rsid w:val="000F3882"/>
    <w:rsid w:val="000F5166"/>
    <w:rsid w:val="001275F4"/>
    <w:rsid w:val="00180254"/>
    <w:rsid w:val="0019349F"/>
    <w:rsid w:val="001A455F"/>
    <w:rsid w:val="001A627F"/>
    <w:rsid w:val="001B478D"/>
    <w:rsid w:val="001E0B63"/>
    <w:rsid w:val="001F2766"/>
    <w:rsid w:val="001F6ED8"/>
    <w:rsid w:val="00212D35"/>
    <w:rsid w:val="00226626"/>
    <w:rsid w:val="00245C7F"/>
    <w:rsid w:val="00250546"/>
    <w:rsid w:val="0026150B"/>
    <w:rsid w:val="00271180"/>
    <w:rsid w:val="00292C9D"/>
    <w:rsid w:val="002A4AC9"/>
    <w:rsid w:val="002B2892"/>
    <w:rsid w:val="002B6B2E"/>
    <w:rsid w:val="002C0EE6"/>
    <w:rsid w:val="002C34AE"/>
    <w:rsid w:val="002D106D"/>
    <w:rsid w:val="002E2F2E"/>
    <w:rsid w:val="00307C14"/>
    <w:rsid w:val="003158D5"/>
    <w:rsid w:val="00321E04"/>
    <w:rsid w:val="003703FE"/>
    <w:rsid w:val="003707A7"/>
    <w:rsid w:val="00385BAB"/>
    <w:rsid w:val="0039003E"/>
    <w:rsid w:val="00394296"/>
    <w:rsid w:val="00396FA9"/>
    <w:rsid w:val="003A1FEB"/>
    <w:rsid w:val="003A4377"/>
    <w:rsid w:val="003B72FC"/>
    <w:rsid w:val="003D684B"/>
    <w:rsid w:val="003E06CF"/>
    <w:rsid w:val="003E12CB"/>
    <w:rsid w:val="003E35FB"/>
    <w:rsid w:val="003F3B83"/>
    <w:rsid w:val="00431E30"/>
    <w:rsid w:val="00487232"/>
    <w:rsid w:val="00495CA4"/>
    <w:rsid w:val="004A34E6"/>
    <w:rsid w:val="004B2770"/>
    <w:rsid w:val="004C28FB"/>
    <w:rsid w:val="004E54DC"/>
    <w:rsid w:val="004F48ED"/>
    <w:rsid w:val="00514664"/>
    <w:rsid w:val="0055017A"/>
    <w:rsid w:val="00552E22"/>
    <w:rsid w:val="00556722"/>
    <w:rsid w:val="00565852"/>
    <w:rsid w:val="0056647C"/>
    <w:rsid w:val="00577018"/>
    <w:rsid w:val="005779E7"/>
    <w:rsid w:val="0058605A"/>
    <w:rsid w:val="00586693"/>
    <w:rsid w:val="005D0786"/>
    <w:rsid w:val="005E3670"/>
    <w:rsid w:val="005F008F"/>
    <w:rsid w:val="00600DC9"/>
    <w:rsid w:val="00643F39"/>
    <w:rsid w:val="00644C72"/>
    <w:rsid w:val="0064631C"/>
    <w:rsid w:val="00663340"/>
    <w:rsid w:val="00664EBB"/>
    <w:rsid w:val="0066728C"/>
    <w:rsid w:val="006819E0"/>
    <w:rsid w:val="006873DF"/>
    <w:rsid w:val="006935B5"/>
    <w:rsid w:val="0071319E"/>
    <w:rsid w:val="00722749"/>
    <w:rsid w:val="00794E21"/>
    <w:rsid w:val="007B559D"/>
    <w:rsid w:val="007C42E0"/>
    <w:rsid w:val="007D2CC7"/>
    <w:rsid w:val="007F41E0"/>
    <w:rsid w:val="00806587"/>
    <w:rsid w:val="008818A9"/>
    <w:rsid w:val="008C6240"/>
    <w:rsid w:val="008D5F60"/>
    <w:rsid w:val="008E315D"/>
    <w:rsid w:val="008E7494"/>
    <w:rsid w:val="008F36CD"/>
    <w:rsid w:val="008F7002"/>
    <w:rsid w:val="0095301E"/>
    <w:rsid w:val="00953AAA"/>
    <w:rsid w:val="0095497D"/>
    <w:rsid w:val="009669A8"/>
    <w:rsid w:val="00972FD8"/>
    <w:rsid w:val="00977F76"/>
    <w:rsid w:val="0098140C"/>
    <w:rsid w:val="009879D7"/>
    <w:rsid w:val="009A33F4"/>
    <w:rsid w:val="009A403C"/>
    <w:rsid w:val="009B5265"/>
    <w:rsid w:val="00A2041C"/>
    <w:rsid w:val="00A2091E"/>
    <w:rsid w:val="00A24FB1"/>
    <w:rsid w:val="00A722B1"/>
    <w:rsid w:val="00A7288B"/>
    <w:rsid w:val="00A8267E"/>
    <w:rsid w:val="00A93570"/>
    <w:rsid w:val="00A9617A"/>
    <w:rsid w:val="00AA1A2C"/>
    <w:rsid w:val="00AA223C"/>
    <w:rsid w:val="00AC5540"/>
    <w:rsid w:val="00AF77DA"/>
    <w:rsid w:val="00B107A4"/>
    <w:rsid w:val="00B1441B"/>
    <w:rsid w:val="00B362F7"/>
    <w:rsid w:val="00BA3E0B"/>
    <w:rsid w:val="00BB2AC1"/>
    <w:rsid w:val="00BB514D"/>
    <w:rsid w:val="00BC5A92"/>
    <w:rsid w:val="00BD08F1"/>
    <w:rsid w:val="00C04938"/>
    <w:rsid w:val="00C175C0"/>
    <w:rsid w:val="00C277A6"/>
    <w:rsid w:val="00C47E30"/>
    <w:rsid w:val="00C54F53"/>
    <w:rsid w:val="00C636F1"/>
    <w:rsid w:val="00C75378"/>
    <w:rsid w:val="00CA0D01"/>
    <w:rsid w:val="00CE18D0"/>
    <w:rsid w:val="00CF7076"/>
    <w:rsid w:val="00D044C5"/>
    <w:rsid w:val="00D41244"/>
    <w:rsid w:val="00D438D0"/>
    <w:rsid w:val="00D44697"/>
    <w:rsid w:val="00D47632"/>
    <w:rsid w:val="00D625A2"/>
    <w:rsid w:val="00D71751"/>
    <w:rsid w:val="00D759AA"/>
    <w:rsid w:val="00D81FF7"/>
    <w:rsid w:val="00DA7632"/>
    <w:rsid w:val="00DB4D61"/>
    <w:rsid w:val="00E00FA5"/>
    <w:rsid w:val="00E01434"/>
    <w:rsid w:val="00E03CCB"/>
    <w:rsid w:val="00E05697"/>
    <w:rsid w:val="00E12435"/>
    <w:rsid w:val="00E3428B"/>
    <w:rsid w:val="00E3462E"/>
    <w:rsid w:val="00E37A1D"/>
    <w:rsid w:val="00E7171E"/>
    <w:rsid w:val="00E729C7"/>
    <w:rsid w:val="00E73071"/>
    <w:rsid w:val="00E83B40"/>
    <w:rsid w:val="00E9601C"/>
    <w:rsid w:val="00EA78B3"/>
    <w:rsid w:val="00EB19AA"/>
    <w:rsid w:val="00EC2C85"/>
    <w:rsid w:val="00EC5864"/>
    <w:rsid w:val="00ED7603"/>
    <w:rsid w:val="00F034ED"/>
    <w:rsid w:val="00F036E0"/>
    <w:rsid w:val="00F03D47"/>
    <w:rsid w:val="00F129D0"/>
    <w:rsid w:val="00F13113"/>
    <w:rsid w:val="00F27B1A"/>
    <w:rsid w:val="00F34E0A"/>
    <w:rsid w:val="00F46E44"/>
    <w:rsid w:val="00F611FC"/>
    <w:rsid w:val="00F61E8C"/>
    <w:rsid w:val="00F707AB"/>
    <w:rsid w:val="00F73264"/>
    <w:rsid w:val="00F93F85"/>
    <w:rsid w:val="00F96D53"/>
    <w:rsid w:val="00FB459D"/>
    <w:rsid w:val="00FC1DEC"/>
    <w:rsid w:val="00FC26A4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5238B"/>
  <w15:chartTrackingRefBased/>
  <w15:docId w15:val="{01900289-90DA-4A6C-A579-40284C0B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BD08F1"/>
    <w:rPr>
      <w:sz w:val="24"/>
    </w:rPr>
  </w:style>
  <w:style w:type="paragraph" w:styleId="Footer">
    <w:name w:val="footer"/>
    <w:basedOn w:val="Normal"/>
    <w:link w:val="FooterChar"/>
    <w:semiHidden/>
    <w:rsid w:val="00BA3E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A3E0B"/>
    <w:rPr>
      <w:sz w:val="24"/>
    </w:rPr>
  </w:style>
  <w:style w:type="paragraph" w:styleId="Revision">
    <w:name w:val="Revision"/>
    <w:hidden/>
    <w:uiPriority w:val="99"/>
    <w:semiHidden/>
    <w:rsid w:val="00A2091E"/>
    <w:rPr>
      <w:sz w:val="24"/>
    </w:rPr>
  </w:style>
  <w:style w:type="paragraph" w:customStyle="1" w:styleId="Normal24a">
    <w:name w:val="Normal24a"/>
    <w:basedOn w:val="Normal"/>
    <w:rsid w:val="004B2770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4B2770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4B277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B2770"/>
    <w:rPr>
      <w:szCs w:val="24"/>
    </w:rPr>
  </w:style>
  <w:style w:type="paragraph" w:styleId="FootnoteText">
    <w:name w:val="footnote text"/>
    <w:basedOn w:val="Normal"/>
    <w:link w:val="FootnoteTextChar"/>
    <w:rsid w:val="004B277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B2770"/>
  </w:style>
  <w:style w:type="character" w:styleId="FootnoteReference">
    <w:name w:val="footnote reference"/>
    <w:basedOn w:val="DefaultParagraphFont"/>
    <w:rsid w:val="004B2770"/>
    <w:rPr>
      <w:vertAlign w:val="superscript"/>
    </w:rPr>
  </w:style>
  <w:style w:type="character" w:styleId="Hyperlink">
    <w:name w:val="Hyperlink"/>
    <w:basedOn w:val="DefaultParagraphFont"/>
    <w:rsid w:val="004B27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770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4B277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B277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B277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B2770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1985</Words>
  <Characters>12671</Characters>
  <Application>Microsoft Office Word</Application>
  <DocSecurity>0</DocSecurity>
  <Lines>258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2026-02-11T11:06:00Z</dcterms:created>
  <dcterms:modified xsi:type="dcterms:W3CDTF">2026-02-11T11:06:00Z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1335431</vt:lpwstr>
  </property>
  <property fmtid="{D5CDD505-2E9C-101B-9397-08002B2CF9AE}" pid="6" name="&lt;Type&gt;">
    <vt:lpwstr>AD</vt:lpwstr>
  </property>
  <property fmtid="{D5CDD505-2E9C-101B-9397-08002B2CF9AE}" pid="7" name="&lt;ModelCod&gt;">
    <vt:lpwstr>\\eiciBRUpr1\pdocep$\DocEP\DOCS\General\PA\PA_NonLeg\PA_NonLegDec.dotx(08/11/2024 09:44:10)</vt:lpwstr>
  </property>
  <property fmtid="{D5CDD505-2E9C-101B-9397-08002B2CF9AE}" pid="8" name="&lt;ModelTra&gt;">
    <vt:lpwstr>\\eiciBRUpr1\pdocep$\DocEP\TRANSFIL\EN\PA_NonLegDec.EN(21/01/2025 14:39:00)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AD\1335431PL.docx</vt:lpwstr>
  </property>
  <property fmtid="{D5CDD505-2E9C-101B-9397-08002B2CF9AE}" pid="11" name="PE number">
    <vt:lpwstr>779.729</vt:lpwstr>
  </property>
  <property fmtid="{D5CDD505-2E9C-101B-9397-08002B2CF9AE}" pid="12" name="SendToEpades">
    <vt:lpwstr>OK - 2026/01/28 17:48</vt:lpwstr>
  </property>
  <property fmtid="{D5CDD505-2E9C-101B-9397-08002B2CF9AE}" pid="13" name="SDLStudio">
    <vt:lpwstr/>
  </property>
  <property fmtid="{D5CDD505-2E9C-101B-9397-08002B2CF9AE}" pid="14" name="Bookout">
    <vt:lpwstr>OK(HDG) - 2026/02/11 12:06</vt:lpwstr>
  </property>
</Properties>
</file>