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1B1AD2" w14:paraId="19DD0302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BA480B6" w14:textId="77777777" w:rsidR="004F48ED" w:rsidRPr="00F058E1" w:rsidRDefault="00ED3989" w:rsidP="00C85D0F">
            <w:pPr>
              <w:pStyle w:val="EPName"/>
            </w:pPr>
            <w:r>
              <w:t>Parlamento Europeu</w:t>
            </w:r>
          </w:p>
          <w:p w14:paraId="40EA8355" w14:textId="4B70F074" w:rsidR="004F48ED" w:rsidRPr="00F058E1" w:rsidRDefault="00ED3989" w:rsidP="00C85D0F">
            <w:pPr>
              <w:pStyle w:val="EPTerm"/>
            </w:pPr>
            <w:r>
              <w:t>2024</w:t>
            </w:r>
            <w:r>
              <w:noBreakHyphen/>
            </w:r>
            <w:r>
              <w:t>2029</w:t>
            </w:r>
          </w:p>
        </w:tc>
        <w:tc>
          <w:tcPr>
            <w:tcW w:w="2268" w:type="dxa"/>
            <w:shd w:val="clear" w:color="auto" w:fill="auto"/>
          </w:tcPr>
          <w:p w14:paraId="7FBD3D13" w14:textId="77777777" w:rsidR="004F48ED" w:rsidRPr="00F058E1" w:rsidRDefault="00ED3989" w:rsidP="00C85D0F">
            <w:pPr>
              <w:pStyle w:val="EPLogo"/>
            </w:pPr>
            <w:r w:rsidRPr="00F058E1">
              <w:rPr>
                <w:noProof/>
                <w:lang w:eastAsia="ja-JP"/>
              </w:rPr>
              <w:drawing>
                <wp:inline distT="0" distB="0" distL="0" distR="0" wp14:anchorId="54C114B1" wp14:editId="0E439E0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C91601" w14:textId="77777777" w:rsidR="00E9601C" w:rsidRPr="00F058E1" w:rsidRDefault="00E9601C" w:rsidP="00E9601C">
      <w:pPr>
        <w:pStyle w:val="LineTop"/>
      </w:pPr>
    </w:p>
    <w:p w14:paraId="135DF9A2" w14:textId="77777777" w:rsidR="00E9601C" w:rsidRPr="00F058E1" w:rsidRDefault="00ED3989" w:rsidP="00E9601C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{FEMM}</w:t>
      </w:r>
      <w:r>
        <w:t>Comissão dos Direitos das Mulheres e da Igualdade dos Géneros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14:paraId="173E8A74" w14:textId="77777777" w:rsidR="00E9601C" w:rsidRPr="00F058E1" w:rsidRDefault="00E9601C" w:rsidP="00E9601C">
      <w:pPr>
        <w:pStyle w:val="LineBottom"/>
      </w:pPr>
    </w:p>
    <w:p w14:paraId="55524C5F" w14:textId="77777777" w:rsidR="004E54DC" w:rsidRPr="00F058E1" w:rsidRDefault="00ED3989" w:rsidP="004E54DC">
      <w:pPr>
        <w:pStyle w:val="CoverReference"/>
      </w:pPr>
      <w:r>
        <w:rPr>
          <w:rStyle w:val="HideTWBExt"/>
          <w:b w:val="0"/>
        </w:rPr>
        <w:t>&lt;RefProc&gt;</w:t>
      </w:r>
      <w:r>
        <w:t>2025/2156</w:t>
      </w:r>
      <w:r>
        <w:rPr>
          <w:rStyle w:val="HideTWBExt"/>
          <w:b w:val="0"/>
        </w:rPr>
        <w:t>&lt;/RefProc&gt;&lt;RefTypeProc&gt;</w:t>
      </w:r>
      <w:r>
        <w:t>(DEC)</w:t>
      </w:r>
      <w:r>
        <w:rPr>
          <w:rStyle w:val="HideTWBExt"/>
          <w:b w:val="0"/>
        </w:rPr>
        <w:t>&lt;/RefTypeProc&gt;</w:t>
      </w:r>
    </w:p>
    <w:p w14:paraId="5148B63F" w14:textId="77777777" w:rsidR="002E2F2E" w:rsidRPr="00F058E1" w:rsidRDefault="00ED3989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{28/01/2026}</w:t>
      </w:r>
      <w:r>
        <w:t>28.1.2026</w:t>
      </w:r>
      <w:r>
        <w:rPr>
          <w:rStyle w:val="HideTWBExt"/>
        </w:rPr>
        <w:t>&lt;/Date&gt;</w:t>
      </w:r>
    </w:p>
    <w:p w14:paraId="6D8471A4" w14:textId="77777777" w:rsidR="002E2F2E" w:rsidRPr="00F058E1" w:rsidRDefault="00ED3989">
      <w:pPr>
        <w:pStyle w:val="CoverDocType24a"/>
      </w:pPr>
      <w:r>
        <w:rPr>
          <w:rStyle w:val="HideTWBExt"/>
          <w:b w:val="0"/>
        </w:rPr>
        <w:t>&lt;TitreType&gt;</w:t>
      </w:r>
      <w:r>
        <w:t>PARECER</w:t>
      </w:r>
      <w:r>
        <w:rPr>
          <w:rStyle w:val="HideTWBExt"/>
          <w:b w:val="0"/>
        </w:rPr>
        <w:t>&lt;/TitreType&gt;</w:t>
      </w:r>
    </w:p>
    <w:p w14:paraId="0D0889DB" w14:textId="77777777" w:rsidR="002E2F2E" w:rsidRPr="00F058E1" w:rsidRDefault="00ED3989">
      <w:pPr>
        <w:pStyle w:val="CoverNormal24a"/>
      </w:pPr>
      <w:r>
        <w:rPr>
          <w:rStyle w:val="HideTWBExt"/>
        </w:rPr>
        <w:t>&lt;CommissionResp&gt;</w:t>
      </w:r>
      <w:r>
        <w:t>da Comissão dos Direitos das Mulheres e da Igualdade dos Géneros</w:t>
      </w:r>
      <w:r>
        <w:rPr>
          <w:rStyle w:val="HideTWBExt"/>
        </w:rPr>
        <w:t>&lt;/CommissionResp&gt;</w:t>
      </w:r>
    </w:p>
    <w:p w14:paraId="1B9D51FB" w14:textId="77777777" w:rsidR="002E2F2E" w:rsidRPr="00F058E1" w:rsidRDefault="00ED3989" w:rsidP="0095497D">
      <w:pPr>
        <w:pStyle w:val="CoverNormal24a"/>
      </w:pPr>
      <w:r>
        <w:rPr>
          <w:rStyle w:val="HideTWBExt"/>
        </w:rPr>
        <w:t>&lt;CommissionInt&gt;</w:t>
      </w:r>
      <w:r>
        <w:t>dirigido à Comissão do Controlo Orçamental</w:t>
      </w:r>
      <w:r>
        <w:rPr>
          <w:rStyle w:val="HideTWBExt"/>
        </w:rPr>
        <w:t>&lt;/CommissionInt&gt;</w:t>
      </w:r>
    </w:p>
    <w:p w14:paraId="7D5EBF3B" w14:textId="77777777" w:rsidR="00F93F85" w:rsidRPr="00F058E1" w:rsidRDefault="00ED3989" w:rsidP="000D69B4">
      <w:pPr>
        <w:pStyle w:val="CoverNormal"/>
      </w:pPr>
      <w:r>
        <w:rPr>
          <w:rStyle w:val="HideTWBExt"/>
        </w:rPr>
        <w:t>&lt;Titre&gt;</w:t>
      </w:r>
      <w:r>
        <w:t>sobre a quitação pela execução do orçamento das Agências da União Europeia para o exercício de 2024 — Agências</w:t>
      </w:r>
      <w:r>
        <w:rPr>
          <w:rStyle w:val="HideTWBExt"/>
        </w:rPr>
        <w:t>&lt;/Titre&gt;</w:t>
      </w:r>
    </w:p>
    <w:p w14:paraId="36DB2B5A" w14:textId="77777777" w:rsidR="002E2F2E" w:rsidRPr="00F058E1" w:rsidRDefault="00ED3989" w:rsidP="00F93F85">
      <w:pPr>
        <w:pStyle w:val="CoverNormal24a"/>
      </w:pPr>
      <w:r>
        <w:rPr>
          <w:rStyle w:val="HideTWBExt"/>
        </w:rPr>
        <w:t>&lt;DocRef&gt;</w:t>
      </w:r>
      <w:r>
        <w:t>(2025/2156(DEC))</w:t>
      </w:r>
      <w:r>
        <w:rPr>
          <w:rStyle w:val="HideTWBExt"/>
        </w:rPr>
        <w:t>&lt;/DocRef&gt;</w:t>
      </w:r>
    </w:p>
    <w:p w14:paraId="111AEB59" w14:textId="221F2794" w:rsidR="002E2F2E" w:rsidRPr="00F058E1" w:rsidRDefault="00ED3989">
      <w:pPr>
        <w:pStyle w:val="CoverNormal24a"/>
      </w:pPr>
      <w:r>
        <w:t xml:space="preserve">Relatora de parecer: </w:t>
      </w:r>
      <w:r>
        <w:rPr>
          <w:rStyle w:val="HideTWBExt"/>
        </w:rPr>
        <w:t>&lt;Depute&gt;</w:t>
      </w:r>
      <w:r>
        <w:t>Raquel García Hermida</w:t>
      </w:r>
      <w:r>
        <w:noBreakHyphen/>
      </w:r>
      <w:r>
        <w:t>Van Der Walle</w:t>
      </w:r>
      <w:r>
        <w:rPr>
          <w:rStyle w:val="HideTWBExt"/>
        </w:rPr>
        <w:t>&lt;/Depute&gt;</w:t>
      </w:r>
    </w:p>
    <w:p w14:paraId="50C36C07" w14:textId="77777777" w:rsidR="00A7288B" w:rsidRPr="00F058E1" w:rsidRDefault="00ED3989">
      <w:pPr>
        <w:widowControl/>
      </w:pPr>
      <w:r>
        <w:br w:type="page"/>
      </w:r>
    </w:p>
    <w:p w14:paraId="7414394F" w14:textId="77777777" w:rsidR="00977F76" w:rsidRPr="00F058E1" w:rsidRDefault="00977F76" w:rsidP="00977F76">
      <w:pPr>
        <w:pStyle w:val="CoverNormal"/>
      </w:pPr>
    </w:p>
    <w:p w14:paraId="46E773B3" w14:textId="77777777" w:rsidR="002E2F2E" w:rsidRPr="00F058E1" w:rsidRDefault="00ED3989" w:rsidP="00BB2AC1">
      <w:pPr>
        <w:widowControl/>
        <w:tabs>
          <w:tab w:val="center" w:pos="4677"/>
        </w:tabs>
      </w:pPr>
      <w:r>
        <w:t>PA_NonLegDec</w:t>
      </w:r>
    </w:p>
    <w:p w14:paraId="384E785D" w14:textId="77777777" w:rsidR="00A7288B" w:rsidRPr="00F058E1" w:rsidRDefault="00ED3989">
      <w:pPr>
        <w:widowControl/>
      </w:pPr>
      <w:r>
        <w:br w:type="page"/>
      </w:r>
    </w:p>
    <w:p w14:paraId="356C5590" w14:textId="77777777" w:rsidR="003E06CF" w:rsidRPr="00F058E1" w:rsidRDefault="00ED3989" w:rsidP="003E06CF">
      <w:pPr>
        <w:pStyle w:val="PageHeadingNotTOC"/>
      </w:pPr>
      <w:r>
        <w:t>PARECER</w:t>
      </w:r>
    </w:p>
    <w:p w14:paraId="181B3D9F" w14:textId="77777777" w:rsidR="000048A8" w:rsidRPr="00F058E1" w:rsidRDefault="00ED3989" w:rsidP="003E06CF">
      <w:pPr>
        <w:pStyle w:val="Normal12a"/>
      </w:pPr>
      <w:r>
        <w:t xml:space="preserve">A Comissão dos Direitos das Mulheres e da Igualdade dos </w:t>
      </w:r>
      <w:r>
        <w:t>Géneros insta a Comissão do Controlo Orçamental, competente quanto à matéria de fundo, a incorporar os seguintes elementos na sua proposta de resolução:</w:t>
      </w:r>
    </w:p>
    <w:p w14:paraId="6817BB1A" w14:textId="77777777" w:rsidR="00A7288B" w:rsidRPr="00F058E1" w:rsidRDefault="00ED3989" w:rsidP="003E06CF">
      <w:pPr>
        <w:pStyle w:val="Normal12a"/>
      </w:pPr>
      <w:r>
        <w:rPr>
          <w:rStyle w:val="HideTWBExt"/>
        </w:rPr>
        <w:t>&lt;RepeatBlock-Dec&gt;</w:t>
      </w:r>
    </w:p>
    <w:p w14:paraId="7171B314" w14:textId="77777777" w:rsidR="00116789" w:rsidRPr="00E7171E" w:rsidRDefault="00ED3989" w:rsidP="00116789">
      <w:pPr>
        <w:pStyle w:val="NormalHanging12a"/>
      </w:pPr>
      <w:r>
        <w:t>A.</w:t>
      </w:r>
      <w:r>
        <w:tab/>
        <w:t>Considerando que a igualdade de género é um dos valores fundadores da União e que a União está empenhada em promover a igualdade de género em todas as suas atividades, tal como consagrado no artigo 8.º do Tratado sobre o Funcionamento da União Europeia (TFUE), e estabelecer, assim, o princípio da integração da perspetiva de género e da orçamentação sensível ao género; que a igualdade de género deve ser incorporada em todas as políticas e atividades da UE;</w:t>
      </w:r>
    </w:p>
    <w:p w14:paraId="31EFEFEA" w14:textId="77777777" w:rsidR="00116789" w:rsidRPr="00E7171E" w:rsidRDefault="00ED3989" w:rsidP="00116789">
      <w:pPr>
        <w:pStyle w:val="NormalHanging12a"/>
        <w:rPr>
          <w:b/>
          <w:i/>
        </w:rPr>
      </w:pPr>
      <w:r>
        <w:t>B.</w:t>
      </w:r>
      <w:r>
        <w:rPr>
          <w:b/>
          <w:i/>
        </w:rPr>
        <w:tab/>
      </w:r>
      <w:r>
        <w:t>Considerando que o Instituto Europeu para a Igualdade de Género (EIGE) foi criado com o objetivo de apoiar e reforçar a igualdade de género na União, nomeadamente a integração da perspetiva de género em todas as políticas da União e nas políticas nacionais delas decorrentes, a luta contra a discriminação de género e a sensibilização dos cidadãos da UE para a igualdade de género, funções nas quais se tem revelado indispensável e eficaz; que a programação anual e plurianual do EIGE tem respondido de forma co</w:t>
      </w:r>
      <w:r>
        <w:t>erente às prioridades atuais da União; que o EIGE tem apoiado cada vez mais as instituições e os organismos da UE na integração das perspetivas de género na sua programação e nas suas operações;</w:t>
      </w:r>
    </w:p>
    <w:p w14:paraId="5CD3C257" w14:textId="77777777" w:rsidR="00116789" w:rsidRPr="00E7171E" w:rsidRDefault="00ED3989" w:rsidP="00116789">
      <w:pPr>
        <w:pStyle w:val="NormalHanging12a"/>
        <w:rPr>
          <w:b/>
          <w:i/>
        </w:rPr>
      </w:pPr>
      <w:r>
        <w:t>C.</w:t>
      </w:r>
      <w:r>
        <w:rPr>
          <w:b/>
          <w:i/>
        </w:rPr>
        <w:tab/>
      </w:r>
      <w:r>
        <w:t>Considerando que o próximo quadro financeiro plurianual (QFP) deve integrar os objetivos de igualdade de género, a perspetiva de género e a orçamentação sensível ao género em todos os programas de financiamento;</w:t>
      </w:r>
    </w:p>
    <w:p w14:paraId="42D377BF" w14:textId="33449CAF" w:rsidR="00116789" w:rsidRPr="00E7171E" w:rsidRDefault="00ED3989" w:rsidP="00116789">
      <w:pPr>
        <w:pStyle w:val="NormalHanging12a"/>
      </w:pPr>
      <w:r>
        <w:t>D.</w:t>
      </w:r>
      <w:r>
        <w:tab/>
        <w:t>Considerando que, desde 2010, o Índice de Igualdade de Género da UE subiu 7,9 pontos no total, mas que, apesar desta tendência ascendente a longo prazo, o Índice de Igualdade de Género de 2025 demonstra que os progressos alcançados pelos Estados</w:t>
      </w:r>
      <w:r>
        <w:noBreakHyphen/>
      </w:r>
      <w:r>
        <w:t>Membros têm sido limitados e que o resultado da UE é de 63,4, o que representa apenas um aumento de 0,8 pontos relativamente ao Índice de Igualdade de Género de 2024; que, com base neste índice, a igualdade de género na UE continuará inatingível durante, pelo menos, mais 50 anos; que noutros domínios, como a saúde e a educação das mulheres, os progressos estagnaram e até se verificam retrocessos; que o índice de 2024 revela grandes disparidades entre os Estados</w:t>
      </w:r>
      <w:r>
        <w:noBreakHyphen/>
      </w:r>
      <w:r>
        <w:t>Membros (pontuação máxima: 82,0; pontuação mínima: 57,5), o que põe em relevo as desigualdades persistentes em toda a União e a necessidade de acompanhamento e apoio contínuos por parte de agências como o EIGE;</w:t>
      </w:r>
    </w:p>
    <w:p w14:paraId="45A5A2B1" w14:textId="0F146F3D" w:rsidR="00116789" w:rsidRPr="00E7171E" w:rsidRDefault="00ED3989" w:rsidP="00116789">
      <w:pPr>
        <w:pStyle w:val="NormalHanging12a"/>
        <w:rPr>
          <w:b/>
          <w:i/>
        </w:rPr>
      </w:pPr>
      <w:r>
        <w:t>E.</w:t>
      </w:r>
      <w:r>
        <w:rPr>
          <w:b/>
          <w:i/>
        </w:rPr>
        <w:tab/>
      </w:r>
      <w:r>
        <w:t>Considerando que a igualdade de género na União foi particularmente prejudicada pelas consequências da guerra na Ucrânia, pela crise do custo de vida, que afeta desproporcionadamente as mulheres, e pelos retrocessos em matéria de igualdade de género e direitos das mulheres, em especial no que diz respeito à saúde sexual e reprodutiva e direitos conexos (SDSR), em vários Estados</w:t>
      </w:r>
      <w:r>
        <w:noBreakHyphen/>
      </w:r>
      <w:r>
        <w:t>Membros; que tal agrava ainda mais as desigualdades e impede a igualdade de género;</w:t>
      </w:r>
    </w:p>
    <w:p w14:paraId="7E5F4500" w14:textId="6DCE82F4" w:rsidR="00116789" w:rsidRPr="00E7171E" w:rsidRDefault="00ED3989" w:rsidP="00116789">
      <w:pPr>
        <w:pStyle w:val="NormalHanging12a"/>
      </w:pPr>
      <w:r>
        <w:t>F.</w:t>
      </w:r>
      <w:r>
        <w:tab/>
        <w:t>Considerando que tanto a inflação como o subfinanciamento duradouro exercem uma pressão cada vez maior sobre o orçamento do EIGE e reduzem a sua capacidade operacional, o que se traduz em falta de pessoal e pressão financeira permanente sobre a agência; que a avaliação externa de 2022 revelou uma grave falta de pessoal na área da integração da perspetiva de género e concluiu que o EIGE só teve capacidade para responder a um quarto dos pedidos de assistência técnica; que o EIGE desempenha um papel fulcral n</w:t>
      </w:r>
      <w:r>
        <w:t>o apoio às instituições da União e aos Estados</w:t>
      </w:r>
      <w:r>
        <w:noBreakHyphen/>
      </w:r>
      <w:r>
        <w:t>Membros nos seus esforços para alcançar a igualdade de género; que, por conseguinte, é necessário sublinhar que o Instituto deve dispor de recursos financeiros e humanos suficientes e estáveis para desempenhar as suas funções;</w:t>
      </w:r>
    </w:p>
    <w:p w14:paraId="27E71600" w14:textId="00FD659E" w:rsidR="00116789" w:rsidRPr="00E7171E" w:rsidRDefault="00ED3989" w:rsidP="00116789">
      <w:pPr>
        <w:pStyle w:val="NormalHanging12a"/>
        <w:rPr>
          <w:b/>
          <w:i/>
        </w:rPr>
      </w:pPr>
      <w:r>
        <w:t>G.</w:t>
      </w:r>
      <w:r>
        <w:rPr>
          <w:b/>
          <w:i/>
        </w:rPr>
        <w:tab/>
      </w:r>
      <w:r>
        <w:t>Considerando que o aumento da inflação e do coeficiente de correção para a Lituânia tem afetado os custos salariais do EIGE e criado um difícil dilema em áreas de atividade fundamentais, como a prestação de assistência técnica às instituições da UE e aos Estados</w:t>
      </w:r>
      <w:r>
        <w:noBreakHyphen/>
      </w:r>
      <w:r>
        <w:t>Membros para a integração da perspetiva de género, bem como nas suas atividades de recolha de dados;</w:t>
      </w:r>
    </w:p>
    <w:p w14:paraId="6743C15C" w14:textId="1D6C6DE0" w:rsidR="00116789" w:rsidRPr="00E7171E" w:rsidRDefault="00ED3989" w:rsidP="00116789">
      <w:pPr>
        <w:pStyle w:val="NormalHanging12a"/>
        <w:rPr>
          <w:b/>
          <w:i/>
        </w:rPr>
      </w:pPr>
      <w:r>
        <w:t>H.</w:t>
      </w:r>
      <w:r>
        <w:rPr>
          <w:b/>
          <w:i/>
        </w:rPr>
        <w:tab/>
      </w:r>
      <w:r>
        <w:t>Considerando que a principal tarefa do EIGE consiste em alcançar a igualdade de género na UE, através da divulgação de resultados de investigação, da recolha e comunicação de dados, do desenvolvimento de métodos para melhorar as estatísticas e a recolha de dados, e da avaliação do estado da igualdade de género, tanto a nível da UE como dos Estados</w:t>
      </w:r>
      <w:r>
        <w:noBreakHyphen/>
      </w:r>
      <w:r>
        <w:t>Membros; que o EIGE continua a melhorar a qualidade e a comparabilidade dos dados desagregados por género em toda a União e a consolidar, deste modo, a base de dados disponível para as instituições da UE e os Estados</w:t>
      </w:r>
      <w:r>
        <w:noBreakHyphen/>
      </w:r>
      <w:r>
        <w:t xml:space="preserve">Membros; que o EIGE aumentou o número de ferramentas digitais e plataformas em linha próprias e, com isto, melhorou o acesso a estatísticas, orientações metodológicas e recursos práticos para os decisores políticos e as partes interessadas; que o EIGE reforçou a sua cooperação com os institutos nacionais de estatística e as autoridades competentes; que o trabalho do EIGE sobre a violência de género, como o inquérito da UE sobre a violência de género, que apresentou resultados fundamentais com base em dados </w:t>
      </w:r>
      <w:r>
        <w:t>dos 27 Estados</w:t>
      </w:r>
      <w:r>
        <w:noBreakHyphen/>
      </w:r>
      <w:r>
        <w:t>Membros, apoiou o objetivo da União de melhorar a prevenção, a recolha de dados e a coordenação das políticas neste domínio;</w:t>
      </w:r>
    </w:p>
    <w:p w14:paraId="2D5DCB94" w14:textId="77777777" w:rsidR="00116789" w:rsidRPr="00E7171E" w:rsidRDefault="00ED3989" w:rsidP="00116789">
      <w:pPr>
        <w:pStyle w:val="NormalHanging12a"/>
        <w:rPr>
          <w:b/>
          <w:i/>
        </w:rPr>
      </w:pPr>
      <w:r>
        <w:t>I.</w:t>
      </w:r>
      <w:r>
        <w:tab/>
        <w:t xml:space="preserve">Considerando que foram atribuídas ao EIGE novas funções relacionadas com a aplicação e o acompanhamento das diretivas da UE recentemente adotadas, designadamente a Diretiva (UE) 2022/2381 relativa à melhoria do equilíbrio de género nos cargos dirigentes de empresas cotadas, a Diretiva (UE) 2023/970 relativa à igualdade de remuneração por trabalho igual ou de valor igual, a Diretiva (UE) 2019/1158 relativa à conciliação entre a vida profissional e a vida familiar dos progenitores e cuidadores, as Diretivas </w:t>
      </w:r>
      <w:r>
        <w:t>(UE) 2024/1499 e 2024/1500 relativas a normas vinculativas aplicáveis aos organismos para a igualdade, a Diretiva (UE) 2024/1385 relativa ao combate à violência contra as mulheres e à violência doméstica, bem como com a adesão da UE como parte contratante à Convenção do Conselho da Europa sobre a Prevenção e a Combate à Violência contra as Mulheres e a Violência Doméstica, também conhecida como Convenção de Istambul;</w:t>
      </w:r>
    </w:p>
    <w:p w14:paraId="0257A87D" w14:textId="77777777" w:rsidR="00116789" w:rsidRPr="00E7171E" w:rsidRDefault="00ED3989" w:rsidP="00116789">
      <w:pPr>
        <w:pStyle w:val="NormalHanging12a"/>
        <w:rPr>
          <w:b/>
          <w:i/>
        </w:rPr>
      </w:pPr>
      <w:r>
        <w:t>J.</w:t>
      </w:r>
      <w:r>
        <w:tab/>
        <w:t>Considerando que estas novas obrigações exigem o reforço da capacidade de acompanhamento legislativo, de comunicação de informações sobre a conformidade e de recolha de dados, incluindo, pelo menos, cinco novos lugares de agente temporário e quatro lugares de agente contratual, tal como identificado pelo EIGE, nomeadamente para repor os lugares suprimidos em ciclos orçamentais anteriores; que o novo Regulamento Cibersegurança da UE exige que o EIGE reforce os seus sistemas de cibersegurança, designadamente</w:t>
      </w:r>
      <w:r>
        <w:t xml:space="preserve"> através da nomeação de um responsável pela cibersegurança e da realização de avaliações e auditorias regulares; que o EIGE necessitaria de um agente contratual (GF IV) responsável pela cibersegurança e de recursos orçamentais reforçados para o cumprimento destas obrigações; que o EIGE é obrigado a gastar 200 000 na aquisição do novo </w:t>
      </w:r>
      <w:r>
        <w:rPr>
          <w:i/>
          <w:iCs/>
        </w:rPr>
        <w:t>software</w:t>
      </w:r>
      <w:r>
        <w:t xml:space="preserve"> financeiro obrigatório SUMMA, o que representa quase 15 % do seu orçamento ao abrigo do título II; que esta despesa orçamental representa um encargo desproporcionado p</w:t>
      </w:r>
      <w:r>
        <w:t>ara as agências mais pequenas; que a representação equilibrada de género no pessoal deve ser sempre promovida em todas as agências da UE, bem como no EIGE, através de procedimentos de recrutamento sensíveis à dimensão de género;</w:t>
      </w:r>
    </w:p>
    <w:p w14:paraId="77E76DF7" w14:textId="5640DCBE" w:rsidR="00116789" w:rsidRPr="00E7171E" w:rsidRDefault="00ED3989" w:rsidP="00116789">
      <w:pPr>
        <w:pStyle w:val="NormalHanging12a"/>
      </w:pPr>
      <w:r>
        <w:t>1.</w:t>
      </w:r>
      <w:r>
        <w:tab/>
        <w:t>Relembra que o EIGE foi criado para promover e reforçar a investigação independente em matéria de igualdade de género e para disponibilizar dados e instrumentos que ajudem a UE e os Estados</w:t>
      </w:r>
      <w:r>
        <w:noBreakHyphen/>
      </w:r>
      <w:r>
        <w:t>Membros a conceber políticas inclusivas e transformadoras em matéria de género, e observa que estas políticas combatem as causas profundas da desigualdade de género, desafiam normas discriminatórias, a repartição desigual do poder e práticas nocivas, e procuram mudar as atitudes e os comportamentos da sociedade no sentido de uma verdadeira igualdade de género, bem como integrar a igualdade de género em todas as suas políticas; assinala a importância de disponibilizar dados fiáveis repartidos por género, que</w:t>
      </w:r>
      <w:r>
        <w:t xml:space="preserve"> permitam elaborar políticas baseadas em dados concretos; salienta, atendendo às crises em curso, como as guerras e a crise climática, que a União deve promover urgentemente a igualdade de género; destaca ainda os retrocessos em matéria de igualdade de género por parte de movimentos antigénero e antidemocráticos;</w:t>
      </w:r>
    </w:p>
    <w:p w14:paraId="0472A388" w14:textId="59B88156" w:rsidR="00116789" w:rsidRPr="00E7171E" w:rsidRDefault="00ED3989" w:rsidP="00116789">
      <w:pPr>
        <w:pStyle w:val="NormalHanging12a"/>
        <w:rPr>
          <w:b/>
          <w:i/>
        </w:rPr>
      </w:pPr>
      <w:r>
        <w:t>2.</w:t>
      </w:r>
      <w:r>
        <w:rPr>
          <w:b/>
          <w:i/>
        </w:rPr>
        <w:tab/>
      </w:r>
      <w:r>
        <w:t>Congratula</w:t>
      </w:r>
      <w:r>
        <w:noBreakHyphen/>
      </w:r>
      <w:r>
        <w:t>se com a cooperação em curso entre o EIGE e a Comissão dos Direitos das Mulheres e da Igualdade dos Géneros (FEMM), em especial a forma como o Instituto tem contribuído para os esforços da Comissão em matéria de violência de género, equilíbrio entre vida profissional e vida privada, disparidades salariais e de pensões entre homens e mulheres, consequências das crises para as mulheres, integração da perspetiva de género e orçamentação sensível ao género; chama a atenção para o valioso contributo que o EIGE p</w:t>
      </w:r>
      <w:r>
        <w:t>ode dar a todas as comissões do Parlamento Europeu e a outras agências da UE, para a melhor integração da perspetiva de género em todas as políticas da UE;</w:t>
      </w:r>
      <w:r>
        <w:rPr>
          <w:b/>
          <w:i/>
        </w:rPr>
        <w:t> </w:t>
      </w:r>
    </w:p>
    <w:p w14:paraId="3CF85A1E" w14:textId="77777777" w:rsidR="00116789" w:rsidRPr="00E7171E" w:rsidRDefault="00ED3989" w:rsidP="00116789">
      <w:pPr>
        <w:pStyle w:val="NormalHanging12a"/>
      </w:pPr>
      <w:r>
        <w:t>3.</w:t>
      </w:r>
      <w:r>
        <w:tab/>
        <w:t>Reitera o pedido do Parlamento para que sejam aumentados o financiamento e o número do funcionários do EIGE, tal como têm aumentado os pedidos de assistência técnica e os custos operacionais; insta, por conseguinte, a Comissão a propor à EIGE um financiamento adequado, que lhe permita desempenhar as suas funções e responder à procura crescente de conhecimentos especializados, bem como garantir a continuidade das suas atividades e reforçar as suas capacidades de análise e coordenação; solicita um aumento de</w:t>
      </w:r>
      <w:r>
        <w:t xml:space="preserve"> 17 % do seu atual quadro de pessoal, a fim de ter em conta a necessidade de, pelo menos, cinco lugares adicionais de agente temporário (AD) e quatro lugares adicionais de agente contratual, bem como lugares dedicados à cibersegurança, à proteção de dados e à aplicação de nova legislação; frisa a necessidade de reduzir a carga de trabalho excessiva atualmente suportada pelo pessoal do EIGE; preconiza um orçamento plurianual previsível e estável para o EIGE, que reduza as transferências orçamentais recorrent</w:t>
      </w:r>
      <w:r>
        <w:t>es e possibilite o planeamento e o trabalho de investigação a longo prazo, bem como um ambiente de trabalho saudável e produtivo;</w:t>
      </w:r>
    </w:p>
    <w:p w14:paraId="1EA61634" w14:textId="301B8C13" w:rsidR="00116789" w:rsidRPr="00E7171E" w:rsidRDefault="00ED3989" w:rsidP="00116789">
      <w:pPr>
        <w:pStyle w:val="NormalHanging12a"/>
      </w:pPr>
      <w:r>
        <w:t>4.</w:t>
      </w:r>
      <w:r>
        <w:tab/>
        <w:t>Observa que a taxa de execução orçamental do EIGE se tem mantido constante, em 95 %, e que a agência atingiu os objetivos fixados no documento de programação revisto para 2024</w:t>
      </w:r>
      <w:r>
        <w:noBreakHyphen/>
      </w:r>
      <w:r>
        <w:t>2026, apesar da falta de pessoal e do elevado nível de transferências orçamentais; constata, além disso, que o Tribunal de Contas Europeu confirmou que as contas do EIGE apresentam uma imagem fiel da sua situação financeira;</w:t>
      </w:r>
    </w:p>
    <w:p w14:paraId="64AE928B" w14:textId="529C73D6" w:rsidR="00116789" w:rsidRPr="00E7171E" w:rsidRDefault="00ED3989" w:rsidP="00116789">
      <w:pPr>
        <w:pStyle w:val="NormalHanging12a"/>
        <w:rPr>
          <w:b/>
          <w:i/>
        </w:rPr>
      </w:pPr>
      <w:r>
        <w:t>5.</w:t>
      </w:r>
      <w:r>
        <w:rPr>
          <w:b/>
          <w:i/>
        </w:rPr>
        <w:tab/>
      </w:r>
      <w:r>
        <w:t>Salienta que, em 2024, o EIGE concretizou os seus objetivos estratégicos de contributo para uma política e uma tomada de decisões mais bem informadas e baseadas em dados concretos, a fim de alcançar a igualdade de género e lutar contra a discriminação em razão do sexo; apoiar a integração da perspetiva de género nas políticas da UE e nas políticas nacionais delas decorrentes; e promover eficazmente a igualdade de género junto das principais partes interessadas e grupos</w:t>
      </w:r>
      <w:r>
        <w:noBreakHyphen/>
      </w:r>
      <w:r>
        <w:t>alvo; destaca ainda que estes resultados foram alcançados apesar da falta de pessoal estrutural, o que confirma a necessidade de recursos adicionais para garantir o êxito futuro;</w:t>
      </w:r>
    </w:p>
    <w:p w14:paraId="1838CD8B" w14:textId="77777777" w:rsidR="00116789" w:rsidRPr="00E7171E" w:rsidRDefault="00ED3989" w:rsidP="00116789">
      <w:pPr>
        <w:pStyle w:val="NormalHanging12a"/>
        <w:rPr>
          <w:b/>
          <w:i/>
        </w:rPr>
      </w:pPr>
      <w:r>
        <w:t>6.</w:t>
      </w:r>
      <w:r>
        <w:rPr>
          <w:b/>
          <w:i/>
        </w:rPr>
        <w:tab/>
      </w:r>
      <w:r>
        <w:t>Alerta para o facto de que, sem pessoal e investimento adicionais específicos, o EIGE corre o risco de não conseguir cumprir as obrigações que lhe incumbem por força da nova legislação adotada, nem dar resposta ao aumento das exigências decorrentes das novas iniciativas políticas da União; salienta que as exigências orçamentais, como a aquisição do SUMMA, aumentam ainda mais a pressão sobre o orçamento do EIGE; ressalta que as dotações orçamentais adicionais devem ter em conta as despesas obrigatórias a ef</w:t>
      </w:r>
      <w:r>
        <w:t>etuar pelas agências; solicita um orçamento estável e reforçado para o EIGE, enquanto prioridade em matéria de igualdade de género, no próximo quadro financeiro plurianual (QFP), para que a agência possa continuar a disponibilizar resultados de investigação de elevada qualidade, dados e apoio político a todas as prioridades da UE;</w:t>
      </w:r>
    </w:p>
    <w:p w14:paraId="56320850" w14:textId="77777777" w:rsidR="00116789" w:rsidRPr="00E7171E" w:rsidRDefault="00ED3989" w:rsidP="00116789">
      <w:pPr>
        <w:pStyle w:val="NormalHanging12a"/>
        <w:rPr>
          <w:bCs/>
          <w:iCs/>
        </w:rPr>
      </w:pPr>
      <w:r>
        <w:t>7.</w:t>
      </w:r>
      <w:r>
        <w:rPr>
          <w:b/>
          <w:i/>
        </w:rPr>
        <w:tab/>
      </w:r>
      <w:r>
        <w:t>Considera que pode ser dada quitação à diretora do Instituto Europeu para a Igualdade de Género pela execução do orçamento do Instituto para o exercício de 2024.</w:t>
      </w:r>
    </w:p>
    <w:p w14:paraId="5875D574" w14:textId="77777777" w:rsidR="00E05697" w:rsidRPr="00CE1625" w:rsidRDefault="00ED3989" w:rsidP="00116789">
      <w:pPr>
        <w:pStyle w:val="NormalHanging12a"/>
        <w:jc w:val="both"/>
      </w:pPr>
      <w:r>
        <w:rPr>
          <w:rStyle w:val="HideTWBExt"/>
        </w:rPr>
        <w:t>&lt;/RepeatBlock-Dec&gt;</w:t>
      </w:r>
    </w:p>
    <w:p w14:paraId="3B8AAEAA" w14:textId="77777777" w:rsidR="00CE1625" w:rsidRPr="00CE1625" w:rsidRDefault="00CE1625" w:rsidP="00CE1625">
      <w:pPr>
        <w:sectPr w:rsidR="00CE1625" w:rsidRPr="00CE1625" w:rsidSect="0011678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525B7C55" w14:textId="77777777" w:rsidR="00116789" w:rsidRPr="00D7238E" w:rsidRDefault="00ED3989" w:rsidP="002B2C72">
      <w:pPr>
        <w:pStyle w:val="PageHeadingNotTOC"/>
      </w:pPr>
      <w:bookmarkStart w:id="0" w:name="FootprintPageAD"/>
      <w:r>
        <w:t>ANEXO: DECLARAÇÃO DE CONTRIBUTOS</w:t>
      </w:r>
    </w:p>
    <w:p w14:paraId="1ABDBB26" w14:textId="77777777" w:rsidR="00116789" w:rsidRPr="0099178F" w:rsidRDefault="00ED3989" w:rsidP="00037518">
      <w:pPr>
        <w:pStyle w:val="Normal24a"/>
      </w:pPr>
      <w:r>
        <w:rPr>
          <w:rStyle w:val="HideTWBExt"/>
        </w:rPr>
        <w:t>&lt;FootprintIntro&gt;</w:t>
      </w:r>
      <w:r>
        <w:t xml:space="preserve">A relatora de parecer declara, sob sua exclusiva </w:t>
      </w:r>
      <w:r>
        <w:t>responsabilidade, não ter incluído no seu parecer contributos de representantes de interesses abrangidos pelo âmbito de aplicação do Acordo Interinstitucional sobre um Registo de Transparência Obrigatório</w:t>
      </w:r>
      <w:r>
        <w:rPr>
          <w:rStyle w:val="FootnoteReference"/>
        </w:rPr>
        <w:footnoteReference w:id="1"/>
      </w:r>
      <w:r>
        <w:t xml:space="preserve"> nem de representantes das autoridades públicas de países terceiros, incluindo as respetivas missões diplomáticas e embaixadas, que devessem ser enumerados no presente anexo nos termos do artigo 8.º do anexo I do Regimento.</w:t>
      </w:r>
      <w:r>
        <w:rPr>
          <w:rStyle w:val="HideTWBExt"/>
        </w:rPr>
        <w:t>&lt;/FootprintIntro&gt;</w:t>
      </w:r>
    </w:p>
    <w:p w14:paraId="7BC1545A" w14:textId="77777777" w:rsidR="00116789" w:rsidRPr="00116789" w:rsidRDefault="00116789" w:rsidP="00116789"/>
    <w:bookmarkEnd w:id="0"/>
    <w:p w14:paraId="42CDFFB3" w14:textId="77777777" w:rsidR="00116789" w:rsidRDefault="00116789" w:rsidP="00CE1625">
      <w:pPr>
        <w:sectPr w:rsidR="00116789" w:rsidSect="00116789">
          <w:pgSz w:w="11894" w:h="15840"/>
          <w:pgMar w:top="1700" w:right="1417" w:bottom="1417" w:left="1417" w:header="720" w:footer="720" w:gutter="0"/>
          <w:cols w:space="720"/>
          <w:noEndnote/>
          <w:docGrid w:linePitch="326"/>
        </w:sectPr>
      </w:pPr>
    </w:p>
    <w:p w14:paraId="73D74B5E" w14:textId="77777777" w:rsidR="00116789" w:rsidRDefault="00ED3989" w:rsidP="00116789">
      <w:pPr>
        <w:pStyle w:val="PageHeadingNotTOC"/>
      </w:pPr>
      <w:bookmarkStart w:id="1" w:name="ProcPageAD"/>
      <w:bookmarkStart w:id="2" w:name="RollCallPageAD"/>
      <w:r>
        <w:t>INFORMAÇÕES SOBRE A APROVAÇÃO</w:t>
      </w:r>
      <w:r>
        <w:br/>
        <w:t>NA COMISSÃO ENCARREGADA DE EMITIR PARECER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1B1AD2" w14:paraId="0778DA66" w14:textId="77777777" w:rsidTr="00D5399B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5735115" w14:textId="77777777" w:rsidR="00116789" w:rsidRDefault="00ED3989" w:rsidP="00D5399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Data de aprovação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3FA56E3" w14:textId="77777777" w:rsidR="00116789" w:rsidRDefault="00ED3989" w:rsidP="00D5399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27.1.2026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5E42E83" w14:textId="77777777" w:rsidR="00116789" w:rsidRDefault="00116789" w:rsidP="00D5399B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DD92E95" w14:textId="77777777" w:rsidR="00116789" w:rsidRDefault="00116789" w:rsidP="00D5399B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FDCDF8B" w14:textId="77777777" w:rsidR="00116789" w:rsidRDefault="00116789" w:rsidP="00D5399B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1B1AD2" w14:paraId="796471A4" w14:textId="77777777" w:rsidTr="00D5399B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25F3B1E" w14:textId="77777777" w:rsidR="00116789" w:rsidRDefault="00ED3989" w:rsidP="00D5399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Resultado da votação final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A6BD35A" w14:textId="77777777" w:rsidR="00116789" w:rsidRDefault="00ED3989" w:rsidP="00D5399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+:</w:t>
            </w:r>
          </w:p>
          <w:p w14:paraId="7597FB49" w14:textId="77777777" w:rsidR="00116789" w:rsidRDefault="00ED3989" w:rsidP="00D5399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–:</w:t>
            </w:r>
          </w:p>
          <w:p w14:paraId="62900652" w14:textId="77777777" w:rsidR="00116789" w:rsidRDefault="00ED3989" w:rsidP="00D5399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A4F59B8" w14:textId="77777777" w:rsidR="00116789" w:rsidRDefault="00ED3989" w:rsidP="00D5399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</w:t>
            </w:r>
          </w:p>
          <w:p w14:paraId="6131D131" w14:textId="77777777" w:rsidR="00116789" w:rsidRDefault="00ED3989" w:rsidP="00D5399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</w:t>
            </w:r>
          </w:p>
          <w:p w14:paraId="4F332D7A" w14:textId="77777777" w:rsidR="00116789" w:rsidRDefault="00ED3989" w:rsidP="00D5399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</w:tr>
    </w:tbl>
    <w:p w14:paraId="1D6895FE" w14:textId="77777777" w:rsidR="00116789" w:rsidRPr="00116789" w:rsidRDefault="00116789" w:rsidP="00116789"/>
    <w:bookmarkEnd w:id="1"/>
    <w:p w14:paraId="504EFD06" w14:textId="77777777" w:rsidR="00116789" w:rsidRDefault="00116789" w:rsidP="00C36610">
      <w:pPr>
        <w:pStyle w:val="PageHeadingNotTOC"/>
        <w:rPr>
          <w:noProof/>
        </w:rPr>
      </w:pPr>
    </w:p>
    <w:p w14:paraId="014DC186" w14:textId="77777777" w:rsidR="00116789" w:rsidRDefault="00116789" w:rsidP="00C36610">
      <w:pPr>
        <w:pStyle w:val="PageHeadingNotTOC"/>
        <w:rPr>
          <w:noProof/>
        </w:rPr>
      </w:pPr>
    </w:p>
    <w:p w14:paraId="1F05EC33" w14:textId="77777777" w:rsidR="00116789" w:rsidRDefault="00116789" w:rsidP="00C36610">
      <w:pPr>
        <w:pStyle w:val="PageHeadingNotTOC"/>
        <w:rPr>
          <w:noProof/>
        </w:rPr>
      </w:pPr>
    </w:p>
    <w:p w14:paraId="4143350C" w14:textId="77777777" w:rsidR="00116789" w:rsidRDefault="00116789" w:rsidP="00C36610">
      <w:pPr>
        <w:pStyle w:val="PageHeadingNotTOC"/>
        <w:rPr>
          <w:noProof/>
        </w:rPr>
      </w:pPr>
    </w:p>
    <w:p w14:paraId="4A56EE81" w14:textId="77777777" w:rsidR="00116789" w:rsidRDefault="00116789" w:rsidP="00C36610">
      <w:pPr>
        <w:pStyle w:val="PageHeadingNotTOC"/>
        <w:rPr>
          <w:noProof/>
        </w:rPr>
      </w:pPr>
    </w:p>
    <w:p w14:paraId="0408A4A2" w14:textId="77777777" w:rsidR="00116789" w:rsidRDefault="00116789" w:rsidP="00C36610">
      <w:pPr>
        <w:pStyle w:val="PageHeadingNotTOC"/>
        <w:rPr>
          <w:noProof/>
        </w:rPr>
      </w:pPr>
    </w:p>
    <w:p w14:paraId="5AA07F31" w14:textId="77777777" w:rsidR="00116789" w:rsidRDefault="00116789" w:rsidP="00C36610">
      <w:pPr>
        <w:pStyle w:val="PageHeadingNotTOC"/>
        <w:rPr>
          <w:noProof/>
        </w:rPr>
      </w:pPr>
    </w:p>
    <w:p w14:paraId="5A3C584F" w14:textId="77777777" w:rsidR="00116789" w:rsidRDefault="00ED3989">
      <w:pPr>
        <w:widowControl/>
        <w:rPr>
          <w:rFonts w:ascii="Arial" w:hAnsi="Arial" w:cs="Arial"/>
          <w:b/>
          <w:noProof/>
        </w:rPr>
      </w:pPr>
      <w:r>
        <w:br w:type="page"/>
      </w:r>
    </w:p>
    <w:p w14:paraId="5814C2E9" w14:textId="77777777" w:rsidR="00116789" w:rsidRPr="0099178F" w:rsidRDefault="00ED3989" w:rsidP="00C36610">
      <w:pPr>
        <w:pStyle w:val="PageHeadingNotTOC"/>
      </w:pPr>
      <w:r>
        <w:t>VOTAÇÃO NOMINAL FINAL</w:t>
      </w:r>
      <w:r>
        <w:br/>
        <w:t>NA COMISSÃO ENCARREGADA DE EMITIR PARECER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1B1AD2" w14:paraId="1CEC9DAC" w14:textId="77777777" w:rsidTr="00D5399B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2F865A49" w14:textId="77777777" w:rsidR="00116789" w:rsidRPr="00E7171E" w:rsidRDefault="00ED3989" w:rsidP="00D5399B">
            <w:pPr>
              <w:pStyle w:val="RollCallVotes"/>
            </w:pPr>
            <w:r>
              <w:t>24</w:t>
            </w:r>
          </w:p>
        </w:tc>
        <w:tc>
          <w:tcPr>
            <w:tcW w:w="7371" w:type="dxa"/>
            <w:shd w:val="pct10" w:color="000000" w:fill="FFFFFF"/>
          </w:tcPr>
          <w:p w14:paraId="50425CBD" w14:textId="77777777" w:rsidR="00116789" w:rsidRPr="00E7171E" w:rsidRDefault="00ED3989" w:rsidP="00D5399B">
            <w:pPr>
              <w:pStyle w:val="RollCallSymbols14pt"/>
            </w:pPr>
            <w:r>
              <w:t>+</w:t>
            </w:r>
          </w:p>
        </w:tc>
      </w:tr>
      <w:tr w:rsidR="001B1AD2" w14:paraId="5301D417" w14:textId="77777777" w:rsidTr="00D5399B">
        <w:trPr>
          <w:cantSplit/>
        </w:trPr>
        <w:tc>
          <w:tcPr>
            <w:tcW w:w="1701" w:type="dxa"/>
            <w:shd w:val="clear" w:color="auto" w:fill="FFFFFF"/>
          </w:tcPr>
          <w:p w14:paraId="3C698F40" w14:textId="77777777" w:rsidR="00116789" w:rsidRPr="00E7171E" w:rsidRDefault="00ED3989" w:rsidP="00D5399B">
            <w:pPr>
              <w:pStyle w:val="RollCallTable"/>
            </w:pPr>
            <w:r>
              <w:t>PPE</w:t>
            </w:r>
          </w:p>
        </w:tc>
        <w:tc>
          <w:tcPr>
            <w:tcW w:w="7371" w:type="dxa"/>
            <w:shd w:val="clear" w:color="auto" w:fill="FFFFFF"/>
          </w:tcPr>
          <w:p w14:paraId="38A953D5" w14:textId="77777777" w:rsidR="00116789" w:rsidRPr="00E7171E" w:rsidRDefault="00ED3989" w:rsidP="00D5399B">
            <w:pPr>
              <w:pStyle w:val="RollCallTable"/>
            </w:pPr>
            <w:r>
              <w:t xml:space="preserve">Rosa Estaràs Ferragut, Arba Kokalari, Ewa Kopacz, Verena </w:t>
            </w:r>
            <w:r>
              <w:t>Mertens, Mirosława Nykiel, Giusi Princi, Maria Walsh</w:t>
            </w:r>
          </w:p>
        </w:tc>
      </w:tr>
      <w:tr w:rsidR="001B1AD2" w14:paraId="21EDB768" w14:textId="77777777" w:rsidTr="00D5399B">
        <w:trPr>
          <w:cantSplit/>
        </w:trPr>
        <w:tc>
          <w:tcPr>
            <w:tcW w:w="1701" w:type="dxa"/>
            <w:shd w:val="clear" w:color="auto" w:fill="FFFFFF"/>
          </w:tcPr>
          <w:p w14:paraId="08325BAA" w14:textId="77777777" w:rsidR="00116789" w:rsidRPr="00E7171E" w:rsidRDefault="00ED3989" w:rsidP="00D5399B">
            <w:pPr>
              <w:pStyle w:val="RollCallTable"/>
            </w:pPr>
            <w:r>
              <w:t>Renew</w:t>
            </w:r>
          </w:p>
        </w:tc>
        <w:tc>
          <w:tcPr>
            <w:tcW w:w="7371" w:type="dxa"/>
            <w:shd w:val="clear" w:color="auto" w:fill="FFFFFF"/>
          </w:tcPr>
          <w:p w14:paraId="0EF32C0D" w14:textId="75362A45" w:rsidR="00116789" w:rsidRPr="00E7171E" w:rsidRDefault="00ED3989" w:rsidP="00D5399B">
            <w:pPr>
              <w:pStyle w:val="RollCallTable"/>
            </w:pPr>
            <w:r>
              <w:t>Abir Al</w:t>
            </w:r>
            <w:r>
              <w:noBreakHyphen/>
            </w:r>
            <w:r>
              <w:t>Sahlani, Raquel García Hermida</w:t>
            </w:r>
            <w:r>
              <w:noBreakHyphen/>
            </w:r>
            <w:r>
              <w:t>Van Der Walle, Lucia Yar, Dainius Žalimas</w:t>
            </w:r>
          </w:p>
        </w:tc>
      </w:tr>
      <w:tr w:rsidR="001B1AD2" w14:paraId="5FEEE7FA" w14:textId="77777777" w:rsidTr="00D5399B">
        <w:trPr>
          <w:cantSplit/>
        </w:trPr>
        <w:tc>
          <w:tcPr>
            <w:tcW w:w="1701" w:type="dxa"/>
            <w:shd w:val="clear" w:color="auto" w:fill="FFFFFF"/>
          </w:tcPr>
          <w:p w14:paraId="37A1CB9A" w14:textId="77777777" w:rsidR="00116789" w:rsidRPr="00E7171E" w:rsidRDefault="00ED3989" w:rsidP="00D5399B">
            <w:pPr>
              <w:pStyle w:val="RollCallTable"/>
            </w:pPr>
            <w:r>
              <w:t>S&amp;D</w:t>
            </w:r>
          </w:p>
        </w:tc>
        <w:tc>
          <w:tcPr>
            <w:tcW w:w="7371" w:type="dxa"/>
            <w:shd w:val="clear" w:color="auto" w:fill="FFFFFF"/>
          </w:tcPr>
          <w:p w14:paraId="550C9CF9" w14:textId="43584593" w:rsidR="00116789" w:rsidRPr="00E7171E" w:rsidRDefault="00ED3989" w:rsidP="00D5399B">
            <w:pPr>
              <w:pStyle w:val="RollCallTable"/>
            </w:pPr>
            <w:r>
              <w:t>Gabriela Firea, Heléne Fritzon, Lina Gálvez, Maria Noichl, Joanna Scheuring</w:t>
            </w:r>
            <w:r>
              <w:noBreakHyphen/>
            </w:r>
            <w:r>
              <w:t xml:space="preserve">Wielgus, Cecilia Strada, </w:t>
            </w:r>
            <w:r>
              <w:t>Marko Vešligaj</w:t>
            </w:r>
          </w:p>
        </w:tc>
      </w:tr>
      <w:tr w:rsidR="001B1AD2" w14:paraId="0840BB04" w14:textId="77777777" w:rsidTr="00D5399B">
        <w:trPr>
          <w:cantSplit/>
        </w:trPr>
        <w:tc>
          <w:tcPr>
            <w:tcW w:w="1701" w:type="dxa"/>
            <w:shd w:val="clear" w:color="auto" w:fill="FFFFFF"/>
          </w:tcPr>
          <w:p w14:paraId="6B4654C2" w14:textId="77777777" w:rsidR="00116789" w:rsidRPr="00E7171E" w:rsidRDefault="00ED3989" w:rsidP="00D5399B">
            <w:pPr>
              <w:pStyle w:val="RollCallTable"/>
            </w:pPr>
            <w:r>
              <w:t>The Left</w:t>
            </w:r>
          </w:p>
        </w:tc>
        <w:tc>
          <w:tcPr>
            <w:tcW w:w="7371" w:type="dxa"/>
            <w:shd w:val="clear" w:color="auto" w:fill="FFFFFF"/>
          </w:tcPr>
          <w:p w14:paraId="042E88BF" w14:textId="77777777" w:rsidR="00116789" w:rsidRPr="00E7171E" w:rsidRDefault="00ED3989" w:rsidP="00D5399B">
            <w:pPr>
              <w:pStyle w:val="RollCallTable"/>
            </w:pPr>
            <w:r>
              <w:t>Hanna Gedin, Irene Montero, Carolina Morace</w:t>
            </w:r>
          </w:p>
        </w:tc>
      </w:tr>
      <w:tr w:rsidR="001B1AD2" w14:paraId="782D2A52" w14:textId="77777777" w:rsidTr="00D5399B">
        <w:trPr>
          <w:cantSplit/>
        </w:trPr>
        <w:tc>
          <w:tcPr>
            <w:tcW w:w="1701" w:type="dxa"/>
            <w:shd w:val="clear" w:color="auto" w:fill="FFFFFF"/>
          </w:tcPr>
          <w:p w14:paraId="365341B3" w14:textId="77777777" w:rsidR="00116789" w:rsidRPr="00E7171E" w:rsidRDefault="00ED3989" w:rsidP="00D5399B">
            <w:pPr>
              <w:pStyle w:val="RollCallTable"/>
            </w:pPr>
            <w:r>
              <w:t>Verts/ALE</w:t>
            </w:r>
          </w:p>
        </w:tc>
        <w:tc>
          <w:tcPr>
            <w:tcW w:w="7371" w:type="dxa"/>
            <w:shd w:val="clear" w:color="auto" w:fill="FFFFFF"/>
          </w:tcPr>
          <w:p w14:paraId="330C412D" w14:textId="77777777" w:rsidR="00116789" w:rsidRPr="00E7171E" w:rsidRDefault="00ED3989" w:rsidP="00D5399B">
            <w:pPr>
              <w:pStyle w:val="RollCallTable"/>
            </w:pPr>
            <w:r>
              <w:t>Mélissa Camara, Alexandra Geese, Benedetta Scuderi</w:t>
            </w:r>
          </w:p>
        </w:tc>
      </w:tr>
    </w:tbl>
    <w:p w14:paraId="77BD76DC" w14:textId="77777777" w:rsidR="00116789" w:rsidRPr="00E7171E" w:rsidRDefault="00116789" w:rsidP="00116789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1B1AD2" w14:paraId="58D25824" w14:textId="77777777" w:rsidTr="00D5399B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3A85C57E" w14:textId="77777777" w:rsidR="00116789" w:rsidRPr="00E7171E" w:rsidRDefault="00ED3989" w:rsidP="00D5399B">
            <w:pPr>
              <w:pStyle w:val="RollCallVotes"/>
            </w:pPr>
            <w:r>
              <w:t>9</w:t>
            </w:r>
          </w:p>
        </w:tc>
        <w:tc>
          <w:tcPr>
            <w:tcW w:w="7371" w:type="dxa"/>
            <w:shd w:val="pct10" w:color="000000" w:fill="FFFFFF"/>
          </w:tcPr>
          <w:p w14:paraId="38F63815" w14:textId="2830BFAD" w:rsidR="00116789" w:rsidRPr="00E7171E" w:rsidRDefault="00ED3989" w:rsidP="00D5399B">
            <w:pPr>
              <w:pStyle w:val="RollCallSymbols14pt"/>
            </w:pPr>
            <w:r>
              <w:noBreakHyphen/>
            </w:r>
          </w:p>
        </w:tc>
      </w:tr>
      <w:tr w:rsidR="001B1AD2" w14:paraId="3C3582C5" w14:textId="77777777" w:rsidTr="00D5399B">
        <w:trPr>
          <w:cantSplit/>
        </w:trPr>
        <w:tc>
          <w:tcPr>
            <w:tcW w:w="1701" w:type="dxa"/>
            <w:shd w:val="clear" w:color="auto" w:fill="FFFFFF"/>
          </w:tcPr>
          <w:p w14:paraId="188C471B" w14:textId="77777777" w:rsidR="00116789" w:rsidRPr="00E7171E" w:rsidRDefault="00ED3989" w:rsidP="00D5399B">
            <w:pPr>
              <w:pStyle w:val="RollCallTable"/>
            </w:pPr>
            <w:r>
              <w:t>ECR</w:t>
            </w:r>
          </w:p>
        </w:tc>
        <w:tc>
          <w:tcPr>
            <w:tcW w:w="7371" w:type="dxa"/>
            <w:shd w:val="clear" w:color="auto" w:fill="FFFFFF"/>
          </w:tcPr>
          <w:p w14:paraId="58908B1B" w14:textId="77777777" w:rsidR="00116789" w:rsidRPr="00E7171E" w:rsidRDefault="00ED3989" w:rsidP="00D5399B">
            <w:pPr>
              <w:pStyle w:val="RollCallTable"/>
            </w:pPr>
            <w:r>
              <w:t>Chiara Gemma, Beatrice Timgren</w:t>
            </w:r>
          </w:p>
        </w:tc>
      </w:tr>
      <w:tr w:rsidR="001B1AD2" w14:paraId="2481D46E" w14:textId="77777777" w:rsidTr="00D5399B">
        <w:trPr>
          <w:cantSplit/>
        </w:trPr>
        <w:tc>
          <w:tcPr>
            <w:tcW w:w="1701" w:type="dxa"/>
            <w:shd w:val="clear" w:color="auto" w:fill="FFFFFF"/>
          </w:tcPr>
          <w:p w14:paraId="6BE691FC" w14:textId="77777777" w:rsidR="00116789" w:rsidRPr="00E7171E" w:rsidRDefault="00ED3989" w:rsidP="00D5399B">
            <w:pPr>
              <w:pStyle w:val="RollCallTable"/>
            </w:pPr>
            <w:r>
              <w:t>ESN</w:t>
            </w:r>
          </w:p>
        </w:tc>
        <w:tc>
          <w:tcPr>
            <w:tcW w:w="7371" w:type="dxa"/>
            <w:shd w:val="clear" w:color="auto" w:fill="FFFFFF"/>
          </w:tcPr>
          <w:p w14:paraId="077B6943" w14:textId="77777777" w:rsidR="00116789" w:rsidRPr="00E7171E" w:rsidRDefault="00ED3989" w:rsidP="00D5399B">
            <w:pPr>
              <w:pStyle w:val="RollCallTable"/>
            </w:pPr>
            <w:r>
              <w:t>Christine Anderson</w:t>
            </w:r>
          </w:p>
        </w:tc>
      </w:tr>
      <w:tr w:rsidR="001B1AD2" w14:paraId="4AF0CAC0" w14:textId="77777777" w:rsidTr="00D5399B">
        <w:trPr>
          <w:cantSplit/>
        </w:trPr>
        <w:tc>
          <w:tcPr>
            <w:tcW w:w="1701" w:type="dxa"/>
            <w:shd w:val="clear" w:color="auto" w:fill="FFFFFF"/>
          </w:tcPr>
          <w:p w14:paraId="23BF566E" w14:textId="77777777" w:rsidR="00116789" w:rsidRPr="00E7171E" w:rsidRDefault="00ED3989" w:rsidP="00D5399B">
            <w:pPr>
              <w:pStyle w:val="RollCallTable"/>
            </w:pPr>
            <w:r>
              <w:t>NI</w:t>
            </w:r>
          </w:p>
        </w:tc>
        <w:tc>
          <w:tcPr>
            <w:tcW w:w="7371" w:type="dxa"/>
            <w:shd w:val="clear" w:color="auto" w:fill="FFFFFF"/>
          </w:tcPr>
          <w:p w14:paraId="7E6384F6" w14:textId="77777777" w:rsidR="00116789" w:rsidRPr="00E7171E" w:rsidRDefault="00ED3989" w:rsidP="00D5399B">
            <w:pPr>
              <w:pStyle w:val="RollCallTable"/>
            </w:pPr>
            <w:r>
              <w:t>Fernand Kartheiser</w:t>
            </w:r>
          </w:p>
        </w:tc>
      </w:tr>
      <w:tr w:rsidR="001B1AD2" w14:paraId="57D0E100" w14:textId="77777777" w:rsidTr="00D5399B">
        <w:trPr>
          <w:cantSplit/>
        </w:trPr>
        <w:tc>
          <w:tcPr>
            <w:tcW w:w="1701" w:type="dxa"/>
            <w:shd w:val="clear" w:color="auto" w:fill="FFFFFF"/>
          </w:tcPr>
          <w:p w14:paraId="129F0B7C" w14:textId="77777777" w:rsidR="00116789" w:rsidRPr="00E7171E" w:rsidRDefault="00ED3989" w:rsidP="00D5399B">
            <w:pPr>
              <w:pStyle w:val="RollCallTable"/>
            </w:pPr>
            <w:r>
              <w:t>PfE</w:t>
            </w:r>
          </w:p>
        </w:tc>
        <w:tc>
          <w:tcPr>
            <w:tcW w:w="7371" w:type="dxa"/>
            <w:shd w:val="clear" w:color="auto" w:fill="FFFFFF"/>
          </w:tcPr>
          <w:p w14:paraId="7A883E74" w14:textId="77777777" w:rsidR="00116789" w:rsidRPr="00E7171E" w:rsidRDefault="00ED3989" w:rsidP="00D5399B">
            <w:pPr>
              <w:pStyle w:val="RollCallTable"/>
            </w:pPr>
            <w:r>
              <w:t xml:space="preserve">Mathilde Androuët, Mireia </w:t>
            </w:r>
            <w:r>
              <w:t>Borrás Pabón, Elisabeth Dieringer, Margarita de la Pisa Carrión, Anders Vistisen</w:t>
            </w:r>
          </w:p>
        </w:tc>
      </w:tr>
    </w:tbl>
    <w:p w14:paraId="03549665" w14:textId="77777777" w:rsidR="00116789" w:rsidRPr="00E7171E" w:rsidRDefault="00116789" w:rsidP="00116789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1B1AD2" w14:paraId="50175B96" w14:textId="77777777" w:rsidTr="00D5399B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5F1A488D" w14:textId="77777777" w:rsidR="00116789" w:rsidRPr="00E7171E" w:rsidRDefault="00ED3989" w:rsidP="00D5399B">
            <w:pPr>
              <w:pStyle w:val="RollCallVotes"/>
            </w:pPr>
            <w:r>
              <w:t>1</w:t>
            </w:r>
          </w:p>
        </w:tc>
        <w:tc>
          <w:tcPr>
            <w:tcW w:w="7371" w:type="dxa"/>
            <w:shd w:val="pct10" w:color="000000" w:fill="FFFFFF"/>
          </w:tcPr>
          <w:p w14:paraId="0E5E3B58" w14:textId="77777777" w:rsidR="00116789" w:rsidRPr="00E7171E" w:rsidRDefault="00ED3989" w:rsidP="00D5399B">
            <w:pPr>
              <w:pStyle w:val="RollCallSymbols14pt"/>
            </w:pPr>
            <w:r>
              <w:t>0</w:t>
            </w:r>
          </w:p>
        </w:tc>
      </w:tr>
      <w:tr w:rsidR="001B1AD2" w14:paraId="7D5F2090" w14:textId="77777777" w:rsidTr="00D5399B">
        <w:trPr>
          <w:cantSplit/>
        </w:trPr>
        <w:tc>
          <w:tcPr>
            <w:tcW w:w="1701" w:type="dxa"/>
            <w:shd w:val="clear" w:color="auto" w:fill="FFFFFF"/>
          </w:tcPr>
          <w:p w14:paraId="2B21614F" w14:textId="77777777" w:rsidR="00116789" w:rsidRPr="00E7171E" w:rsidRDefault="00ED3989" w:rsidP="00D5399B">
            <w:pPr>
              <w:pStyle w:val="RollCallTable"/>
            </w:pPr>
            <w:r>
              <w:t>NI</w:t>
            </w:r>
          </w:p>
        </w:tc>
        <w:tc>
          <w:tcPr>
            <w:tcW w:w="7371" w:type="dxa"/>
            <w:shd w:val="clear" w:color="auto" w:fill="FFFFFF"/>
          </w:tcPr>
          <w:p w14:paraId="3A9EE90B" w14:textId="77777777" w:rsidR="00116789" w:rsidRPr="00E7171E" w:rsidRDefault="00ED3989" w:rsidP="00D5399B">
            <w:pPr>
              <w:pStyle w:val="RollCallTable"/>
            </w:pPr>
            <w:r>
              <w:t>Judita Laššáková</w:t>
            </w:r>
          </w:p>
        </w:tc>
      </w:tr>
    </w:tbl>
    <w:p w14:paraId="45711EC9" w14:textId="77777777" w:rsidR="00116789" w:rsidRDefault="00116789" w:rsidP="00147FBF">
      <w:pPr>
        <w:pStyle w:val="Normal12a"/>
      </w:pPr>
    </w:p>
    <w:p w14:paraId="1FB6E335" w14:textId="77777777" w:rsidR="00116789" w:rsidRDefault="00ED3989" w:rsidP="00B735E3">
      <w:r>
        <w:t>Legenda dos símbolos utilizados:</w:t>
      </w:r>
    </w:p>
    <w:p w14:paraId="46372818" w14:textId="77777777" w:rsidR="00116789" w:rsidRDefault="00ED3989" w:rsidP="003858C5">
      <w:pPr>
        <w:pStyle w:val="RollCallTabs"/>
      </w:pPr>
      <w:r>
        <w:t>+</w:t>
      </w:r>
      <w:r>
        <w:tab/>
        <w:t>:</w:t>
      </w:r>
      <w:r>
        <w:tab/>
        <w:t>votos a favor</w:t>
      </w:r>
    </w:p>
    <w:p w14:paraId="4D09F144" w14:textId="4107AEDE" w:rsidR="00116789" w:rsidRDefault="00ED3989" w:rsidP="003858C5">
      <w:pPr>
        <w:pStyle w:val="RollCallTabs"/>
      </w:pPr>
      <w:r>
        <w:noBreakHyphen/>
      </w:r>
      <w:r>
        <w:tab/>
        <w:t>:</w:t>
      </w:r>
      <w:r>
        <w:tab/>
        <w:t>votos contra</w:t>
      </w:r>
    </w:p>
    <w:p w14:paraId="1179A1A9" w14:textId="77777777" w:rsidR="00116789" w:rsidRDefault="00ED3989" w:rsidP="003858C5">
      <w:pPr>
        <w:pStyle w:val="RollCallTabs"/>
      </w:pPr>
      <w:r>
        <w:t>0</w:t>
      </w:r>
      <w:r>
        <w:tab/>
        <w:t>:</w:t>
      </w:r>
      <w:r>
        <w:tab/>
        <w:t>abstenções</w:t>
      </w:r>
    </w:p>
    <w:p w14:paraId="023B8FB7" w14:textId="77777777" w:rsidR="00116789" w:rsidRDefault="00116789" w:rsidP="00207509"/>
    <w:bookmarkEnd w:id="2"/>
    <w:p w14:paraId="4204FF40" w14:textId="77777777" w:rsidR="00CE1625" w:rsidRPr="00116789" w:rsidRDefault="00CE1625" w:rsidP="00CE1625"/>
    <w:sectPr w:rsidR="00CE1625" w:rsidRPr="00116789" w:rsidSect="00116789">
      <w:pgSz w:w="11894" w:h="15840"/>
      <w:pgMar w:top="1700" w:right="1417" w:bottom="1417" w:left="1417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9C319" w14:textId="77777777" w:rsidR="00ED3989" w:rsidRDefault="00ED3989">
      <w:r>
        <w:separator/>
      </w:r>
    </w:p>
  </w:endnote>
  <w:endnote w:type="continuationSeparator" w:id="0">
    <w:p w14:paraId="17D5C3A5" w14:textId="77777777" w:rsidR="00ED3989" w:rsidRDefault="00ED3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8E6BC" w14:textId="5E3423B4" w:rsidR="00CE1625" w:rsidRDefault="00ED3989" w:rsidP="00CE1625">
    <w:pPr>
      <w:pStyle w:val="EPFooter"/>
    </w:pPr>
    <w:r>
      <w:t>PE</w:t>
    </w:r>
    <w:r w:rsidRPr="00CE1625">
      <w:rPr>
        <w:rStyle w:val="HideTWBExt"/>
      </w:rPr>
      <w:t>&lt;NoPE&gt;</w:t>
    </w:r>
    <w:r>
      <w:t>779.729</w:t>
    </w:r>
    <w:r w:rsidRPr="00CE1625">
      <w:rPr>
        <w:rStyle w:val="HideTWBExt"/>
      </w:rPr>
      <w:t>&lt;/NoPE&gt;&lt;Version&gt;</w:t>
    </w:r>
    <w:r>
      <w:t>v02</w:t>
    </w:r>
    <w:r>
      <w:noBreakHyphen/>
    </w:r>
    <w:r>
      <w:t>00</w:t>
    </w:r>
    <w:r w:rsidRPr="00CE1625">
      <w:rPr>
        <w:rStyle w:val="HideTWBExt"/>
      </w:rPr>
      <w:t>&lt;/</w:t>
    </w:r>
    <w:r w:rsidRPr="00CE1625">
      <w:rPr>
        <w:rStyle w:val="HideTWBExt"/>
      </w:rPr>
      <w:t>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>
      <w:t>/</w:t>
    </w:r>
    <w:r>
      <w:fldChar w:fldCharType="begin"/>
    </w:r>
    <w:r>
      <w:instrText xml:space="preserve"> NUMPAGES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ab/>
    </w:r>
    <w:r w:rsidRPr="00CE1625">
      <w:rPr>
        <w:rStyle w:val="HideTWBExt"/>
      </w:rPr>
      <w:t>&lt;PathFdR&gt;</w:t>
    </w:r>
    <w:r>
      <w:t>AD\1335431PT.docx</w:t>
    </w:r>
    <w:r w:rsidRPr="00CE1625">
      <w:rPr>
        <w:rStyle w:val="HideTWBExt"/>
      </w:rPr>
      <w:t>&lt;/PathFdR&gt;</w:t>
    </w:r>
  </w:p>
  <w:p w14:paraId="6E086D2C" w14:textId="77777777" w:rsidR="00C75378" w:rsidRPr="00F058E1" w:rsidRDefault="00ED3989" w:rsidP="00CE1625">
    <w:pPr>
      <w:pStyle w:val="EPFooter2"/>
    </w:pPr>
    <w:r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49C5C" w14:textId="76466CD7" w:rsidR="00CE1625" w:rsidRDefault="00ED3989" w:rsidP="00CE1625">
    <w:pPr>
      <w:pStyle w:val="EPFooter"/>
    </w:pPr>
    <w:r w:rsidRPr="00CE1625">
      <w:rPr>
        <w:rStyle w:val="HideTWBExt"/>
      </w:rPr>
      <w:t>&lt;PathFdR&gt;</w:t>
    </w:r>
    <w:r>
      <w:t>AD\1335431PT.docx</w:t>
    </w:r>
    <w:r w:rsidRPr="00CE1625">
      <w:rPr>
        <w:rStyle w:val="HideTWBExt"/>
      </w:rPr>
      <w:t>&lt;/PathFdR&gt;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  <w:r>
      <w:t>/</w:t>
    </w:r>
    <w:r>
      <w:fldChar w:fldCharType="begin"/>
    </w:r>
    <w:r>
      <w:instrText xml:space="preserve"> NUMPAGES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ab/>
      <w:t>PE</w:t>
    </w:r>
    <w:r w:rsidRPr="00CE1625">
      <w:rPr>
        <w:rStyle w:val="HideTWBExt"/>
      </w:rPr>
      <w:t>&lt;NoPE&gt;</w:t>
    </w:r>
    <w:r>
      <w:t>779.729</w:t>
    </w:r>
    <w:r w:rsidRPr="00CE1625">
      <w:rPr>
        <w:rStyle w:val="HideTWBExt"/>
      </w:rPr>
      <w:t>&lt;/NoPE&gt;&lt;Version&gt;</w:t>
    </w:r>
    <w:r>
      <w:t>v02</w:t>
    </w:r>
    <w:r>
      <w:noBreakHyphen/>
    </w:r>
    <w:r>
      <w:t>00</w:t>
    </w:r>
    <w:r w:rsidRPr="00CE1625">
      <w:rPr>
        <w:rStyle w:val="HideTWBExt"/>
      </w:rPr>
      <w:t>&lt;/Version&gt;</w:t>
    </w:r>
  </w:p>
  <w:p w14:paraId="39EF4E96" w14:textId="77777777" w:rsidR="00C75378" w:rsidRPr="00F058E1" w:rsidRDefault="00ED3989" w:rsidP="00CE1625">
    <w:pPr>
      <w:pStyle w:val="EPFooter2"/>
    </w:pPr>
    <w:r>
      <w:tab/>
    </w:r>
    <w:r>
      <w:tab/>
      <w:t>PT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06713" w14:textId="1F025647" w:rsidR="00CE1625" w:rsidRDefault="00ED3989" w:rsidP="00CE1625">
    <w:pPr>
      <w:pStyle w:val="EPFooter"/>
    </w:pPr>
    <w:r w:rsidRPr="00CE1625">
      <w:rPr>
        <w:rStyle w:val="HideTWBExt"/>
      </w:rPr>
      <w:t>&lt;PathFdR&gt;</w:t>
    </w:r>
    <w:r>
      <w:t>AD\1335431PT.docx</w:t>
    </w:r>
    <w:r w:rsidRPr="00CE1625">
      <w:rPr>
        <w:rStyle w:val="HideTWBExt"/>
      </w:rPr>
      <w:t>&lt;/PathFdR&gt;</w:t>
    </w:r>
    <w:r>
      <w:tab/>
    </w:r>
    <w:r>
      <w:tab/>
      <w:t>PE</w:t>
    </w:r>
    <w:r w:rsidRPr="00CE1625">
      <w:rPr>
        <w:rStyle w:val="HideTWBExt"/>
      </w:rPr>
      <w:t>&lt;NoPE&gt;</w:t>
    </w:r>
    <w:r>
      <w:t>779.729</w:t>
    </w:r>
    <w:r w:rsidRPr="00CE1625">
      <w:rPr>
        <w:rStyle w:val="HideTWBExt"/>
      </w:rPr>
      <w:t>&lt;/NoPE&gt;&lt;Version&gt;</w:t>
    </w:r>
    <w:r>
      <w:t>v02</w:t>
    </w:r>
    <w:r>
      <w:noBreakHyphen/>
    </w:r>
    <w:r>
      <w:t>00</w:t>
    </w:r>
    <w:r w:rsidRPr="00CE1625">
      <w:rPr>
        <w:rStyle w:val="HideTWBExt"/>
      </w:rPr>
      <w:t>&lt;/Version&gt;</w:t>
    </w:r>
  </w:p>
  <w:p w14:paraId="150F2FE1" w14:textId="77777777" w:rsidR="00C75378" w:rsidRPr="00F058E1" w:rsidRDefault="00ED3989" w:rsidP="00CE1625">
    <w:pPr>
      <w:pStyle w:val="EPFooter2"/>
    </w:pPr>
    <w:r>
      <w:t>PT</w:t>
    </w:r>
    <w:r>
      <w:tab/>
    </w:r>
    <w:r w:rsidRPr="00CE1625">
      <w:rPr>
        <w:b w:val="0"/>
        <w:i/>
        <w:color w:val="C0C0C0"/>
        <w:sz w:val="22"/>
      </w:rPr>
      <w:t>Unida na diversidade</w:t>
    </w:r>
    <w:r>
      <w:tab/>
      <w:t>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D161B" w14:textId="77777777" w:rsidR="005C18FE" w:rsidRPr="00F058E1" w:rsidRDefault="00ED3989">
      <w:r w:rsidRPr="00F058E1">
        <w:separator/>
      </w:r>
    </w:p>
  </w:footnote>
  <w:footnote w:type="continuationSeparator" w:id="0">
    <w:p w14:paraId="5392CFD4" w14:textId="77777777" w:rsidR="005C18FE" w:rsidRPr="00F058E1" w:rsidRDefault="00ED3989">
      <w:r w:rsidRPr="00F058E1">
        <w:continuationSeparator/>
      </w:r>
    </w:p>
  </w:footnote>
  <w:footnote w:id="1">
    <w:p w14:paraId="18731163" w14:textId="6F827DA8" w:rsidR="00116789" w:rsidRDefault="00ED3989">
      <w:pPr>
        <w:pStyle w:val="FootnoteText"/>
      </w:pPr>
      <w:r>
        <w:rPr>
          <w:rStyle w:val="FootnoteReference"/>
        </w:rPr>
        <w:footnoteRef/>
      </w:r>
      <w:r>
        <w:t xml:space="preserve"> Acordo Interinstitucional de 20 de maio de 2021 entre o Parlamento Europeu, o Conselho da União Europeia e a Comissão Europeia sobre um Registo de Transparência Obrigatório (JO L 207 de 11.6.2021, p. 1, ELI: </w:t>
      </w:r>
      <w:hyperlink r:id="rId1" w:history="1">
        <w:r>
          <w:rPr>
            <w:rStyle w:val="Hyperlink"/>
          </w:rPr>
          <w:t>http://data.europa.eu/eli/agree_interinstit/2021/611/oj</w:t>
        </w:r>
      </w:hyperlink>
      <w: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D471A" w14:textId="77777777" w:rsidR="00116789" w:rsidRDefault="001167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C9768" w14:textId="77777777" w:rsidR="00116789" w:rsidRDefault="001167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18677" w14:textId="77777777" w:rsidR="00116789" w:rsidRDefault="001167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0418099">
    <w:abstractNumId w:val="9"/>
  </w:num>
  <w:num w:numId="2" w16cid:durableId="1096287308">
    <w:abstractNumId w:val="9"/>
  </w:num>
  <w:num w:numId="3" w16cid:durableId="1873154565">
    <w:abstractNumId w:val="7"/>
  </w:num>
  <w:num w:numId="4" w16cid:durableId="201020814">
    <w:abstractNumId w:val="7"/>
  </w:num>
  <w:num w:numId="5" w16cid:durableId="863716726">
    <w:abstractNumId w:val="6"/>
  </w:num>
  <w:num w:numId="6" w16cid:durableId="283540670">
    <w:abstractNumId w:val="6"/>
  </w:num>
  <w:num w:numId="7" w16cid:durableId="399790441">
    <w:abstractNumId w:val="5"/>
  </w:num>
  <w:num w:numId="8" w16cid:durableId="1150097090">
    <w:abstractNumId w:val="5"/>
  </w:num>
  <w:num w:numId="9" w16cid:durableId="1954625954">
    <w:abstractNumId w:val="4"/>
  </w:num>
  <w:num w:numId="10" w16cid:durableId="890845769">
    <w:abstractNumId w:val="4"/>
  </w:num>
  <w:num w:numId="11" w16cid:durableId="1807163248">
    <w:abstractNumId w:val="8"/>
  </w:num>
  <w:num w:numId="12" w16cid:durableId="1199319938">
    <w:abstractNumId w:val="8"/>
  </w:num>
  <w:num w:numId="13" w16cid:durableId="1952467364">
    <w:abstractNumId w:val="3"/>
  </w:num>
  <w:num w:numId="14" w16cid:durableId="1325814075">
    <w:abstractNumId w:val="3"/>
  </w:num>
  <w:num w:numId="15" w16cid:durableId="499197118">
    <w:abstractNumId w:val="2"/>
  </w:num>
  <w:num w:numId="16" w16cid:durableId="612832300">
    <w:abstractNumId w:val="2"/>
  </w:num>
  <w:num w:numId="17" w16cid:durableId="365955626">
    <w:abstractNumId w:val="1"/>
  </w:num>
  <w:num w:numId="18" w16cid:durableId="897135543">
    <w:abstractNumId w:val="1"/>
  </w:num>
  <w:num w:numId="19" w16cid:durableId="1898391877">
    <w:abstractNumId w:val="0"/>
  </w:num>
  <w:num w:numId="20" w16cid:durableId="278730030">
    <w:abstractNumId w:val="0"/>
  </w:num>
  <w:num w:numId="21" w16cid:durableId="1877043185">
    <w:abstractNumId w:val="9"/>
  </w:num>
  <w:num w:numId="22" w16cid:durableId="2092505848">
    <w:abstractNumId w:val="7"/>
  </w:num>
  <w:num w:numId="23" w16cid:durableId="1871215330">
    <w:abstractNumId w:val="6"/>
  </w:num>
  <w:num w:numId="24" w16cid:durableId="855264869">
    <w:abstractNumId w:val="5"/>
  </w:num>
  <w:num w:numId="25" w16cid:durableId="1752894662">
    <w:abstractNumId w:val="4"/>
  </w:num>
  <w:num w:numId="26" w16cid:durableId="2115633578">
    <w:abstractNumId w:val="8"/>
  </w:num>
  <w:num w:numId="27" w16cid:durableId="823811319">
    <w:abstractNumId w:val="3"/>
  </w:num>
  <w:num w:numId="28" w16cid:durableId="1667857488">
    <w:abstractNumId w:val="2"/>
  </w:num>
  <w:num w:numId="29" w16cid:durableId="437718752">
    <w:abstractNumId w:val="1"/>
  </w:num>
  <w:num w:numId="30" w16cid:durableId="1829513394">
    <w:abstractNumId w:val="0"/>
  </w:num>
  <w:num w:numId="31" w16cid:durableId="1194805569">
    <w:abstractNumId w:val="9"/>
  </w:num>
  <w:num w:numId="32" w16cid:durableId="795220350">
    <w:abstractNumId w:val="7"/>
  </w:num>
  <w:num w:numId="33" w16cid:durableId="1206410519">
    <w:abstractNumId w:val="6"/>
  </w:num>
  <w:num w:numId="34" w16cid:durableId="1608929393">
    <w:abstractNumId w:val="5"/>
  </w:num>
  <w:num w:numId="35" w16cid:durableId="694228830">
    <w:abstractNumId w:val="4"/>
  </w:num>
  <w:num w:numId="36" w16cid:durableId="333456576">
    <w:abstractNumId w:val="8"/>
  </w:num>
  <w:num w:numId="37" w16cid:durableId="280958520">
    <w:abstractNumId w:val="3"/>
  </w:num>
  <w:num w:numId="38" w16cid:durableId="749423892">
    <w:abstractNumId w:val="2"/>
  </w:num>
  <w:num w:numId="39" w16cid:durableId="139270770">
    <w:abstractNumId w:val="1"/>
  </w:num>
  <w:num w:numId="40" w16cid:durableId="1847329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TITLEMNU" w:val=" 13"/>
    <w:docVar w:name="AUTHORMFMNU" w:val=" 2"/>
    <w:docVar w:name="COMKEY" w:val="FEMM"/>
    <w:docVar w:name="CONTRIBUTIONMNU" w:val=" 2"/>
    <w:docVar w:name="CopyToNetwork" w:val="-1"/>
    <w:docVar w:name="DOCDT" w:val="24/11/2025"/>
    <w:docVar w:name="FONCTIONMNU" w:val=" 2"/>
    <w:docVar w:name="LastEditedSection" w:val=" 1"/>
    <w:docVar w:name="PARTCOUNT" w:val="0"/>
    <w:docVar w:name="strDocTypeID" w:val="PA_NonLegDec"/>
    <w:docVar w:name="strSubDir" w:val="1335"/>
    <w:docVar w:name="TITLEMNU" w:val=" 1"/>
    <w:docVar w:name="TXTAUTHOR" w:val="Raquel García Hermida_x001e_Van Der Walle"/>
    <w:docVar w:name="TXTBUDYEAR" w:val="2024"/>
    <w:docVar w:name="TXTLANGUE" w:val="PT"/>
    <w:docVar w:name="TXTLANGUEMIN" w:val="pt"/>
    <w:docVar w:name="TXTNRPE" w:val="779.729"/>
    <w:docVar w:name="TXTNRPROC" w:val="2025/2156"/>
    <w:docVar w:name="TXTPEorAP" w:val="PE"/>
    <w:docVar w:name="TXTROUTE" w:val="AD\1335431PT.docx"/>
    <w:docVar w:name="TXTVERSION" w:val="02-00"/>
  </w:docVars>
  <w:rsids>
    <w:rsidRoot w:val="00AC5540"/>
    <w:rsid w:val="000048A8"/>
    <w:rsid w:val="00007A18"/>
    <w:rsid w:val="00037518"/>
    <w:rsid w:val="00062634"/>
    <w:rsid w:val="000A05CA"/>
    <w:rsid w:val="000B6C4B"/>
    <w:rsid w:val="000D001F"/>
    <w:rsid w:val="000D099F"/>
    <w:rsid w:val="000D69B4"/>
    <w:rsid w:val="000E6813"/>
    <w:rsid w:val="000F07FE"/>
    <w:rsid w:val="000F3882"/>
    <w:rsid w:val="00116789"/>
    <w:rsid w:val="001275F4"/>
    <w:rsid w:val="00147FBF"/>
    <w:rsid w:val="001A455F"/>
    <w:rsid w:val="001B1AD2"/>
    <w:rsid w:val="001F2766"/>
    <w:rsid w:val="001F6ED8"/>
    <w:rsid w:val="00207509"/>
    <w:rsid w:val="00212D35"/>
    <w:rsid w:val="00245C7F"/>
    <w:rsid w:val="00271180"/>
    <w:rsid w:val="002A4AC9"/>
    <w:rsid w:val="002B2892"/>
    <w:rsid w:val="002B2C72"/>
    <w:rsid w:val="002C0EE6"/>
    <w:rsid w:val="002C34AE"/>
    <w:rsid w:val="002E2F2E"/>
    <w:rsid w:val="00307C14"/>
    <w:rsid w:val="003158D5"/>
    <w:rsid w:val="00321E04"/>
    <w:rsid w:val="003707A7"/>
    <w:rsid w:val="003858C5"/>
    <w:rsid w:val="00385BAB"/>
    <w:rsid w:val="0039003E"/>
    <w:rsid w:val="00396FA9"/>
    <w:rsid w:val="003A4377"/>
    <w:rsid w:val="003B72FC"/>
    <w:rsid w:val="003D684B"/>
    <w:rsid w:val="003E06CF"/>
    <w:rsid w:val="003E35FB"/>
    <w:rsid w:val="003F3B83"/>
    <w:rsid w:val="00431E30"/>
    <w:rsid w:val="00477503"/>
    <w:rsid w:val="00487232"/>
    <w:rsid w:val="00495CA4"/>
    <w:rsid w:val="004A34E6"/>
    <w:rsid w:val="004C28FB"/>
    <w:rsid w:val="004E54DC"/>
    <w:rsid w:val="004F48ED"/>
    <w:rsid w:val="00514664"/>
    <w:rsid w:val="005460C8"/>
    <w:rsid w:val="0055017A"/>
    <w:rsid w:val="00556722"/>
    <w:rsid w:val="00565852"/>
    <w:rsid w:val="00577018"/>
    <w:rsid w:val="005779E7"/>
    <w:rsid w:val="00581719"/>
    <w:rsid w:val="0058605A"/>
    <w:rsid w:val="00586693"/>
    <w:rsid w:val="005C18FE"/>
    <w:rsid w:val="005D0786"/>
    <w:rsid w:val="005E3670"/>
    <w:rsid w:val="00600DC9"/>
    <w:rsid w:val="00643F39"/>
    <w:rsid w:val="0064631C"/>
    <w:rsid w:val="00663340"/>
    <w:rsid w:val="0066728C"/>
    <w:rsid w:val="006819E0"/>
    <w:rsid w:val="006F0A8F"/>
    <w:rsid w:val="0071319E"/>
    <w:rsid w:val="00722749"/>
    <w:rsid w:val="007B559D"/>
    <w:rsid w:val="00806587"/>
    <w:rsid w:val="008818A9"/>
    <w:rsid w:val="008C6240"/>
    <w:rsid w:val="008E7494"/>
    <w:rsid w:val="008F36CD"/>
    <w:rsid w:val="008F7002"/>
    <w:rsid w:val="0095301E"/>
    <w:rsid w:val="0095497D"/>
    <w:rsid w:val="009669A8"/>
    <w:rsid w:val="00972FD8"/>
    <w:rsid w:val="00977F76"/>
    <w:rsid w:val="0098137C"/>
    <w:rsid w:val="0098140C"/>
    <w:rsid w:val="0099178F"/>
    <w:rsid w:val="009A33F4"/>
    <w:rsid w:val="009A403C"/>
    <w:rsid w:val="009B5265"/>
    <w:rsid w:val="00A2041C"/>
    <w:rsid w:val="00A2091E"/>
    <w:rsid w:val="00A24FB1"/>
    <w:rsid w:val="00A722B1"/>
    <w:rsid w:val="00A7288B"/>
    <w:rsid w:val="00A8267E"/>
    <w:rsid w:val="00A93570"/>
    <w:rsid w:val="00A9617A"/>
    <w:rsid w:val="00AA1A2C"/>
    <w:rsid w:val="00AA223C"/>
    <w:rsid w:val="00AC5540"/>
    <w:rsid w:val="00AF77DA"/>
    <w:rsid w:val="00B107A4"/>
    <w:rsid w:val="00B1441B"/>
    <w:rsid w:val="00B362F7"/>
    <w:rsid w:val="00B735E3"/>
    <w:rsid w:val="00BA3E0B"/>
    <w:rsid w:val="00BB2AC1"/>
    <w:rsid w:val="00BB514D"/>
    <w:rsid w:val="00BD08F1"/>
    <w:rsid w:val="00C04938"/>
    <w:rsid w:val="00C175C0"/>
    <w:rsid w:val="00C36610"/>
    <w:rsid w:val="00C47E30"/>
    <w:rsid w:val="00C54F53"/>
    <w:rsid w:val="00C75378"/>
    <w:rsid w:val="00C85D0F"/>
    <w:rsid w:val="00CA0D01"/>
    <w:rsid w:val="00CE1625"/>
    <w:rsid w:val="00CF7076"/>
    <w:rsid w:val="00D044C5"/>
    <w:rsid w:val="00D41244"/>
    <w:rsid w:val="00D438D0"/>
    <w:rsid w:val="00D44697"/>
    <w:rsid w:val="00D47632"/>
    <w:rsid w:val="00D5399B"/>
    <w:rsid w:val="00D625A2"/>
    <w:rsid w:val="00D71751"/>
    <w:rsid w:val="00D7238E"/>
    <w:rsid w:val="00D759AA"/>
    <w:rsid w:val="00DA7632"/>
    <w:rsid w:val="00DB4D61"/>
    <w:rsid w:val="00E01434"/>
    <w:rsid w:val="00E05697"/>
    <w:rsid w:val="00E12435"/>
    <w:rsid w:val="00E3428B"/>
    <w:rsid w:val="00E3462E"/>
    <w:rsid w:val="00E7171E"/>
    <w:rsid w:val="00E729C7"/>
    <w:rsid w:val="00E83B40"/>
    <w:rsid w:val="00E9601C"/>
    <w:rsid w:val="00EA78B3"/>
    <w:rsid w:val="00EB19AA"/>
    <w:rsid w:val="00EC2C85"/>
    <w:rsid w:val="00ED3989"/>
    <w:rsid w:val="00F034ED"/>
    <w:rsid w:val="00F036E0"/>
    <w:rsid w:val="00F058E1"/>
    <w:rsid w:val="00F129D0"/>
    <w:rsid w:val="00F13113"/>
    <w:rsid w:val="00F46E44"/>
    <w:rsid w:val="00F611FC"/>
    <w:rsid w:val="00F61E8C"/>
    <w:rsid w:val="00F707AB"/>
    <w:rsid w:val="00F93F85"/>
    <w:rsid w:val="00F96D53"/>
    <w:rsid w:val="00FB459D"/>
    <w:rsid w:val="00FC1DEC"/>
    <w:rsid w:val="00FE761F"/>
    <w:rsid w:val="00FF00D4"/>
    <w:rsid w:val="00FF1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3BF19C"/>
  <w15:chartTrackingRefBased/>
  <w15:docId w15:val="{01900289-90DA-4A6C-A579-40284C0B5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P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263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sid w:val="00DA7632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DA763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DA7632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sid w:val="00DA7632"/>
    <w:rPr>
      <w:rFonts w:ascii="Arial" w:hAnsi="Arial"/>
      <w:vanish/>
      <w:color w:val="808080"/>
      <w:sz w:val="20"/>
    </w:rPr>
  </w:style>
  <w:style w:type="paragraph" w:customStyle="1" w:styleId="PageHeadingNotTOC">
    <w:name w:val="PageHeadingNotTOC"/>
    <w:basedOn w:val="Normal"/>
    <w:rsid w:val="00DA763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DA7632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A7632"/>
    <w:pPr>
      <w:spacing w:after="480"/>
      <w:ind w:left="1417"/>
    </w:pPr>
  </w:style>
  <w:style w:type="paragraph" w:customStyle="1" w:styleId="CoverNormal">
    <w:name w:val="CoverNormal"/>
    <w:basedOn w:val="Normal"/>
    <w:rsid w:val="00DA7632"/>
    <w:pPr>
      <w:ind w:left="1418"/>
    </w:pPr>
  </w:style>
  <w:style w:type="paragraph" w:styleId="Header">
    <w:name w:val="header"/>
    <w:basedOn w:val="Normal"/>
    <w:link w:val="HeaderChar"/>
    <w:semiHidden/>
    <w:rsid w:val="00FF158E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DA7632"/>
    <w:pPr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DA7632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CoverDate">
    <w:name w:val="CoverDate"/>
    <w:basedOn w:val="Normal"/>
    <w:rsid w:val="00DA7632"/>
    <w:pPr>
      <w:spacing w:before="240" w:after="1200"/>
    </w:pPr>
  </w:style>
  <w:style w:type="paragraph" w:customStyle="1" w:styleId="NormalHanging12a">
    <w:name w:val="NormalHanging12a"/>
    <w:basedOn w:val="Normal"/>
    <w:link w:val="NormalHanging12aChar"/>
    <w:rsid w:val="00DA7632"/>
    <w:pPr>
      <w:spacing w:after="240"/>
      <w:ind w:left="567" w:hanging="567"/>
    </w:pPr>
  </w:style>
  <w:style w:type="paragraph" w:customStyle="1" w:styleId="Subheading">
    <w:name w:val="Subheading"/>
    <w:basedOn w:val="Normal"/>
    <w:rsid w:val="00DA7632"/>
    <w:pPr>
      <w:spacing w:before="480" w:after="240"/>
    </w:pPr>
    <w:rPr>
      <w:b/>
      <w:i/>
      <w:szCs w:val="24"/>
    </w:rPr>
  </w:style>
  <w:style w:type="table" w:styleId="TableGrid">
    <w:name w:val="Table Grid"/>
    <w:basedOn w:val="TableNormal"/>
    <w:rsid w:val="00E96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DA763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DA7632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DA7632"/>
    <w:pPr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</w:rPr>
  </w:style>
  <w:style w:type="paragraph" w:customStyle="1" w:styleId="EPTerm">
    <w:name w:val="EPTerm"/>
    <w:basedOn w:val="Normal"/>
    <w:next w:val="Normal"/>
    <w:rsid w:val="00DA7632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DA7632"/>
    <w:pPr>
      <w:jc w:val="right"/>
    </w:pPr>
  </w:style>
  <w:style w:type="paragraph" w:customStyle="1" w:styleId="EPFooter">
    <w:name w:val="EPFooter"/>
    <w:basedOn w:val="Normal"/>
    <w:rsid w:val="00DA763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FF158E"/>
    <w:rPr>
      <w:sz w:val="24"/>
    </w:rPr>
  </w:style>
  <w:style w:type="character" w:customStyle="1" w:styleId="NormalHanging12aChar">
    <w:name w:val="NormalHanging12a Char"/>
    <w:basedOn w:val="DefaultParagraphFont"/>
    <w:link w:val="NormalHanging12a"/>
    <w:rsid w:val="00BD08F1"/>
    <w:rPr>
      <w:sz w:val="24"/>
    </w:rPr>
  </w:style>
  <w:style w:type="paragraph" w:styleId="Footer">
    <w:name w:val="footer"/>
    <w:basedOn w:val="Normal"/>
    <w:link w:val="FooterChar"/>
    <w:semiHidden/>
    <w:rsid w:val="00BA3E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BA3E0B"/>
    <w:rPr>
      <w:sz w:val="24"/>
    </w:rPr>
  </w:style>
  <w:style w:type="paragraph" w:styleId="Revision">
    <w:name w:val="Revision"/>
    <w:hidden/>
    <w:uiPriority w:val="99"/>
    <w:semiHidden/>
    <w:rsid w:val="00A2091E"/>
    <w:rPr>
      <w:sz w:val="24"/>
    </w:rPr>
  </w:style>
  <w:style w:type="paragraph" w:customStyle="1" w:styleId="RollCallSymbols14pt">
    <w:name w:val="RollCallSymbols14pt"/>
    <w:basedOn w:val="Normal"/>
    <w:rsid w:val="0011678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11678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11678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116789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116789"/>
    <w:pPr>
      <w:spacing w:after="480"/>
    </w:pPr>
    <w:rPr>
      <w:szCs w:val="24"/>
    </w:rPr>
  </w:style>
  <w:style w:type="paragraph" w:customStyle="1" w:styleId="NormalBoldCenter">
    <w:name w:val="NormalBoldCenter"/>
    <w:basedOn w:val="Normal"/>
    <w:rsid w:val="00116789"/>
    <w:pPr>
      <w:jc w:val="center"/>
    </w:pPr>
    <w:rPr>
      <w:b/>
      <w:szCs w:val="24"/>
    </w:rPr>
  </w:style>
  <w:style w:type="paragraph" w:customStyle="1" w:styleId="Footprint12b">
    <w:name w:val="Footprint12b"/>
    <w:basedOn w:val="Normal"/>
    <w:rsid w:val="00116789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116789"/>
    <w:rPr>
      <w:szCs w:val="24"/>
    </w:rPr>
  </w:style>
  <w:style w:type="paragraph" w:styleId="FootnoteText">
    <w:name w:val="footnote text"/>
    <w:basedOn w:val="Normal"/>
    <w:link w:val="FootnoteTextChar"/>
    <w:rsid w:val="00116789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116789"/>
  </w:style>
  <w:style w:type="character" w:styleId="FootnoteReference">
    <w:name w:val="footnote reference"/>
    <w:basedOn w:val="DefaultParagraphFont"/>
    <w:rsid w:val="00116789"/>
    <w:rPr>
      <w:vertAlign w:val="superscript"/>
    </w:rPr>
  </w:style>
  <w:style w:type="character" w:styleId="Hyperlink">
    <w:name w:val="Hyperlink"/>
    <w:basedOn w:val="DefaultParagraphFont"/>
    <w:rsid w:val="001167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67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instit/2021/61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2328</Words>
  <Characters>12412</Characters>
  <Application>Microsoft Office Word</Application>
  <DocSecurity>0</DocSecurity>
  <Lines>258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PA_NonLegDec</vt:lpstr>
    </vt:vector>
  </TitlesOfParts>
  <Company/>
  <LinksUpToDate>false</LinksUpToDate>
  <CharactersWithSpaces>14651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PA_NonLegDec</dc:title>
  <dc:creator>European Parliament</dc:creator>
  <cp:lastModifiedBy>European Parliament</cp:lastModifiedBy>
  <cp:revision>2</cp:revision>
  <cp:lastPrinted>2004-10-28T10:33:00Z</cp:lastPrinted>
  <dcterms:created xsi:type="dcterms:W3CDTF">2026-02-11T11:58:00Z</dcterms:created>
  <dcterms:modified xsi:type="dcterms:W3CDTF">2026-02-11T11:58:00Z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1335431</vt:lpwstr>
  </property>
  <property fmtid="{D5CDD505-2E9C-101B-9397-08002B2CF9AE}" pid="4" name="&lt;Model&gt;">
    <vt:lpwstr>PA_NonLegDec</vt:lpwstr>
  </property>
  <property fmtid="{D5CDD505-2E9C-101B-9397-08002B2CF9AE}" pid="5" name="&lt;ModelCod&gt;">
    <vt:lpwstr>\\eiciBRUpr1\pdocep$\DocEP\DOCS\General\PA\PA_NonLeg\PA_NonLegDec.dotx(08/11/2024 09:44:10)</vt:lpwstr>
  </property>
  <property fmtid="{D5CDD505-2E9C-101B-9397-08002B2CF9AE}" pid="6" name="&lt;ModelTra&gt;">
    <vt:lpwstr>\\eiciBRUpr1\pdocep$\DocEP\TRANSFIL\EN\PA_NonLegDec.EN(21/01/2025 14:39:00)</vt:lpwstr>
  </property>
  <property fmtid="{D5CDD505-2E9C-101B-9397-08002B2CF9AE}" pid="7" name="&lt;Type&gt;">
    <vt:lpwstr>AD</vt:lpwstr>
  </property>
  <property fmtid="{D5CDD505-2E9C-101B-9397-08002B2CF9AE}" pid="8" name="Bookout">
    <vt:lpwstr>OK - 2026/02/11 12:58</vt:lpwstr>
  </property>
  <property fmtid="{D5CDD505-2E9C-101B-9397-08002B2CF9AE}" pid="9" name="Created with">
    <vt:lpwstr>10.2.0 Build [20251001]</vt:lpwstr>
  </property>
  <property fmtid="{D5CDD505-2E9C-101B-9397-08002B2CF9AE}" pid="10" name="FooterPath">
    <vt:lpwstr>AD\1335431PT.docx</vt:lpwstr>
  </property>
  <property fmtid="{D5CDD505-2E9C-101B-9397-08002B2CF9AE}" pid="11" name="LastEdited with">
    <vt:lpwstr>10.2.1 Build [20260110]</vt:lpwstr>
  </property>
  <property fmtid="{D5CDD505-2E9C-101B-9397-08002B2CF9AE}" pid="12" name="PE number">
    <vt:lpwstr>779.729</vt:lpwstr>
  </property>
  <property fmtid="{D5CDD505-2E9C-101B-9397-08002B2CF9AE}" pid="13" name="SDLStudio">
    <vt:lpwstr/>
  </property>
  <property fmtid="{D5CDD505-2E9C-101B-9397-08002B2CF9AE}" pid="14" name="SendToEpades">
    <vt:lpwstr>OK - 2025/11/25 10:22</vt:lpwstr>
  </property>
</Properties>
</file>