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415CD2" w:rsidRPr="00B43770" w14:paraId="527F66F8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3B3EC01A" w14:textId="77777777" w:rsidR="004F48ED" w:rsidRPr="00B43770" w:rsidRDefault="004A6212" w:rsidP="00C85D0F">
            <w:pPr>
              <w:pStyle w:val="EPName"/>
            </w:pPr>
            <w:r w:rsidRPr="00B43770">
              <w:t>Европейски парламент</w:t>
            </w:r>
          </w:p>
          <w:p w14:paraId="715C8713" w14:textId="77777777" w:rsidR="004F48ED" w:rsidRPr="00B43770" w:rsidRDefault="004A6212" w:rsidP="00C85D0F">
            <w:pPr>
              <w:pStyle w:val="EPTerm"/>
            </w:pPr>
            <w:r w:rsidRPr="00B43770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05B6D7BF" w14:textId="77777777" w:rsidR="004F48ED" w:rsidRPr="00B43770" w:rsidRDefault="004A6212" w:rsidP="00C85D0F">
            <w:pPr>
              <w:pStyle w:val="EPLogo"/>
            </w:pPr>
            <w:r w:rsidRPr="00B43770">
              <w:rPr>
                <w:noProof/>
                <w:lang w:eastAsia="ja-JP"/>
              </w:rPr>
              <w:drawing>
                <wp:inline distT="0" distB="0" distL="0" distR="0" wp14:anchorId="4514FAF7" wp14:editId="50ECA049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9E14DA" w14:textId="77777777" w:rsidR="00E9601C" w:rsidRPr="00B43770" w:rsidRDefault="00E9601C" w:rsidP="00E9601C">
      <w:pPr>
        <w:pStyle w:val="LineTop"/>
      </w:pPr>
    </w:p>
    <w:p w14:paraId="5792EA74" w14:textId="77777777" w:rsidR="00E9601C" w:rsidRPr="00B43770" w:rsidRDefault="004A6212" w:rsidP="00E9601C">
      <w:pPr>
        <w:pStyle w:val="EPBody"/>
      </w:pPr>
      <w:r w:rsidRPr="00B43770">
        <w:rPr>
          <w:rStyle w:val="HideTWBExt"/>
        </w:rPr>
        <w:t>&lt;</w:t>
      </w:r>
      <w:r w:rsidRPr="00B43770">
        <w:rPr>
          <w:rStyle w:val="HideTWBExt"/>
          <w:i w:val="0"/>
        </w:rPr>
        <w:t>Commission</w:t>
      </w:r>
      <w:r w:rsidRPr="00B43770">
        <w:rPr>
          <w:rStyle w:val="HideTWBExt"/>
        </w:rPr>
        <w:t>&gt;</w:t>
      </w:r>
      <w:r w:rsidRPr="00B43770">
        <w:rPr>
          <w:rStyle w:val="HideTWBInt"/>
          <w:color w:val="auto"/>
        </w:rPr>
        <w:t>{FEMM}</w:t>
      </w:r>
      <w:r w:rsidRPr="00B43770">
        <w:t>Комисия по правата на жените и равенството между половете</w:t>
      </w:r>
      <w:r w:rsidRPr="00B43770">
        <w:rPr>
          <w:rStyle w:val="HideTWBExt"/>
        </w:rPr>
        <w:t>&lt;/</w:t>
      </w:r>
      <w:r w:rsidRPr="00B43770">
        <w:rPr>
          <w:rStyle w:val="HideTWBExt"/>
          <w:i w:val="0"/>
        </w:rPr>
        <w:t>Commission</w:t>
      </w:r>
      <w:r w:rsidRPr="00B43770">
        <w:rPr>
          <w:rStyle w:val="HideTWBExt"/>
        </w:rPr>
        <w:t>&gt;</w:t>
      </w:r>
    </w:p>
    <w:p w14:paraId="3A393656" w14:textId="77777777" w:rsidR="00E9601C" w:rsidRPr="00B43770" w:rsidRDefault="00E9601C" w:rsidP="00E9601C">
      <w:pPr>
        <w:pStyle w:val="LineBottom"/>
      </w:pPr>
    </w:p>
    <w:p w14:paraId="3FE6650C" w14:textId="77777777" w:rsidR="00F9352D" w:rsidRPr="00B43770" w:rsidRDefault="004A6212" w:rsidP="00F9352D">
      <w:pPr>
        <w:pStyle w:val="CoverReference"/>
      </w:pPr>
      <w:r w:rsidRPr="00B43770">
        <w:rPr>
          <w:rStyle w:val="HideTWBExt"/>
          <w:b w:val="0"/>
        </w:rPr>
        <w:t>&lt;RefProc&gt;</w:t>
      </w:r>
      <w:r w:rsidRPr="00B43770">
        <w:t>2025/2145</w:t>
      </w:r>
      <w:r w:rsidRPr="00B43770">
        <w:rPr>
          <w:rStyle w:val="HideTWBExt"/>
          <w:b w:val="0"/>
        </w:rPr>
        <w:t>&lt;/RefProc&gt;&lt;RefTypeProc&gt;</w:t>
      </w:r>
      <w:r w:rsidRPr="00B43770">
        <w:t>(DEC)</w:t>
      </w:r>
      <w:r w:rsidRPr="00B43770">
        <w:rPr>
          <w:rStyle w:val="HideTWBExt"/>
          <w:b w:val="0"/>
        </w:rPr>
        <w:t>&lt;/RefTypeProc&gt;</w:t>
      </w:r>
    </w:p>
    <w:p w14:paraId="04BF551B" w14:textId="77777777" w:rsidR="00F9352D" w:rsidRPr="00B43770" w:rsidRDefault="004A6212" w:rsidP="00F9352D">
      <w:pPr>
        <w:pStyle w:val="CoverDate"/>
      </w:pPr>
      <w:r w:rsidRPr="00B43770">
        <w:rPr>
          <w:rStyle w:val="HideTWBExt"/>
        </w:rPr>
        <w:t>&lt;Date&gt;</w:t>
      </w:r>
      <w:r w:rsidRPr="00B43770">
        <w:rPr>
          <w:rStyle w:val="HideTWBInt"/>
          <w:color w:val="auto"/>
        </w:rPr>
        <w:t>{28/01/2026}</w:t>
      </w:r>
      <w:r w:rsidRPr="00B43770">
        <w:t>28.1.2026</w:t>
      </w:r>
      <w:r w:rsidRPr="00B43770">
        <w:rPr>
          <w:rStyle w:val="HideTWBExt"/>
        </w:rPr>
        <w:t>&lt;/Date&gt;</w:t>
      </w:r>
    </w:p>
    <w:p w14:paraId="3B3094D2" w14:textId="77777777" w:rsidR="00F9352D" w:rsidRPr="00B43770" w:rsidRDefault="004A6212" w:rsidP="00F9352D">
      <w:pPr>
        <w:pStyle w:val="CoverDocType24a"/>
      </w:pPr>
      <w:r w:rsidRPr="00B43770">
        <w:rPr>
          <w:rStyle w:val="HideTWBExt"/>
          <w:b w:val="0"/>
        </w:rPr>
        <w:t>&lt;TitreType&gt;</w:t>
      </w:r>
      <w:r w:rsidRPr="00B43770">
        <w:t>СТАНОВИЩЕ</w:t>
      </w:r>
      <w:r w:rsidRPr="00B43770">
        <w:rPr>
          <w:rStyle w:val="HideTWBExt"/>
          <w:b w:val="0"/>
        </w:rPr>
        <w:t>&lt;/TitreType&gt;</w:t>
      </w:r>
    </w:p>
    <w:p w14:paraId="51CA15FA" w14:textId="77777777" w:rsidR="00F9352D" w:rsidRPr="00B43770" w:rsidRDefault="004A6212" w:rsidP="00F9352D">
      <w:pPr>
        <w:pStyle w:val="CoverNormal24a"/>
      </w:pPr>
      <w:r w:rsidRPr="00B43770">
        <w:rPr>
          <w:rStyle w:val="HideTWBExt"/>
        </w:rPr>
        <w:t>&lt;CommissionResp&gt;</w:t>
      </w:r>
      <w:r w:rsidRPr="00B43770">
        <w:t>на комисията по правата на жените и равенството между половете</w:t>
      </w:r>
      <w:r w:rsidRPr="00B43770">
        <w:rPr>
          <w:rStyle w:val="HideTWBExt"/>
        </w:rPr>
        <w:t>&lt;/CommissionResp&gt;</w:t>
      </w:r>
    </w:p>
    <w:p w14:paraId="50BA01EB" w14:textId="77777777" w:rsidR="00F9352D" w:rsidRPr="00B43770" w:rsidRDefault="004A6212" w:rsidP="00F9352D">
      <w:pPr>
        <w:pStyle w:val="CoverNormal24a"/>
      </w:pPr>
      <w:r w:rsidRPr="00B43770">
        <w:rPr>
          <w:rStyle w:val="HideTWBExt"/>
        </w:rPr>
        <w:t>&lt;CommissionInt&gt;</w:t>
      </w:r>
      <w:r w:rsidRPr="00B43770">
        <w:t>на вниманието на комисията по бюджетен контрол</w:t>
      </w:r>
      <w:r w:rsidRPr="00B43770">
        <w:rPr>
          <w:rStyle w:val="HideTWBExt"/>
        </w:rPr>
        <w:t>&lt;/CommissionInt&gt;</w:t>
      </w:r>
    </w:p>
    <w:p w14:paraId="0AE87602" w14:textId="77777777" w:rsidR="00F9352D" w:rsidRPr="00B43770" w:rsidRDefault="004A6212" w:rsidP="00F9352D">
      <w:pPr>
        <w:pStyle w:val="CoverNormal"/>
      </w:pPr>
      <w:r w:rsidRPr="00B43770">
        <w:rPr>
          <w:rStyle w:val="HideTWBExt"/>
        </w:rPr>
        <w:t>&lt;Titre&gt;</w:t>
      </w:r>
      <w:r w:rsidRPr="00B43770">
        <w:t>относно освобождаването от отговорност във връзка с изпълнението на общия бюджет на Европейския съюз за финансовата 2024 година, раздел III – Комисия</w:t>
      </w:r>
      <w:r w:rsidRPr="00B43770">
        <w:rPr>
          <w:rStyle w:val="HideTWBExt"/>
        </w:rPr>
        <w:t>&lt;/Titre&gt;</w:t>
      </w:r>
    </w:p>
    <w:p w14:paraId="1303D1D8" w14:textId="77777777" w:rsidR="00F9352D" w:rsidRPr="00B43770" w:rsidRDefault="004A6212" w:rsidP="00F9352D">
      <w:pPr>
        <w:pStyle w:val="CoverNormal24a"/>
      </w:pPr>
      <w:r w:rsidRPr="00B43770">
        <w:rPr>
          <w:rStyle w:val="HideTWBExt"/>
        </w:rPr>
        <w:t>&lt;DocRef&gt;</w:t>
      </w:r>
      <w:r w:rsidRPr="00B43770">
        <w:t>(2025/2145(DEC))</w:t>
      </w:r>
      <w:r w:rsidRPr="00B43770">
        <w:rPr>
          <w:rStyle w:val="HideTWBExt"/>
        </w:rPr>
        <w:t>&lt;/DocRef&gt;</w:t>
      </w:r>
    </w:p>
    <w:p w14:paraId="1495F7E7" w14:textId="77777777" w:rsidR="00F9352D" w:rsidRPr="00B43770" w:rsidRDefault="004A6212" w:rsidP="00F9352D">
      <w:pPr>
        <w:pStyle w:val="CoverNormal24a"/>
      </w:pPr>
      <w:r w:rsidRPr="00B43770">
        <w:t xml:space="preserve">Докладчик по становище: </w:t>
      </w:r>
      <w:r w:rsidRPr="00B43770">
        <w:rPr>
          <w:rStyle w:val="HideTWBExt"/>
        </w:rPr>
        <w:t>&lt;Depute&gt;</w:t>
      </w:r>
      <w:r w:rsidRPr="00B43770">
        <w:t>Ракел Гарсия Ермида</w:t>
      </w:r>
      <w:r w:rsidRPr="00B43770">
        <w:noBreakHyphen/>
        <w:t>ван дер Вале</w:t>
      </w:r>
      <w:r w:rsidRPr="00B43770">
        <w:rPr>
          <w:rStyle w:val="HideTWBExt"/>
        </w:rPr>
        <w:t>&lt;/Depute&gt;</w:t>
      </w:r>
    </w:p>
    <w:p w14:paraId="585427BE" w14:textId="77777777" w:rsidR="00F9352D" w:rsidRPr="00B43770" w:rsidRDefault="00F9352D" w:rsidP="00F9352D">
      <w:pPr>
        <w:pStyle w:val="CoverNormal"/>
      </w:pPr>
    </w:p>
    <w:p w14:paraId="2F858129" w14:textId="77777777" w:rsidR="00F9352D" w:rsidRPr="00B43770" w:rsidRDefault="004A6212" w:rsidP="00F9352D">
      <w:pPr>
        <w:widowControl/>
        <w:tabs>
          <w:tab w:val="center" w:pos="4677"/>
        </w:tabs>
      </w:pPr>
      <w:r w:rsidRPr="00B43770">
        <w:br w:type="page"/>
      </w:r>
      <w:r w:rsidRPr="00B43770">
        <w:lastRenderedPageBreak/>
        <w:t>PA_NonLegDec</w:t>
      </w:r>
    </w:p>
    <w:p w14:paraId="2FB8D345" w14:textId="77777777" w:rsidR="00F9352D" w:rsidRPr="00B43770" w:rsidRDefault="004A6212" w:rsidP="00F9352D">
      <w:pPr>
        <w:pStyle w:val="PageHeadingNotTOC"/>
      </w:pPr>
      <w:r w:rsidRPr="00B43770">
        <w:br w:type="page"/>
      </w:r>
      <w:r w:rsidRPr="00B43770">
        <w:lastRenderedPageBreak/>
        <w:t>СТАНОВИЩЕ</w:t>
      </w:r>
    </w:p>
    <w:p w14:paraId="608DBB95" w14:textId="77777777" w:rsidR="00F9352D" w:rsidRPr="00B43770" w:rsidRDefault="004A6212" w:rsidP="00F9352D">
      <w:pPr>
        <w:pStyle w:val="Normal12a"/>
      </w:pPr>
      <w:r w:rsidRPr="00B43770">
        <w:t xml:space="preserve">Комисията по </w:t>
      </w:r>
      <w:r w:rsidRPr="00B43770">
        <w:t>правата на жените и равенството между половете приканва водещата комисия по бюджетен контрол да включи в предложението за резолюция, което ще приеме, следното:</w:t>
      </w:r>
      <w:r w:rsidRPr="00B43770">
        <w:rPr>
          <w:rStyle w:val="HideTWBExt"/>
        </w:rPr>
        <w:t>&lt;RepeatBlock-Dec&gt;</w:t>
      </w:r>
    </w:p>
    <w:p w14:paraId="386221D7" w14:textId="77777777" w:rsidR="00F9352D" w:rsidRPr="00B43770" w:rsidRDefault="004A6212" w:rsidP="00F9352D">
      <w:pPr>
        <w:pStyle w:val="NormalHanging12a"/>
      </w:pPr>
      <w:r w:rsidRPr="00B43770">
        <w:t>А.</w:t>
      </w:r>
      <w:r w:rsidRPr="00B43770">
        <w:tab/>
        <w:t>като има предвид, че равенството между половете е основополагаща ценност на Съюза, заложена в член 2 от Договора за Европейския съюз; като има предвид ангажимента на Съюза да насърчава равенството във всички дейности по член 8 от ДФЕС, като интегрира принципа на равенство между половете и бюджетирането, съобразено с равенството между половете, във всички политики; като има предвид, че бюджетите не са неутрални по отношение на пола и трябва да бъдат изготвяни и Комисията да бъде освобождавана от отговорност</w:t>
      </w:r>
      <w:r w:rsidRPr="00B43770">
        <w:t xml:space="preserve"> във връзка с тяхното изпълнение с оглед на целта за равенство между половете; като има предвид, че Хартата на основните права на Европейския съюз не само утвърждава равенството между половете, но също така защитава човешкото достойнство и забранява всички форми на дискриминация, включително на основата на сексуалната ориентация и пола (половата идентичност);</w:t>
      </w:r>
    </w:p>
    <w:p w14:paraId="27B8FF5C" w14:textId="77777777" w:rsidR="00F9352D" w:rsidRPr="00B43770" w:rsidRDefault="004A6212" w:rsidP="00F9352D">
      <w:pPr>
        <w:pStyle w:val="NormalHanging12a"/>
      </w:pPr>
      <w:r w:rsidRPr="00B43770">
        <w:t>Б.</w:t>
      </w:r>
      <w:r w:rsidRPr="00B43770">
        <w:tab/>
        <w:t>като има предвид, че Парламентът многократно призова Комисията да насърчава и прилага интегрирането на принципа на равенство между половете, включително съобразеното с равенството между половете бюджетиране, във всички области на политиката на Съюза; като има предвид, че съобразеното с равенството между половете бюджетиране трябва да включва междусекторна перспектива;</w:t>
      </w:r>
    </w:p>
    <w:p w14:paraId="7F29467B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В.</w:t>
      </w:r>
      <w:r w:rsidRPr="00B43770">
        <w:tab/>
        <w:t xml:space="preserve">като има предвид, че ЕС значително увеличи бюджетните кредити, разпределени за </w:t>
      </w:r>
      <w:r w:rsidRPr="00B43770">
        <w:t>милитаризация, включително оръжия, инфраструктура, научни изследвания в областта на сигурността, военна мобилност, наблюдение на границите и екстернализация; като има предвид, че тези промени рискуват да отклонят ресурси от равенството между половете, социалното сближаване и борбата срещу насилието, основано на пола;</w:t>
      </w:r>
    </w:p>
    <w:p w14:paraId="6D81E99F" w14:textId="77777777" w:rsidR="00F9352D" w:rsidRPr="00B43770" w:rsidRDefault="004A6212" w:rsidP="00F9352D">
      <w:pPr>
        <w:pStyle w:val="NormalHanging12a"/>
      </w:pPr>
      <w:r w:rsidRPr="00B43770">
        <w:t>Г.</w:t>
      </w:r>
      <w:r w:rsidRPr="00B43770">
        <w:tab/>
        <w:t>като има предвид, че стойността на индекса за равенство между половете за 2025 г. за ЕС е 63,4, като се отчита увеличение от 10,5 пункта от 2010 г. насам; като има предвид, че за постигане на равенство между половете в ЕС ще са необходими още поне 50 години; като има предвид, че равенството между половете в Съюза беше отрицателно засегнато от нарастващия брой движения срещу равенството между половете, сексизма и силните тенденции на предубеденост спрямо жените, както и от последиците от отстъплението от по</w:t>
      </w:r>
      <w:r w:rsidRPr="00B43770">
        <w:t>стигнатото в областта на равенството между половете, по-специално във връзка със сексуалното и репродуктивното здраве и права в няколко държави членки; като има предвид, че равенството между половете е допълнително повлияно от войните, текущите кризи в областта на климата, енергетиката и социалната сфера и кризата с разходите за живот, които засягат непропорционално жените;</w:t>
      </w:r>
    </w:p>
    <w:p w14:paraId="2BEC6C3A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Д.</w:t>
      </w:r>
      <w:r w:rsidRPr="00B43770">
        <w:tab/>
        <w:t xml:space="preserve">като има предвид, че всяка трета жена е подложена на насилие; като има предвид, че в световен мащаб всеки ден 140 жени и момичета биват убити от партньор или роднина; като има предвид, че на 7 май 2024 г. беше приета Директивата относно </w:t>
      </w:r>
      <w:r w:rsidRPr="00B43770">
        <w:lastRenderedPageBreak/>
        <w:t>борбата с насилието над жени и домашното насилие и че тя влезе в сила на 14 юни 2024 г.; като има предвид, че нетолерантността към ЛГБТИК+, и по-специално транссексуалните лица, се увеличи драматично рязко спрямо 2019 г.; като има предвид, че насилието и престъпленията от о</w:t>
      </w:r>
      <w:r w:rsidRPr="00B43770">
        <w:t>мраза срещу ЛГБТИК+ се увеличиха в сравнение с 2019 г., като най-рязко е увеличението на нападенията срещу транссексуални жени и мъже; като има предвид, че програмата „Дафне“, насочена към защита на жертвите на насилие, включително жени и деца, е особено важен инструмент на ЕС за борба с основаното на пола насилие и за отстояване на основните права, и че нейното непрекъснато финансиране и подкрепа следва да бъдат гарантирани в бюджетната и политическата рамка на Съюза;</w:t>
      </w:r>
    </w:p>
    <w:p w14:paraId="2800C377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Е.</w:t>
      </w:r>
      <w:r w:rsidRPr="00B43770">
        <w:tab/>
        <w:t>като има предвид, че инвестициите в равенството между половете укрепват икономическия растеж, устойчивостта и социалното сближаване в целия ЕС; като има предвид, че за постигането на динамична и конкурентоспособна икономика са необходими равенство между половете, предприемачество и иновации; като има предвид също така, че икономическата политика изисква интегриране на принципа на равенство между половете, за да се гарантира, че европейската икономика работи за всички жени; като има предвид, че подкрепата з</w:t>
      </w:r>
      <w:r w:rsidRPr="00B43770">
        <w:t>а жените с цел създаването и управляването на техни собствени предприятия допринася за икономическата диверсификация и намалява неравнопоставеността между половете по отношение на достъпа до предприемачество и лидерство;</w:t>
      </w:r>
    </w:p>
    <w:p w14:paraId="40577044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1.</w:t>
      </w:r>
      <w:r w:rsidRPr="00B43770">
        <w:tab/>
        <w:t>подчертава, че перспективата за равенство между половете следва да бъде интегрирана и гарантирана във всички области на политиката, по-специално с оглед на многобройните свързани с пола въздействия на различните текущи кризи в областта на климата, енергетиката и социалната сфера, войните и кризата с разходите за живот, като се поставя акцент върху сексуалното и репродуктивното здраве и права и отстъплението в сферата на равенството между половете и правата на жените в ЕС; следователно отново призовава за п</w:t>
      </w:r>
      <w:r w:rsidRPr="00B43770">
        <w:t>рилагане на съобразено с фактора пол бюджетиране на всички подходящи етапи на бюджетната процедура; призовава Комисията да подобри интегрирането на принципа на равенство между половете от самото начало на разработването на програмите и да определи хоризонтална разпоредба за равенство между половете с обща цел за равенство;</w:t>
      </w:r>
    </w:p>
    <w:p w14:paraId="757AB7D7" w14:textId="77777777" w:rsidR="00F9352D" w:rsidRPr="00B43770" w:rsidRDefault="004A6212" w:rsidP="00F9352D">
      <w:pPr>
        <w:pStyle w:val="NormalHanging12a"/>
      </w:pPr>
      <w:r w:rsidRPr="00B43770">
        <w:t>2.</w:t>
      </w:r>
      <w:r w:rsidRPr="00B43770">
        <w:tab/>
        <w:t>потвърждава ангажимента на Съюза за интегриране на принципа на равенство между половете и за подобряване на методиката за проследяване на разходите, свързани с равенството между половете; изразява съжаление, че настоящата методика на Комисията не отразява потенциалните отрицателни последици и води до несигурност в 20% от случаите, що се отнася до въздействието върху равенството между половете; настоятелно призовава Комисията да подобри своите инструменти за оценка, за да гарантира по-ясни резултати и да пр</w:t>
      </w:r>
      <w:r w:rsidRPr="00B43770">
        <w:t>оследява възможните отрицателни въздействия; счита, че методиката за проследяване може да бъде допълнена със задължителни минимални критерии, например оценки на въздействието по признак пол, които следва да бъдат свързани със системите за проследяване;</w:t>
      </w:r>
    </w:p>
    <w:p w14:paraId="7FEBBCD2" w14:textId="77777777" w:rsidR="00F9352D" w:rsidRPr="00B43770" w:rsidRDefault="004A6212" w:rsidP="00F9352D">
      <w:pPr>
        <w:pStyle w:val="NormalHanging12a"/>
      </w:pPr>
      <w:r w:rsidRPr="00B43770">
        <w:lastRenderedPageBreak/>
        <w:t>3.</w:t>
      </w:r>
      <w:r w:rsidRPr="00B43770">
        <w:tab/>
        <w:t>приветства актуализирането на насоките и инструментариума за по-добро регулиране; изразява съжаление относно недостатъчния напредък в извършването на анализи на потребностите и въздействието на програмите на ЕС за финансиране по признак пол; призовава Комисията да използва оценки на въздействието върху конкурентоспособността, включително анализи, отчитащи аспектите на пола, при разработването и изпълнението на програмите и инструментите за финансиране на ЕС, за да се гарантират ефективни и справедливи резу</w:t>
      </w:r>
      <w:r w:rsidRPr="00B43770">
        <w:t>лтати от политиката; призовава също Комисията да извършва последователно подобни анализи; призовава Комисията да интегрира изцяло принципа на равенство между половете в следващата МФР, за да включи свързаните с пола аспекти във всички области на политиката, бюджети и мерки за облекчаване, и когато е уместно — бюджетиране, съобразено с равенството между половете, с цел постигане на напредък по отношение на правата на жените и равенството между половете;</w:t>
      </w:r>
    </w:p>
    <w:p w14:paraId="11B7BF1A" w14:textId="77777777" w:rsidR="00F9352D" w:rsidRPr="00B43770" w:rsidRDefault="004A6212" w:rsidP="00F9352D">
      <w:pPr>
        <w:pStyle w:val="NormalHanging12a"/>
        <w:rPr>
          <w:b/>
          <w:i/>
        </w:rPr>
      </w:pPr>
      <w:r w:rsidRPr="00B43770">
        <w:t>4.</w:t>
      </w:r>
      <w:r w:rsidRPr="00B43770">
        <w:tab/>
        <w:t>отбелязва, че информацията относно въздействието на бюджета на ЕС върху равенството между половете продължава да бъде недостатъчна; подчертава недостатъците в ръчното събиране, докладването и оценката на разбити по полов признак данни и включването на междусекторен подход; призовава Комисията да подобри качеството на данните; посочва, че сред най-важните поуки, извлечени при прилагането на пилотната методика, се нарежда ограничената възможност за остойностяване на резултатите поради липса на необходимите д</w:t>
      </w:r>
      <w:r w:rsidRPr="00B43770">
        <w:t>анни; призовава всички данни да бъдат съпоставими, за да могат да бъдат от полза при изготвянето на политики; подчертава следователно значението на изискванията за събиране на данни, за да се осигурят условия за всеобхватно събиране на разбити по полов признак данни в контекста на всички имащи отношение политики на ЕС, и настоятелно призовава Комисията да разглежда това като приоритет; настоятелно призовава Комисията да разглежда това като приоритет;</w:t>
      </w:r>
    </w:p>
    <w:p w14:paraId="512AF0D5" w14:textId="77777777" w:rsidR="00F9352D" w:rsidRPr="00B43770" w:rsidRDefault="004A6212" w:rsidP="00F9352D">
      <w:pPr>
        <w:pStyle w:val="NormalHanging12a"/>
      </w:pPr>
      <w:r w:rsidRPr="00B43770">
        <w:t>5.</w:t>
      </w:r>
      <w:r w:rsidRPr="00B43770">
        <w:tab/>
        <w:t>призовава Комисията да анализира какъв дял от бюджета на ЕС следва да се задели в подкрепа на равенството между половете; призовава освен това за цели и показатели за изпълнение във всички бъдещи законодателни актове, включително в следващата МФР;</w:t>
      </w:r>
    </w:p>
    <w:p w14:paraId="7765F18B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6.</w:t>
      </w:r>
      <w:r w:rsidRPr="00B43770">
        <w:tab/>
        <w:t>призовава Комисията да задели подходящ дял от общия бюджет на ЕС, от направлението „Равенство и права“ на програмата „Граждани, равенство, права и ценности“ и от програмата „Дафне“; изразява съжаление относно липсата на специални бюджетни редове за мерки, посветени на равенството между половете; отново призовава за специален бюджетен ред за програмата „Дафне“ с цел повишаване на прозрачността и отчетността при разпределянето на средствата; призовава за стабилна рамка за финансиране, за да се гарантира ефек</w:t>
      </w:r>
      <w:r w:rsidRPr="00B43770">
        <w:t>тивността и устойчивостта на програмата „Дафне“ в подкрепа на защитата на жените и децата от насилие; изразява съжаление във връзка със сливането на програмата „Творческа Европа“ и програмата „Граждани, равенство, права и ценности“ в предлаганата МФР, тъй като това намалява видимостта на програмата „Дафне“; настоятелно призовава ЕС да разглежда тази програма като приоритет;</w:t>
      </w:r>
    </w:p>
    <w:p w14:paraId="1CF05D5B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7.</w:t>
      </w:r>
      <w:r w:rsidRPr="00B43770">
        <w:tab/>
        <w:t xml:space="preserve">приветства Директивата относно борбата с насилието над жени и домашното </w:t>
      </w:r>
      <w:r w:rsidRPr="00B43770">
        <w:lastRenderedPageBreak/>
        <w:t>насилие; настоятелно призовава държавите членки бързо да приложат директивата и ги призовава да увеличат броя на приютите за жертви на домашно насилие, като се обърне специално внимание на квотите, установени в Конвенцията на Съвета на Европа за превенция и борба с насилието над жени и домашното насилие, т.нар. Конвенция от Истанбул (един семеен център на всеки 10 000 жители); подчертава, че фемицидът, определен като убийство на жени и</w:t>
      </w:r>
      <w:r w:rsidRPr="00B43770">
        <w:t xml:space="preserve"> момичета заради тяхната полова принадлежност, е една от най-крайните форми на насилие, основано на пола, и представлява тежко нарушение на основните права; решително осъжда липсата на хармонизирано определение и продължаващата несъгласуваност при събирането на данни и докладването относно това престъпление; призовава за европейско определение на това престъпление;</w:t>
      </w:r>
    </w:p>
    <w:p w14:paraId="4C3A2946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8.</w:t>
      </w:r>
      <w:r w:rsidRPr="00B43770">
        <w:tab/>
        <w:t>подчертава, че поради нарастването на нетърпимостта към ЛГБТИК+ е необходимо да се разпредели достатъчен бюджет за мерки за борба с ЛГБТИК+ фобията, сред които, наред с другото, телефонни линии за консултации и изслушване; подчертава значението на пълното признаване на транссексуалните жени като жени, като отбелязва, че тяхното приобщаване е от съществено значение за ефективността на всички политики за равенство между половете и за борба с насилието; призовава за признаване и равен достъп на транссексуални</w:t>
      </w:r>
      <w:r w:rsidRPr="00B43770">
        <w:t>те жени до услуги за защита и подкрепа; призовава държавите членки да осигурят пълна и ефективна защита на ЛГБТИК+ срещу дискриминация, тормоз и насилие, включително чрез укрепване на националните правни рамки, подобряване на механизмите за докладване и гарантиране, че престъпленията от омраза се разследват и преследват подобаващо; призовава освен това Съвета да продължи работата по директивата на ЕС за борба с дискриминацията; настоятелно призовава Комисията да следи отблизо зачитането от страна на държави</w:t>
      </w:r>
      <w:r w:rsidRPr="00B43770">
        <w:t>те членки на ценностите на ЕС и при необходимост да образува производства за установяване на неизпълнение на задължения;</w:t>
      </w:r>
    </w:p>
    <w:p w14:paraId="6E4E4BA0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9.</w:t>
      </w:r>
      <w:r w:rsidRPr="00B43770">
        <w:tab/>
        <w:t>припомня ангажимента на Комисията в нейните политически насоки да засили взаимодействието си с организациите на гражданското общество, които имат експертен опит и играят важна роля в защитата на конкретни обществени въпроси и отстояването на правата на човека; припомня, че е от основно значение организациите на гражданското общество да могат, чрез финансирането от ЕС, да участват в „открит, прозрачен и редовен диалог“ с институциите на ЕС, както е заложено в член 11 от ДЕС, чрез дейности като застъпничеств</w:t>
      </w:r>
      <w:r w:rsidRPr="00B43770">
        <w:t>о, демонстрации или съдебни действия и че те следва да продължат да отговарят на условията за допустимост по съответните програми за финансиране и да разполагат с достатъчно специално заделено финансиране;</w:t>
      </w:r>
    </w:p>
    <w:p w14:paraId="4CB83A3A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10.</w:t>
      </w:r>
      <w:r w:rsidRPr="00B43770">
        <w:tab/>
        <w:t>подчертава, че е важно да се стимулира икономическият растеж в целия Съюз, включително чрез инициативи, които насърчават участието на жените на пазара на труда, предприемачеството и лидерството на жените;</w:t>
      </w:r>
    </w:p>
    <w:p w14:paraId="529E9BB6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11.</w:t>
      </w:r>
      <w:r w:rsidRPr="00B43770">
        <w:tab/>
        <w:t xml:space="preserve">отново изразява загриженост относно взаимовръзката между посегателствата върху принципите на правовата държава, демокрацията и правата на човека и отстъплението от постигнатото в областта на равенството между половете и правата на жените; подчертава, че независимите и добре обезпечени с ресурси </w:t>
      </w:r>
      <w:r w:rsidRPr="00B43770">
        <w:lastRenderedPageBreak/>
        <w:t>организации за правата на жените са незаменими участници в насърчаването на равенството между половете, напредъка в областта на сексуалното и репродуктивното здраве и права и защитата на демокрацията и правата на чо</w:t>
      </w:r>
      <w:r w:rsidRPr="00B43770">
        <w:t>века; подчертава, че в контекста на нарастващото влияние на движенията срещу равенството между половете, определени като движения, които се стремят да подкопаят равенството между половете като основна ценност на демокрацията и свиващото се пространство за гражданското общество, тези организации са изправени пред все по-големи финансови и оперативни предизвикателства; настоятелно призовава Комисията да гарантира, че средства на ЕС не се предоставят на субекти, които допринасят за отстъплението по отношение н</w:t>
      </w:r>
      <w:r w:rsidRPr="00B43770">
        <w:t>а правата на жените, увеличаващите се неравенствата или действия срещу равенството между половете, включително сексуалното и репродуктивното здраве и права и правата на жените на телесна неприкосновеност, автономност и самоопределение; настоятелно призовава Комисията да вземе предвид глобалните промени по отношение на финансирането и да гарантира, че механизмите на ЕС за финансиране продължават да бъдат достъпни, гъвкави и да отговарят на специфичните потребности и изисквания за сигурност на организациите з</w:t>
      </w:r>
      <w:r w:rsidRPr="00B43770">
        <w:t>а защита на правата на жените, и по-специално на тези, които работят във високорискова среда;</w:t>
      </w:r>
    </w:p>
    <w:p w14:paraId="29C86A63" w14:textId="77777777" w:rsidR="00F9352D" w:rsidRPr="00B43770" w:rsidRDefault="004A6212" w:rsidP="00F9352D">
      <w:pPr>
        <w:pStyle w:val="NormalHanging12a"/>
        <w:rPr>
          <w:bCs/>
          <w:iCs/>
        </w:rPr>
      </w:pPr>
      <w:r w:rsidRPr="00B43770">
        <w:t>12.</w:t>
      </w:r>
      <w:r w:rsidRPr="00B43770">
        <w:tab/>
        <w:t>отново заявява, че сексуалното и репродуктивното здраве и права са основни права на човека и тяхната реализация е основен аспект на човешкото достойнство и предпоставка за постигане на равенство между половете; призовава за сериозни европейски усилия за защита на основните ценности на Съюза, като равните права на телесна автономност и достъпа до сексуално и репродуктивно здраве и права, включително безопасен и законен аборт; подчертава необходимостта от увеличаване на бюджетните средства в подкрепа на всео</w:t>
      </w:r>
      <w:r w:rsidRPr="00B43770">
        <w:t>бщото зачитане на сексуалното и репродуктивното здраве и права, включително безопасен и законен аборт, и на достъпа до тях; изразява дълбока загриженост, че жени и момичета в зони на конфликт и военни действия са подлагани на сексуално и основано на пола насилие, например жени и момичета в Украйна в резултат на продължаващата агресивна война на Русия; осъжда тези действия като тежки нарушения на международното хуманитарно право и на международното право в областта на правата на човека; подчертава спешната н</w:t>
      </w:r>
      <w:r w:rsidRPr="00B43770">
        <w:t>еобходимост от всеобхватни услуги за подкрепа на жертвите, например медицинска помощ, услуги в областта на сексуалното и репродуктивното здраве, психологическа и правна подкрепа и социално-икономическа помощ.</w:t>
      </w:r>
    </w:p>
    <w:p w14:paraId="08A62691" w14:textId="77777777" w:rsidR="00F9352D" w:rsidRPr="00B43770" w:rsidRDefault="004A6212" w:rsidP="00F9352D">
      <w:pPr>
        <w:ind w:left="567" w:hanging="567"/>
        <w:rPr>
          <w:rStyle w:val="HideTWBExt"/>
        </w:rPr>
      </w:pPr>
      <w:r w:rsidRPr="00B43770">
        <w:rPr>
          <w:rStyle w:val="HideTWBExt"/>
        </w:rPr>
        <w:t>&lt;/RepeatBlock-Dec&gt;</w:t>
      </w:r>
    </w:p>
    <w:p w14:paraId="692250E8" w14:textId="77777777" w:rsidR="00F9352D" w:rsidRPr="00B43770" w:rsidRDefault="00F9352D" w:rsidP="00F9352D">
      <w:pPr>
        <w:ind w:left="567" w:hanging="567"/>
      </w:pPr>
    </w:p>
    <w:p w14:paraId="6486B204" w14:textId="77777777" w:rsidR="00F9352D" w:rsidRPr="00B43770" w:rsidRDefault="00F9352D" w:rsidP="00F9352D"/>
    <w:p w14:paraId="1E682636" w14:textId="77777777" w:rsidR="00F9352D" w:rsidRPr="00B43770" w:rsidRDefault="00F9352D" w:rsidP="00F9352D">
      <w:pPr>
        <w:sectPr w:rsidR="00F9352D" w:rsidRPr="00B43770" w:rsidSect="00B4377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1C8EA888" w14:textId="77777777" w:rsidR="00F9352D" w:rsidRPr="00B43770" w:rsidRDefault="004A6212" w:rsidP="00F9352D">
      <w:pPr>
        <w:pStyle w:val="PageHeadingNotTOC"/>
      </w:pPr>
      <w:bookmarkStart w:id="0" w:name="FootprintPageAD"/>
      <w:r w:rsidRPr="00B43770">
        <w:lastRenderedPageBreak/>
        <w:t>ПРИЛОЖЕНИЕ ДЕКЛАРАЦИЯ ЗА ИЗТОЧНИЦИТЕ НА ИНФОРМАЦИЯ</w:t>
      </w:r>
    </w:p>
    <w:p w14:paraId="27E424C0" w14:textId="77777777" w:rsidR="00F9352D" w:rsidRPr="00B43770" w:rsidRDefault="004A6212" w:rsidP="00F9352D">
      <w:pPr>
        <w:pStyle w:val="Normal24a"/>
      </w:pPr>
      <w:r w:rsidRPr="00B43770">
        <w:rPr>
          <w:rStyle w:val="HideTWBExt"/>
        </w:rPr>
        <w:t>&lt;FootprintIntro&gt;</w:t>
      </w:r>
      <w:r w:rsidRPr="00B43770">
        <w:t>В рамките на своята изключителна отговорност докладчикът по становище декларира, че в становището не е включена информация, предоставена от представители на интереси, попадащи в обхвата на Междуинституционалното споразумение за задължителен регистър за прозрачност</w:t>
      </w:r>
      <w:r w:rsidRPr="00B43770">
        <w:rPr>
          <w:rStyle w:val="FootnoteReference"/>
        </w:rPr>
        <w:footnoteReference w:id="1"/>
      </w:r>
      <w:r w:rsidRPr="00B43770">
        <w:t>, или от представители на публични органи на трети държави, включително техните дипломатически мисии и посолства, които трябва да бъдат изброени в настоящото приложение съгласно член 8 от приложение I към Правилника за дейността.</w:t>
      </w:r>
      <w:r w:rsidRPr="00B43770">
        <w:rPr>
          <w:rStyle w:val="HideTWBExt"/>
        </w:rPr>
        <w:t>&lt;/FootprintIntro&gt;</w:t>
      </w:r>
    </w:p>
    <w:p w14:paraId="7662AE31" w14:textId="77777777" w:rsidR="00F9352D" w:rsidRPr="00B43770" w:rsidRDefault="00F9352D" w:rsidP="00F9352D"/>
    <w:bookmarkEnd w:id="0"/>
    <w:p w14:paraId="42C182D7" w14:textId="77777777" w:rsidR="00F9352D" w:rsidRPr="00B43770" w:rsidRDefault="00F9352D" w:rsidP="00F9352D">
      <w:pPr>
        <w:pStyle w:val="PageHeadingNotTOC"/>
        <w:jc w:val="left"/>
      </w:pPr>
    </w:p>
    <w:p w14:paraId="14C54175" w14:textId="77777777" w:rsidR="00F9352D" w:rsidRPr="00B43770" w:rsidRDefault="00F9352D" w:rsidP="00F9352D">
      <w:pPr>
        <w:sectPr w:rsidR="00F9352D" w:rsidRPr="00B43770" w:rsidSect="00F9352D">
          <w:pgSz w:w="11894" w:h="15840"/>
          <w:pgMar w:top="1700" w:right="1417" w:bottom="1417" w:left="1417" w:header="720" w:footer="720" w:gutter="0"/>
          <w:cols w:space="720"/>
          <w:noEndnote/>
          <w:docGrid w:linePitch="326"/>
        </w:sectPr>
      </w:pPr>
    </w:p>
    <w:p w14:paraId="6E6CE6B0" w14:textId="77777777" w:rsidR="00F9352D" w:rsidRPr="00B43770" w:rsidRDefault="004A6212" w:rsidP="00F9352D">
      <w:pPr>
        <w:pStyle w:val="PageHeadingNotTOC"/>
      </w:pPr>
      <w:bookmarkStart w:id="1" w:name="ProcPageAD"/>
      <w:r w:rsidRPr="00B43770">
        <w:lastRenderedPageBreak/>
        <w:t>ИНФОРМАЦИЯ ОТНОСНО ПРИЕМАНЕТО В ПОДПОМАГАЩАТА КОМИСИЯ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415CD2" w:rsidRPr="00B43770" w14:paraId="25A03C44" w14:textId="77777777" w:rsidTr="006B17FA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2DAEF30" w14:textId="77777777" w:rsidR="00F9352D" w:rsidRPr="00B43770" w:rsidRDefault="004A6212" w:rsidP="006B17F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B43770">
              <w:rPr>
                <w:b/>
                <w:color w:val="000000"/>
                <w:sz w:val="20"/>
              </w:rPr>
              <w:t>Дата на приемане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416EB05" w14:textId="77777777" w:rsidR="00F9352D" w:rsidRPr="00B43770" w:rsidRDefault="004A6212" w:rsidP="006B17FA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43770">
              <w:rPr>
                <w:color w:val="000000"/>
                <w:sz w:val="20"/>
              </w:rPr>
              <w:t>27.1.2026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E42C57A" w14:textId="77777777" w:rsidR="00F9352D" w:rsidRPr="00B43770" w:rsidRDefault="00F9352D" w:rsidP="006B17FA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29ECF08" w14:textId="77777777" w:rsidR="00F9352D" w:rsidRPr="00B43770" w:rsidRDefault="00F9352D" w:rsidP="006B17FA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1794D89" w14:textId="77777777" w:rsidR="00F9352D" w:rsidRPr="00B43770" w:rsidRDefault="00F9352D" w:rsidP="006B17FA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415CD2" w:rsidRPr="00B43770" w14:paraId="147E4F54" w14:textId="77777777" w:rsidTr="006B17FA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F34B8BA" w14:textId="77777777" w:rsidR="00F9352D" w:rsidRPr="00B43770" w:rsidRDefault="004A6212" w:rsidP="006B17F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B43770">
              <w:rPr>
                <w:b/>
                <w:color w:val="000000"/>
                <w:sz w:val="20"/>
              </w:rPr>
              <w:t>Резултат от окончателното гласуване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49F6323" w14:textId="77777777" w:rsidR="00F9352D" w:rsidRPr="00B43770" w:rsidRDefault="004A6212" w:rsidP="006B17FA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43770">
              <w:rPr>
                <w:color w:val="000000"/>
                <w:sz w:val="20"/>
              </w:rPr>
              <w:t>+:</w:t>
            </w:r>
          </w:p>
          <w:p w14:paraId="21AB3AAD" w14:textId="77777777" w:rsidR="00F9352D" w:rsidRPr="00B43770" w:rsidRDefault="004A6212" w:rsidP="006B17FA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43770">
              <w:rPr>
                <w:color w:val="000000"/>
                <w:sz w:val="20"/>
              </w:rPr>
              <w:t>–:</w:t>
            </w:r>
          </w:p>
          <w:p w14:paraId="40F6D1F2" w14:textId="77777777" w:rsidR="00F9352D" w:rsidRPr="00B43770" w:rsidRDefault="004A6212" w:rsidP="006B17FA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43770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7E0F53F" w14:textId="77777777" w:rsidR="00F9352D" w:rsidRPr="00B43770" w:rsidRDefault="004A6212" w:rsidP="006B17FA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43770">
              <w:rPr>
                <w:color w:val="000000"/>
                <w:sz w:val="20"/>
              </w:rPr>
              <w:t>22</w:t>
            </w:r>
          </w:p>
          <w:p w14:paraId="6C2D64E6" w14:textId="77777777" w:rsidR="00F9352D" w:rsidRPr="00B43770" w:rsidRDefault="004A6212" w:rsidP="006B17FA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43770">
              <w:rPr>
                <w:color w:val="000000"/>
                <w:sz w:val="20"/>
              </w:rPr>
              <w:t>8</w:t>
            </w:r>
          </w:p>
          <w:p w14:paraId="2484C4CA" w14:textId="77777777" w:rsidR="00F9352D" w:rsidRPr="00B43770" w:rsidRDefault="004A6212" w:rsidP="006B17FA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43770">
              <w:rPr>
                <w:color w:val="000000"/>
                <w:sz w:val="20"/>
              </w:rPr>
              <w:t>2</w:t>
            </w:r>
          </w:p>
        </w:tc>
      </w:tr>
    </w:tbl>
    <w:p w14:paraId="4CB60A1A" w14:textId="77777777" w:rsidR="00F9352D" w:rsidRPr="00B43770" w:rsidRDefault="00F9352D" w:rsidP="00F9352D"/>
    <w:bookmarkEnd w:id="1"/>
    <w:p w14:paraId="7EAE774F" w14:textId="77777777" w:rsidR="00F9352D" w:rsidRPr="00B43770" w:rsidRDefault="00F9352D" w:rsidP="00F9352D">
      <w:pPr>
        <w:sectPr w:rsidR="00F9352D" w:rsidRPr="00B43770" w:rsidSect="00F9352D">
          <w:pgSz w:w="11894" w:h="15840"/>
          <w:pgMar w:top="1700" w:right="1417" w:bottom="1417" w:left="1417" w:header="720" w:footer="720" w:gutter="0"/>
          <w:cols w:space="720"/>
          <w:noEndnote/>
          <w:docGrid w:linePitch="326"/>
        </w:sectPr>
      </w:pPr>
    </w:p>
    <w:p w14:paraId="0624192C" w14:textId="77777777" w:rsidR="00F9352D" w:rsidRPr="00B43770" w:rsidRDefault="004A6212" w:rsidP="00F9352D">
      <w:pPr>
        <w:pStyle w:val="PageHeadingNotTOC"/>
      </w:pPr>
      <w:bookmarkStart w:id="2" w:name="RollCallPageAD"/>
      <w:r w:rsidRPr="00B43770">
        <w:lastRenderedPageBreak/>
        <w:t>ПОИМЕННО ОКОНЧАТЕЛНО ГЛАСУВАНЕ В ПОДПОМАГАЩАТА КОМИСИЯ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415CD2" w:rsidRPr="00B43770" w14:paraId="782D70C7" w14:textId="77777777" w:rsidTr="006B17FA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31E6700C" w14:textId="77777777" w:rsidR="00F9352D" w:rsidRPr="00B43770" w:rsidRDefault="004A6212" w:rsidP="006B17FA">
            <w:pPr>
              <w:pStyle w:val="RollCallVotes"/>
            </w:pPr>
            <w:r w:rsidRPr="00B43770">
              <w:t>22</w:t>
            </w:r>
          </w:p>
        </w:tc>
        <w:tc>
          <w:tcPr>
            <w:tcW w:w="7371" w:type="dxa"/>
            <w:shd w:val="pct10" w:color="000000" w:fill="FFFFFF"/>
          </w:tcPr>
          <w:p w14:paraId="706545A3" w14:textId="77777777" w:rsidR="00F9352D" w:rsidRPr="00B43770" w:rsidRDefault="004A6212" w:rsidP="006B17FA">
            <w:pPr>
              <w:pStyle w:val="RollCallSymbols14pt"/>
            </w:pPr>
            <w:r w:rsidRPr="00B43770">
              <w:t>+</w:t>
            </w:r>
          </w:p>
        </w:tc>
      </w:tr>
      <w:tr w:rsidR="00415CD2" w:rsidRPr="00B43770" w14:paraId="060D908E" w14:textId="77777777" w:rsidTr="006B17FA">
        <w:trPr>
          <w:cantSplit/>
        </w:trPr>
        <w:tc>
          <w:tcPr>
            <w:tcW w:w="1701" w:type="dxa"/>
            <w:shd w:val="clear" w:color="auto" w:fill="FFFFFF"/>
          </w:tcPr>
          <w:p w14:paraId="024C7829" w14:textId="77777777" w:rsidR="00F9352D" w:rsidRPr="00B43770" w:rsidRDefault="004A6212" w:rsidP="006B17FA">
            <w:pPr>
              <w:pStyle w:val="RollCallTable"/>
            </w:pPr>
            <w:r w:rsidRPr="00B43770">
              <w:t>PPE</w:t>
            </w:r>
          </w:p>
        </w:tc>
        <w:tc>
          <w:tcPr>
            <w:tcW w:w="7371" w:type="dxa"/>
            <w:shd w:val="clear" w:color="auto" w:fill="FFFFFF"/>
          </w:tcPr>
          <w:p w14:paraId="4AAA65BB" w14:textId="77777777" w:rsidR="00F9352D" w:rsidRPr="00B43770" w:rsidRDefault="004A6212" w:rsidP="006B17FA">
            <w:pPr>
              <w:pStyle w:val="RollCallTable"/>
            </w:pPr>
            <w:r w:rsidRPr="00B43770">
              <w:t>Ewa Kopacz, Verena Mertens, Mirosława Nykiel, Giusi Princi, Maria Walsh</w:t>
            </w:r>
          </w:p>
        </w:tc>
      </w:tr>
      <w:tr w:rsidR="00415CD2" w:rsidRPr="00B43770" w14:paraId="5D49CB4B" w14:textId="77777777" w:rsidTr="006B17FA">
        <w:trPr>
          <w:cantSplit/>
        </w:trPr>
        <w:tc>
          <w:tcPr>
            <w:tcW w:w="1701" w:type="dxa"/>
            <w:shd w:val="clear" w:color="auto" w:fill="FFFFFF"/>
          </w:tcPr>
          <w:p w14:paraId="516F44FE" w14:textId="77777777" w:rsidR="00F9352D" w:rsidRPr="00B43770" w:rsidRDefault="004A6212" w:rsidP="006B17FA">
            <w:pPr>
              <w:pStyle w:val="RollCallTable"/>
            </w:pPr>
            <w:r w:rsidRPr="00B43770">
              <w:t>Renew</w:t>
            </w:r>
          </w:p>
        </w:tc>
        <w:tc>
          <w:tcPr>
            <w:tcW w:w="7371" w:type="dxa"/>
            <w:shd w:val="clear" w:color="auto" w:fill="FFFFFF"/>
          </w:tcPr>
          <w:p w14:paraId="34B6A0F6" w14:textId="77777777" w:rsidR="00F9352D" w:rsidRPr="00B43770" w:rsidRDefault="004A6212" w:rsidP="006B17FA">
            <w:pPr>
              <w:pStyle w:val="RollCallTable"/>
            </w:pPr>
            <w:r w:rsidRPr="00B43770">
              <w:t xml:space="preserve">Abir Al-Sahlani, Raquel García Hermida-Van Der </w:t>
            </w:r>
            <w:r w:rsidRPr="00B43770">
              <w:t>Walle, Lucia Yar, Dainius Žalimas</w:t>
            </w:r>
          </w:p>
        </w:tc>
      </w:tr>
      <w:tr w:rsidR="00415CD2" w:rsidRPr="00B43770" w14:paraId="2909078C" w14:textId="77777777" w:rsidTr="006B17FA">
        <w:trPr>
          <w:cantSplit/>
        </w:trPr>
        <w:tc>
          <w:tcPr>
            <w:tcW w:w="1701" w:type="dxa"/>
            <w:shd w:val="clear" w:color="auto" w:fill="FFFFFF"/>
          </w:tcPr>
          <w:p w14:paraId="7308D27C" w14:textId="77777777" w:rsidR="00F9352D" w:rsidRPr="00B43770" w:rsidRDefault="004A6212" w:rsidP="006B17FA">
            <w:pPr>
              <w:pStyle w:val="RollCallTable"/>
            </w:pPr>
            <w:r w:rsidRPr="00B43770">
              <w:t>S&amp;D</w:t>
            </w:r>
          </w:p>
        </w:tc>
        <w:tc>
          <w:tcPr>
            <w:tcW w:w="7371" w:type="dxa"/>
            <w:shd w:val="clear" w:color="auto" w:fill="FFFFFF"/>
          </w:tcPr>
          <w:p w14:paraId="347FE1DF" w14:textId="77777777" w:rsidR="00F9352D" w:rsidRPr="00B43770" w:rsidRDefault="004A6212" w:rsidP="006B17FA">
            <w:pPr>
              <w:pStyle w:val="RollCallTable"/>
            </w:pPr>
            <w:r w:rsidRPr="00B43770">
              <w:t>Gabriela Firea, Heléne Fritzon, Lina Gálvez, Maria Noichl, Joanna Scheuring-Wielgus, Cecilia Strada, Marko Vešligaj</w:t>
            </w:r>
          </w:p>
        </w:tc>
      </w:tr>
      <w:tr w:rsidR="00415CD2" w:rsidRPr="00B43770" w14:paraId="66226444" w14:textId="77777777" w:rsidTr="006B17FA">
        <w:trPr>
          <w:cantSplit/>
        </w:trPr>
        <w:tc>
          <w:tcPr>
            <w:tcW w:w="1701" w:type="dxa"/>
            <w:shd w:val="clear" w:color="auto" w:fill="FFFFFF"/>
          </w:tcPr>
          <w:p w14:paraId="5A735009" w14:textId="77777777" w:rsidR="00F9352D" w:rsidRPr="00B43770" w:rsidRDefault="004A6212" w:rsidP="006B17FA">
            <w:pPr>
              <w:pStyle w:val="RollCallTable"/>
            </w:pPr>
            <w:r w:rsidRPr="00B43770">
              <w:t>The Left</w:t>
            </w:r>
          </w:p>
        </w:tc>
        <w:tc>
          <w:tcPr>
            <w:tcW w:w="7371" w:type="dxa"/>
            <w:shd w:val="clear" w:color="auto" w:fill="FFFFFF"/>
          </w:tcPr>
          <w:p w14:paraId="14D262BB" w14:textId="77777777" w:rsidR="00F9352D" w:rsidRPr="00B43770" w:rsidRDefault="004A6212" w:rsidP="006B17FA">
            <w:pPr>
              <w:pStyle w:val="RollCallTable"/>
            </w:pPr>
            <w:r w:rsidRPr="00B43770">
              <w:t>Hanna Gedin, Irene Montero, Carolina Morace</w:t>
            </w:r>
          </w:p>
        </w:tc>
      </w:tr>
      <w:tr w:rsidR="00415CD2" w:rsidRPr="00B43770" w14:paraId="37A06246" w14:textId="77777777" w:rsidTr="006B17FA">
        <w:trPr>
          <w:cantSplit/>
        </w:trPr>
        <w:tc>
          <w:tcPr>
            <w:tcW w:w="1701" w:type="dxa"/>
            <w:shd w:val="clear" w:color="auto" w:fill="FFFFFF"/>
          </w:tcPr>
          <w:p w14:paraId="506D77B8" w14:textId="77777777" w:rsidR="00F9352D" w:rsidRPr="00B43770" w:rsidRDefault="004A6212" w:rsidP="006B17FA">
            <w:pPr>
              <w:pStyle w:val="RollCallTable"/>
            </w:pPr>
            <w:r w:rsidRPr="00B43770">
              <w:t>Verts/ALE</w:t>
            </w:r>
          </w:p>
        </w:tc>
        <w:tc>
          <w:tcPr>
            <w:tcW w:w="7371" w:type="dxa"/>
            <w:shd w:val="clear" w:color="auto" w:fill="FFFFFF"/>
          </w:tcPr>
          <w:p w14:paraId="1296A0B8" w14:textId="77777777" w:rsidR="00F9352D" w:rsidRPr="00B43770" w:rsidRDefault="004A6212" w:rsidP="006B17FA">
            <w:pPr>
              <w:pStyle w:val="RollCallTable"/>
            </w:pPr>
            <w:r w:rsidRPr="00B43770">
              <w:t xml:space="preserve">Mélissa Camara, Alexandra </w:t>
            </w:r>
            <w:r w:rsidRPr="00B43770">
              <w:t>Geese, Benedetta Scuderi</w:t>
            </w:r>
          </w:p>
        </w:tc>
      </w:tr>
    </w:tbl>
    <w:p w14:paraId="1EE6F072" w14:textId="77777777" w:rsidR="00F9352D" w:rsidRPr="00B43770" w:rsidRDefault="00F9352D" w:rsidP="00F9352D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415CD2" w:rsidRPr="00B43770" w14:paraId="50C567B7" w14:textId="77777777" w:rsidTr="006B17FA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1CA3172A" w14:textId="77777777" w:rsidR="00F9352D" w:rsidRPr="00B43770" w:rsidRDefault="004A6212" w:rsidP="006B17FA">
            <w:pPr>
              <w:pStyle w:val="RollCallVotes"/>
            </w:pPr>
            <w:r w:rsidRPr="00B43770">
              <w:t>8</w:t>
            </w:r>
          </w:p>
        </w:tc>
        <w:tc>
          <w:tcPr>
            <w:tcW w:w="7371" w:type="dxa"/>
            <w:shd w:val="pct10" w:color="000000" w:fill="FFFFFF"/>
          </w:tcPr>
          <w:p w14:paraId="37BC6041" w14:textId="77777777" w:rsidR="00F9352D" w:rsidRPr="00B43770" w:rsidRDefault="004A6212" w:rsidP="006B17FA">
            <w:pPr>
              <w:pStyle w:val="RollCallSymbols14pt"/>
            </w:pPr>
            <w:r w:rsidRPr="00B43770">
              <w:t>-</w:t>
            </w:r>
          </w:p>
        </w:tc>
      </w:tr>
      <w:tr w:rsidR="00415CD2" w:rsidRPr="00B43770" w14:paraId="5F5D6649" w14:textId="77777777" w:rsidTr="006B17FA">
        <w:trPr>
          <w:cantSplit/>
        </w:trPr>
        <w:tc>
          <w:tcPr>
            <w:tcW w:w="1701" w:type="dxa"/>
            <w:shd w:val="clear" w:color="auto" w:fill="FFFFFF"/>
          </w:tcPr>
          <w:p w14:paraId="4028C9F9" w14:textId="77777777" w:rsidR="00F9352D" w:rsidRPr="00B43770" w:rsidRDefault="004A6212" w:rsidP="006B17FA">
            <w:pPr>
              <w:pStyle w:val="RollCallTable"/>
            </w:pPr>
            <w:r w:rsidRPr="00B43770">
              <w:t>ECR</w:t>
            </w:r>
          </w:p>
        </w:tc>
        <w:tc>
          <w:tcPr>
            <w:tcW w:w="7371" w:type="dxa"/>
            <w:shd w:val="clear" w:color="auto" w:fill="FFFFFF"/>
          </w:tcPr>
          <w:p w14:paraId="77D91DE9" w14:textId="77777777" w:rsidR="00F9352D" w:rsidRPr="00B43770" w:rsidRDefault="004A6212" w:rsidP="006B17FA">
            <w:pPr>
              <w:pStyle w:val="RollCallTable"/>
            </w:pPr>
            <w:r w:rsidRPr="00B43770">
              <w:t>Chiara Gemma, Beatrice Timgren</w:t>
            </w:r>
          </w:p>
        </w:tc>
      </w:tr>
      <w:tr w:rsidR="00415CD2" w:rsidRPr="00B43770" w14:paraId="64F525EB" w14:textId="77777777" w:rsidTr="006B17FA">
        <w:trPr>
          <w:cantSplit/>
        </w:trPr>
        <w:tc>
          <w:tcPr>
            <w:tcW w:w="1701" w:type="dxa"/>
            <w:shd w:val="clear" w:color="auto" w:fill="FFFFFF"/>
          </w:tcPr>
          <w:p w14:paraId="1D29D510" w14:textId="77777777" w:rsidR="00F9352D" w:rsidRPr="00B43770" w:rsidRDefault="004A6212" w:rsidP="006B17FA">
            <w:pPr>
              <w:pStyle w:val="RollCallTable"/>
            </w:pPr>
            <w:r w:rsidRPr="00B43770">
              <w:t>NI</w:t>
            </w:r>
          </w:p>
        </w:tc>
        <w:tc>
          <w:tcPr>
            <w:tcW w:w="7371" w:type="dxa"/>
            <w:shd w:val="clear" w:color="auto" w:fill="FFFFFF"/>
          </w:tcPr>
          <w:p w14:paraId="68DF98C8" w14:textId="77777777" w:rsidR="00F9352D" w:rsidRPr="00B43770" w:rsidRDefault="004A6212" w:rsidP="006B17FA">
            <w:pPr>
              <w:pStyle w:val="RollCallTable"/>
            </w:pPr>
            <w:r w:rsidRPr="00B43770">
              <w:t>Fernand Kartheiser</w:t>
            </w:r>
          </w:p>
        </w:tc>
      </w:tr>
      <w:tr w:rsidR="00415CD2" w:rsidRPr="00B43770" w14:paraId="10F1524C" w14:textId="77777777" w:rsidTr="006B17FA">
        <w:trPr>
          <w:cantSplit/>
        </w:trPr>
        <w:tc>
          <w:tcPr>
            <w:tcW w:w="1701" w:type="dxa"/>
            <w:shd w:val="clear" w:color="auto" w:fill="FFFFFF"/>
          </w:tcPr>
          <w:p w14:paraId="2BBC8C7A" w14:textId="77777777" w:rsidR="00F9352D" w:rsidRPr="00B43770" w:rsidRDefault="004A6212" w:rsidP="006B17FA">
            <w:pPr>
              <w:pStyle w:val="RollCallTable"/>
            </w:pPr>
            <w:r w:rsidRPr="00B43770">
              <w:t>PfE</w:t>
            </w:r>
          </w:p>
        </w:tc>
        <w:tc>
          <w:tcPr>
            <w:tcW w:w="7371" w:type="dxa"/>
            <w:shd w:val="clear" w:color="auto" w:fill="FFFFFF"/>
          </w:tcPr>
          <w:p w14:paraId="7B65F191" w14:textId="77777777" w:rsidR="00F9352D" w:rsidRPr="00B43770" w:rsidRDefault="004A6212" w:rsidP="006B17FA">
            <w:pPr>
              <w:pStyle w:val="RollCallTable"/>
            </w:pPr>
            <w:r w:rsidRPr="00B43770">
              <w:t>Mathilde Androuët, Mireia Borrás Pabón, Elisabeth Dieringer, Margarita de la Pisa Carrión, Anders Vistisen</w:t>
            </w:r>
          </w:p>
        </w:tc>
      </w:tr>
    </w:tbl>
    <w:p w14:paraId="14EEE296" w14:textId="77777777" w:rsidR="00F9352D" w:rsidRPr="00B43770" w:rsidRDefault="00F9352D" w:rsidP="00F9352D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415CD2" w:rsidRPr="00B43770" w14:paraId="2DC91516" w14:textId="77777777" w:rsidTr="006B17FA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2B775814" w14:textId="77777777" w:rsidR="00F9352D" w:rsidRPr="00B43770" w:rsidRDefault="004A6212" w:rsidP="006B17FA">
            <w:pPr>
              <w:pStyle w:val="RollCallVotes"/>
            </w:pPr>
            <w:r w:rsidRPr="00B43770">
              <w:t>2</w:t>
            </w:r>
          </w:p>
        </w:tc>
        <w:tc>
          <w:tcPr>
            <w:tcW w:w="7371" w:type="dxa"/>
            <w:shd w:val="pct10" w:color="000000" w:fill="FFFFFF"/>
          </w:tcPr>
          <w:p w14:paraId="1C7ACAF7" w14:textId="77777777" w:rsidR="00F9352D" w:rsidRPr="00B43770" w:rsidRDefault="004A6212" w:rsidP="006B17FA">
            <w:pPr>
              <w:pStyle w:val="RollCallSymbols14pt"/>
            </w:pPr>
            <w:r w:rsidRPr="00B43770">
              <w:t>0</w:t>
            </w:r>
          </w:p>
        </w:tc>
      </w:tr>
      <w:tr w:rsidR="00415CD2" w:rsidRPr="00B43770" w14:paraId="6415E67B" w14:textId="77777777" w:rsidTr="006B17FA">
        <w:trPr>
          <w:cantSplit/>
        </w:trPr>
        <w:tc>
          <w:tcPr>
            <w:tcW w:w="1701" w:type="dxa"/>
            <w:shd w:val="clear" w:color="auto" w:fill="FFFFFF"/>
          </w:tcPr>
          <w:p w14:paraId="163ABF0B" w14:textId="77777777" w:rsidR="00F9352D" w:rsidRPr="00B43770" w:rsidRDefault="004A6212" w:rsidP="006B17FA">
            <w:pPr>
              <w:pStyle w:val="RollCallTable"/>
            </w:pPr>
            <w:r w:rsidRPr="00B43770">
              <w:t>NI</w:t>
            </w:r>
          </w:p>
        </w:tc>
        <w:tc>
          <w:tcPr>
            <w:tcW w:w="7371" w:type="dxa"/>
            <w:shd w:val="clear" w:color="auto" w:fill="FFFFFF"/>
          </w:tcPr>
          <w:p w14:paraId="66BFB880" w14:textId="77777777" w:rsidR="00F9352D" w:rsidRPr="00B43770" w:rsidRDefault="004A6212" w:rsidP="006B17FA">
            <w:pPr>
              <w:pStyle w:val="RollCallTable"/>
            </w:pPr>
            <w:r w:rsidRPr="00B43770">
              <w:t>Judita Laššáková</w:t>
            </w:r>
          </w:p>
        </w:tc>
      </w:tr>
      <w:tr w:rsidR="00415CD2" w:rsidRPr="00B43770" w14:paraId="6C0545ED" w14:textId="77777777" w:rsidTr="006B17FA">
        <w:trPr>
          <w:cantSplit/>
        </w:trPr>
        <w:tc>
          <w:tcPr>
            <w:tcW w:w="1701" w:type="dxa"/>
            <w:shd w:val="clear" w:color="auto" w:fill="FFFFFF"/>
          </w:tcPr>
          <w:p w14:paraId="3737F0AC" w14:textId="77777777" w:rsidR="00F9352D" w:rsidRPr="00B43770" w:rsidRDefault="004A6212" w:rsidP="006B17FA">
            <w:pPr>
              <w:pStyle w:val="RollCallTable"/>
            </w:pPr>
            <w:r w:rsidRPr="00B43770">
              <w:t>PPE</w:t>
            </w:r>
          </w:p>
        </w:tc>
        <w:tc>
          <w:tcPr>
            <w:tcW w:w="7371" w:type="dxa"/>
            <w:shd w:val="clear" w:color="auto" w:fill="FFFFFF"/>
          </w:tcPr>
          <w:p w14:paraId="7818D737" w14:textId="77777777" w:rsidR="00F9352D" w:rsidRPr="00B43770" w:rsidRDefault="004A6212" w:rsidP="006B17FA">
            <w:pPr>
              <w:pStyle w:val="RollCallTable"/>
            </w:pPr>
            <w:r w:rsidRPr="00B43770">
              <w:t xml:space="preserve">Rosa Estaràs </w:t>
            </w:r>
            <w:r w:rsidRPr="00B43770">
              <w:t>Ferragut</w:t>
            </w:r>
          </w:p>
        </w:tc>
      </w:tr>
    </w:tbl>
    <w:p w14:paraId="21587323" w14:textId="77777777" w:rsidR="00F9352D" w:rsidRPr="00B43770" w:rsidRDefault="00F9352D" w:rsidP="00F9352D">
      <w:pPr>
        <w:pStyle w:val="Normal12a"/>
      </w:pPr>
    </w:p>
    <w:p w14:paraId="5945B7B1" w14:textId="77777777" w:rsidR="00F9352D" w:rsidRPr="00B43770" w:rsidRDefault="004A6212" w:rsidP="00F9352D">
      <w:r w:rsidRPr="00B43770">
        <w:t>Легенда на използваните знаци:</w:t>
      </w:r>
    </w:p>
    <w:p w14:paraId="62A4E10F" w14:textId="77777777" w:rsidR="00F9352D" w:rsidRPr="00B43770" w:rsidRDefault="004A6212" w:rsidP="00F9352D">
      <w:pPr>
        <w:pStyle w:val="RollCallTabs"/>
      </w:pPr>
      <w:r w:rsidRPr="00B43770">
        <w:t>+</w:t>
      </w:r>
      <w:r w:rsidRPr="00B43770">
        <w:tab/>
        <w:t>:</w:t>
      </w:r>
      <w:r w:rsidRPr="00B43770">
        <w:tab/>
        <w:t>„за“</w:t>
      </w:r>
    </w:p>
    <w:p w14:paraId="6A5ADB88" w14:textId="77777777" w:rsidR="00F9352D" w:rsidRPr="00B43770" w:rsidRDefault="004A6212" w:rsidP="00F9352D">
      <w:pPr>
        <w:pStyle w:val="RollCallTabs"/>
      </w:pPr>
      <w:r w:rsidRPr="00B43770">
        <w:t>-</w:t>
      </w:r>
      <w:r w:rsidRPr="00B43770">
        <w:tab/>
        <w:t>:</w:t>
      </w:r>
      <w:r w:rsidRPr="00B43770">
        <w:tab/>
        <w:t>„против“</w:t>
      </w:r>
    </w:p>
    <w:p w14:paraId="3AA4DD81" w14:textId="77777777" w:rsidR="00F9352D" w:rsidRPr="00B43770" w:rsidRDefault="004A6212" w:rsidP="00F9352D">
      <w:pPr>
        <w:pStyle w:val="RollCallTabs"/>
      </w:pPr>
      <w:r w:rsidRPr="00B43770">
        <w:t>0</w:t>
      </w:r>
      <w:r w:rsidRPr="00B43770">
        <w:tab/>
        <w:t>:</w:t>
      </w:r>
      <w:r w:rsidRPr="00B43770">
        <w:tab/>
        <w:t>„въздържал се“</w:t>
      </w:r>
    </w:p>
    <w:p w14:paraId="61D26352" w14:textId="77777777" w:rsidR="00F9352D" w:rsidRPr="00B43770" w:rsidRDefault="00F9352D" w:rsidP="00F9352D"/>
    <w:bookmarkEnd w:id="2"/>
    <w:p w14:paraId="5F39293D" w14:textId="77777777" w:rsidR="00F9352D" w:rsidRPr="00B43770" w:rsidRDefault="00F9352D" w:rsidP="00F9352D"/>
    <w:p w14:paraId="2EEFEAF1" w14:textId="77777777" w:rsidR="009F7C5A" w:rsidRPr="00B43770" w:rsidRDefault="009F7C5A" w:rsidP="00F9352D">
      <w:pPr>
        <w:pStyle w:val="CoverReference"/>
      </w:pPr>
    </w:p>
    <w:sectPr w:rsidR="009F7C5A" w:rsidRPr="00B43770" w:rsidSect="00E342EF">
      <w:headerReference w:type="even" r:id="rId15"/>
      <w:headerReference w:type="default" r:id="rId16"/>
      <w:headerReference w:type="first" r:id="rId17"/>
      <w:footerReference w:type="first" r:id="rId18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7ADFE" w14:textId="77777777" w:rsidR="004A6212" w:rsidRPr="00B43770" w:rsidRDefault="004A6212">
      <w:r w:rsidRPr="00B43770">
        <w:separator/>
      </w:r>
    </w:p>
  </w:endnote>
  <w:endnote w:type="continuationSeparator" w:id="0">
    <w:p w14:paraId="54C3407D" w14:textId="77777777" w:rsidR="004A6212" w:rsidRPr="00B43770" w:rsidRDefault="004A6212">
      <w:r w:rsidRPr="00B4377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-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4C64F" w14:textId="77777777" w:rsidR="00B43770" w:rsidRPr="00B43770" w:rsidRDefault="00B43770" w:rsidP="00B43770">
    <w:pPr>
      <w:pStyle w:val="EPFooter"/>
    </w:pPr>
    <w:r w:rsidRPr="00B43770">
      <w:t>PE</w:t>
    </w:r>
    <w:r w:rsidRPr="00B43770">
      <w:rPr>
        <w:rStyle w:val="HideTWBExt"/>
      </w:rPr>
      <w:t>&lt;NoPE&gt;</w:t>
    </w:r>
    <w:r w:rsidRPr="00B43770">
      <w:t>779.730</w:t>
    </w:r>
    <w:r w:rsidRPr="00B43770">
      <w:rPr>
        <w:rStyle w:val="HideTWBExt"/>
      </w:rPr>
      <w:t>&lt;/NoPE&gt;&lt;Version&gt;</w:t>
    </w:r>
    <w:r w:rsidRPr="00B43770">
      <w:t>v03-00</w:t>
    </w:r>
    <w:r w:rsidRPr="00B43770">
      <w:rPr>
        <w:rStyle w:val="HideTWBExt"/>
      </w:rPr>
      <w:t>&lt;/Version&gt;</w:t>
    </w:r>
    <w:r w:rsidRPr="00B43770">
      <w:tab/>
    </w:r>
    <w:r w:rsidRPr="00B43770">
      <w:fldChar w:fldCharType="begin"/>
    </w:r>
    <w:r w:rsidRPr="00B43770">
      <w:instrText xml:space="preserve"> PAGE  \* MERGEFORMAT </w:instrText>
    </w:r>
    <w:r w:rsidRPr="00B43770">
      <w:fldChar w:fldCharType="separate"/>
    </w:r>
    <w:r w:rsidRPr="00B43770">
      <w:rPr>
        <w:noProof/>
      </w:rPr>
      <w:t>2</w:t>
    </w:r>
    <w:r w:rsidRPr="00B43770">
      <w:fldChar w:fldCharType="end"/>
    </w:r>
    <w:r w:rsidRPr="00B43770">
      <w:t>/</w:t>
    </w:r>
    <w:fldSimple w:instr=" NUMPAGES  \* MERGEFORMAT ">
      <w:r w:rsidRPr="00B43770">
        <w:rPr>
          <w:noProof/>
        </w:rPr>
        <w:t>10</w:t>
      </w:r>
    </w:fldSimple>
    <w:r w:rsidRPr="00B43770">
      <w:tab/>
    </w:r>
    <w:r w:rsidRPr="00B43770">
      <w:rPr>
        <w:rStyle w:val="HideTWBExt"/>
      </w:rPr>
      <w:t>&lt;PathFdR&gt;</w:t>
    </w:r>
    <w:r w:rsidRPr="00B43770">
      <w:t>AD\1336107BG.docx</w:t>
    </w:r>
    <w:r w:rsidRPr="00B43770">
      <w:rPr>
        <w:rStyle w:val="HideTWBExt"/>
      </w:rPr>
      <w:t>&lt;/PathFdR&gt;</w:t>
    </w:r>
  </w:p>
  <w:p w14:paraId="17540C84" w14:textId="381F17C5" w:rsidR="00F9352D" w:rsidRPr="00B43770" w:rsidRDefault="00B43770" w:rsidP="00B43770">
    <w:pPr>
      <w:pStyle w:val="EPFooter2"/>
    </w:pPr>
    <w:r w:rsidRPr="00B43770">
      <w:t>BG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99E71" w14:textId="77777777" w:rsidR="00B43770" w:rsidRPr="00B43770" w:rsidRDefault="00B43770" w:rsidP="00B43770">
    <w:pPr>
      <w:pStyle w:val="EPFooter"/>
    </w:pPr>
    <w:r w:rsidRPr="00B43770">
      <w:rPr>
        <w:rStyle w:val="HideTWBExt"/>
      </w:rPr>
      <w:t>&lt;PathFdR&gt;</w:t>
    </w:r>
    <w:r w:rsidRPr="00B43770">
      <w:t>AD\1336107BG.docx</w:t>
    </w:r>
    <w:r w:rsidRPr="00B43770">
      <w:rPr>
        <w:rStyle w:val="HideTWBExt"/>
      </w:rPr>
      <w:t>&lt;/PathFdR&gt;</w:t>
    </w:r>
    <w:r w:rsidRPr="00B43770">
      <w:tab/>
    </w:r>
    <w:r w:rsidRPr="00B43770">
      <w:fldChar w:fldCharType="begin"/>
    </w:r>
    <w:r w:rsidRPr="00B43770">
      <w:instrText xml:space="preserve"> PAGE  \* MERGEFORMAT </w:instrText>
    </w:r>
    <w:r w:rsidRPr="00B43770">
      <w:fldChar w:fldCharType="separate"/>
    </w:r>
    <w:r w:rsidRPr="00B43770">
      <w:rPr>
        <w:noProof/>
      </w:rPr>
      <w:t>7</w:t>
    </w:r>
    <w:r w:rsidRPr="00B43770">
      <w:fldChar w:fldCharType="end"/>
    </w:r>
    <w:r w:rsidRPr="00B43770">
      <w:t>/</w:t>
    </w:r>
    <w:fldSimple w:instr=" NUMPAGES  \* MERGEFORMAT ">
      <w:r w:rsidRPr="00B43770">
        <w:rPr>
          <w:noProof/>
        </w:rPr>
        <w:t>10</w:t>
      </w:r>
    </w:fldSimple>
    <w:r w:rsidRPr="00B43770">
      <w:tab/>
      <w:t>PE</w:t>
    </w:r>
    <w:r w:rsidRPr="00B43770">
      <w:rPr>
        <w:rStyle w:val="HideTWBExt"/>
      </w:rPr>
      <w:t>&lt;NoPE&gt;</w:t>
    </w:r>
    <w:r w:rsidRPr="00B43770">
      <w:t>779.730</w:t>
    </w:r>
    <w:r w:rsidRPr="00B43770">
      <w:rPr>
        <w:rStyle w:val="HideTWBExt"/>
      </w:rPr>
      <w:t>&lt;/NoPE&gt;&lt;Version&gt;</w:t>
    </w:r>
    <w:r w:rsidRPr="00B43770">
      <w:t>v03-00</w:t>
    </w:r>
    <w:r w:rsidRPr="00B43770">
      <w:rPr>
        <w:rStyle w:val="HideTWBExt"/>
      </w:rPr>
      <w:t>&lt;/Version&gt;</w:t>
    </w:r>
  </w:p>
  <w:p w14:paraId="4A74FAD0" w14:textId="66585EEB" w:rsidR="00F9352D" w:rsidRPr="00B43770" w:rsidRDefault="00B43770" w:rsidP="00B43770">
    <w:pPr>
      <w:pStyle w:val="EPFooter2"/>
    </w:pPr>
    <w:r w:rsidRPr="00B43770">
      <w:tab/>
    </w:r>
    <w:r w:rsidRPr="00B43770">
      <w:tab/>
      <w:t>BG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526D7" w14:textId="77777777" w:rsidR="00B43770" w:rsidRPr="00B43770" w:rsidRDefault="00B43770" w:rsidP="00B43770">
    <w:pPr>
      <w:pStyle w:val="EPFooter"/>
    </w:pPr>
    <w:r w:rsidRPr="00B43770">
      <w:rPr>
        <w:rStyle w:val="HideTWBExt"/>
      </w:rPr>
      <w:t>&lt;PathFdR&gt;</w:t>
    </w:r>
    <w:r w:rsidRPr="00B43770">
      <w:t>AD\1336107BG.docx</w:t>
    </w:r>
    <w:r w:rsidRPr="00B43770">
      <w:rPr>
        <w:rStyle w:val="HideTWBExt"/>
      </w:rPr>
      <w:t>&lt;/PathFdR&gt;</w:t>
    </w:r>
    <w:r w:rsidRPr="00B43770">
      <w:tab/>
    </w:r>
    <w:r w:rsidRPr="00B43770">
      <w:tab/>
      <w:t>PE</w:t>
    </w:r>
    <w:r w:rsidRPr="00B43770">
      <w:rPr>
        <w:rStyle w:val="HideTWBExt"/>
      </w:rPr>
      <w:t>&lt;NoPE&gt;</w:t>
    </w:r>
    <w:r w:rsidRPr="00B43770">
      <w:t>779.730</w:t>
    </w:r>
    <w:r w:rsidRPr="00B43770">
      <w:rPr>
        <w:rStyle w:val="HideTWBExt"/>
      </w:rPr>
      <w:t>&lt;/NoPE&gt;&lt;Version&gt;</w:t>
    </w:r>
    <w:r w:rsidRPr="00B43770">
      <w:t>v03-00</w:t>
    </w:r>
    <w:r w:rsidRPr="00B43770">
      <w:rPr>
        <w:rStyle w:val="HideTWBExt"/>
      </w:rPr>
      <w:t>&lt;/Version&gt;</w:t>
    </w:r>
  </w:p>
  <w:p w14:paraId="28AD305C" w14:textId="0B29C5F1" w:rsidR="00F9352D" w:rsidRPr="00B43770" w:rsidRDefault="00B43770" w:rsidP="00B43770">
    <w:pPr>
      <w:pStyle w:val="EPFooter2"/>
    </w:pPr>
    <w:r w:rsidRPr="00B43770">
      <w:t>BG</w:t>
    </w:r>
    <w:r w:rsidRPr="00B43770">
      <w:tab/>
    </w:r>
    <w:r w:rsidRPr="00B43770">
      <w:rPr>
        <w:b w:val="0"/>
        <w:i/>
        <w:color w:val="C0C0C0"/>
        <w:sz w:val="22"/>
      </w:rPr>
      <w:t>Единство в многообразието</w:t>
    </w:r>
    <w:r w:rsidRPr="00B43770">
      <w:tab/>
      <w:t>BG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34041" w14:textId="77777777" w:rsidR="00DF592C" w:rsidRPr="00B43770" w:rsidRDefault="004A6212" w:rsidP="00DF592C">
    <w:pPr>
      <w:pStyle w:val="EPFooter"/>
    </w:pPr>
    <w:r w:rsidRPr="00B43770">
      <w:rPr>
        <w:rStyle w:val="HideTWBExt"/>
      </w:rPr>
      <w:t>&lt;PathFdR&gt;</w:t>
    </w:r>
    <w:r w:rsidRPr="00B43770">
      <w:t>AD\1336107EN.docx</w:t>
    </w:r>
    <w:r w:rsidRPr="00B43770">
      <w:rPr>
        <w:rStyle w:val="HideTWBExt"/>
      </w:rPr>
      <w:t>&lt;/PathFdR&gt;</w:t>
    </w:r>
    <w:r w:rsidRPr="00B43770">
      <w:tab/>
    </w:r>
    <w:r w:rsidRPr="00B43770">
      <w:tab/>
      <w:t>PE</w:t>
    </w:r>
    <w:r w:rsidRPr="00B43770">
      <w:rPr>
        <w:rStyle w:val="HideTWBExt"/>
      </w:rPr>
      <w:t>&lt;NoPE&gt;</w:t>
    </w:r>
    <w:r w:rsidRPr="00B43770">
      <w:t>779.730</w:t>
    </w:r>
    <w:r w:rsidRPr="00B43770">
      <w:rPr>
        <w:rStyle w:val="HideTWBExt"/>
      </w:rPr>
      <w:t>&lt;/NoPE&gt;&lt;Version&gt;</w:t>
    </w:r>
    <w:r w:rsidRPr="00B43770">
      <w:t>v03-00</w:t>
    </w:r>
    <w:r w:rsidRPr="00B43770">
      <w:rPr>
        <w:rStyle w:val="HideTWBExt"/>
      </w:rPr>
      <w:t>&lt;/Version&gt;</w:t>
    </w:r>
  </w:p>
  <w:p w14:paraId="76C4F412" w14:textId="77777777" w:rsidR="00C75378" w:rsidRPr="00B43770" w:rsidRDefault="004A6212" w:rsidP="00DF592C">
    <w:pPr>
      <w:pStyle w:val="EPFooter2"/>
    </w:pPr>
    <w:r w:rsidRPr="00B43770">
      <w:t>EN</w:t>
    </w:r>
    <w:r w:rsidRPr="00B43770">
      <w:tab/>
    </w:r>
    <w:r w:rsidRPr="00B43770">
      <w:rPr>
        <w:b w:val="0"/>
        <w:i/>
        <w:color w:val="C0C0C0"/>
        <w:sz w:val="22"/>
      </w:rPr>
      <w:t>United in diversity</w:t>
    </w:r>
    <w:r w:rsidRPr="00B43770">
      <w:tab/>
      <w:t>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ACED0" w14:textId="77777777" w:rsidR="00D852C1" w:rsidRPr="00B43770" w:rsidRDefault="004A6212">
      <w:r w:rsidRPr="00B43770">
        <w:separator/>
      </w:r>
    </w:p>
  </w:footnote>
  <w:footnote w:type="continuationSeparator" w:id="0">
    <w:p w14:paraId="0F47C39F" w14:textId="77777777" w:rsidR="00D852C1" w:rsidRPr="00B43770" w:rsidRDefault="004A6212">
      <w:r w:rsidRPr="00B43770">
        <w:continuationSeparator/>
      </w:r>
    </w:p>
  </w:footnote>
  <w:footnote w:id="1">
    <w:p w14:paraId="4F1D0829" w14:textId="15417405" w:rsidR="00F9352D" w:rsidRPr="00B43770" w:rsidRDefault="004A6212" w:rsidP="00F9352D">
      <w:pPr>
        <w:pStyle w:val="FootnoteText"/>
      </w:pPr>
      <w:r w:rsidRPr="00B43770">
        <w:rPr>
          <w:rStyle w:val="FootnoteReference"/>
        </w:rPr>
        <w:footnoteRef/>
      </w:r>
      <w:r w:rsidRPr="00B43770">
        <w:t xml:space="preserve"> Междуинституционално споразумение от 20 май 2021 г. между Европейския парламент, Съвета на Европейския съюз и Европейската комисия за задължителен регистър за прозрачност (ОВ L 207, 11.6.2021 г., стр. 1, ELI: </w:t>
      </w:r>
      <w:hyperlink r:id="rId1" w:history="1">
        <w:r w:rsidRPr="00B43770">
          <w:rPr>
            <w:rStyle w:val="Hyperlink"/>
            <w:sz w:val="24"/>
          </w:rPr>
          <w:t>http://data.europa.eu/eli/agree_interinstit/2021/611/oj</w:t>
        </w:r>
      </w:hyperlink>
      <w:r w:rsidRPr="00B43770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BF320" w14:textId="77777777" w:rsidR="004A6212" w:rsidRDefault="004A62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27DBE" w14:textId="77777777" w:rsidR="004A6212" w:rsidRDefault="004A62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345D2" w14:textId="77777777" w:rsidR="004A6212" w:rsidRDefault="004A621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BC2E6" w14:textId="77777777" w:rsidR="00DF592C" w:rsidRPr="00DF592C" w:rsidRDefault="00DF592C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BE743" w14:textId="77777777" w:rsidR="00DF592C" w:rsidRPr="00DF592C" w:rsidRDefault="00DF592C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DF1DD" w14:textId="77777777" w:rsidR="00DF592C" w:rsidRPr="00DF592C" w:rsidRDefault="00DF59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2DE5403"/>
    <w:multiLevelType w:val="multilevel"/>
    <w:tmpl w:val="9B605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ED0BDE"/>
    <w:multiLevelType w:val="hybridMultilevel"/>
    <w:tmpl w:val="ED42BA76"/>
    <w:lvl w:ilvl="0" w:tplc="7A5E048A">
      <w:start w:val="1"/>
      <w:numFmt w:val="upperLetter"/>
      <w:lvlText w:val="%1."/>
      <w:lvlJc w:val="left"/>
      <w:pPr>
        <w:ind w:left="720" w:hanging="360"/>
      </w:pPr>
    </w:lvl>
    <w:lvl w:ilvl="1" w:tplc="93A22C72">
      <w:start w:val="1"/>
      <w:numFmt w:val="lowerLetter"/>
      <w:lvlText w:val="%2."/>
      <w:lvlJc w:val="left"/>
      <w:pPr>
        <w:ind w:left="1440" w:hanging="360"/>
      </w:pPr>
    </w:lvl>
    <w:lvl w:ilvl="2" w:tplc="6D142C20">
      <w:start w:val="1"/>
      <w:numFmt w:val="lowerRoman"/>
      <w:lvlText w:val="%3."/>
      <w:lvlJc w:val="right"/>
      <w:pPr>
        <w:ind w:left="2160" w:hanging="180"/>
      </w:pPr>
    </w:lvl>
    <w:lvl w:ilvl="3" w:tplc="2766E41E">
      <w:start w:val="1"/>
      <w:numFmt w:val="decimal"/>
      <w:lvlText w:val="%4."/>
      <w:lvlJc w:val="left"/>
      <w:pPr>
        <w:ind w:left="2880" w:hanging="360"/>
      </w:pPr>
    </w:lvl>
    <w:lvl w:ilvl="4" w:tplc="E6F62E9C">
      <w:start w:val="1"/>
      <w:numFmt w:val="lowerLetter"/>
      <w:lvlText w:val="%5."/>
      <w:lvlJc w:val="left"/>
      <w:pPr>
        <w:ind w:left="3600" w:hanging="360"/>
      </w:pPr>
    </w:lvl>
    <w:lvl w:ilvl="5" w:tplc="9AD8D53C">
      <w:start w:val="1"/>
      <w:numFmt w:val="lowerRoman"/>
      <w:lvlText w:val="%6."/>
      <w:lvlJc w:val="right"/>
      <w:pPr>
        <w:ind w:left="4320" w:hanging="180"/>
      </w:pPr>
    </w:lvl>
    <w:lvl w:ilvl="6" w:tplc="05D4D7AA">
      <w:start w:val="1"/>
      <w:numFmt w:val="decimal"/>
      <w:lvlText w:val="%7."/>
      <w:lvlJc w:val="left"/>
      <w:pPr>
        <w:ind w:left="5040" w:hanging="360"/>
      </w:pPr>
    </w:lvl>
    <w:lvl w:ilvl="7" w:tplc="31B6A1AC">
      <w:start w:val="1"/>
      <w:numFmt w:val="lowerLetter"/>
      <w:lvlText w:val="%8."/>
      <w:lvlJc w:val="left"/>
      <w:pPr>
        <w:ind w:left="5760" w:hanging="360"/>
      </w:pPr>
    </w:lvl>
    <w:lvl w:ilvl="8" w:tplc="C51C681E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928792">
    <w:abstractNumId w:val="9"/>
  </w:num>
  <w:num w:numId="2" w16cid:durableId="1703357930">
    <w:abstractNumId w:val="9"/>
  </w:num>
  <w:num w:numId="3" w16cid:durableId="184908520">
    <w:abstractNumId w:val="7"/>
  </w:num>
  <w:num w:numId="4" w16cid:durableId="732704666">
    <w:abstractNumId w:val="7"/>
  </w:num>
  <w:num w:numId="5" w16cid:durableId="1800680317">
    <w:abstractNumId w:val="6"/>
  </w:num>
  <w:num w:numId="6" w16cid:durableId="1166088255">
    <w:abstractNumId w:val="6"/>
  </w:num>
  <w:num w:numId="7" w16cid:durableId="708528808">
    <w:abstractNumId w:val="5"/>
  </w:num>
  <w:num w:numId="8" w16cid:durableId="1234197486">
    <w:abstractNumId w:val="5"/>
  </w:num>
  <w:num w:numId="9" w16cid:durableId="1337145658">
    <w:abstractNumId w:val="4"/>
  </w:num>
  <w:num w:numId="10" w16cid:durableId="1422601724">
    <w:abstractNumId w:val="4"/>
  </w:num>
  <w:num w:numId="11" w16cid:durableId="4866193">
    <w:abstractNumId w:val="8"/>
  </w:num>
  <w:num w:numId="12" w16cid:durableId="1418330532">
    <w:abstractNumId w:val="8"/>
  </w:num>
  <w:num w:numId="13" w16cid:durableId="1264875958">
    <w:abstractNumId w:val="3"/>
  </w:num>
  <w:num w:numId="14" w16cid:durableId="1669596750">
    <w:abstractNumId w:val="3"/>
  </w:num>
  <w:num w:numId="15" w16cid:durableId="1598052285">
    <w:abstractNumId w:val="2"/>
  </w:num>
  <w:num w:numId="16" w16cid:durableId="1129666983">
    <w:abstractNumId w:val="2"/>
  </w:num>
  <w:num w:numId="17" w16cid:durableId="38941529">
    <w:abstractNumId w:val="1"/>
  </w:num>
  <w:num w:numId="18" w16cid:durableId="1536117421">
    <w:abstractNumId w:val="1"/>
  </w:num>
  <w:num w:numId="19" w16cid:durableId="556205477">
    <w:abstractNumId w:val="0"/>
  </w:num>
  <w:num w:numId="20" w16cid:durableId="1900509979">
    <w:abstractNumId w:val="0"/>
  </w:num>
  <w:num w:numId="21" w16cid:durableId="1043752607">
    <w:abstractNumId w:val="9"/>
  </w:num>
  <w:num w:numId="22" w16cid:durableId="95640287">
    <w:abstractNumId w:val="7"/>
  </w:num>
  <w:num w:numId="23" w16cid:durableId="1076513050">
    <w:abstractNumId w:val="6"/>
  </w:num>
  <w:num w:numId="24" w16cid:durableId="794713317">
    <w:abstractNumId w:val="5"/>
  </w:num>
  <w:num w:numId="25" w16cid:durableId="281231162">
    <w:abstractNumId w:val="4"/>
  </w:num>
  <w:num w:numId="26" w16cid:durableId="1902279896">
    <w:abstractNumId w:val="8"/>
  </w:num>
  <w:num w:numId="27" w16cid:durableId="422649394">
    <w:abstractNumId w:val="3"/>
  </w:num>
  <w:num w:numId="28" w16cid:durableId="1291588655">
    <w:abstractNumId w:val="2"/>
  </w:num>
  <w:num w:numId="29" w16cid:durableId="465203317">
    <w:abstractNumId w:val="1"/>
  </w:num>
  <w:num w:numId="30" w16cid:durableId="2008317902">
    <w:abstractNumId w:val="0"/>
  </w:num>
  <w:num w:numId="31" w16cid:durableId="1791049372">
    <w:abstractNumId w:val="9"/>
  </w:num>
  <w:num w:numId="32" w16cid:durableId="1277323235">
    <w:abstractNumId w:val="7"/>
  </w:num>
  <w:num w:numId="33" w16cid:durableId="785537434">
    <w:abstractNumId w:val="6"/>
  </w:num>
  <w:num w:numId="34" w16cid:durableId="1560288038">
    <w:abstractNumId w:val="5"/>
  </w:num>
  <w:num w:numId="35" w16cid:durableId="210264513">
    <w:abstractNumId w:val="4"/>
  </w:num>
  <w:num w:numId="36" w16cid:durableId="1434327990">
    <w:abstractNumId w:val="8"/>
  </w:num>
  <w:num w:numId="37" w16cid:durableId="1341199436">
    <w:abstractNumId w:val="3"/>
  </w:num>
  <w:num w:numId="38" w16cid:durableId="1481462761">
    <w:abstractNumId w:val="2"/>
  </w:num>
  <w:num w:numId="39" w16cid:durableId="1969775517">
    <w:abstractNumId w:val="1"/>
  </w:num>
  <w:num w:numId="40" w16cid:durableId="1266695612">
    <w:abstractNumId w:val="0"/>
  </w:num>
  <w:num w:numId="41" w16cid:durableId="16889474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758408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HORMFMNU" w:val=" 2"/>
    <w:docVar w:name="COMKEY" w:val="FEMM"/>
    <w:docVar w:name="CONTRIBUTIONMNU" w:val=" 2"/>
    <w:docVar w:name="CopyToNetwork" w:val="-1"/>
    <w:docVar w:name="DOCDT" w:val="24/11/2025"/>
    <w:docVar w:name="FONCTIONMNU" w:val=" 1"/>
    <w:docVar w:name="LastAMInserted" w:val="18"/>
    <w:docVar w:name="LastEditedSection" w:val=" 1"/>
    <w:docVar w:name="NumberAMInserted" w:val="18"/>
    <w:docVar w:name="OTHERHEADINGMNU" w:val=" 2"/>
    <w:docVar w:name="PARTCOUNT" w:val="0"/>
    <w:docVar w:name="strDocTypeID" w:val="PA_NonLegDec"/>
    <w:docVar w:name="strSubDir" w:val="1336"/>
    <w:docVar w:name="TITLEMNU" w:val=" 3"/>
    <w:docVar w:name="TXTAUTHOR" w:val="Raquel García Hermida_x001e_Van Der Walle"/>
    <w:docVar w:name="TXTLANGUE" w:val="EN"/>
    <w:docVar w:name="TXTLANGUEMIN" w:val="en"/>
    <w:docVar w:name="TXTNRPE" w:val="779.730"/>
    <w:docVar w:name="TXTNRPROC" w:val="2025/2145"/>
    <w:docVar w:name="TXTPEorAP" w:val="PE"/>
    <w:docVar w:name="TXTROUTE" w:val="AD\1336107EN.docx"/>
    <w:docVar w:name="TXTTITLE" w:val="European Commission: Consolidated annual accounts of the European Union - Financial year 2024 - Commission"/>
    <w:docVar w:name="TXTVERSION" w:val="03-00"/>
  </w:docVars>
  <w:rsids>
    <w:rsidRoot w:val="00D852C1"/>
    <w:rsid w:val="000048A8"/>
    <w:rsid w:val="00007A18"/>
    <w:rsid w:val="0004034F"/>
    <w:rsid w:val="00062634"/>
    <w:rsid w:val="00066D15"/>
    <w:rsid w:val="00076145"/>
    <w:rsid w:val="000A05CA"/>
    <w:rsid w:val="000B6C4B"/>
    <w:rsid w:val="000D001F"/>
    <w:rsid w:val="000D099F"/>
    <w:rsid w:val="000E6813"/>
    <w:rsid w:val="000E7460"/>
    <w:rsid w:val="000F07FE"/>
    <w:rsid w:val="00115823"/>
    <w:rsid w:val="001275F4"/>
    <w:rsid w:val="001316DA"/>
    <w:rsid w:val="0015613C"/>
    <w:rsid w:val="001A02AE"/>
    <w:rsid w:val="001A455F"/>
    <w:rsid w:val="001A58B0"/>
    <w:rsid w:val="001F2766"/>
    <w:rsid w:val="001F6ED8"/>
    <w:rsid w:val="00212D35"/>
    <w:rsid w:val="00235FD1"/>
    <w:rsid w:val="00237EAC"/>
    <w:rsid w:val="00245C7F"/>
    <w:rsid w:val="00271180"/>
    <w:rsid w:val="002A321A"/>
    <w:rsid w:val="002A4AC9"/>
    <w:rsid w:val="002B2892"/>
    <w:rsid w:val="002C0EE6"/>
    <w:rsid w:val="002C34AE"/>
    <w:rsid w:val="002E2F2E"/>
    <w:rsid w:val="00307C14"/>
    <w:rsid w:val="00313903"/>
    <w:rsid w:val="0031443D"/>
    <w:rsid w:val="003707A7"/>
    <w:rsid w:val="00385BAB"/>
    <w:rsid w:val="0039003E"/>
    <w:rsid w:val="00396FA9"/>
    <w:rsid w:val="003B72FC"/>
    <w:rsid w:val="003D61DD"/>
    <w:rsid w:val="003D684B"/>
    <w:rsid w:val="003E06CF"/>
    <w:rsid w:val="003E35FB"/>
    <w:rsid w:val="003F3B83"/>
    <w:rsid w:val="00407185"/>
    <w:rsid w:val="00415CD2"/>
    <w:rsid w:val="00425AB9"/>
    <w:rsid w:val="00431E30"/>
    <w:rsid w:val="00436099"/>
    <w:rsid w:val="004808BF"/>
    <w:rsid w:val="004867F4"/>
    <w:rsid w:val="00487232"/>
    <w:rsid w:val="00495CA4"/>
    <w:rsid w:val="004A34E6"/>
    <w:rsid w:val="004A6212"/>
    <w:rsid w:val="004B0D27"/>
    <w:rsid w:val="004C28FB"/>
    <w:rsid w:val="004D1282"/>
    <w:rsid w:val="004D2539"/>
    <w:rsid w:val="004E54DC"/>
    <w:rsid w:val="004F48ED"/>
    <w:rsid w:val="00514664"/>
    <w:rsid w:val="00532331"/>
    <w:rsid w:val="00544E2C"/>
    <w:rsid w:val="0055017A"/>
    <w:rsid w:val="00556722"/>
    <w:rsid w:val="00565852"/>
    <w:rsid w:val="00577018"/>
    <w:rsid w:val="005779E7"/>
    <w:rsid w:val="005D0786"/>
    <w:rsid w:val="005E3670"/>
    <w:rsid w:val="00600DC9"/>
    <w:rsid w:val="006065B5"/>
    <w:rsid w:val="00643F39"/>
    <w:rsid w:val="00663340"/>
    <w:rsid w:val="0066728C"/>
    <w:rsid w:val="006819E0"/>
    <w:rsid w:val="00697BB9"/>
    <w:rsid w:val="006B17FA"/>
    <w:rsid w:val="006F5586"/>
    <w:rsid w:val="006F7599"/>
    <w:rsid w:val="0071319E"/>
    <w:rsid w:val="00722749"/>
    <w:rsid w:val="00772D52"/>
    <w:rsid w:val="00793A95"/>
    <w:rsid w:val="00797D14"/>
    <w:rsid w:val="007E665D"/>
    <w:rsid w:val="00806587"/>
    <w:rsid w:val="00817280"/>
    <w:rsid w:val="00827A94"/>
    <w:rsid w:val="00857726"/>
    <w:rsid w:val="008818A9"/>
    <w:rsid w:val="008C6240"/>
    <w:rsid w:val="008E7494"/>
    <w:rsid w:val="008F36CD"/>
    <w:rsid w:val="008F7002"/>
    <w:rsid w:val="0090495E"/>
    <w:rsid w:val="009263E0"/>
    <w:rsid w:val="00952DEC"/>
    <w:rsid w:val="0095301E"/>
    <w:rsid w:val="0095497D"/>
    <w:rsid w:val="0096679F"/>
    <w:rsid w:val="009669A8"/>
    <w:rsid w:val="00967C5B"/>
    <w:rsid w:val="00972FD8"/>
    <w:rsid w:val="00977F76"/>
    <w:rsid w:val="0098140C"/>
    <w:rsid w:val="009A33F4"/>
    <w:rsid w:val="009A403C"/>
    <w:rsid w:val="009B5265"/>
    <w:rsid w:val="009F7C5A"/>
    <w:rsid w:val="00A2041C"/>
    <w:rsid w:val="00A24FB1"/>
    <w:rsid w:val="00A35CBB"/>
    <w:rsid w:val="00A44AC3"/>
    <w:rsid w:val="00A61DF7"/>
    <w:rsid w:val="00A722B1"/>
    <w:rsid w:val="00A8267E"/>
    <w:rsid w:val="00A93570"/>
    <w:rsid w:val="00A9617A"/>
    <w:rsid w:val="00AA1A2C"/>
    <w:rsid w:val="00AA223C"/>
    <w:rsid w:val="00AC5C0F"/>
    <w:rsid w:val="00AF1087"/>
    <w:rsid w:val="00AF1117"/>
    <w:rsid w:val="00AF77DA"/>
    <w:rsid w:val="00B107A4"/>
    <w:rsid w:val="00B1441B"/>
    <w:rsid w:val="00B362F7"/>
    <w:rsid w:val="00B43770"/>
    <w:rsid w:val="00B677B7"/>
    <w:rsid w:val="00B939B2"/>
    <w:rsid w:val="00BB2AC1"/>
    <w:rsid w:val="00BE693C"/>
    <w:rsid w:val="00BF1218"/>
    <w:rsid w:val="00C002B1"/>
    <w:rsid w:val="00C04938"/>
    <w:rsid w:val="00C04A1B"/>
    <w:rsid w:val="00C175C0"/>
    <w:rsid w:val="00C47E30"/>
    <w:rsid w:val="00C54AEF"/>
    <w:rsid w:val="00C54F53"/>
    <w:rsid w:val="00C75378"/>
    <w:rsid w:val="00C85D0F"/>
    <w:rsid w:val="00CA0D01"/>
    <w:rsid w:val="00CD4E22"/>
    <w:rsid w:val="00CE10D6"/>
    <w:rsid w:val="00CF7076"/>
    <w:rsid w:val="00D36953"/>
    <w:rsid w:val="00D41244"/>
    <w:rsid w:val="00D438D0"/>
    <w:rsid w:val="00D44697"/>
    <w:rsid w:val="00D47632"/>
    <w:rsid w:val="00D625A2"/>
    <w:rsid w:val="00D71751"/>
    <w:rsid w:val="00D759AA"/>
    <w:rsid w:val="00D852C1"/>
    <w:rsid w:val="00DA7632"/>
    <w:rsid w:val="00DB4D61"/>
    <w:rsid w:val="00DF592C"/>
    <w:rsid w:val="00E01434"/>
    <w:rsid w:val="00E0465B"/>
    <w:rsid w:val="00E05697"/>
    <w:rsid w:val="00E12435"/>
    <w:rsid w:val="00E3428B"/>
    <w:rsid w:val="00E342EF"/>
    <w:rsid w:val="00E3462E"/>
    <w:rsid w:val="00E354E5"/>
    <w:rsid w:val="00E41C50"/>
    <w:rsid w:val="00E51639"/>
    <w:rsid w:val="00E729C7"/>
    <w:rsid w:val="00E83B40"/>
    <w:rsid w:val="00E9601C"/>
    <w:rsid w:val="00EA78B3"/>
    <w:rsid w:val="00EB19AA"/>
    <w:rsid w:val="00EC2C85"/>
    <w:rsid w:val="00F032A1"/>
    <w:rsid w:val="00F036E0"/>
    <w:rsid w:val="00F129D0"/>
    <w:rsid w:val="00F46E44"/>
    <w:rsid w:val="00F611FC"/>
    <w:rsid w:val="00F61E8C"/>
    <w:rsid w:val="00F707AB"/>
    <w:rsid w:val="00F83AC7"/>
    <w:rsid w:val="00F9352D"/>
    <w:rsid w:val="00F96D53"/>
    <w:rsid w:val="00FB459D"/>
    <w:rsid w:val="00FF00D4"/>
    <w:rsid w:val="00FF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EEE1F1"/>
  <w15:chartTrackingRefBased/>
  <w15:docId w15:val="{9A1D01FA-5936-4523-A35E-11A6B974A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62634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sid w:val="00DA7632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rsid w:val="00DA7632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rsid w:val="00DA7632"/>
    <w:pPr>
      <w:spacing w:after="240"/>
    </w:pPr>
  </w:style>
  <w:style w:type="paragraph" w:styleId="TOC1">
    <w:name w:val="toc 1"/>
    <w:basedOn w:val="Normal12a"/>
    <w:next w:val="Normal12a"/>
    <w:autoRedefine/>
    <w:semiHidden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sid w:val="00DA7632"/>
    <w:rPr>
      <w:rFonts w:ascii="Arial" w:hAnsi="Arial"/>
      <w:vanish/>
      <w:color w:val="808080"/>
      <w:sz w:val="20"/>
    </w:rPr>
  </w:style>
  <w:style w:type="paragraph" w:customStyle="1" w:styleId="PageHeadingNotTOC">
    <w:name w:val="PageHeadingNotTOC"/>
    <w:basedOn w:val="Normal"/>
    <w:rsid w:val="00DA7632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EPName">
    <w:name w:val="EPName"/>
    <w:basedOn w:val="Normal"/>
    <w:rsid w:val="00DA7632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DA7632"/>
    <w:pPr>
      <w:spacing w:after="480"/>
      <w:ind w:left="1417"/>
    </w:pPr>
  </w:style>
  <w:style w:type="paragraph" w:customStyle="1" w:styleId="CoverNormal">
    <w:name w:val="CoverNormal"/>
    <w:basedOn w:val="Normal"/>
    <w:rsid w:val="00DA7632"/>
    <w:pPr>
      <w:ind w:left="1418"/>
    </w:pPr>
  </w:style>
  <w:style w:type="paragraph" w:styleId="Header">
    <w:name w:val="header"/>
    <w:basedOn w:val="Normal"/>
    <w:link w:val="HeaderChar"/>
    <w:semiHidden/>
    <w:rsid w:val="00FF158E"/>
    <w:pPr>
      <w:tabs>
        <w:tab w:val="center" w:pos="4513"/>
        <w:tab w:val="right" w:pos="9026"/>
      </w:tabs>
    </w:pPr>
  </w:style>
  <w:style w:type="paragraph" w:customStyle="1" w:styleId="CoverReference">
    <w:name w:val="CoverReference"/>
    <w:basedOn w:val="Normal"/>
    <w:rsid w:val="00DA7632"/>
    <w:pPr>
      <w:spacing w:before="108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rsid w:val="00DA7632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CoverDate">
    <w:name w:val="CoverDate"/>
    <w:basedOn w:val="Normal"/>
    <w:rsid w:val="00DA7632"/>
    <w:pPr>
      <w:spacing w:before="240" w:after="1200"/>
    </w:pPr>
  </w:style>
  <w:style w:type="paragraph" w:customStyle="1" w:styleId="NormalHanging12a">
    <w:name w:val="NormalHanging12a"/>
    <w:basedOn w:val="Normal"/>
    <w:link w:val="NormalHanging12aChar"/>
    <w:rsid w:val="00DA7632"/>
    <w:pPr>
      <w:spacing w:after="240"/>
      <w:ind w:left="567" w:hanging="567"/>
    </w:pPr>
  </w:style>
  <w:style w:type="paragraph" w:customStyle="1" w:styleId="Subheading">
    <w:name w:val="Subheading"/>
    <w:basedOn w:val="Normal"/>
    <w:rsid w:val="00DA7632"/>
    <w:pPr>
      <w:spacing w:before="480" w:after="240"/>
    </w:pPr>
    <w:rPr>
      <w:b/>
      <w:i/>
      <w:szCs w:val="24"/>
    </w:rPr>
  </w:style>
  <w:style w:type="table" w:styleId="TableGrid">
    <w:name w:val="Table Grid"/>
    <w:basedOn w:val="TableNormal"/>
    <w:rsid w:val="00E960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DA7632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DA7632"/>
    <w:pPr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DA7632"/>
    <w:pPr>
      <w:pBdr>
        <w:bottom w:val="single" w:sz="4" w:space="1" w:color="auto"/>
      </w:pBdr>
      <w:spacing w:after="240"/>
      <w:jc w:val="center"/>
    </w:pPr>
    <w:rPr>
      <w:rFonts w:ascii="Arial" w:hAnsi="Arial"/>
      <w:sz w:val="16"/>
      <w:szCs w:val="16"/>
    </w:rPr>
  </w:style>
  <w:style w:type="paragraph" w:customStyle="1" w:styleId="EPTerm">
    <w:name w:val="EPTerm"/>
    <w:basedOn w:val="Normal"/>
    <w:next w:val="Normal"/>
    <w:rsid w:val="00DA7632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DA7632"/>
    <w:pPr>
      <w:jc w:val="right"/>
    </w:pPr>
  </w:style>
  <w:style w:type="paragraph" w:customStyle="1" w:styleId="EPFooter">
    <w:name w:val="EPFooter"/>
    <w:basedOn w:val="Normal"/>
    <w:rsid w:val="00DA763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FF158E"/>
    <w:rPr>
      <w:sz w:val="24"/>
    </w:rPr>
  </w:style>
  <w:style w:type="paragraph" w:styleId="ListParagraph">
    <w:name w:val="List Paragraph"/>
    <w:basedOn w:val="Normal"/>
    <w:uiPriority w:val="34"/>
    <w:qFormat/>
    <w:rsid w:val="00BF1218"/>
    <w:pPr>
      <w:widowControl/>
      <w:ind w:left="720"/>
      <w:contextualSpacing/>
      <w:jc w:val="both"/>
    </w:pPr>
    <w:rPr>
      <w:rFonts w:eastAsiaTheme="minorHAnsi"/>
      <w:kern w:val="2"/>
      <w:szCs w:val="24"/>
      <w:lang w:eastAsia="en-US"/>
      <w14:ligatures w14:val="standardContextual"/>
    </w:rPr>
  </w:style>
  <w:style w:type="paragraph" w:styleId="Footer">
    <w:name w:val="footer"/>
    <w:basedOn w:val="Normal"/>
    <w:link w:val="FooterChar"/>
    <w:semiHidden/>
    <w:rsid w:val="00BF12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BF1218"/>
    <w:rPr>
      <w:sz w:val="24"/>
    </w:rPr>
  </w:style>
  <w:style w:type="paragraph" w:styleId="Revision">
    <w:name w:val="Revision"/>
    <w:hidden/>
    <w:uiPriority w:val="99"/>
    <w:semiHidden/>
    <w:rsid w:val="00CD4E22"/>
    <w:rPr>
      <w:sz w:val="24"/>
    </w:rPr>
  </w:style>
  <w:style w:type="character" w:customStyle="1" w:styleId="NormalHanging12aChar">
    <w:name w:val="NormalHanging12a Char"/>
    <w:basedOn w:val="DefaultParagraphFont"/>
    <w:link w:val="NormalHanging12a"/>
    <w:rsid w:val="00436099"/>
    <w:rPr>
      <w:sz w:val="24"/>
    </w:rPr>
  </w:style>
  <w:style w:type="paragraph" w:customStyle="1" w:styleId="Normal24a">
    <w:name w:val="Normal24a"/>
    <w:basedOn w:val="Normal"/>
    <w:rsid w:val="00C04A1B"/>
    <w:pPr>
      <w:spacing w:after="480"/>
    </w:pPr>
    <w:rPr>
      <w:szCs w:val="24"/>
    </w:rPr>
  </w:style>
  <w:style w:type="paragraph" w:customStyle="1" w:styleId="NormalBoldCenter">
    <w:name w:val="NormalBoldCenter"/>
    <w:basedOn w:val="Normal"/>
    <w:rsid w:val="00C04A1B"/>
    <w:pPr>
      <w:jc w:val="center"/>
    </w:pPr>
    <w:rPr>
      <w:b/>
      <w:szCs w:val="24"/>
    </w:rPr>
  </w:style>
  <w:style w:type="paragraph" w:customStyle="1" w:styleId="Footprint12b">
    <w:name w:val="Footprint12b"/>
    <w:basedOn w:val="Normal"/>
    <w:rsid w:val="00C04A1B"/>
    <w:pPr>
      <w:spacing w:before="240"/>
    </w:pPr>
    <w:rPr>
      <w:szCs w:val="24"/>
    </w:rPr>
  </w:style>
  <w:style w:type="paragraph" w:customStyle="1" w:styleId="NormalSingle">
    <w:name w:val="NormalSingle"/>
    <w:basedOn w:val="Normal"/>
    <w:qFormat/>
    <w:rsid w:val="00C04A1B"/>
    <w:rPr>
      <w:szCs w:val="24"/>
    </w:rPr>
  </w:style>
  <w:style w:type="paragraph" w:styleId="FootnoteText">
    <w:name w:val="footnote text"/>
    <w:basedOn w:val="Normal"/>
    <w:link w:val="FootnoteTextChar"/>
    <w:rsid w:val="00C04A1B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C04A1B"/>
  </w:style>
  <w:style w:type="character" w:styleId="FootnoteReference">
    <w:name w:val="footnote reference"/>
    <w:basedOn w:val="DefaultParagraphFont"/>
    <w:rsid w:val="00C04A1B"/>
    <w:rPr>
      <w:vertAlign w:val="superscript"/>
    </w:rPr>
  </w:style>
  <w:style w:type="character" w:styleId="Hyperlink">
    <w:name w:val="Hyperlink"/>
    <w:basedOn w:val="DefaultParagraphFont"/>
    <w:rsid w:val="00C04A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4A1B"/>
    <w:rPr>
      <w:color w:val="605E5C"/>
      <w:shd w:val="clear" w:color="auto" w:fill="E1DFDD"/>
    </w:rPr>
  </w:style>
  <w:style w:type="paragraph" w:customStyle="1" w:styleId="RollCallSymbols14pt">
    <w:name w:val="RollCallSymbols14pt"/>
    <w:basedOn w:val="Normal"/>
    <w:rsid w:val="00793A95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s">
    <w:name w:val="RollCallTabs"/>
    <w:basedOn w:val="Normal"/>
    <w:qFormat/>
    <w:rsid w:val="00793A95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Votes">
    <w:name w:val="RollCallVotes"/>
    <w:basedOn w:val="Normal"/>
    <w:rsid w:val="00793A95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le">
    <w:name w:val="RollCallTable"/>
    <w:basedOn w:val="Normal"/>
    <w:rsid w:val="00793A95"/>
    <w:pPr>
      <w:spacing w:before="120" w:after="120"/>
    </w:pPr>
    <w:rPr>
      <w:snapToGrid w:val="0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ata.europa.eu/eli/agree_interinstit/2021/611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3D884-645E-4BAB-A5C2-D45E498D2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2458</Words>
  <Characters>14753</Characters>
  <Application>Microsoft Office Word</Application>
  <DocSecurity>0</DocSecurity>
  <Lines>307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PA_NonLegDec</vt:lpstr>
    </vt:vector>
  </TitlesOfParts>
  <Company/>
  <LinksUpToDate>false</LinksUpToDate>
  <CharactersWithSpaces>17122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PA_NonLegDec</dc:title>
  <dc:creator>European Parliament</dc:creator>
  <cp:lastModifiedBy>European Parliament</cp:lastModifiedBy>
  <cp:revision>2</cp:revision>
  <cp:lastPrinted>2004-10-28T10:33:00Z</cp:lastPrinted>
  <dcterms:created xsi:type="dcterms:W3CDTF">2026-02-10T20:01:00Z</dcterms:created>
  <dcterms:modified xsi:type="dcterms:W3CDTF">2026-02-10T20:01:00Z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BG</vt:lpwstr>
  </property>
  <property fmtid="{D5CDD505-2E9C-101B-9397-08002B2CF9AE}" pid="3" name="&lt;FdR&gt;">
    <vt:lpwstr>1336107</vt:lpwstr>
  </property>
  <property fmtid="{D5CDD505-2E9C-101B-9397-08002B2CF9AE}" pid="4" name="&lt;Model&gt;">
    <vt:lpwstr>PA_NonLegDec</vt:lpwstr>
  </property>
  <property fmtid="{D5CDD505-2E9C-101B-9397-08002B2CF9AE}" pid="5" name="&lt;ModelCod&gt;">
    <vt:lpwstr>\\eiciBRUpr1\pdocep$\DocEP\DOCS\General\PA\PA_NonLeg\PA_NonLegDec.dotx(08/11/2024 09:44:10)</vt:lpwstr>
  </property>
  <property fmtid="{D5CDD505-2E9C-101B-9397-08002B2CF9AE}" pid="6" name="&lt;ModelTra&gt;">
    <vt:lpwstr>\\eiciBRUpr1\pdocep$\DocEP\TRANSFIL\EN\PA_NonLegDec.EN(21/01/2025 14:39:00)</vt:lpwstr>
  </property>
  <property fmtid="{D5CDD505-2E9C-101B-9397-08002B2CF9AE}" pid="7" name="&lt;Type&gt;">
    <vt:lpwstr>AD</vt:lpwstr>
  </property>
  <property fmtid="{D5CDD505-2E9C-101B-9397-08002B2CF9AE}" pid="8" name="Created with">
    <vt:lpwstr>10.2.0 Build [20251001]</vt:lpwstr>
  </property>
  <property fmtid="{D5CDD505-2E9C-101B-9397-08002B2CF9AE}" pid="9" name="FooterPath">
    <vt:lpwstr>AD\1336107BG.docx</vt:lpwstr>
  </property>
  <property fmtid="{D5CDD505-2E9C-101B-9397-08002B2CF9AE}" pid="10" name="LastEdited with">
    <vt:lpwstr>10.2.1 Build [20260110]</vt:lpwstr>
  </property>
  <property fmtid="{D5CDD505-2E9C-101B-9397-08002B2CF9AE}" pid="11" name="PE number">
    <vt:lpwstr>779.730</vt:lpwstr>
  </property>
  <property fmtid="{D5CDD505-2E9C-101B-9397-08002B2CF9AE}" pid="12" name="SDLStudio">
    <vt:lpwstr/>
  </property>
  <property fmtid="{D5CDD505-2E9C-101B-9397-08002B2CF9AE}" pid="13" name="SendToEpades">
    <vt:lpwstr>OK - 2026/01/28 19:54</vt:lpwstr>
  </property>
  <property fmtid="{D5CDD505-2E9C-101B-9397-08002B2CF9AE}" pid="14" name="Bookout">
    <vt:lpwstr>OK - 2026/02/10 21:01</vt:lpwstr>
  </property>
</Properties>
</file>