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F3A86" w14:paraId="152F647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C60C6A" w14:textId="77777777" w:rsidR="004F48ED" w:rsidRPr="007F76EA" w:rsidRDefault="00970A1F" w:rsidP="00C85D0F">
            <w:pPr>
              <w:pStyle w:val="EPName"/>
            </w:pPr>
            <w:r>
              <w:t>Europski parlament</w:t>
            </w:r>
          </w:p>
          <w:p w14:paraId="0AD70FA9" w14:textId="77777777" w:rsidR="004F48ED" w:rsidRPr="007F76EA" w:rsidRDefault="00970A1F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7806F01" w14:textId="77777777" w:rsidR="004F48ED" w:rsidRPr="007F76EA" w:rsidRDefault="00970A1F" w:rsidP="00C85D0F">
            <w:pPr>
              <w:pStyle w:val="EPLogo"/>
            </w:pPr>
            <w:r w:rsidRPr="007F76EA">
              <w:rPr>
                <w:noProof/>
                <w:lang w:eastAsia="ja-JP"/>
              </w:rPr>
              <w:drawing>
                <wp:inline distT="0" distB="0" distL="0" distR="0" wp14:anchorId="5E103723" wp14:editId="2F2035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2CE5E4" w14:textId="77777777" w:rsidR="00E9601C" w:rsidRPr="007F76EA" w:rsidRDefault="00E9601C" w:rsidP="00E9601C">
      <w:pPr>
        <w:pStyle w:val="LineTop"/>
      </w:pPr>
    </w:p>
    <w:p w14:paraId="137C476E" w14:textId="77777777" w:rsidR="00E9601C" w:rsidRPr="007F76EA" w:rsidRDefault="00970A1F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Odbor za prava žena i rodnu ravnopravnost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21CCF425" w14:textId="77777777" w:rsidR="00E9601C" w:rsidRPr="007F76EA" w:rsidRDefault="00E9601C" w:rsidP="00E9601C">
      <w:pPr>
        <w:pStyle w:val="LineBottom"/>
      </w:pPr>
    </w:p>
    <w:p w14:paraId="4EBEF739" w14:textId="77777777" w:rsidR="004E54DC" w:rsidRPr="007F76EA" w:rsidRDefault="00970A1F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2025/2145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0F1F2000" w14:textId="77777777" w:rsidR="002E2F2E" w:rsidRPr="007F76EA" w:rsidRDefault="00970A1F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{28/01/2026}</w:t>
      </w:r>
      <w:r>
        <w:t>28.1.2026</w:t>
      </w:r>
      <w:r>
        <w:rPr>
          <w:rStyle w:val="HideTWBExt"/>
        </w:rPr>
        <w:t>&lt;/Date&gt;</w:t>
      </w:r>
    </w:p>
    <w:p w14:paraId="381B4EC2" w14:textId="77777777" w:rsidR="002E2F2E" w:rsidRPr="007F76EA" w:rsidRDefault="00970A1F">
      <w:pPr>
        <w:pStyle w:val="CoverDocType24a"/>
      </w:pPr>
      <w:r>
        <w:rPr>
          <w:rStyle w:val="HideTWBExt"/>
          <w:b w:val="0"/>
        </w:rPr>
        <w:t>&lt;TitreType&gt;</w:t>
      </w:r>
      <w:r>
        <w:t>MIŠLJENJE</w:t>
      </w:r>
      <w:r>
        <w:rPr>
          <w:rStyle w:val="HideTWBExt"/>
          <w:b w:val="0"/>
        </w:rPr>
        <w:t>&lt;/TitreType&gt;</w:t>
      </w:r>
    </w:p>
    <w:p w14:paraId="0AA92925" w14:textId="77777777" w:rsidR="002E2F2E" w:rsidRPr="007F76EA" w:rsidRDefault="00970A1F">
      <w:pPr>
        <w:pStyle w:val="CoverNormal24a"/>
      </w:pPr>
      <w:r>
        <w:rPr>
          <w:rStyle w:val="HideTWBExt"/>
        </w:rPr>
        <w:t>&lt;CommissionResp&gt;</w:t>
      </w:r>
      <w:r>
        <w:t>Odbora za prava žena i rodnu ravnopravnost</w:t>
      </w:r>
      <w:r>
        <w:rPr>
          <w:rStyle w:val="HideTWBExt"/>
        </w:rPr>
        <w:t>&lt;/CommissionResp&gt;</w:t>
      </w:r>
    </w:p>
    <w:p w14:paraId="169C1A8E" w14:textId="77777777" w:rsidR="002E2F2E" w:rsidRPr="007F76EA" w:rsidRDefault="00970A1F" w:rsidP="0095497D">
      <w:pPr>
        <w:pStyle w:val="CoverNormal24a"/>
      </w:pPr>
      <w:r>
        <w:rPr>
          <w:rStyle w:val="HideTWBExt"/>
        </w:rPr>
        <w:t>&lt;CommissionInt&gt;</w:t>
      </w:r>
      <w:r>
        <w:t>upućeno Odboru za proračunski nadzor</w:t>
      </w:r>
      <w:r>
        <w:rPr>
          <w:rStyle w:val="HideTWBExt"/>
        </w:rPr>
        <w:t>&lt;/CommissionInt&gt;</w:t>
      </w:r>
    </w:p>
    <w:p w14:paraId="7DB37035" w14:textId="77777777" w:rsidR="002E2F2E" w:rsidRPr="007F76EA" w:rsidRDefault="00970A1F" w:rsidP="00952DEC">
      <w:pPr>
        <w:pStyle w:val="CoverNormal"/>
      </w:pPr>
      <w:r>
        <w:rPr>
          <w:rStyle w:val="HideTWBExt"/>
        </w:rPr>
        <w:t>&lt;Titre&gt;</w:t>
      </w:r>
      <w:r>
        <w:t>o razrješnici za izvršenje općeg proračuna Europske unije za financijsku godinu 2024., dio III. – Komisija</w:t>
      </w:r>
      <w:r>
        <w:rPr>
          <w:rStyle w:val="HideTWBExt"/>
        </w:rPr>
        <w:t>&lt;/Titre&gt;</w:t>
      </w:r>
    </w:p>
    <w:p w14:paraId="67E48B0D" w14:textId="77777777" w:rsidR="002E2F2E" w:rsidRPr="007F76EA" w:rsidRDefault="00970A1F">
      <w:pPr>
        <w:pStyle w:val="CoverNormal24a"/>
      </w:pPr>
      <w:r>
        <w:rPr>
          <w:rStyle w:val="HideTWBExt"/>
        </w:rPr>
        <w:t>&lt;DocRef&gt;</w:t>
      </w:r>
      <w:r>
        <w:t>(2025/2145(DEC))</w:t>
      </w:r>
      <w:r>
        <w:rPr>
          <w:rStyle w:val="HideTWBExt"/>
        </w:rPr>
        <w:t>&lt;/DocRef&gt;</w:t>
      </w:r>
    </w:p>
    <w:p w14:paraId="45B75DD8" w14:textId="77777777" w:rsidR="002E2F2E" w:rsidRPr="007F76EA" w:rsidRDefault="00970A1F">
      <w:pPr>
        <w:pStyle w:val="CoverNormal24a"/>
      </w:pPr>
      <w:r>
        <w:t xml:space="preserve">Izvjestiteljica za mišljenje: </w:t>
      </w:r>
      <w:r>
        <w:rPr>
          <w:rStyle w:val="HideTWBExt"/>
        </w:rPr>
        <w:t>&lt;Depute&gt;</w:t>
      </w:r>
      <w:r>
        <w:t>Raquel García Hermida</w:t>
      </w:r>
      <w:r>
        <w:noBreakHyphen/>
        <w:t>Van Der Walle</w:t>
      </w:r>
      <w:r>
        <w:rPr>
          <w:rStyle w:val="HideTWBExt"/>
        </w:rPr>
        <w:t>&lt;/Depute&gt;</w:t>
      </w:r>
    </w:p>
    <w:p w14:paraId="2698056E" w14:textId="77777777" w:rsidR="00CD4E22" w:rsidRPr="007F76EA" w:rsidRDefault="00CD4E22" w:rsidP="00977F76">
      <w:pPr>
        <w:pStyle w:val="CoverNormal"/>
      </w:pPr>
    </w:p>
    <w:p w14:paraId="31151E42" w14:textId="77777777" w:rsidR="002E2F2E" w:rsidRPr="007F76EA" w:rsidRDefault="00970A1F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1236A6E4" w14:textId="77777777" w:rsidR="003E06CF" w:rsidRPr="007F76EA" w:rsidRDefault="00970A1F" w:rsidP="003E06CF">
      <w:pPr>
        <w:pStyle w:val="PageHeadingNotTOC"/>
      </w:pPr>
      <w:r>
        <w:br w:type="page"/>
      </w:r>
      <w:r>
        <w:lastRenderedPageBreak/>
        <w:t>MIŠLJENJE</w:t>
      </w:r>
    </w:p>
    <w:p w14:paraId="55AD354B" w14:textId="77777777" w:rsidR="000048A8" w:rsidRPr="007F76EA" w:rsidRDefault="00970A1F" w:rsidP="003E06CF">
      <w:pPr>
        <w:pStyle w:val="Normal12a"/>
      </w:pPr>
      <w:r>
        <w:t>Odbor za prava žena i rodnu ravnopravnost poziva Odbor za proračunski nadzor da kao nadležni odbor u prijedlog rezolucije koji će usvojiti uvrsti sljedeće:</w:t>
      </w:r>
      <w:r>
        <w:rPr>
          <w:rStyle w:val="HideTWBExt"/>
        </w:rPr>
        <w:t>&lt;RepeatBlock-Dec&gt;</w:t>
      </w:r>
    </w:p>
    <w:p w14:paraId="70E26E7C" w14:textId="77777777" w:rsidR="007F76EA" w:rsidRPr="007F76EA" w:rsidRDefault="00970A1F" w:rsidP="007F76EA">
      <w:pPr>
        <w:pStyle w:val="NormalHanging12a"/>
      </w:pPr>
      <w:r>
        <w:t>A.</w:t>
      </w:r>
      <w:r>
        <w:tab/>
        <w:t>budući da je rodna ravnopravnost temeljna vrijednost Unije, utvrđena u članku 2. Ugovora o Europskoj uniji; budući da Unija, u skladu s člankom 8. UFEU-a, teži promicanju ravnopravnosti u svim aktivnostima, čime se uspostavlja rodno osviještena politika i donošenje rodno osjetljivog proračuna u svim politikama; budući da proračuni nisu rodno neutralni te se moraju sastavljati i izvršavati u cilju rodne ravnopravnosti; budući da Povelja Europske unije o temeljnim pravima ne samo da sadržava načelo rodne ravnopravnosti nego i štiti ljudsko dostojanstvo i zabranjuje sve oblike diskriminacije, uključujući one koji se temelje na seksualnoj orijentaciji i rodu odnosno rodnom identitetu;</w:t>
      </w:r>
    </w:p>
    <w:p w14:paraId="39B58EFF" w14:textId="77777777" w:rsidR="007F76EA" w:rsidRPr="007F76EA" w:rsidRDefault="00970A1F" w:rsidP="007F76EA">
      <w:pPr>
        <w:pStyle w:val="NormalHanging12a"/>
      </w:pPr>
      <w:r>
        <w:t>B.</w:t>
      </w:r>
      <w:r>
        <w:tab/>
        <w:t>budući da je Parlament u više navrata pozivao Komisiju da promiče i provodi rodno osviještenu politiku, uključujući rodno osjetljiv proračun, u svim politikama Unije; budući da donošenje rodno osjetljivog proračuna mora uključivati intersekcijsku perspektivu;</w:t>
      </w:r>
    </w:p>
    <w:p w14:paraId="053BA189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C.</w:t>
      </w:r>
      <w:r>
        <w:tab/>
        <w:t>budući da je EU znatno povećao dodjelu sredstva za militarizaciju, uključujući oružje, infrastrukturu, istraživanja u području sigurnosti, vojnu mobilnost, nadzor granica i eksternalizaciju; budući da bi te promjene mogle dovesti do preusmjeravanja sredstava s rodne ravnopravnosti, socijalne kohezije i borbe protiv rodno uvjetovanog nasilja;</w:t>
      </w:r>
    </w:p>
    <w:p w14:paraId="5BB0B087" w14:textId="77777777" w:rsidR="007F76EA" w:rsidRPr="007F76EA" w:rsidRDefault="00970A1F" w:rsidP="007F76EA">
      <w:pPr>
        <w:pStyle w:val="NormalHanging12a"/>
      </w:pPr>
      <w:r>
        <w:t>D.</w:t>
      </w:r>
      <w:r>
        <w:tab/>
        <w:t>budući da je indeks rodne ravnopravnosti za EU za 2025. iznosio 63,4 boda, što je povećanje od 10,5 postotnih bodova od 2010.; budući da je za ostvarenje cilja rodne ravnopravnosti u EU-u potrebno barem još 50 godina; budući da na rodnu ravnopravnost u Uniji negativno utječu rastući antirodni pokreti, seksizam i snažni trendovi predrasuda prema ženama te nazadovanja u pogledu rodne ravnopravnosti, posebno u pogledu spolnog i reproduktivnog zdravlja i prava u nekoliko država članica, i budući da na rodnu ravnopravnost dodatno utječu ratovi, trenutačna klimatska, energetska i socijalna kriza te kriza troškova života, elementi koji nerazmjerno utječu na žene;</w:t>
      </w:r>
    </w:p>
    <w:p w14:paraId="247107E2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E.</w:t>
      </w:r>
      <w:r>
        <w:tab/>
        <w:t>budući da svaka treća žena doživi nasilje; budući da 140 žena i djevojčica u svijetu svakodnevno smrtno strada od strane partnera ili člana obitelji; budući da je 7. svibnja 2024. donesena Direktiva o suzbijanju nasilja nad ženama i nasilja u obitelji, koja je stupila na snagu 14. lipnja 2024.; budući da se netolerancija prema LGBTIQ+ osobama, a posebno transrodnim osobama, nažalost naglo povećala u odnosu na 2019.; budući da su se nasilje i zločini motivirani mržnjom protiv LGBTIQ+ osoba povećali u odnosu na 2019.; s najvećim porastom napada na transrodne žene i muškarce; budući da je program Daphne, čiji je cilj zaštita žrtava nasilja, uključujući žene i djecu, ključan instrument EU-a za borbu protiv rodno uvjetovanog nasilja i za poštovanje temeljnih prava te bi njegovo kontinuirano financiranje i potporu trebalo osigurati unutar proračunskog i političkog okvira Unije;</w:t>
      </w:r>
    </w:p>
    <w:p w14:paraId="1F481E9A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F.</w:t>
      </w:r>
      <w:r>
        <w:tab/>
        <w:t xml:space="preserve">budući da se ulaganjem u rodnu ravnopravnost jača gospodarski rast, otpornost i </w:t>
      </w:r>
      <w:r>
        <w:lastRenderedPageBreak/>
        <w:t>socijalna kohezija diljem EU-a; budući da dinamično i konkurentno gospodarstvo zahtijeva rodnu ravnopravnost, poduzetništvo i inovacije; budući da gospodarska politika također zahtijeva rodno osviještenu politiku kako bi se osiguralo da europsko gospodarstvo funkcionira za sve žene; budući da se podupiranjem žena da pokrenu i vode vlastita poduzeća doprinosi gospodarskoj diversifikaciji i da se smanjuje rodni jaz u pristupu poduzetništvu i rukovodećim položajima;</w:t>
      </w:r>
    </w:p>
    <w:p w14:paraId="2CCAC7F2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1.</w:t>
      </w:r>
      <w:r>
        <w:tab/>
        <w:t>naglašava da bi perspektivu rodne ravnopravnosti trebalo integrirati i zajamčiti u svim područjima politika, posebno s obzirom na višestruke rodno uvjetovane učinke raznih aktualnih klimatskih, energetskih i socijalnih kriza, ratova i krize troškova života s naglaskom na spolnom i reproduktivnom zdravlju i pravima i na nazadovanje u pogledu rodne ravnopravnosti i prava žena u EU-u; stoga ponovno poziva da se u svim relevantnim i primjerenim fazama proračunskog procesa uzima u obzir rodna perspektiva; poziva Komisiju da poboljša rodnu osviještenost od početka izrade programa i da utvrdi horizontalnu odredbu o rodnoj ravnopravnosti s općim ciljem ravnopravnosti;</w:t>
      </w:r>
    </w:p>
    <w:p w14:paraId="7A656C1F" w14:textId="77777777" w:rsidR="007F76EA" w:rsidRPr="007F76EA" w:rsidRDefault="00970A1F" w:rsidP="007F76EA">
      <w:pPr>
        <w:pStyle w:val="NormalHanging12a"/>
      </w:pPr>
      <w:r>
        <w:t>2.</w:t>
      </w:r>
      <w:r>
        <w:tab/>
        <w:t>prima na znanje predanost Unije rodno osviještenoj politici i poboljšanju metodologije za praćenje rashoda za rodnu ravnopravnost; žali zbog toga što trenutačna metodologija Komisije ne odražava moguće negativne posljedice i dovodi do nesigurnosti u 20 % slučajeva u pogledu utjecaja na rodnu ravnopravnost; apelira na Komisiju da poboljša svoje alate za procjenu kako bi se osigurali jasniji ishodi i pratili potencijalni negativni učinci; smatra da bi se metodologija praćenja mogla dopuniti obveznim minimalnim kriterijima kao što su procjene utjecaja na rodnu ravnopravnost koje bi trebale biti povezane sa sustavima praćenja;</w:t>
      </w:r>
    </w:p>
    <w:p w14:paraId="1FF1DFF8" w14:textId="77777777" w:rsidR="007F76EA" w:rsidRPr="007F76EA" w:rsidRDefault="00970A1F" w:rsidP="007F76EA">
      <w:pPr>
        <w:pStyle w:val="NormalHanging12a"/>
      </w:pPr>
      <w:r>
        <w:t>3.</w:t>
      </w:r>
      <w:r>
        <w:tab/>
        <w:t>pozdravlja ažuriranje smjernica i paketa instrumenata za bolju regulativu; žali zbog nedostatka napretka u provedbi analiza potreba i učinaka iz rodne perspektive za programe financiranja sredstvima EU-a; poziva Komisiju da primjenjuje konkurentne procjene učinka, uključujući rodno osjetljive analize, pri osmišljavanju i provedbi programa i instrumenata financiranja EU-a kako bi se osigurali učinkoviti i pravedni rezultati politika; poziva Komisiju da dosljedno provodi takve analize; poziva Komisiju da u sljedeći VFO u potpunosti uključi rodno osviještenu politiku kako bi se rodna perspektiva uvela u sva područja politika i proračune te u mjere ublažavanja, a, ako je relevantno, rodno osviještenu izradu proračuna s ciljem da se unaprijede prava žena i rodna ravnopravnost;</w:t>
      </w:r>
    </w:p>
    <w:p w14:paraId="1D29E691" w14:textId="77777777" w:rsidR="007F76EA" w:rsidRPr="007F76EA" w:rsidRDefault="00970A1F" w:rsidP="007F76EA">
      <w:pPr>
        <w:pStyle w:val="NormalHanging12a"/>
        <w:rPr>
          <w:b/>
          <w:i/>
        </w:rPr>
      </w:pPr>
      <w:r>
        <w:t>4.</w:t>
      </w:r>
      <w:r>
        <w:tab/>
        <w:t>napominje da su informacije o rodnom učinku proračuna EU-a i dalje nedostatne; ističe nedostatke u pogledu ručnog prikupljanja i evaluacije podataka razvrstanih prema rodu te izvješćivanja o njima i uključujući intersekcijski pristup; poziva Komisiju da poboljša kvalitetu podataka; ističe da je ključno stečeno znanje iz primjene pilot-metodologije bila ograničena mogućnost dodjele konkretnih bodova zbog nedostatka potrebnih podataka; poziva na to da svi podaci budu usporedivi kako bi bili korisni za donošenje politika; stoga naglašava važnost zahtjeva za prikupljanje podataka kako bi se omogućilo sveobuhvatno prikupljanje podataka razvrstanih po spolu u kontekstu svih relevantnih politika EU-a i poziva Komisiju da se tome posveti kao prioritetu; apelira na Komisiju da navedeno smatra prioritetom;</w:t>
      </w:r>
    </w:p>
    <w:p w14:paraId="6B7F085D" w14:textId="77777777" w:rsidR="007F76EA" w:rsidRPr="007F76EA" w:rsidRDefault="00970A1F" w:rsidP="007F76EA">
      <w:pPr>
        <w:pStyle w:val="NormalHanging12a"/>
      </w:pPr>
      <w:r>
        <w:lastRenderedPageBreak/>
        <w:t>5.</w:t>
      </w:r>
      <w:r>
        <w:tab/>
        <w:t>poziva Komisiju da analizira koji bi postotak proračuna EU-a trebao biti namijenjen potpori rodne ravnopravnosti; nadalje, poziva na utvrđivanje ciljeva i pokazatelja uspješnosti u cjelokupnom budućem zakonodavstvu, uključujući sljedeći VFO;</w:t>
      </w:r>
    </w:p>
    <w:p w14:paraId="0370C0C4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6.</w:t>
      </w:r>
      <w:r>
        <w:tab/>
        <w:t>poziva Komisiju da izdvoji odgovarajući postotak ukupnog proračuna EU-a, potprograma „Jednakost i prava” programa Građani, ravnopravnost, prava i vrijednosti i programa Daphne; izražava žaljenje zbog nedostatka posebnih proračunskih linija za mjere namijenjene za rodnu ravnopravnost; ponovno poziva na uspostavu namjenske proračunske linije za program Daphne kako bi se povećala transparentnost i odgovornost u raspodjeli sredstava; poziva na stabilan okvir financiranja kako bi se osigurala djelotvornost i održivost programa Daphne za potporu zaštiti žena i djece od nasilja; žali zbog spajanja programa Kreativna Europa i programa Građani, ravnopravnost, prava i vrijednosti u predloženom VFO-u jer se time smanjuje vidljivost programa Daphne; potiče EU da taj program smatra prioritetom;</w:t>
      </w:r>
    </w:p>
    <w:p w14:paraId="179FBEC0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7.</w:t>
      </w:r>
      <w:r>
        <w:tab/>
        <w:t>pozdravlja Direktivu o suzbijanju nasilja nad ženama i nasilja u obitelji; apelira na države članice da brzo provedu tu direktivu te ih poziva da povećaju broj skloništa za žrtve nasilja u obitelji, s posebnim naglaskom na kvotama utvrđenima Konvencijom Vijeća Europe o sprečavanju i borbi protiv nasilja nad ženama i nasilja u obitelji, tzv. Istanbulskom konvencijom (jedno mjesto za prihvat obitelji na 10 000 stanovnika); naglašava da je femicid, koji se definira kao rodno motivirano ubojstvo žena i djevojčica, jedan od najekstremnijih oblika rodno uvjetovanog nasilja i predstavlja teško kršenje temeljnih prava; oštro osuđuje nepostojanje usklađene definicije i trajnu nedosljednost u prikupljanju podataka i izvješćivanju o tom kaznenom djelu; poziva na uvođenje europske definicije tog kaznenog djela;</w:t>
      </w:r>
    </w:p>
    <w:p w14:paraId="66659148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8.</w:t>
      </w:r>
      <w:r>
        <w:tab/>
        <w:t>ističe da je zbog povećanja netolerancije prema LGBTIQ+ osobama potrebno dodijeliti dostatna proračunska sredstva za mjere za borbu protiv fobije prema LGBTIQ+ osobama, kao što su, među ostalim, telefonske linije za savjetovanje i pozornost, naglašava važnost potpunog priznavanja transrodnih žena kao žena, napominjući da je njihova inkluzija ključna za učinkovitost svih politika rodne ravnopravnosti i politika borbe protiv nasilja; poziva na priznavanje i jednak pristup transrodnih žena uslugama zaštite i potpore; poziva države članice da osiguraju potpunu i djelotvornu zaštitu LGBTIQ+ osoba od diskriminacije, uznemiravanja i nasilja, među ostalim jačanjem nacionalnih pravnih okvira, poboljšanjem mehanizama izvješćivanja i osiguravanjem odgovarajuće istrage i kaznenog progona zločina motiviranih mržnjom; nadalje, poziva Vijeće da nastavi s radom na direktivi EU-a o suzbijanju diskriminacije; apelira na Komisiju da pomno prati usklađenost država članica s vrijednostima EU-a i da po potrebi pokrene postupke zbog povrede prava;</w:t>
      </w:r>
    </w:p>
    <w:p w14:paraId="61836693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9.</w:t>
      </w:r>
      <w:r>
        <w:tab/>
        <w:t xml:space="preserve">podsjeća da je Komisija u svojim političkim smjernicama istaknula predanost jačanju suradnje s organizacijama civilnog društva koje imaju stručno znanje i važnu ulogu u obrani određenih društvenih pitanja i poštovanju ljudskih prava; podsjeća da je ključno da organizacije civilnog društva s pomoću financijskih sredstava EU-a mogu sudjelovati u „otvorenom, transparentnom i strukturiranom dijalogu s institucijama EU-a”, kako je utvrđeno u članku 11. UEU-a, putem aktivnosti kao što su aktivnosti zagovaranja, demonstracije ili pravosudne mjere te da bi one trebale i dalje biti prihvatljive u relevantnim programima financiranja i imati na raspolaganju dostatna namjenska </w:t>
      </w:r>
      <w:r>
        <w:lastRenderedPageBreak/>
        <w:t>sredstva;</w:t>
      </w:r>
    </w:p>
    <w:p w14:paraId="0902F311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10.</w:t>
      </w:r>
      <w:r>
        <w:tab/>
        <w:t>ističe važnost poticanja gospodarskog rasta diljem Unije, među ostalim inicijativama kojima se potiče sudjelovanje žena na tržištu rada, u poduzetništvu i na rukovodećim položajima;</w:t>
      </w:r>
    </w:p>
    <w:p w14:paraId="51338899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11.</w:t>
      </w:r>
      <w:r>
        <w:tab/>
        <w:t>ponovno ističe svoju zabrinutost zbog povezanosti napadâ na vladavinu prava, demokraciju i ljudska prava s nazadovanjem u području rodne ravnopravnosti i prava žena; naglašava da su neovisne organizacije za prava žena s dostatnim resursima neizostavni akteri u promicanju rodne ravnopravnosti, unapređenju spolnog i reproduktivnog zdravlja i prava te zaštiti demokracije i ljudskih prava; ističe da se, u kontekstu sve većeg utjecaja antirodnih pokreta, koji se definiraju kao pokreti kojima je cilj potkopati rodnu ravnopravnost kao temeljnu demokratsku vrijednost, i smanjenja prostora za djelovanje civilnog društva, te organizacije suočavaju sa sve većim financijskim i operativnim izazovima; apelira na Komisiju da se pobrine za to da se sredstva EU-a ne dodjeljuju nijednom subjektu koji doprinosi nazadovanju u pogledu prava žena, povećanju nejednakosti ili djelovanju protiv rodne ravnopravnosti, uključujući spolno i reproduktivno zdravlje i prava te prava žena na tjelesni integritet, autonomiju i samoodređenje; apelira na Komisiju da uzme u obzir promjenjivo globalno okruženje u pogledu financiranja i da osigura da mehanizmi financiranja EU-a ostanu dostupni, fleksibilni i prilagođeni posebnim potrebama i sigurnosnim zahtjevima kada je riječ o organizacijama za prava žena, posebno onih koje djeluju u visokorizičnim kontekstima;</w:t>
      </w:r>
    </w:p>
    <w:p w14:paraId="410C42FA" w14:textId="77777777" w:rsidR="007F76EA" w:rsidRPr="007F76EA" w:rsidRDefault="00970A1F" w:rsidP="007F76EA">
      <w:pPr>
        <w:pStyle w:val="NormalHanging12a"/>
        <w:rPr>
          <w:bCs/>
          <w:iCs/>
        </w:rPr>
      </w:pPr>
      <w:r>
        <w:t>12.</w:t>
      </w:r>
      <w:r>
        <w:tab/>
        <w:t>ponavlja da su spolno i reproduktivno zdravlje i prava temeljna ljudska prava te da je njihovo ostvarivanje temeljni aspekt ljudskog dostojanstva i preduvjet za postizanje rodne ravnopravnosti; poziva na snažno europsko zalaganje za zaštitu naših temeljnih vrijednosti kao što su jednaka prava na tjelesnu autonomiju te pristup spolnom i reproduktivnom zdravlju i pravima, uključujući siguran i zakonit pobačaj; naglašava da je potrebno povećati proračunska sredstva kojima se podupire univerzalno poštovanje spolnog i reproduktivnog zdravlja i spolnih i reproduktivnih prava i pristup tom zdravlju i tim pravima, uključujući siguran i zakonit pobačaj; izražava duboku zabrinutost zbog toga što su žene i djevojčice u zonama sukoba i u ratovima izložene seksualnom i rodno uvjetovanom nasilju, npr. žene i djevojčice u Ukrajini zbog aktualne ruske ratne agresije; osuđuje ta djela kao teško kršenje međunarodnog humanitarnog prava i prava o ljudskim pravima; ističe hitnu potrebu za sveobuhvatnim uslugama potpore za žrtve, uključujući medicinsku potporu, usluge spolnog i reproduktivnog zdravlja, psihološku i pravnu potporu kao i socioekonomsku pomoć.</w:t>
      </w:r>
    </w:p>
    <w:p w14:paraId="0E725228" w14:textId="77777777" w:rsidR="007F76EA" w:rsidRPr="007F76EA" w:rsidRDefault="00970A1F" w:rsidP="007F76EA">
      <w:pPr>
        <w:ind w:left="567" w:hanging="567"/>
        <w:rPr>
          <w:rStyle w:val="HideTWBExt"/>
        </w:rPr>
      </w:pPr>
      <w:r>
        <w:rPr>
          <w:rStyle w:val="HideTWBExt"/>
        </w:rPr>
        <w:t>&lt;/RepeatBlock-Dec&gt;</w:t>
      </w:r>
    </w:p>
    <w:p w14:paraId="52C67A22" w14:textId="77777777" w:rsidR="007F76EA" w:rsidRPr="007F76EA" w:rsidRDefault="007F76EA" w:rsidP="007F76EA">
      <w:pPr>
        <w:ind w:left="567" w:hanging="567"/>
      </w:pPr>
    </w:p>
    <w:p w14:paraId="23484DA2" w14:textId="77777777" w:rsidR="007F76EA" w:rsidRPr="007F76EA" w:rsidRDefault="007F76EA" w:rsidP="007F76EA"/>
    <w:p w14:paraId="27D70D2E" w14:textId="77777777" w:rsidR="007F76EA" w:rsidRPr="007F76EA" w:rsidRDefault="007F76EA" w:rsidP="00805B5B">
      <w:pPr>
        <w:sectPr w:rsidR="007F76EA" w:rsidRPr="007F76EA" w:rsidSect="007F76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0216293" w14:textId="77777777" w:rsidR="007F76EA" w:rsidRPr="007F76EA" w:rsidRDefault="00970A1F" w:rsidP="002B2C72">
      <w:pPr>
        <w:pStyle w:val="PageHeadingNotTOC"/>
      </w:pPr>
      <w:bookmarkStart w:id="0" w:name="FootprintPageAD"/>
      <w:r>
        <w:lastRenderedPageBreak/>
        <w:t>PRILOG: PRIJAVA PRIMLJENIH INFORMACIJA</w:t>
      </w:r>
    </w:p>
    <w:p w14:paraId="1BCF521C" w14:textId="77777777" w:rsidR="007F76EA" w:rsidRPr="007F76EA" w:rsidRDefault="00970A1F" w:rsidP="00037518">
      <w:pPr>
        <w:pStyle w:val="Normal24a"/>
      </w:pPr>
      <w:r>
        <w:rPr>
          <w:rStyle w:val="HideTWBExt"/>
        </w:rPr>
        <w:t>&lt;FootprintIntro&gt;</w:t>
      </w:r>
      <w:r>
        <w:t>Izvjestiteljica za mišljenje izjavljuje, pod svojom isključivom odgovornošću, da u svoje mišljenje nije uključila nikakve informacije predstavnika interesnih skupina obuhvaćenih područjem primjene Međuinstitucijskog sporazuma o obveznom registru transparentnosti</w:t>
      </w:r>
      <w:r>
        <w:rPr>
          <w:rStyle w:val="FootnoteReference"/>
        </w:rPr>
        <w:footnoteReference w:id="1"/>
      </w:r>
      <w:r>
        <w:t xml:space="preserve"> ili predstavnika javnih tijela trećih zemalja, uključujući njihove diplomatske misije i veleposlanstva, koje treba navesti u ovome Prilogu u skladu s člankom 8. Priloga I. Poslovniku.</w:t>
      </w:r>
      <w:r>
        <w:rPr>
          <w:rStyle w:val="HideTWBExt"/>
        </w:rPr>
        <w:t>&lt;/FootprintIntro&gt;</w:t>
      </w:r>
    </w:p>
    <w:p w14:paraId="7B8DB231" w14:textId="77777777" w:rsidR="007F76EA" w:rsidRPr="007F76EA" w:rsidRDefault="007F76EA" w:rsidP="007F76EA"/>
    <w:bookmarkEnd w:id="0"/>
    <w:p w14:paraId="05FA0EF8" w14:textId="77777777" w:rsidR="007F76EA" w:rsidRPr="007F76EA" w:rsidRDefault="007F76EA" w:rsidP="00805B5B">
      <w:pPr>
        <w:sectPr w:rsidR="007F76EA" w:rsidRPr="007F76EA" w:rsidSect="007F76E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1CFBA9" w14:textId="77777777" w:rsidR="00805B5B" w:rsidRPr="007F76EA" w:rsidRDefault="00970A1F" w:rsidP="00805B5B">
      <w:pPr>
        <w:pStyle w:val="PageHeadingNotTOC"/>
      </w:pPr>
      <w:bookmarkStart w:id="1" w:name="ProcPageAD"/>
      <w:r>
        <w:lastRenderedPageBreak/>
        <w:t>INFORMACIJE O USVAJANJU U ODBORU KOJI DAJE MIŠLJENJE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5F3A86" w14:paraId="612B620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EF6BBF" w14:textId="77777777" w:rsidR="00805B5B" w:rsidRPr="007F76EA" w:rsidRDefault="00970A1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30540B3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8FE359" w14:textId="77777777" w:rsidR="00805B5B" w:rsidRPr="007F76EA" w:rsidRDefault="00805B5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A11C2C0" w14:textId="77777777" w:rsidR="00805B5B" w:rsidRPr="007F76EA" w:rsidRDefault="00805B5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668E523" w14:textId="77777777" w:rsidR="00805B5B" w:rsidRPr="007F76EA" w:rsidRDefault="00805B5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5F3A86" w14:paraId="735B5EB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5D93F8" w14:textId="77777777" w:rsidR="00805B5B" w:rsidRPr="007F76EA" w:rsidRDefault="00970A1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902659E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0C010DAF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1F76974B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96CBE0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6B18099E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1435E9E9" w14:textId="77777777" w:rsidR="00805B5B" w:rsidRPr="007F76EA" w:rsidRDefault="00970A1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</w:tbl>
    <w:p w14:paraId="134C9E58" w14:textId="77777777" w:rsidR="00805B5B" w:rsidRPr="007F76EA" w:rsidRDefault="00805B5B"/>
    <w:bookmarkEnd w:id="1"/>
    <w:p w14:paraId="7D635B20" w14:textId="77777777" w:rsidR="007F76EA" w:rsidRPr="007F76EA" w:rsidRDefault="007F76EA" w:rsidP="007F76EA">
      <w:pPr>
        <w:sectPr w:rsidR="007F76EA" w:rsidRPr="007F76EA" w:rsidSect="007F76EA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7ABCD90" w14:textId="77777777" w:rsidR="007F76EA" w:rsidRPr="007F76EA" w:rsidRDefault="007F76EA" w:rsidP="007F76EA"/>
    <w:p w14:paraId="44F9FFBA" w14:textId="77777777" w:rsidR="007F76EA" w:rsidRPr="007F76EA" w:rsidRDefault="00970A1F" w:rsidP="00C36610">
      <w:pPr>
        <w:pStyle w:val="PageHeadingNotTOC"/>
      </w:pPr>
      <w:bookmarkStart w:id="2" w:name="RollCallPageAD"/>
      <w:r>
        <w:t>POIMENIČNO KONAČNO GLASOVANJE U ODBORU KOJI DAJE MIŠLJENJE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F3A86" w14:paraId="7E90F9DE" w14:textId="77777777" w:rsidTr="00F753B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5D46A6C" w14:textId="77777777" w:rsidR="007F76EA" w:rsidRPr="007F76EA" w:rsidRDefault="00970A1F" w:rsidP="00F753BE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010381A3" w14:textId="77777777" w:rsidR="007F76EA" w:rsidRPr="007F76EA" w:rsidRDefault="00970A1F" w:rsidP="00F753BE">
            <w:pPr>
              <w:pStyle w:val="RollCallSymbols14pt"/>
            </w:pPr>
            <w:r>
              <w:t>+</w:t>
            </w:r>
          </w:p>
        </w:tc>
      </w:tr>
      <w:tr w:rsidR="005F3A86" w14:paraId="53A109AB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1ACEA792" w14:textId="77777777" w:rsidR="007F76EA" w:rsidRPr="007F76EA" w:rsidRDefault="00970A1F" w:rsidP="00F753BE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04FF5D0A" w14:textId="77777777" w:rsidR="007F76EA" w:rsidRPr="007F76EA" w:rsidRDefault="00970A1F" w:rsidP="00F753BE">
            <w:pPr>
              <w:pStyle w:val="RollCallTable"/>
            </w:pPr>
            <w:r>
              <w:t>Ewa Kopacz, Verena Mertens, Mirosława Nykiel, Giusi Princi, Maria Walsh</w:t>
            </w:r>
          </w:p>
        </w:tc>
      </w:tr>
      <w:tr w:rsidR="005F3A86" w14:paraId="2D50BCD9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63FCD86F" w14:textId="77777777" w:rsidR="007F76EA" w:rsidRPr="007F76EA" w:rsidRDefault="00970A1F" w:rsidP="00F753BE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76080911" w14:textId="77777777" w:rsidR="007F76EA" w:rsidRPr="007F76EA" w:rsidRDefault="00970A1F" w:rsidP="00F753BE">
            <w:pPr>
              <w:pStyle w:val="RollCallTable"/>
            </w:pPr>
            <w:r>
              <w:t>Abir Al-Sahlani, Raquel García Hermida-Van Der Walle, Lucia Yar, Dainius Žalimas</w:t>
            </w:r>
          </w:p>
        </w:tc>
      </w:tr>
      <w:tr w:rsidR="005F3A86" w14:paraId="61E0ACD3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0D69AB6C" w14:textId="77777777" w:rsidR="007F76EA" w:rsidRPr="007F76EA" w:rsidRDefault="00970A1F" w:rsidP="00F753BE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29E218DD" w14:textId="77777777" w:rsidR="007F76EA" w:rsidRPr="007F76EA" w:rsidRDefault="00970A1F" w:rsidP="00F753BE">
            <w:pPr>
              <w:pStyle w:val="RollCallTable"/>
            </w:pPr>
            <w:r>
              <w:t>Gabriela Firea, Heléne Fritzon, Lina Gálvez, Maria Noichl, Joanna Scheuring-Wielgus, Cecilia Strada, Marko Vešligaj</w:t>
            </w:r>
          </w:p>
        </w:tc>
      </w:tr>
      <w:tr w:rsidR="005F3A86" w14:paraId="626BE34E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035312FE" w14:textId="77777777" w:rsidR="007F76EA" w:rsidRPr="007F76EA" w:rsidRDefault="00970A1F" w:rsidP="00F753BE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250C42D0" w14:textId="77777777" w:rsidR="007F76EA" w:rsidRPr="007F76EA" w:rsidRDefault="00970A1F" w:rsidP="00F753BE">
            <w:pPr>
              <w:pStyle w:val="RollCallTable"/>
            </w:pPr>
            <w:r>
              <w:t>Hanna Gedin, Irene Montero, Carolina Morace</w:t>
            </w:r>
          </w:p>
        </w:tc>
      </w:tr>
      <w:tr w:rsidR="005F3A86" w14:paraId="615E3102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5FFC0B97" w14:textId="77777777" w:rsidR="007F76EA" w:rsidRPr="007F76EA" w:rsidRDefault="00970A1F" w:rsidP="00F753BE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63557B0B" w14:textId="77777777" w:rsidR="007F76EA" w:rsidRPr="007F76EA" w:rsidRDefault="00970A1F" w:rsidP="00F753BE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758AF5A9" w14:textId="77777777" w:rsidR="007F76EA" w:rsidRPr="007F76EA" w:rsidRDefault="007F76EA" w:rsidP="007F76E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F3A86" w14:paraId="190ECAEE" w14:textId="77777777" w:rsidTr="00F753B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EFF4FB9" w14:textId="77777777" w:rsidR="007F76EA" w:rsidRPr="007F76EA" w:rsidRDefault="00970A1F" w:rsidP="00F753BE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53A26BCF" w14:textId="77777777" w:rsidR="007F76EA" w:rsidRPr="007F76EA" w:rsidRDefault="00970A1F" w:rsidP="00F753BE">
            <w:pPr>
              <w:pStyle w:val="RollCallSymbols14pt"/>
            </w:pPr>
            <w:r>
              <w:t>-</w:t>
            </w:r>
          </w:p>
        </w:tc>
      </w:tr>
      <w:tr w:rsidR="005F3A86" w14:paraId="2972A4AC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678BC10F" w14:textId="77777777" w:rsidR="007F76EA" w:rsidRPr="007F76EA" w:rsidRDefault="00970A1F" w:rsidP="00F753BE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777A49EB" w14:textId="77777777" w:rsidR="007F76EA" w:rsidRPr="007F76EA" w:rsidRDefault="00970A1F" w:rsidP="00F753BE">
            <w:pPr>
              <w:pStyle w:val="RollCallTable"/>
            </w:pPr>
            <w:r>
              <w:t>Chiara Gemma, Beatrice Timgren</w:t>
            </w:r>
          </w:p>
        </w:tc>
      </w:tr>
      <w:tr w:rsidR="005F3A86" w14:paraId="7DCED1C9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2E242E55" w14:textId="77777777" w:rsidR="007F76EA" w:rsidRPr="007F76EA" w:rsidRDefault="00970A1F" w:rsidP="00F753BE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3D12302C" w14:textId="77777777" w:rsidR="007F76EA" w:rsidRPr="007F76EA" w:rsidRDefault="00970A1F" w:rsidP="00F753BE">
            <w:pPr>
              <w:pStyle w:val="RollCallTable"/>
            </w:pPr>
            <w:r>
              <w:t>Fernand Kartheiser</w:t>
            </w:r>
          </w:p>
        </w:tc>
      </w:tr>
      <w:tr w:rsidR="005F3A86" w14:paraId="2EC27155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02530901" w14:textId="77777777" w:rsidR="007F76EA" w:rsidRPr="007F76EA" w:rsidRDefault="00970A1F" w:rsidP="00F753BE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468D1DF1" w14:textId="77777777" w:rsidR="007F76EA" w:rsidRPr="007F76EA" w:rsidRDefault="00970A1F" w:rsidP="00F753BE">
            <w:pPr>
              <w:pStyle w:val="RollCallTable"/>
            </w:pPr>
            <w:r>
              <w:t>Mathilde Androuët, Mireia Borrás Pabón, Elisabeth Dieringer, Margarita de la Pisa Carrión, Anders Vistisen</w:t>
            </w:r>
          </w:p>
        </w:tc>
      </w:tr>
    </w:tbl>
    <w:p w14:paraId="74829EFF" w14:textId="77777777" w:rsidR="007F76EA" w:rsidRPr="007F76EA" w:rsidRDefault="007F76EA" w:rsidP="007F76E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F3A86" w14:paraId="6D85514A" w14:textId="77777777" w:rsidTr="00F753B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21A83AA" w14:textId="77777777" w:rsidR="007F76EA" w:rsidRPr="007F76EA" w:rsidRDefault="00970A1F" w:rsidP="00F753BE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5E39E14E" w14:textId="77777777" w:rsidR="007F76EA" w:rsidRPr="007F76EA" w:rsidRDefault="00970A1F" w:rsidP="00F753BE">
            <w:pPr>
              <w:pStyle w:val="RollCallSymbols14pt"/>
            </w:pPr>
            <w:r>
              <w:t>0</w:t>
            </w:r>
          </w:p>
        </w:tc>
      </w:tr>
      <w:tr w:rsidR="005F3A86" w14:paraId="1CBAF2BA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2E8C6990" w14:textId="77777777" w:rsidR="007F76EA" w:rsidRPr="007F76EA" w:rsidRDefault="00970A1F" w:rsidP="00F753BE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5BBA7F85" w14:textId="77777777" w:rsidR="007F76EA" w:rsidRPr="007F76EA" w:rsidRDefault="00970A1F" w:rsidP="00F753BE">
            <w:pPr>
              <w:pStyle w:val="RollCallTable"/>
            </w:pPr>
            <w:r>
              <w:t>Judita Laššáková</w:t>
            </w:r>
          </w:p>
        </w:tc>
      </w:tr>
      <w:tr w:rsidR="005F3A86" w14:paraId="6C9EB7DC" w14:textId="77777777" w:rsidTr="00F753BE">
        <w:trPr>
          <w:cantSplit/>
        </w:trPr>
        <w:tc>
          <w:tcPr>
            <w:tcW w:w="1701" w:type="dxa"/>
            <w:shd w:val="clear" w:color="auto" w:fill="FFFFFF"/>
          </w:tcPr>
          <w:p w14:paraId="4AFE8224" w14:textId="77777777" w:rsidR="007F76EA" w:rsidRPr="007F76EA" w:rsidRDefault="00970A1F" w:rsidP="00F753BE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20D37E3D" w14:textId="77777777" w:rsidR="007F76EA" w:rsidRPr="007F76EA" w:rsidRDefault="00970A1F" w:rsidP="00F753BE">
            <w:pPr>
              <w:pStyle w:val="RollCallTable"/>
            </w:pPr>
            <w:r>
              <w:t>Rosa Estaràs Ferragut</w:t>
            </w:r>
          </w:p>
        </w:tc>
      </w:tr>
    </w:tbl>
    <w:p w14:paraId="20005AA0" w14:textId="77777777" w:rsidR="007F76EA" w:rsidRPr="007F76EA" w:rsidRDefault="007F76EA" w:rsidP="00147FBF">
      <w:pPr>
        <w:pStyle w:val="Normal12a"/>
      </w:pPr>
    </w:p>
    <w:p w14:paraId="48A16E96" w14:textId="77777777" w:rsidR="007F76EA" w:rsidRPr="007F76EA" w:rsidRDefault="00970A1F" w:rsidP="00B735E3">
      <w:r>
        <w:t>Korišteni znakovi:</w:t>
      </w:r>
    </w:p>
    <w:p w14:paraId="741C4EC0" w14:textId="77777777" w:rsidR="007F76EA" w:rsidRPr="007F76EA" w:rsidRDefault="00970A1F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14:paraId="7D0608EB" w14:textId="77777777" w:rsidR="007F76EA" w:rsidRPr="007F76EA" w:rsidRDefault="00970A1F" w:rsidP="003858C5">
      <w:pPr>
        <w:pStyle w:val="RollCallTabs"/>
      </w:pPr>
      <w:r>
        <w:t>-</w:t>
      </w:r>
      <w:r>
        <w:tab/>
        <w:t>:</w:t>
      </w:r>
      <w:r>
        <w:tab/>
        <w:t>protiv</w:t>
      </w:r>
    </w:p>
    <w:p w14:paraId="6B91123C" w14:textId="77777777" w:rsidR="007F76EA" w:rsidRPr="007F76EA" w:rsidRDefault="00970A1F" w:rsidP="003858C5">
      <w:pPr>
        <w:pStyle w:val="RollCallTabs"/>
      </w:pPr>
      <w:r>
        <w:t>0</w:t>
      </w:r>
      <w:r>
        <w:tab/>
        <w:t>:</w:t>
      </w:r>
      <w:r>
        <w:tab/>
        <w:t>suzdržani</w:t>
      </w:r>
    </w:p>
    <w:p w14:paraId="3775732C" w14:textId="77777777" w:rsidR="007F76EA" w:rsidRPr="007F76EA" w:rsidRDefault="007F76EA" w:rsidP="00207509"/>
    <w:bookmarkEnd w:id="2"/>
    <w:p w14:paraId="2FD01DB3" w14:textId="77777777" w:rsidR="00805B5B" w:rsidRPr="007F76EA" w:rsidRDefault="00805B5B" w:rsidP="00805B5B"/>
    <w:sectPr w:rsidR="00805B5B" w:rsidRPr="007F76EA" w:rsidSect="007F76EA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DF94" w14:textId="77777777" w:rsidR="00970A1F" w:rsidRDefault="00970A1F">
      <w:r>
        <w:separator/>
      </w:r>
    </w:p>
  </w:endnote>
  <w:endnote w:type="continuationSeparator" w:id="0">
    <w:p w14:paraId="38C7BDB0" w14:textId="77777777" w:rsidR="00970A1F" w:rsidRDefault="00970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1856D" w14:textId="77777777" w:rsidR="007F76EA" w:rsidRPr="007F76EA" w:rsidRDefault="00970A1F" w:rsidP="007F76EA">
    <w:pPr>
      <w:pStyle w:val="EPFooter"/>
    </w:pPr>
    <w:r w:rsidRPr="007F76EA">
      <w:t>PE</w:t>
    </w:r>
    <w:r w:rsidRPr="007F76EA">
      <w:rPr>
        <w:rStyle w:val="HideTWBExt"/>
      </w:rPr>
      <w:t>&lt;NoPE&gt;</w:t>
    </w:r>
    <w:r w:rsidRPr="007F76EA">
      <w:t>779.730</w:t>
    </w:r>
    <w:r w:rsidRPr="007F76EA">
      <w:rPr>
        <w:rStyle w:val="HideTWBExt"/>
      </w:rPr>
      <w:t>&lt;/NoPE&gt;&lt;Version&gt;</w:t>
    </w:r>
    <w:r w:rsidRPr="007F76EA">
      <w:t>v03-00</w:t>
    </w:r>
    <w:r w:rsidRPr="007F76EA">
      <w:rPr>
        <w:rStyle w:val="HideTWBExt"/>
      </w:rPr>
      <w:t>&lt;/Version&gt;</w:t>
    </w:r>
    <w:r w:rsidRPr="007F76EA">
      <w:tab/>
    </w:r>
    <w:r w:rsidRPr="007F76EA">
      <w:fldChar w:fldCharType="begin"/>
    </w:r>
    <w:r w:rsidRPr="007F76EA">
      <w:instrText xml:space="preserve"> PAGE  \* MERGEFORMAT </w:instrText>
    </w:r>
    <w:r w:rsidRPr="007F76EA">
      <w:fldChar w:fldCharType="separate"/>
    </w:r>
    <w:r w:rsidRPr="007F76EA">
      <w:rPr>
        <w:noProof/>
      </w:rPr>
      <w:t>2</w:t>
    </w:r>
    <w:r w:rsidRPr="007F76EA">
      <w:fldChar w:fldCharType="end"/>
    </w:r>
    <w:r w:rsidRPr="007F76EA">
      <w:t>/</w:t>
    </w:r>
    <w:r w:rsidRPr="007F76EA">
      <w:fldChar w:fldCharType="begin"/>
    </w:r>
    <w:r>
      <w:instrText xml:space="preserve"> NUMPAGES  \* MERGEFORMAT </w:instrText>
    </w:r>
    <w:r w:rsidRPr="007F76EA">
      <w:fldChar w:fldCharType="separate"/>
    </w:r>
    <w:r w:rsidRPr="007F76EA">
      <w:rPr>
        <w:noProof/>
      </w:rPr>
      <w:t>9</w:t>
    </w:r>
    <w:r w:rsidRPr="007F76EA">
      <w:rPr>
        <w:noProof/>
      </w:rPr>
      <w:fldChar w:fldCharType="end"/>
    </w:r>
    <w:r w:rsidRPr="007F76EA">
      <w:tab/>
    </w:r>
    <w:r w:rsidRPr="007F76EA">
      <w:rPr>
        <w:rStyle w:val="HideTWBExt"/>
      </w:rPr>
      <w:t>&lt;PathFdR&gt;</w:t>
    </w:r>
    <w:r w:rsidRPr="007F76EA">
      <w:t>AD\1336107HR.docx</w:t>
    </w:r>
    <w:r w:rsidRPr="007F76EA">
      <w:rPr>
        <w:rStyle w:val="HideTWBExt"/>
      </w:rPr>
      <w:t>&lt;/PathFdR&gt;</w:t>
    </w:r>
  </w:p>
  <w:p w14:paraId="1F885D60" w14:textId="77777777" w:rsidR="00C75378" w:rsidRPr="007F76EA" w:rsidRDefault="00970A1F" w:rsidP="007F76EA">
    <w:pPr>
      <w:pStyle w:val="EPFooter2"/>
    </w:pPr>
    <w:r w:rsidRPr="007F76E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BC21" w14:textId="77777777" w:rsidR="007F76EA" w:rsidRPr="007F76EA" w:rsidRDefault="00970A1F" w:rsidP="007F76EA">
    <w:pPr>
      <w:pStyle w:val="EPFooter"/>
    </w:pPr>
    <w:r w:rsidRPr="007F76EA">
      <w:rPr>
        <w:rStyle w:val="HideTWBExt"/>
      </w:rPr>
      <w:t>&lt;PathFdR&gt;</w:t>
    </w:r>
    <w:r w:rsidRPr="007F76EA">
      <w:t>AD\1336107HR.docx</w:t>
    </w:r>
    <w:r w:rsidRPr="007F76EA">
      <w:rPr>
        <w:rStyle w:val="HideTWBExt"/>
      </w:rPr>
      <w:t>&lt;/PathFdR&gt;</w:t>
    </w:r>
    <w:r w:rsidRPr="007F76EA">
      <w:tab/>
    </w:r>
    <w:r w:rsidRPr="007F76EA">
      <w:fldChar w:fldCharType="begin"/>
    </w:r>
    <w:r w:rsidRPr="007F76EA">
      <w:instrText xml:space="preserve"> PAGE  \* MERGEFORMAT </w:instrText>
    </w:r>
    <w:r w:rsidRPr="007F76EA">
      <w:fldChar w:fldCharType="separate"/>
    </w:r>
    <w:r w:rsidRPr="007F76EA">
      <w:rPr>
        <w:noProof/>
      </w:rPr>
      <w:t>5</w:t>
    </w:r>
    <w:r w:rsidRPr="007F76EA">
      <w:fldChar w:fldCharType="end"/>
    </w:r>
    <w:r w:rsidRPr="007F76EA">
      <w:t>/</w:t>
    </w:r>
    <w:r w:rsidRPr="007F76EA">
      <w:fldChar w:fldCharType="begin"/>
    </w:r>
    <w:r>
      <w:instrText xml:space="preserve"> NUMPAGES  \* MERGEFORMAT </w:instrText>
    </w:r>
    <w:r w:rsidRPr="007F76EA">
      <w:fldChar w:fldCharType="separate"/>
    </w:r>
    <w:r w:rsidRPr="007F76EA">
      <w:rPr>
        <w:noProof/>
      </w:rPr>
      <w:t>9</w:t>
    </w:r>
    <w:r w:rsidRPr="007F76EA">
      <w:rPr>
        <w:noProof/>
      </w:rPr>
      <w:fldChar w:fldCharType="end"/>
    </w:r>
    <w:r w:rsidRPr="007F76EA">
      <w:tab/>
      <w:t>PE</w:t>
    </w:r>
    <w:r w:rsidRPr="007F76EA">
      <w:rPr>
        <w:rStyle w:val="HideTWBExt"/>
      </w:rPr>
      <w:t>&lt;NoPE&gt;</w:t>
    </w:r>
    <w:r w:rsidRPr="007F76EA">
      <w:t>779.730</w:t>
    </w:r>
    <w:r w:rsidRPr="007F76EA">
      <w:rPr>
        <w:rStyle w:val="HideTWBExt"/>
      </w:rPr>
      <w:t>&lt;/NoPE&gt;&lt;Version&gt;</w:t>
    </w:r>
    <w:r w:rsidRPr="007F76EA">
      <w:t>v03-00</w:t>
    </w:r>
    <w:r w:rsidRPr="007F76EA">
      <w:rPr>
        <w:rStyle w:val="HideTWBExt"/>
      </w:rPr>
      <w:t>&lt;/Version&gt;</w:t>
    </w:r>
  </w:p>
  <w:p w14:paraId="4C351D26" w14:textId="77777777" w:rsidR="00C75378" w:rsidRPr="007F76EA" w:rsidRDefault="00970A1F" w:rsidP="007F76EA">
    <w:pPr>
      <w:pStyle w:val="EPFooter2"/>
    </w:pPr>
    <w:r w:rsidRPr="007F76EA">
      <w:tab/>
    </w:r>
    <w:r w:rsidRPr="007F76E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C9F9" w14:textId="77777777" w:rsidR="007F76EA" w:rsidRPr="007F76EA" w:rsidRDefault="00970A1F" w:rsidP="007F76EA">
    <w:pPr>
      <w:pStyle w:val="EPFooter"/>
    </w:pPr>
    <w:r w:rsidRPr="007F76EA">
      <w:rPr>
        <w:rStyle w:val="HideTWBExt"/>
      </w:rPr>
      <w:t>&lt;PathFdR&gt;</w:t>
    </w:r>
    <w:r w:rsidRPr="007F76EA">
      <w:t>AD\1336107HR.docx</w:t>
    </w:r>
    <w:r w:rsidRPr="007F76EA">
      <w:rPr>
        <w:rStyle w:val="HideTWBExt"/>
      </w:rPr>
      <w:t>&lt;/PathFdR&gt;</w:t>
    </w:r>
    <w:r w:rsidRPr="007F76EA">
      <w:tab/>
    </w:r>
    <w:r w:rsidRPr="007F76EA">
      <w:tab/>
      <w:t>PE</w:t>
    </w:r>
    <w:r w:rsidRPr="007F76EA">
      <w:rPr>
        <w:rStyle w:val="HideTWBExt"/>
      </w:rPr>
      <w:t>&lt;NoPE&gt;</w:t>
    </w:r>
    <w:r w:rsidRPr="007F76EA">
      <w:t>779.730</w:t>
    </w:r>
    <w:r w:rsidRPr="007F76EA">
      <w:rPr>
        <w:rStyle w:val="HideTWBExt"/>
      </w:rPr>
      <w:t>&lt;/NoPE&gt;&lt;Version&gt;</w:t>
    </w:r>
    <w:r w:rsidRPr="007F76EA">
      <w:t>v03-00</w:t>
    </w:r>
    <w:r w:rsidRPr="007F76EA">
      <w:rPr>
        <w:rStyle w:val="HideTWBExt"/>
      </w:rPr>
      <w:t>&lt;/Version&gt;</w:t>
    </w:r>
  </w:p>
  <w:p w14:paraId="027742A2" w14:textId="77777777" w:rsidR="00C75378" w:rsidRPr="007F76EA" w:rsidRDefault="00970A1F" w:rsidP="007F76EA">
    <w:pPr>
      <w:pStyle w:val="EPFooter2"/>
    </w:pPr>
    <w:r w:rsidRPr="007F76EA">
      <w:t>HR</w:t>
    </w:r>
    <w:r w:rsidRPr="007F76EA">
      <w:tab/>
    </w:r>
    <w:r w:rsidRPr="007F76EA">
      <w:rPr>
        <w:b w:val="0"/>
        <w:i/>
        <w:color w:val="C0C0C0"/>
        <w:sz w:val="22"/>
      </w:rPr>
      <w:t>Ujedinjena u raznolikosti</w:t>
    </w:r>
    <w:r w:rsidRPr="007F76EA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F0C62" w14:textId="77777777" w:rsidR="00D852C1" w:rsidRPr="007F76EA" w:rsidRDefault="00970A1F">
      <w:r w:rsidRPr="007F76EA">
        <w:separator/>
      </w:r>
    </w:p>
  </w:footnote>
  <w:footnote w:type="continuationSeparator" w:id="0">
    <w:p w14:paraId="239B5867" w14:textId="77777777" w:rsidR="00D852C1" w:rsidRPr="007F76EA" w:rsidRDefault="00970A1F">
      <w:r w:rsidRPr="007F76EA">
        <w:continuationSeparator/>
      </w:r>
    </w:p>
  </w:footnote>
  <w:footnote w:id="1">
    <w:p w14:paraId="5E017366" w14:textId="656077BE" w:rsidR="007F76EA" w:rsidRPr="007F76EA" w:rsidRDefault="00970A1F">
      <w:pPr>
        <w:pStyle w:val="FootnoteText"/>
      </w:pPr>
      <w:r>
        <w:rPr>
          <w:rStyle w:val="FootnoteReference"/>
        </w:rPr>
        <w:footnoteRef/>
      </w:r>
      <w:r>
        <w:t xml:space="preserve"> Međuinstitucijski sporazum od 20. svibnja 2021. Europskog parlamenta, Vijeća Europske unije i Europske komisije o obveznom registru transparentnosti (SL L 207, 11.6.2021., str. 1.,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FE39" w14:textId="77777777" w:rsidR="00393332" w:rsidRDefault="00393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8115" w14:textId="77777777" w:rsidR="00393332" w:rsidRDefault="003933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2490" w14:textId="77777777" w:rsidR="00393332" w:rsidRDefault="003933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DE5403"/>
    <w:multiLevelType w:val="multilevel"/>
    <w:tmpl w:val="9B605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ED0BDE"/>
    <w:multiLevelType w:val="hybridMultilevel"/>
    <w:tmpl w:val="ED42BA76"/>
    <w:lvl w:ilvl="0" w:tplc="7C984BFE">
      <w:start w:val="1"/>
      <w:numFmt w:val="upperLetter"/>
      <w:lvlText w:val="%1."/>
      <w:lvlJc w:val="left"/>
      <w:pPr>
        <w:ind w:left="720" w:hanging="360"/>
      </w:pPr>
    </w:lvl>
    <w:lvl w:ilvl="1" w:tplc="D466DE86">
      <w:start w:val="1"/>
      <w:numFmt w:val="lowerLetter"/>
      <w:lvlText w:val="%2."/>
      <w:lvlJc w:val="left"/>
      <w:pPr>
        <w:ind w:left="1440" w:hanging="360"/>
      </w:pPr>
    </w:lvl>
    <w:lvl w:ilvl="2" w:tplc="7640EC2E">
      <w:start w:val="1"/>
      <w:numFmt w:val="lowerRoman"/>
      <w:lvlText w:val="%3."/>
      <w:lvlJc w:val="right"/>
      <w:pPr>
        <w:ind w:left="2160" w:hanging="180"/>
      </w:pPr>
    </w:lvl>
    <w:lvl w:ilvl="3" w:tplc="538224F0">
      <w:start w:val="1"/>
      <w:numFmt w:val="decimal"/>
      <w:lvlText w:val="%4."/>
      <w:lvlJc w:val="left"/>
      <w:pPr>
        <w:ind w:left="2880" w:hanging="360"/>
      </w:pPr>
    </w:lvl>
    <w:lvl w:ilvl="4" w:tplc="604484A0">
      <w:start w:val="1"/>
      <w:numFmt w:val="lowerLetter"/>
      <w:lvlText w:val="%5."/>
      <w:lvlJc w:val="left"/>
      <w:pPr>
        <w:ind w:left="3600" w:hanging="360"/>
      </w:pPr>
    </w:lvl>
    <w:lvl w:ilvl="5" w:tplc="86169876">
      <w:start w:val="1"/>
      <w:numFmt w:val="lowerRoman"/>
      <w:lvlText w:val="%6."/>
      <w:lvlJc w:val="right"/>
      <w:pPr>
        <w:ind w:left="4320" w:hanging="180"/>
      </w:pPr>
    </w:lvl>
    <w:lvl w:ilvl="6" w:tplc="5C14F76A">
      <w:start w:val="1"/>
      <w:numFmt w:val="decimal"/>
      <w:lvlText w:val="%7."/>
      <w:lvlJc w:val="left"/>
      <w:pPr>
        <w:ind w:left="5040" w:hanging="360"/>
      </w:pPr>
    </w:lvl>
    <w:lvl w:ilvl="7" w:tplc="30965322">
      <w:start w:val="1"/>
      <w:numFmt w:val="lowerLetter"/>
      <w:lvlText w:val="%8."/>
      <w:lvlJc w:val="left"/>
      <w:pPr>
        <w:ind w:left="5760" w:hanging="360"/>
      </w:pPr>
    </w:lvl>
    <w:lvl w:ilvl="8" w:tplc="D7B245CE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8792">
    <w:abstractNumId w:val="9"/>
  </w:num>
  <w:num w:numId="2" w16cid:durableId="1703357930">
    <w:abstractNumId w:val="9"/>
  </w:num>
  <w:num w:numId="3" w16cid:durableId="184908520">
    <w:abstractNumId w:val="7"/>
  </w:num>
  <w:num w:numId="4" w16cid:durableId="732704666">
    <w:abstractNumId w:val="7"/>
  </w:num>
  <w:num w:numId="5" w16cid:durableId="1800680317">
    <w:abstractNumId w:val="6"/>
  </w:num>
  <w:num w:numId="6" w16cid:durableId="1166088255">
    <w:abstractNumId w:val="6"/>
  </w:num>
  <w:num w:numId="7" w16cid:durableId="708528808">
    <w:abstractNumId w:val="5"/>
  </w:num>
  <w:num w:numId="8" w16cid:durableId="1234197486">
    <w:abstractNumId w:val="5"/>
  </w:num>
  <w:num w:numId="9" w16cid:durableId="1337145658">
    <w:abstractNumId w:val="4"/>
  </w:num>
  <w:num w:numId="10" w16cid:durableId="1422601724">
    <w:abstractNumId w:val="4"/>
  </w:num>
  <w:num w:numId="11" w16cid:durableId="4866193">
    <w:abstractNumId w:val="8"/>
  </w:num>
  <w:num w:numId="12" w16cid:durableId="1418330532">
    <w:abstractNumId w:val="8"/>
  </w:num>
  <w:num w:numId="13" w16cid:durableId="1264875958">
    <w:abstractNumId w:val="3"/>
  </w:num>
  <w:num w:numId="14" w16cid:durableId="1669596750">
    <w:abstractNumId w:val="3"/>
  </w:num>
  <w:num w:numId="15" w16cid:durableId="1598052285">
    <w:abstractNumId w:val="2"/>
  </w:num>
  <w:num w:numId="16" w16cid:durableId="1129666983">
    <w:abstractNumId w:val="2"/>
  </w:num>
  <w:num w:numId="17" w16cid:durableId="38941529">
    <w:abstractNumId w:val="1"/>
  </w:num>
  <w:num w:numId="18" w16cid:durableId="1536117421">
    <w:abstractNumId w:val="1"/>
  </w:num>
  <w:num w:numId="19" w16cid:durableId="556205477">
    <w:abstractNumId w:val="0"/>
  </w:num>
  <w:num w:numId="20" w16cid:durableId="1900509979">
    <w:abstractNumId w:val="0"/>
  </w:num>
  <w:num w:numId="21" w16cid:durableId="1043752607">
    <w:abstractNumId w:val="9"/>
  </w:num>
  <w:num w:numId="22" w16cid:durableId="95640287">
    <w:abstractNumId w:val="7"/>
  </w:num>
  <w:num w:numId="23" w16cid:durableId="1076513050">
    <w:abstractNumId w:val="6"/>
  </w:num>
  <w:num w:numId="24" w16cid:durableId="794713317">
    <w:abstractNumId w:val="5"/>
  </w:num>
  <w:num w:numId="25" w16cid:durableId="281231162">
    <w:abstractNumId w:val="4"/>
  </w:num>
  <w:num w:numId="26" w16cid:durableId="1902279896">
    <w:abstractNumId w:val="8"/>
  </w:num>
  <w:num w:numId="27" w16cid:durableId="422649394">
    <w:abstractNumId w:val="3"/>
  </w:num>
  <w:num w:numId="28" w16cid:durableId="1291588655">
    <w:abstractNumId w:val="2"/>
  </w:num>
  <w:num w:numId="29" w16cid:durableId="465203317">
    <w:abstractNumId w:val="1"/>
  </w:num>
  <w:num w:numId="30" w16cid:durableId="2008317902">
    <w:abstractNumId w:val="0"/>
  </w:num>
  <w:num w:numId="31" w16cid:durableId="1791049372">
    <w:abstractNumId w:val="9"/>
  </w:num>
  <w:num w:numId="32" w16cid:durableId="1277323235">
    <w:abstractNumId w:val="7"/>
  </w:num>
  <w:num w:numId="33" w16cid:durableId="785537434">
    <w:abstractNumId w:val="6"/>
  </w:num>
  <w:num w:numId="34" w16cid:durableId="1560288038">
    <w:abstractNumId w:val="5"/>
  </w:num>
  <w:num w:numId="35" w16cid:durableId="210264513">
    <w:abstractNumId w:val="4"/>
  </w:num>
  <w:num w:numId="36" w16cid:durableId="1434327990">
    <w:abstractNumId w:val="8"/>
  </w:num>
  <w:num w:numId="37" w16cid:durableId="1341199436">
    <w:abstractNumId w:val="3"/>
  </w:num>
  <w:num w:numId="38" w16cid:durableId="1481462761">
    <w:abstractNumId w:val="2"/>
  </w:num>
  <w:num w:numId="39" w16cid:durableId="1969775517">
    <w:abstractNumId w:val="1"/>
  </w:num>
  <w:num w:numId="40" w16cid:durableId="1266695612">
    <w:abstractNumId w:val="0"/>
  </w:num>
  <w:num w:numId="41" w16cid:durableId="16889474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5840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bMNU" w:val=" 2"/>
    <w:docVar w:name="AUTHORMFMNU" w:val=" 2"/>
    <w:docVar w:name="COMKEY" w:val="FEMM"/>
    <w:docVar w:name="CONTRIBUTIONMNU" w:val=" 2"/>
    <w:docVar w:name="CopyToNetwork" w:val="-1"/>
    <w:docVar w:name="DOCDT" w:val="24/11/2025"/>
    <w:docVar w:name="FONCTIONMNU" w:val=" 2"/>
    <w:docVar w:name="LastEditedSection" w:val=" 1"/>
    <w:docVar w:name="OTHERHEADINGMNU" w:val=" 2"/>
    <w:docVar w:name="PARTCOUNT" w:val="0"/>
    <w:docVar w:name="strDocTypeID" w:val="PA_NonLegDec"/>
    <w:docVar w:name="strSubDir" w:val="1336"/>
    <w:docVar w:name="TITLEMNU" w:val=" 3"/>
    <w:docVar w:name="TXTAUTHOR" w:val="Raquel García Hermida_x001e_Van Der Walle"/>
    <w:docVar w:name="TXTLANGUE" w:val="HR"/>
    <w:docVar w:name="TXTLANGUEMIN" w:val="hr"/>
    <w:docVar w:name="TXTNRPE" w:val="779.730"/>
    <w:docVar w:name="TXTNRPROC" w:val="2025/2145"/>
    <w:docVar w:name="TXTPEorAP" w:val="PE"/>
    <w:docVar w:name="TXTROUTE" w:val="AD\1336107HR.docx"/>
    <w:docVar w:name="TXTTITLE" w:val="European Commission: Consolidated annual accounts of the European Union - Financial year 2024 - Commission"/>
    <w:docVar w:name="TXTVERSION" w:val="03-00"/>
  </w:docVars>
  <w:rsids>
    <w:rsidRoot w:val="00D852C1"/>
    <w:rsid w:val="000048A8"/>
    <w:rsid w:val="00007A18"/>
    <w:rsid w:val="00037518"/>
    <w:rsid w:val="0004034F"/>
    <w:rsid w:val="00062634"/>
    <w:rsid w:val="000A05CA"/>
    <w:rsid w:val="000B6C4B"/>
    <w:rsid w:val="000D001F"/>
    <w:rsid w:val="000D099F"/>
    <w:rsid w:val="000E6813"/>
    <w:rsid w:val="000E7460"/>
    <w:rsid w:val="000F07FE"/>
    <w:rsid w:val="001275F4"/>
    <w:rsid w:val="00147FBF"/>
    <w:rsid w:val="001746E4"/>
    <w:rsid w:val="001A455F"/>
    <w:rsid w:val="001F2766"/>
    <w:rsid w:val="001F6ED8"/>
    <w:rsid w:val="00207509"/>
    <w:rsid w:val="00212D35"/>
    <w:rsid w:val="00237EAC"/>
    <w:rsid w:val="00245C7F"/>
    <w:rsid w:val="00271180"/>
    <w:rsid w:val="002A321A"/>
    <w:rsid w:val="002A4AC9"/>
    <w:rsid w:val="002B2892"/>
    <w:rsid w:val="002B2C72"/>
    <w:rsid w:val="002C0EE6"/>
    <w:rsid w:val="002C34AE"/>
    <w:rsid w:val="002E2F2E"/>
    <w:rsid w:val="00307C14"/>
    <w:rsid w:val="00313903"/>
    <w:rsid w:val="00344F09"/>
    <w:rsid w:val="003707A7"/>
    <w:rsid w:val="003858C5"/>
    <w:rsid w:val="00385BAB"/>
    <w:rsid w:val="0039003E"/>
    <w:rsid w:val="00393332"/>
    <w:rsid w:val="00396FA9"/>
    <w:rsid w:val="003B72FC"/>
    <w:rsid w:val="003D61DD"/>
    <w:rsid w:val="003D684B"/>
    <w:rsid w:val="003E06CF"/>
    <w:rsid w:val="003E35FB"/>
    <w:rsid w:val="003F3B83"/>
    <w:rsid w:val="00407185"/>
    <w:rsid w:val="00431E30"/>
    <w:rsid w:val="00487232"/>
    <w:rsid w:val="00495CA4"/>
    <w:rsid w:val="004A34E6"/>
    <w:rsid w:val="004B0042"/>
    <w:rsid w:val="004C28FB"/>
    <w:rsid w:val="004E54DC"/>
    <w:rsid w:val="004F48ED"/>
    <w:rsid w:val="00514664"/>
    <w:rsid w:val="00532331"/>
    <w:rsid w:val="00544E2C"/>
    <w:rsid w:val="0055017A"/>
    <w:rsid w:val="00556722"/>
    <w:rsid w:val="00565852"/>
    <w:rsid w:val="00577018"/>
    <w:rsid w:val="005779E7"/>
    <w:rsid w:val="005D0786"/>
    <w:rsid w:val="005E3670"/>
    <w:rsid w:val="005F3A86"/>
    <w:rsid w:val="00600DC9"/>
    <w:rsid w:val="006277C2"/>
    <w:rsid w:val="00643F39"/>
    <w:rsid w:val="00663340"/>
    <w:rsid w:val="0066728C"/>
    <w:rsid w:val="006819E0"/>
    <w:rsid w:val="00697BB9"/>
    <w:rsid w:val="0071319E"/>
    <w:rsid w:val="00722749"/>
    <w:rsid w:val="00772D52"/>
    <w:rsid w:val="007F76EA"/>
    <w:rsid w:val="00805B5B"/>
    <w:rsid w:val="00806587"/>
    <w:rsid w:val="00827A94"/>
    <w:rsid w:val="008818A9"/>
    <w:rsid w:val="008C6240"/>
    <w:rsid w:val="008E7494"/>
    <w:rsid w:val="008F36CD"/>
    <w:rsid w:val="008F7002"/>
    <w:rsid w:val="00952DEC"/>
    <w:rsid w:val="0095301E"/>
    <w:rsid w:val="0095497D"/>
    <w:rsid w:val="00955E7B"/>
    <w:rsid w:val="009669A8"/>
    <w:rsid w:val="00967C5B"/>
    <w:rsid w:val="00970A1F"/>
    <w:rsid w:val="00972FD8"/>
    <w:rsid w:val="00977F76"/>
    <w:rsid w:val="0098140C"/>
    <w:rsid w:val="009A33F4"/>
    <w:rsid w:val="009A403C"/>
    <w:rsid w:val="009B0005"/>
    <w:rsid w:val="009B5265"/>
    <w:rsid w:val="00A2041C"/>
    <w:rsid w:val="00A24FB1"/>
    <w:rsid w:val="00A44AC3"/>
    <w:rsid w:val="00A722B1"/>
    <w:rsid w:val="00A8267E"/>
    <w:rsid w:val="00A93570"/>
    <w:rsid w:val="00A9617A"/>
    <w:rsid w:val="00AA1A2C"/>
    <w:rsid w:val="00AA223C"/>
    <w:rsid w:val="00AF1117"/>
    <w:rsid w:val="00AF77DA"/>
    <w:rsid w:val="00B107A4"/>
    <w:rsid w:val="00B1441B"/>
    <w:rsid w:val="00B362F7"/>
    <w:rsid w:val="00B735E3"/>
    <w:rsid w:val="00B939B2"/>
    <w:rsid w:val="00BB2AC1"/>
    <w:rsid w:val="00BF1218"/>
    <w:rsid w:val="00C002B1"/>
    <w:rsid w:val="00C04938"/>
    <w:rsid w:val="00C175C0"/>
    <w:rsid w:val="00C36610"/>
    <w:rsid w:val="00C47E30"/>
    <w:rsid w:val="00C54AEF"/>
    <w:rsid w:val="00C54F53"/>
    <w:rsid w:val="00C75378"/>
    <w:rsid w:val="00C77ACB"/>
    <w:rsid w:val="00C85D0F"/>
    <w:rsid w:val="00CA0D01"/>
    <w:rsid w:val="00CD4E22"/>
    <w:rsid w:val="00CF7076"/>
    <w:rsid w:val="00D337C0"/>
    <w:rsid w:val="00D41244"/>
    <w:rsid w:val="00D438D0"/>
    <w:rsid w:val="00D44697"/>
    <w:rsid w:val="00D47632"/>
    <w:rsid w:val="00D625A2"/>
    <w:rsid w:val="00D71751"/>
    <w:rsid w:val="00D759AA"/>
    <w:rsid w:val="00D852C1"/>
    <w:rsid w:val="00DA7632"/>
    <w:rsid w:val="00DB4D61"/>
    <w:rsid w:val="00E01434"/>
    <w:rsid w:val="00E0465B"/>
    <w:rsid w:val="00E05697"/>
    <w:rsid w:val="00E12435"/>
    <w:rsid w:val="00E3428B"/>
    <w:rsid w:val="00E3462E"/>
    <w:rsid w:val="00E729C7"/>
    <w:rsid w:val="00E83B40"/>
    <w:rsid w:val="00E9601C"/>
    <w:rsid w:val="00EA78B3"/>
    <w:rsid w:val="00EB19AA"/>
    <w:rsid w:val="00EC2C85"/>
    <w:rsid w:val="00ED66E4"/>
    <w:rsid w:val="00F036E0"/>
    <w:rsid w:val="00F129D0"/>
    <w:rsid w:val="00F46E44"/>
    <w:rsid w:val="00F611FC"/>
    <w:rsid w:val="00F61E8C"/>
    <w:rsid w:val="00F707AB"/>
    <w:rsid w:val="00F753BE"/>
    <w:rsid w:val="00F96D53"/>
    <w:rsid w:val="00FB459D"/>
    <w:rsid w:val="00FD5B42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E3CD7"/>
  <w15:chartTrackingRefBased/>
  <w15:docId w15:val="{9A1D01FA-5936-4523-A35E-11A6B974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BF121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semiHidden/>
    <w:rsid w:val="00BF1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1218"/>
    <w:rPr>
      <w:sz w:val="24"/>
    </w:rPr>
  </w:style>
  <w:style w:type="paragraph" w:styleId="Revision">
    <w:name w:val="Revision"/>
    <w:hidden/>
    <w:uiPriority w:val="99"/>
    <w:semiHidden/>
    <w:rsid w:val="00CD4E22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7F76EA"/>
    <w:rPr>
      <w:sz w:val="24"/>
    </w:rPr>
  </w:style>
  <w:style w:type="paragraph" w:customStyle="1" w:styleId="Normal24a">
    <w:name w:val="Normal24a"/>
    <w:basedOn w:val="Normal"/>
    <w:rsid w:val="007F76EA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7F76EA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7F76E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F76EA"/>
    <w:rPr>
      <w:szCs w:val="24"/>
    </w:rPr>
  </w:style>
  <w:style w:type="paragraph" w:styleId="FootnoteText">
    <w:name w:val="footnote text"/>
    <w:basedOn w:val="Normal"/>
    <w:link w:val="FootnoteTextChar"/>
    <w:rsid w:val="007F76E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F76EA"/>
  </w:style>
  <w:style w:type="character" w:styleId="FootnoteReference">
    <w:name w:val="footnote reference"/>
    <w:basedOn w:val="DefaultParagraphFont"/>
    <w:rsid w:val="007F76EA"/>
    <w:rPr>
      <w:vertAlign w:val="superscript"/>
    </w:rPr>
  </w:style>
  <w:style w:type="character" w:styleId="Hyperlink">
    <w:name w:val="Hyperlink"/>
    <w:basedOn w:val="DefaultParagraphFont"/>
    <w:rsid w:val="007F76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6EA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7F76E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F76E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F76E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F76EA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2179</Words>
  <Characters>12660</Characters>
  <Application>Microsoft Office Word</Application>
  <DocSecurity>0</DocSecurity>
  <Lines>258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2026-02-09T09:05:00Z</dcterms:created>
  <dcterms:modified xsi:type="dcterms:W3CDTF">2026-02-09T09:05:00Z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1336107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Bookout">
    <vt:lpwstr>OK - 2026/02/09 10:05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AD\1336107HR.docx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779.730</vt:lpwstr>
  </property>
  <property fmtid="{D5CDD505-2E9C-101B-9397-08002B2CF9AE}" pid="13" name="SDLStudio">
    <vt:lpwstr/>
  </property>
  <property fmtid="{D5CDD505-2E9C-101B-9397-08002B2CF9AE}" pid="14" name="SendToEpades">
    <vt:lpwstr>OK - 2025/11/27 12:06</vt:lpwstr>
  </property>
</Properties>
</file>