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7915DD" w14:paraId="19E79CB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047B38" w14:textId="77777777" w:rsidR="004F48ED" w:rsidRPr="007915DD" w:rsidRDefault="00D852C1" w:rsidP="00C85D0F">
            <w:pPr>
              <w:pStyle w:val="EPName"/>
            </w:pPr>
            <w:r>
              <w:t>Parlament Europejski</w:t>
            </w:r>
          </w:p>
          <w:p w14:paraId="2CF7DD73" w14:textId="0F260BCF" w:rsidR="004F48ED" w:rsidRPr="007915DD" w:rsidRDefault="00967C5B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BF750E8" w14:textId="77777777" w:rsidR="004F48ED" w:rsidRPr="007915DD" w:rsidRDefault="004F48ED" w:rsidP="00C85D0F">
            <w:pPr>
              <w:pStyle w:val="EPLogo"/>
            </w:pPr>
            <w:r w:rsidRPr="007915DD">
              <w:rPr>
                <w:noProof/>
                <w:lang w:eastAsia="ja-JP"/>
              </w:rPr>
              <w:drawing>
                <wp:inline distT="0" distB="0" distL="0" distR="0" wp14:anchorId="34A8849A" wp14:editId="3FF3C4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74CAEF" w14:textId="77777777" w:rsidR="00E9601C" w:rsidRPr="007915DD" w:rsidRDefault="00E9601C" w:rsidP="00E9601C">
      <w:pPr>
        <w:pStyle w:val="LineTop"/>
      </w:pPr>
    </w:p>
    <w:p w14:paraId="4C9A2F94" w14:textId="260308C8" w:rsidR="00E9601C" w:rsidRPr="007915DD" w:rsidRDefault="00E9601C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Komisja Praw Kobiet i Równouprawnienia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52202B2A" w14:textId="77777777" w:rsidR="00E9601C" w:rsidRPr="007915DD" w:rsidRDefault="00E9601C" w:rsidP="00E9601C">
      <w:pPr>
        <w:pStyle w:val="LineBottom"/>
      </w:pPr>
    </w:p>
    <w:p w14:paraId="003CC09E" w14:textId="77777777" w:rsidR="00F9352D" w:rsidRPr="007915DD" w:rsidRDefault="00F9352D" w:rsidP="00F9352D">
      <w:pPr>
        <w:pStyle w:val="CoverReference"/>
      </w:pPr>
      <w:r>
        <w:rPr>
          <w:rStyle w:val="HideTWBExt"/>
          <w:b w:val="0"/>
        </w:rPr>
        <w:t>&lt;RefProc&gt;</w:t>
      </w:r>
      <w:r>
        <w:t>2025/2145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35B60FF1" w14:textId="77777777" w:rsidR="00F9352D" w:rsidRPr="007915DD" w:rsidRDefault="00F9352D" w:rsidP="00F9352D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proofErr w:type="gramStart"/>
      <w:r>
        <w:t>28.1.2026</w:t>
      </w:r>
      <w:proofErr w:type="gramEnd"/>
      <w:r>
        <w:rPr>
          <w:rStyle w:val="HideTWBExt"/>
        </w:rPr>
        <w:t>&lt;/Date&gt;</w:t>
      </w:r>
    </w:p>
    <w:p w14:paraId="248E6047" w14:textId="77777777" w:rsidR="00F9352D" w:rsidRPr="007915DD" w:rsidRDefault="00F9352D" w:rsidP="00F9352D">
      <w:pPr>
        <w:pStyle w:val="CoverDocType24a"/>
      </w:pPr>
      <w:r>
        <w:rPr>
          <w:rStyle w:val="HideTWBExt"/>
          <w:b w:val="0"/>
        </w:rPr>
        <w:t>&lt;TitreType&gt;</w:t>
      </w:r>
      <w:r>
        <w:t>OPINIA</w:t>
      </w:r>
      <w:r>
        <w:rPr>
          <w:rStyle w:val="HideTWBExt"/>
          <w:b w:val="0"/>
        </w:rPr>
        <w:t>&lt;/TitreType&gt;</w:t>
      </w:r>
    </w:p>
    <w:p w14:paraId="05104FD9" w14:textId="77777777" w:rsidR="00F9352D" w:rsidRPr="007915DD" w:rsidRDefault="00F9352D" w:rsidP="00F9352D">
      <w:pPr>
        <w:pStyle w:val="CoverNormal24a"/>
      </w:pPr>
      <w:r>
        <w:rPr>
          <w:rStyle w:val="HideTWBExt"/>
        </w:rPr>
        <w:t>&lt;CommissionResp&gt;</w:t>
      </w:r>
      <w:r>
        <w:t>Komisji Praw Kobiet i Równouprawnienia</w:t>
      </w:r>
      <w:r>
        <w:rPr>
          <w:rStyle w:val="HideTWBExt"/>
        </w:rPr>
        <w:t>&lt;/CommissionResp&gt;</w:t>
      </w:r>
    </w:p>
    <w:p w14:paraId="5DD3F951" w14:textId="77777777" w:rsidR="00F9352D" w:rsidRPr="007915DD" w:rsidRDefault="00F9352D" w:rsidP="00F9352D">
      <w:pPr>
        <w:pStyle w:val="CoverNormal24a"/>
      </w:pPr>
      <w:r>
        <w:rPr>
          <w:rStyle w:val="HideTWBExt"/>
        </w:rPr>
        <w:t>&lt;CommissionInt&gt;</w:t>
      </w:r>
      <w:r>
        <w:t>dla Komisji Kontroli Budżetowej</w:t>
      </w:r>
      <w:r>
        <w:rPr>
          <w:rStyle w:val="HideTWBExt"/>
        </w:rPr>
        <w:t>&lt;/CommissionInt&gt;</w:t>
      </w:r>
    </w:p>
    <w:p w14:paraId="28108F30" w14:textId="77777777" w:rsidR="00F9352D" w:rsidRPr="007915DD" w:rsidRDefault="00F9352D" w:rsidP="00F9352D">
      <w:pPr>
        <w:pStyle w:val="CoverNormal"/>
      </w:pPr>
      <w:r>
        <w:rPr>
          <w:rStyle w:val="HideTWBExt"/>
        </w:rPr>
        <w:t>&lt;Titre&gt;</w:t>
      </w:r>
      <w:r>
        <w:t>w sprawie absolutorium z wykonania budżetu ogólnego Unii Europejskiej za rok budżetowy 2024, sekcja III – Komisja</w:t>
      </w:r>
      <w:r>
        <w:rPr>
          <w:rStyle w:val="HideTWBExt"/>
        </w:rPr>
        <w:t>&lt;/Titre&gt;</w:t>
      </w:r>
    </w:p>
    <w:p w14:paraId="1E51FA75" w14:textId="77777777" w:rsidR="00F9352D" w:rsidRPr="007915DD" w:rsidRDefault="00F9352D" w:rsidP="00F9352D">
      <w:pPr>
        <w:pStyle w:val="CoverNormal24a"/>
      </w:pPr>
      <w:r>
        <w:rPr>
          <w:rStyle w:val="HideTWBExt"/>
        </w:rPr>
        <w:t>&lt;DocRef&gt;</w:t>
      </w:r>
      <w:r>
        <w:t>(2025/2145(DEC))</w:t>
      </w:r>
      <w:r>
        <w:rPr>
          <w:rStyle w:val="HideTWBExt"/>
        </w:rPr>
        <w:t>&lt;/DocRef&gt;</w:t>
      </w:r>
    </w:p>
    <w:p w14:paraId="4A02220F" w14:textId="77777777" w:rsidR="00F9352D" w:rsidRPr="007915DD" w:rsidRDefault="00F9352D" w:rsidP="00F9352D">
      <w:pPr>
        <w:pStyle w:val="CoverNormal24a"/>
      </w:pPr>
      <w:r>
        <w:t xml:space="preserve">Sprawozdawczyni komisji opiniodawczej: </w:t>
      </w:r>
      <w:r>
        <w:rPr>
          <w:rStyle w:val="HideTWBExt"/>
        </w:rPr>
        <w:t>&lt;Depute&gt;</w:t>
      </w:r>
      <w:r>
        <w:t>Raquel García Hermida</w:t>
      </w:r>
      <w:r>
        <w:noBreakHyphen/>
        <w:t>Van Der Walle</w:t>
      </w:r>
      <w:r>
        <w:rPr>
          <w:rStyle w:val="HideTWBExt"/>
        </w:rPr>
        <w:t>&lt;/Depute&gt;</w:t>
      </w:r>
    </w:p>
    <w:p w14:paraId="4EE18532" w14:textId="77777777" w:rsidR="00F9352D" w:rsidRPr="007915DD" w:rsidRDefault="00F9352D" w:rsidP="00F9352D">
      <w:pPr>
        <w:pStyle w:val="CoverNormal"/>
      </w:pPr>
    </w:p>
    <w:p w14:paraId="3CBFB0A5" w14:textId="77777777" w:rsidR="00F9352D" w:rsidRPr="007915DD" w:rsidRDefault="00F9352D" w:rsidP="00F9352D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14:paraId="20E88FD9" w14:textId="77777777" w:rsidR="00F9352D" w:rsidRPr="007915DD" w:rsidRDefault="00F9352D" w:rsidP="00F9352D">
      <w:pPr>
        <w:pStyle w:val="PageHeadingNotTOC"/>
      </w:pPr>
      <w:r>
        <w:br w:type="page"/>
        <w:t>OPINIA</w:t>
      </w:r>
    </w:p>
    <w:p w14:paraId="14E32C82" w14:textId="77777777" w:rsidR="00F9352D" w:rsidRPr="007915DD" w:rsidRDefault="00F9352D" w:rsidP="00F9352D">
      <w:pPr>
        <w:pStyle w:val="Normal12a"/>
      </w:pPr>
      <w:r>
        <w:t>Komisja Praw Kobiet i Równouprawnienia zwraca się do Komisji Kontroli Budżetowej, jako komisji przedmiotowo właściwej, o uwzględnienie w końcowym tekście projektu rezolucji tego, co następuje:</w:t>
      </w:r>
      <w:r>
        <w:rPr>
          <w:rStyle w:val="HideTWBExt"/>
        </w:rPr>
        <w:t>&lt;RepeatBlock-Dec&gt;</w:t>
      </w:r>
    </w:p>
    <w:p w14:paraId="32827F27" w14:textId="77777777" w:rsidR="00F9352D" w:rsidRPr="007915DD" w:rsidRDefault="00F9352D" w:rsidP="00F9352D">
      <w:pPr>
        <w:pStyle w:val="NormalHanging12a"/>
      </w:pPr>
      <w:r>
        <w:t>A.</w:t>
      </w:r>
      <w:r>
        <w:tab/>
        <w:t>mając na uwadze, że równość płci jest podstawową wartością Unii, zapisaną w art. 2 Traktatu o Unii Europejskiej; mając na uwadze, że zgodnie z art. 8 TFUE Unia zobowiązuje się do wspierania równości płci we wszystkich działaniach, a tym samym do uwzględniania aspektu płci oraz do sporządzania budżetu z uwzględnieniem aspektu płci we wszystkich strategiach politycznych; mając na uwadze, że budżety nie są neutralne pod względem płci i trzeba je sporządzać, a także udzielać absolutorium z ich wykonania, z myślą o równości płci; mając na uwadze, że Karta praw podstawowych Unii Europejskiej nie tylko gwarantuje równość płci, ale także chroni godność osoby ludzkiej i zabrania wszelkich form dyskryminacji, w tym dyskryminacji ze względu na orientację seksualną i tożsamość płciową;</w:t>
      </w:r>
    </w:p>
    <w:p w14:paraId="0C8F3FA6" w14:textId="3ED0119E" w:rsidR="00F9352D" w:rsidRPr="007915DD" w:rsidRDefault="00F9352D" w:rsidP="00F9352D">
      <w:pPr>
        <w:pStyle w:val="NormalHanging12a"/>
      </w:pPr>
      <w:r>
        <w:t>B.</w:t>
      </w:r>
      <w:r>
        <w:tab/>
        <w:t>mając na uwadze, że Parlament wielokrotnie wzywał Komisję, aby wspierała i wdrażała uwzględnianie aspektu płci we wszystkich strategiach politycznych Unii, w tym by sporządzała budżet z uwzględnieniem aspektu płci; mając na uwadze, że przy sporządzaniu budżetu z uwzględnieniem aspektu płci trzeba uwzględniać perspektywę intersekcjonalną;</w:t>
      </w:r>
    </w:p>
    <w:p w14:paraId="2A70AA66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C.</w:t>
      </w:r>
      <w:r>
        <w:tab/>
        <w:t>mając na uwadze, że UE znacznie zwiększyła środki przeznaczone na militaryzację, w tym na zbrojenia, infrastrukturę, badania w dziedzinie bezpieczeństwa, mobilność wojskową, ochronę granic i eksternalizację; mając na uwadze, że zmiany te grożą przekierowaniem środków z działań na rzecz równości płci, spójności społecznej i zwalczania przemocy ze względu na płeć;</w:t>
      </w:r>
    </w:p>
    <w:p w14:paraId="1CD81DDC" w14:textId="77777777" w:rsidR="00F9352D" w:rsidRPr="007915DD" w:rsidRDefault="00F9352D" w:rsidP="00F9352D">
      <w:pPr>
        <w:pStyle w:val="NormalHanging12a"/>
      </w:pPr>
      <w:r>
        <w:t>D.</w:t>
      </w:r>
      <w:r>
        <w:tab/>
        <w:t>mając na uwadze, że wskaźnik równouprawnienia płci na rok 2025 dla UE wynosi 63,4, co oznacza wzrost o 10,5 punktu procentowego od 2010 r.; mając na uwadze, że osiągnięcie równości płci w UE zajmie jeszcze co najmniej 50 lat; mając na uwadze, że na równość płci w Unii negatywnie wpłynęły nasilające się ruchy antygenderowe, seksizm i silne uprzedzenia wobec kobiet oraz regres w zakresie równości płci, zwłaszcza w odniesieniu do zdrowia seksualnego i reprodukcyjnego oraz praw w tym zakresie w kilku państwach członkowskich; mając na uwadze, że na równość płci wpływają dodatkowo wojny, trwający kryzys klimatyczny, energetyczny, społeczny i kryzys kosztów utrzymania, które w nieproporcjonalny sposób dotykają kobiety;</w:t>
      </w:r>
    </w:p>
    <w:p w14:paraId="19A2ADEB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E.</w:t>
      </w:r>
      <w:r>
        <w:tab/>
        <w:t>mając na uwadze, że co trzecia kobieta doświadcza przemocy; mając na uwadze, że każdego dnia na całym świecie 140 kobiet i dziewcząt ginie z rąk partnera lub krewnego; mając na uwadze, że 7 maja 2024 r. przyjęto dyrektywę w sprawie zwalczania przemocy wobec kobiet i przemocy domowej, która weszła w życie 14 czerwca 2024 r.; mając na uwadze, że w porównaniu z 2019 r. nietolerancja wobec osób LGBTIQ+, a w szczególności osób transpłciowych, drastycznie wzrosła; mając na uwadze, że w porównaniu z 2019 r. wzrosła liczba aktów przemocy i przestępstw z nienawiści wobec osób LGBTIQ+, przy czym największy wzrost odnotowano w przypadku ataków na kobiety transpłciowe i mężczyzn transpłciowych; mając na uwadze, że program Daphne, mający na celu ochronę ofiar przemocy, w tym kobiet i dzieci, stanowi kluczowy instrument UE służący zwalczaniu przemocy ze względu na płeć i ochronie praw podstawowych, oraz że należy zapewnić jego dalsze finansowanie i wsparcie w ramach budżetu i polityki Unii;</w:t>
      </w:r>
    </w:p>
    <w:p w14:paraId="65E6ABF3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F.</w:t>
      </w:r>
      <w:r>
        <w:tab/>
        <w:t>mając na uwadze, że inwestycje w równość płci wzmacniają wzrost gospodarczy, odporność i spójność społeczną w całej UE; mając na uwadze, że dynamiczna i konkurencyjna gospodarka wymaga równości płci, przedsiębiorczości i innowacji; mając na uwadze, że również polityka gospodarcza wymaga uwzględniania aspektu płci, aby gospodarka europejska służyła wszystkim kobietom; mając na uwadze, że wspieranie kobiet w zakładaniu i prowadzeniu ich własnych przedsiębiorstw przyczynia się do dywersyfikacji gospodarczej i zmniejsza różnice między kobietami a mężczyznami w dostępie do przedsiębiorczości i stanowisk przywódczych;</w:t>
      </w:r>
    </w:p>
    <w:p w14:paraId="336F5946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1.</w:t>
      </w:r>
      <w:r>
        <w:tab/>
        <w:t>podkreśla, że perspektywę równości płci należy uwzględnić i zapewnić we wszystkich obszarach polityki, zwłaszcza w świetle wielorakich związanych z płcią skutków różnych trwających kryzysów – klimatycznego, energetycznego i społecznego – a także wojen i kryzysu związanego z kosztami utrzymania, ze szczególnym uwzględnieniem zdrowia i praw seksualnych i reprodukcyjnych oraz regresu w dziedzinie równości płci i praw kobiet w UE; ponawia zatem apel o sporządzanie budżetu z uwzględnieniem aspektu płci na wszystkich odpowiednich etapach procedury budżetowej; wzywa Komisję do poprawy uwzględniania aspektu płci od początkowych etapów opracowywania programów oraz do ustanowienia horyzontalnego przepisu dotyczącego równości płci, zawierającego ogólny cel w zakresie równości;</w:t>
      </w:r>
    </w:p>
    <w:p w14:paraId="43C27A4A" w14:textId="77777777" w:rsidR="00F9352D" w:rsidRPr="007915DD" w:rsidRDefault="00F9352D" w:rsidP="00F9352D">
      <w:pPr>
        <w:pStyle w:val="NormalHanging12a"/>
      </w:pPr>
      <w:r>
        <w:t>2.</w:t>
      </w:r>
      <w:r>
        <w:tab/>
        <w:t>uznaje zaangażowanie Unii na rzecz uwzględniania aspektu płci i poprawy metodyki monitorowania wydatków związanych z płcią; ubolewa, że obecna metodyka Komisji nie odzwierciedla potencjalnych negatywnych konsekwencji, a w 20 % przypadków prowadzi do niepewności co do wpływu w aspekcie płci; wzywa Komisję do poprawy narzędzi oceny, aby zapewnić jaśniejsze wyniki i monitorować potencjalny niekorzystny wpływ; uważa, że metodykę monitorowania można by uzupełnić obowiązkowymi minimalnymi kryteriami, takimi jak oceny wpływu w aspekcie płci, które powinny być powiązane z systemami monitorowania;</w:t>
      </w:r>
    </w:p>
    <w:p w14:paraId="47456356" w14:textId="77777777" w:rsidR="00F9352D" w:rsidRPr="007915DD" w:rsidRDefault="00F9352D" w:rsidP="00F9352D">
      <w:pPr>
        <w:pStyle w:val="NormalHanging12a"/>
      </w:pPr>
      <w:r>
        <w:t>3.</w:t>
      </w:r>
      <w:r>
        <w:tab/>
        <w:t>przyjmuje z zadowoleniem zaktualizowane wytyczne i zestaw instrumentów dotyczących lepszego stanowienia prawa; ubolewa nad brakiem postępów w przeprowadzaniu analiz unijnych programów finansowania pod kątem potrzeb i wpływu w aspekcie płci; apeluje do Komisji, by podczas opracowywania i wdrażania programów UE oraz instrumentów finansowania stosowała oceny skutków pod względem konkurencyjności, w tym analizy uwzględniające aspekt płci, w celu zapewnienia skutecznych i sprawiedliwych wyników polityki; apeluje do Komisji, by regularnie przeprowadzała takie analizy; wzywa Komisję do pełnego włączenia kwestii uwzględniania aspektu płci do kolejnych wieloletnich ram finansowych oraz, w stosownych przypadkach, do sporządzania budżetu z uwzględnieniem aspektu płci, aby włączyć perspektywę płci do wszystkich obszarów polityki, budżetów i środków łagodzących oraz propagować prawa kobiet i równość płci;</w:t>
      </w:r>
    </w:p>
    <w:p w14:paraId="5176E457" w14:textId="77777777" w:rsidR="00F9352D" w:rsidRPr="007915DD" w:rsidRDefault="00F9352D" w:rsidP="00F9352D">
      <w:pPr>
        <w:pStyle w:val="NormalHanging12a"/>
        <w:rPr>
          <w:b/>
          <w:i/>
        </w:rPr>
      </w:pPr>
      <w:r>
        <w:t>4.</w:t>
      </w:r>
      <w:r>
        <w:tab/>
        <w:t>zauważa, że informacje na temat wpływu budżetu UE w aspekcie płci są nadal niewystarczające; podkreśla niedociągnięcia w manualnym gromadzeniu i ocenie danych segregowanych według kryterium płci oraz w sprawozdawczości na ten temat, a także brak podejścia intersekcjonalnego; apeluje do Komisji, by poprawiła jakość danych; zwraca uwagę, że kluczowym wnioskiem ze stosowania metodyki pilotażowej była ograniczona możliwość przypisywania konkretnych wyników ze względu na brak wymaganych danych; apeluje o zapewnienie porównywalności wszystkich danych, tak aby były one przydatne w procesie kształtowania polityki; podkreśla w związku z tym znaczenie wymogów w zakresie gromadzenia danych, aby umożliwić kompleksowe gromadzenie danych segregowanych według kryterium płci w kontekście wszystkich odpowiednich strategii politycznych UE; wzywa Komisję, by priorytetowo potraktowała tę kwestię;</w:t>
      </w:r>
    </w:p>
    <w:p w14:paraId="5922B844" w14:textId="77777777" w:rsidR="00F9352D" w:rsidRPr="007915DD" w:rsidRDefault="00F9352D" w:rsidP="00F9352D">
      <w:pPr>
        <w:pStyle w:val="NormalHanging12a"/>
      </w:pPr>
      <w:r>
        <w:t>5.</w:t>
      </w:r>
      <w:r>
        <w:tab/>
        <w:t>apeluje do Komisji, by przeanalizowała, jaki odsetek budżetu UE powinno się przeznaczyć na wspieranie równości płci; ponadto apeluje o określenie celów i wskaźników wykonania we wszystkich przyszłych przepisach, w tym w kolejnych WRF.</w:t>
      </w:r>
    </w:p>
    <w:p w14:paraId="489A4C2E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6.</w:t>
      </w:r>
      <w:r>
        <w:tab/>
        <w:t>apeluje do Komisji, by przeznaczyła odpowiedni odsetek całkowitego budżetu UE na komponent „Równość i prawa” w ramach programu „Obywatele, równość, prawa i wartości” (CERV) oraz na program Daphne; ubolewa nad brakiem określonych linii budżetowych na środki poświęcone równości płci; ponawia swój apel o specjalną linię budżetową dla programu Daphne w celu zwiększenia przejrzystości i rozliczalności w dystrybucji funduszy; apeluje o stabilne ramy finansowania w celu zapewnienia skuteczności i trwałości programu Daphne z myślą o ochronie kobiet i dzieci przed przemocą; wyraża ubolewanie z powodu połączenia programów „Kreatywna Europa” i CERV w proponowanych WRF, ponieważ zmniejsza to widoczność programu Daphne; wzywa UE do uznania tego programu za priorytet;</w:t>
      </w:r>
    </w:p>
    <w:p w14:paraId="7DA431D3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7.</w:t>
      </w:r>
      <w:r>
        <w:tab/>
        <w:t>z zadowoleniem przyjmuje dyrektywę w sprawie zwalczania przemocy wobec kobiet i przemocy domowej; wzywa państwa członkowskie do szybkiego wdrożenia dyrektywy i nalega, by zwiększyły liczbę schronisk dla ofiar przemocy domowej, ze szczególnym uwzględnieniem limitów określonych w Konwencji Rady Europy o zapobieganiu i zwalczaniu przemocy wobec kobiet i przemocy domowej, tzw. konwencji stambulskiej (jedno miejsce rodzinne na 10 000 mieszkańców); podkreśla, że kobietobójstwo, rozumiane jako zabójstwo kobiet i dziewcząt ze względu na płeć, stanowi jedną z najbardziej ekstremalnych form przemocy ze względu na płeć i poważne naruszenie praw podstawowych; zdecydowanie potępia brak zharmonizowanej definicji tego przestępstwa oraz utrzymujące się niespójności w gromadzeniu danych na jego temat i zgłaszaniu jego przypadków; wzywa do opracowania europejskiej definicji tego przestępstwa;</w:t>
      </w:r>
    </w:p>
    <w:p w14:paraId="0561D428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8.</w:t>
      </w:r>
      <w:r>
        <w:tab/>
        <w:t>podkreśla, że ze względu na wzrost nietolerancji wobec osób LGBTIQ+ trzeba przeznaczyć odpowiedni budżet na środki na rzecz zwalczania uprzedzeń wobec osób LGBTIQ+, takie jak m.in. telefon zaufania w celu uzyskania porady i pomocy; podkreśla, jak ważne jest, by w pełni uznać kobiety transpłciowe za kobiety oraz zauważa, że ich włączenie jest niezbędne dla skuteczności wszelkich strategii politycznych na rzecz równości płci i przeciwdziałania przemocy; apeluje o uznanie kobiet transpłciowych i zapewnienie im równego dostępu do usług ochrony i wsparcia; wzywa państwa członkowskie do zapewnienia pełnej i skutecznej ochrony osób LGBTIQ+ przed dyskryminacją, nękaniem i przemocą, w tym przez wzmocnienie krajowych ram prawnych, usprawnienie mechanizmów zgłaszania przestępstw oraz zagwarantowanie odpowiednich postępowań przygotowawczych dotyczących przestępstw z nienawiści i ich ściganie; wzywa również Radę do kontynuowania prac nad unijną dyrektywą o przeciwdziałaniu dyskryminacji; wzywa Komisję, by ściśle monitorowała przestrzeganie przez państwa członkowskie wartości UE oraz w razie potrzeby wszczynała postępowania w sprawie uchybienia zobowiązaniom państwa członkowskiego;</w:t>
      </w:r>
    </w:p>
    <w:p w14:paraId="568E9CC9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9.</w:t>
      </w:r>
      <w:r>
        <w:tab/>
        <w:t>przypomina zawarte w wytycznych politycznych zobowiązanie Komisji do zwiększenia współpracy z organizacjami społeczeństwa obywatelskiego, które dysponują wiedzą fachową i odgrywają ważną rolę w obronie konkretnych kwestii społecznych i staniu na straży praw człowieka; przypomina, że możliwość udziału organizacji społeczeństwa obywatelskiego – dzięki finansowaniu unijnemu – w otwartym, przejrzystym i zorganizowanym dialogu z instytucjami Unii, zgodnie z art. 11 TUE, za pośrednictwem takich działań jak rzecznictwo, demonstracje czy postępowania sądowe ma fundamentalne znaczenie i że działania te powinny nadal kwalifikować się do objęcia odpowiednimi programami finansowania oraz że należy udostępnić na ten cel wystarczające środki finansowe;</w:t>
      </w:r>
    </w:p>
    <w:p w14:paraId="7F876907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10.</w:t>
      </w:r>
      <w:r>
        <w:tab/>
        <w:t>podkreśla znaczenie pobudzania wzrostu gospodarczego w całej Unii, w tym za sprawą inicjatyw sprzyjających uczestnictwu kobiet w rynku pracy, ich przedsiębiorczości i przywództwie;</w:t>
      </w:r>
    </w:p>
    <w:p w14:paraId="755B2422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11.</w:t>
      </w:r>
      <w:r>
        <w:tab/>
        <w:t>ponownie wyraża zaniepokojenie, że istnieje związek między atakami na praworządność, demokrację i prawa człowieka a regresem w obszarze równości płci i praw kobiet; podkreśla, że niezależne i dysponujące odpowiednimi zasobami organizacje zajmujące się prawami kobiet są niezastąpionymi podmiotami w propagowaniu równości płci, poprawie zdrowia i praw seksualnych i reprodukcyjnych oraz ochronie demokracji i praw człowieka; podkreśla, że w kontekście rosnących wpływów ruchów antygenderowych – definiowanych jako ruchy mające na celu podważenie równości płci jako podstawowej wartości demokratycznej – oraz w świetle kurczącej się przestrzeni działania społeczeństwa obywatelskiego organizacje te stoją przed coraz większymi wyzwaniami finansowymi i operacyjnymi; wzywa Komisję do zagwarantowania, że fundusze UE nie będą przyznawane żadnemu podmiotowi, który przyczynia się do regresu w obszarze praw kobiet, zwiększania nierówności lub działania przeciwko równości płci, w tym zdrowiu i prawom seksualnym i reprodukcyjnym oraz prawom kobiet do integralności cielesnej, autonomii i samostanowienia; wzywa Komisję do uwzględnienia zmieniającej się sytuacji w zakresie finansowania na świecie oraz do dopilnowania, by mechanizmy finansowania UE pozostały dostępne, elastyczne i dostosowane do konkretnych potrzeb i wymogów bezpieczeństwa organizacji zajmujących się prawami kobiet, w szczególności tych działających w środowiskach wysokiego ryzyka;</w:t>
      </w:r>
    </w:p>
    <w:p w14:paraId="6A9EB2F3" w14:textId="77777777" w:rsidR="00F9352D" w:rsidRPr="007915DD" w:rsidRDefault="00F9352D" w:rsidP="00F9352D">
      <w:pPr>
        <w:pStyle w:val="NormalHanging12a"/>
        <w:rPr>
          <w:bCs/>
          <w:iCs/>
        </w:rPr>
      </w:pPr>
      <w:r>
        <w:t>12.</w:t>
      </w:r>
      <w:r>
        <w:tab/>
        <w:t>powtarza, że zdrowie i prawa seksualne i reprodukcyjne są podstawowymi prawami człowieka, a ich realizacja jest podstawowym aspektem godności osoby ludzkiej i warunkiem wstępnym osiągnięcia równości płci; wzywa do podjęcia zdecydowanych europejskich wysiłków na rzecz ochrony naszych podstawowych wartości, takich jak równe prawa do autonomii cielesnej i dostęp do zdrowia seksualnego i reprodukcyjnego oraz praw w tym zakresie, w tym bezpiecznej i legalnej aborcji; zaznacza, że trzeba zwiększyć środki budżetowe na wsparcie powszechnego poszanowania zdrowia i praw seksualnych i reprodukcyjnych oraz dostępu nich, w tym do bezpiecznej i legalnej aborcji; wyraża głębokie zaniepokojenie faktem, że kobiety i dziewczęta są narażone na przemoc seksualną i przemoc ze względu na płeć w strefach konfliktu i wojny, czego przykładem jest trwająca rosyjska wojna napastnicza i jej wpływ na kobiety i dziewczęta w Ukrainie; potępia te czyny jako poważne naruszenia międzynarodowego prawa humanitarnego i prawa międzynarodowego praw człowieka; podkreśla, że ofiarom trzeba pilnie zapewnić kompleksową pomoc, na przykład opiekę medyczną, usługi opieki zdrowotnej w zakresie zdrowia seksualnego, a także pomoc psychologiczną, prawną i społeczno-gospodarczą;</w:t>
      </w:r>
    </w:p>
    <w:p w14:paraId="6543FA07" w14:textId="77777777" w:rsidR="00F9352D" w:rsidRPr="007915DD" w:rsidRDefault="00F9352D" w:rsidP="00F9352D">
      <w:pPr>
        <w:ind w:left="567" w:hanging="567"/>
        <w:rPr>
          <w:rStyle w:val="HideTWBExt"/>
        </w:rPr>
      </w:pPr>
      <w:r>
        <w:rPr>
          <w:rStyle w:val="HideTWBExt"/>
        </w:rPr>
        <w:t>&lt;/RepeatBlock-Dec&gt;</w:t>
      </w:r>
    </w:p>
    <w:p w14:paraId="7BDBD201" w14:textId="77777777" w:rsidR="00F9352D" w:rsidRPr="007915DD" w:rsidRDefault="00F9352D" w:rsidP="00F9352D">
      <w:pPr>
        <w:ind w:left="567" w:hanging="567"/>
      </w:pPr>
    </w:p>
    <w:p w14:paraId="3B146D0B" w14:textId="77777777" w:rsidR="00F9352D" w:rsidRPr="007915DD" w:rsidRDefault="00F9352D" w:rsidP="00F9352D"/>
    <w:p w14:paraId="2E7EC590" w14:textId="77777777" w:rsidR="000E00BF" w:rsidRDefault="000E00BF" w:rsidP="00F9352D">
      <w:pPr>
        <w:sectPr w:rsidR="000E00BF" w:rsidSect="000E00B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23C2F3A" w14:textId="5D3889D0" w:rsidR="000E00BF" w:rsidRPr="00D7238E" w:rsidRDefault="000E00BF" w:rsidP="002B2C72">
      <w:pPr>
        <w:pStyle w:val="PageHeadingNotTOC"/>
      </w:pPr>
      <w:bookmarkStart w:id="0" w:name="FootprintPageAD"/>
      <w:r>
        <w:t>ZAŁĄCZNIK: WYKAZ PODMIOTÓW, OD KTÓRYCH SPRAWOZDAWCA OTRZYMAŁ INFORMACJE</w:t>
      </w:r>
    </w:p>
    <w:p w14:paraId="0533700B" w14:textId="0C6C7B75" w:rsidR="000E00BF" w:rsidRPr="000E00BF" w:rsidRDefault="000E00BF" w:rsidP="000E00BF">
      <w:pPr>
        <w:pStyle w:val="Normal24a"/>
      </w:pPr>
      <w:r>
        <w:rPr>
          <w:rStyle w:val="HideTWBExt"/>
        </w:rPr>
        <w:t>&lt;FootprintIntro&gt;</w:t>
      </w:r>
      <w:r>
        <w:t>Sprawozdawczyni komisji opiniodawczej oświadcza na swoją wyłączną odpowiedzialność, że nie ujęła w swojej opinii żadnych informacji od przedstawicieli grup interesu objętych zakresem porozumienia międzyinstytucjonalnego w sprawie obowiązkowego rejestru służącego przejrzystości</w:t>
      </w:r>
      <w:r>
        <w:rPr>
          <w:rStyle w:val="FootnoteReference"/>
        </w:rPr>
        <w:footnoteReference w:id="1"/>
      </w:r>
      <w:r>
        <w:t xml:space="preserve"> ani od przedstawicieli organów publicznych państw trzecich, w tym ich misji dyplomatycznych i ambasad, których należy wskazać w tym załączniku zgodnie z </w:t>
      </w:r>
    </w:p>
    <w:bookmarkEnd w:id="0"/>
    <w:p w14:paraId="215E01FB" w14:textId="77777777" w:rsidR="000E00BF" w:rsidRDefault="000E00BF" w:rsidP="000E00BF">
      <w:pPr>
        <w:sectPr w:rsidR="000E00BF" w:rsidSect="000E00BF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3897E081" w14:textId="05979DC9" w:rsidR="000E00BF" w:rsidRDefault="000E00BF" w:rsidP="000E00BF">
      <w:pPr>
        <w:pStyle w:val="PageHeadingNotTOC"/>
      </w:pPr>
      <w:bookmarkStart w:id="1" w:name="ProcPageAD"/>
      <w:r>
        <w:t>INFORMACJE O PRZYJĘCIU PRZEZ KOMISJĘ OPINIODAWCZĄ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0E00BF" w14:paraId="1BC8357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58C8DE1" w14:textId="77777777" w:rsidR="000E00BF" w:rsidRDefault="000E00B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C2BC27C" w14:textId="77777777" w:rsidR="000E00BF" w:rsidRDefault="000E00B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27.1.2026</w:t>
            </w:r>
            <w:proofErr w:type="gramEnd"/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5D0EF67" w14:textId="77777777" w:rsidR="000E00BF" w:rsidRDefault="000E00B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B7D330A" w14:textId="77777777" w:rsidR="000E00BF" w:rsidRDefault="000E00B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D1BBA56" w14:textId="77777777" w:rsidR="000E00BF" w:rsidRDefault="000E00BF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0E00BF" w14:paraId="66F039C6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B79687" w14:textId="77777777" w:rsidR="000E00BF" w:rsidRDefault="000E00B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16AEC2" w14:textId="77777777" w:rsidR="000E00BF" w:rsidRDefault="000E00B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213B09AB" w14:textId="77777777" w:rsidR="000E00BF" w:rsidRDefault="000E00B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70EE99A5" w14:textId="77777777" w:rsidR="000E00BF" w:rsidRDefault="000E00B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C893572" w14:textId="77777777" w:rsidR="000E00BF" w:rsidRDefault="000E00B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14:paraId="06D41C7A" w14:textId="77777777" w:rsidR="000E00BF" w:rsidRDefault="000E00B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  <w:p w14:paraId="1255216E" w14:textId="77777777" w:rsidR="000E00BF" w:rsidRDefault="000E00B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</w:tbl>
    <w:p w14:paraId="28E53F57" w14:textId="77777777" w:rsidR="000E00BF" w:rsidRPr="000E00BF" w:rsidRDefault="000E00BF" w:rsidP="000E00BF"/>
    <w:bookmarkEnd w:id="1"/>
    <w:p w14:paraId="268D069E" w14:textId="77777777" w:rsidR="000E00BF" w:rsidRDefault="000E00BF" w:rsidP="000E00BF">
      <w:pPr>
        <w:sectPr w:rsidR="000E00BF" w:rsidSect="000E00BF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77D2F3AE" w14:textId="77777777" w:rsidR="00F9352D" w:rsidRPr="000E00BF" w:rsidRDefault="00F9352D" w:rsidP="00F9352D"/>
    <w:p w14:paraId="2FF9CDFB" w14:textId="77777777" w:rsidR="000E00BF" w:rsidRDefault="000E00BF" w:rsidP="00C36610">
      <w:pPr>
        <w:pStyle w:val="PageHeadingNotTOC"/>
        <w:rPr>
          <w:noProof/>
        </w:rPr>
      </w:pPr>
      <w:bookmarkStart w:id="2" w:name="RollCallPageAD"/>
      <w:r>
        <w:t>GŁOSOWANIE KOŃCOWE W FORMIE GŁOSOWANIA IMIENNEGO</w:t>
      </w:r>
    </w:p>
    <w:p w14:paraId="1D212EA3" w14:textId="1D5FE084" w:rsidR="000E00BF" w:rsidRPr="0099178F" w:rsidRDefault="000E00BF" w:rsidP="00C36610">
      <w:pPr>
        <w:pStyle w:val="PageHeadingNotTOC"/>
      </w:pPr>
      <w:r>
        <w:t>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E00BF" w:rsidRPr="007915DD" w14:paraId="2E3045BD" w14:textId="77777777" w:rsidTr="003F2134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49D4EECD" w14:textId="77777777" w:rsidR="000E00BF" w:rsidRPr="007915DD" w:rsidRDefault="000E00BF" w:rsidP="003F2134">
            <w:pPr>
              <w:pStyle w:val="RollCallVotes"/>
            </w:pPr>
            <w:r>
              <w:t>22</w:t>
            </w:r>
          </w:p>
        </w:tc>
        <w:tc>
          <w:tcPr>
            <w:tcW w:w="7371" w:type="dxa"/>
            <w:shd w:val="pct10" w:color="000000" w:fill="FFFFFF"/>
          </w:tcPr>
          <w:p w14:paraId="08D9FFA0" w14:textId="77777777" w:rsidR="000E00BF" w:rsidRPr="007915DD" w:rsidRDefault="000E00BF" w:rsidP="003F2134">
            <w:pPr>
              <w:pStyle w:val="RollCallSymbols14pt"/>
            </w:pPr>
            <w:r>
              <w:t>+</w:t>
            </w:r>
          </w:p>
        </w:tc>
      </w:tr>
      <w:tr w:rsidR="000E00BF" w:rsidRPr="007915DD" w14:paraId="44CBB135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0CF0285F" w14:textId="77777777" w:rsidR="000E00BF" w:rsidRPr="007915DD" w:rsidRDefault="000E00BF" w:rsidP="003F2134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74498DA4" w14:textId="77777777" w:rsidR="000E00BF" w:rsidRPr="007915DD" w:rsidRDefault="000E00BF" w:rsidP="003F2134">
            <w:pPr>
              <w:pStyle w:val="RollCallTable"/>
            </w:pPr>
            <w:r>
              <w:t>Ewa Kopacz, Verena Mertens, Mirosława Nykiel, Giusi Princi, Maria Walsh</w:t>
            </w:r>
          </w:p>
        </w:tc>
      </w:tr>
      <w:tr w:rsidR="000E00BF" w:rsidRPr="007915DD" w14:paraId="3F8F9AC8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555A15FE" w14:textId="77777777" w:rsidR="000E00BF" w:rsidRPr="007915DD" w:rsidRDefault="000E00BF" w:rsidP="003F2134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7C0AA602" w14:textId="77777777" w:rsidR="000E00BF" w:rsidRPr="007915DD" w:rsidRDefault="000E00BF" w:rsidP="003F2134">
            <w:pPr>
              <w:pStyle w:val="RollCallTable"/>
            </w:pPr>
            <w:r>
              <w:t>Abir Al-Sahlani, Raquel García Hermida-Van Der Walle, Lucia Yar, Dainius Žalimas</w:t>
            </w:r>
          </w:p>
        </w:tc>
      </w:tr>
      <w:tr w:rsidR="000E00BF" w:rsidRPr="007915DD" w14:paraId="06DCFBBD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0331AE78" w14:textId="77777777" w:rsidR="000E00BF" w:rsidRPr="007915DD" w:rsidRDefault="000E00BF" w:rsidP="003F2134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23FEF3D5" w14:textId="77777777" w:rsidR="000E00BF" w:rsidRPr="007915DD" w:rsidRDefault="000E00BF" w:rsidP="003F2134">
            <w:pPr>
              <w:pStyle w:val="RollCallTable"/>
            </w:pPr>
            <w:r>
              <w:t>Gabriela Firea, Heléne Fritzon, Lina Gálvez, Maria Noichl, Joanna Scheuring-Wielgus, Cecilia Strada, Marko Vešligaj</w:t>
            </w:r>
          </w:p>
        </w:tc>
      </w:tr>
      <w:tr w:rsidR="000E00BF" w:rsidRPr="00705E02" w14:paraId="450E4885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66B24578" w14:textId="77777777" w:rsidR="000E00BF" w:rsidRPr="007915DD" w:rsidRDefault="000E00BF" w:rsidP="003F2134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601FF531" w14:textId="77777777" w:rsidR="000E00BF" w:rsidRPr="00705E02" w:rsidRDefault="000E00BF" w:rsidP="003F2134">
            <w:pPr>
              <w:pStyle w:val="RollCallTable"/>
              <w:rPr>
                <w:lang w:val="it-IT"/>
              </w:rPr>
            </w:pPr>
            <w:r w:rsidRPr="00705E02">
              <w:rPr>
                <w:lang w:val="it-IT"/>
              </w:rPr>
              <w:t>Hanna Gedin, Irene Montero, Carolina Morace</w:t>
            </w:r>
          </w:p>
        </w:tc>
      </w:tr>
      <w:tr w:rsidR="000E00BF" w:rsidRPr="00705E02" w14:paraId="773BD402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5000E97C" w14:textId="77777777" w:rsidR="000E00BF" w:rsidRPr="007915DD" w:rsidRDefault="000E00BF" w:rsidP="003F2134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4E0A2BB6" w14:textId="77777777" w:rsidR="000E00BF" w:rsidRPr="00705E02" w:rsidRDefault="000E00BF" w:rsidP="003F2134">
            <w:pPr>
              <w:pStyle w:val="RollCallTable"/>
              <w:rPr>
                <w:lang w:val="it-IT"/>
              </w:rPr>
            </w:pPr>
            <w:r w:rsidRPr="00705E02">
              <w:rPr>
                <w:lang w:val="it-IT"/>
              </w:rPr>
              <w:t>Mélissa Camara, Alexandra Geese, Benedetta Scuderi</w:t>
            </w:r>
          </w:p>
        </w:tc>
      </w:tr>
    </w:tbl>
    <w:p w14:paraId="4D414A56" w14:textId="77777777" w:rsidR="000E00BF" w:rsidRPr="000E00BF" w:rsidRDefault="000E00BF" w:rsidP="000E00BF">
      <w:pPr>
        <w:rPr>
          <w:lang w:val="it-IT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E00BF" w:rsidRPr="007915DD" w14:paraId="07E2984D" w14:textId="77777777" w:rsidTr="003F2134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CCD9796" w14:textId="77777777" w:rsidR="000E00BF" w:rsidRPr="007915DD" w:rsidRDefault="000E00BF" w:rsidP="003F2134">
            <w:pPr>
              <w:pStyle w:val="RollCallVotes"/>
            </w:pPr>
            <w:r>
              <w:t>8</w:t>
            </w:r>
          </w:p>
        </w:tc>
        <w:tc>
          <w:tcPr>
            <w:tcW w:w="7371" w:type="dxa"/>
            <w:shd w:val="pct10" w:color="000000" w:fill="FFFFFF"/>
          </w:tcPr>
          <w:p w14:paraId="563D473B" w14:textId="77777777" w:rsidR="000E00BF" w:rsidRPr="007915DD" w:rsidRDefault="000E00BF" w:rsidP="003F2134">
            <w:pPr>
              <w:pStyle w:val="RollCallSymbols14pt"/>
            </w:pPr>
            <w:r>
              <w:t>-</w:t>
            </w:r>
          </w:p>
        </w:tc>
      </w:tr>
      <w:tr w:rsidR="000E00BF" w:rsidRPr="007915DD" w14:paraId="75DF84CD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1AF96ABC" w14:textId="77777777" w:rsidR="000E00BF" w:rsidRPr="007915DD" w:rsidRDefault="000E00BF" w:rsidP="003F2134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6D8080F1" w14:textId="77777777" w:rsidR="000E00BF" w:rsidRPr="007915DD" w:rsidRDefault="000E00BF" w:rsidP="003F2134">
            <w:pPr>
              <w:pStyle w:val="RollCallTable"/>
            </w:pPr>
            <w:r>
              <w:t>Chiara Gemma, Beatrice Timgren</w:t>
            </w:r>
          </w:p>
        </w:tc>
      </w:tr>
      <w:tr w:rsidR="000E00BF" w:rsidRPr="007915DD" w14:paraId="7B28787F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1AF69201" w14:textId="77777777" w:rsidR="000E00BF" w:rsidRPr="007915DD" w:rsidRDefault="000E00BF" w:rsidP="003F2134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004BE8A3" w14:textId="77777777" w:rsidR="000E00BF" w:rsidRPr="007915DD" w:rsidRDefault="000E00BF" w:rsidP="003F2134">
            <w:pPr>
              <w:pStyle w:val="RollCallTable"/>
            </w:pPr>
            <w:r>
              <w:t>Fernand Kartheiser</w:t>
            </w:r>
          </w:p>
        </w:tc>
      </w:tr>
      <w:tr w:rsidR="000E00BF" w:rsidRPr="007915DD" w14:paraId="1FB570E2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5AA3A4AF" w14:textId="77777777" w:rsidR="000E00BF" w:rsidRPr="007915DD" w:rsidRDefault="000E00BF" w:rsidP="003F2134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52F1C23D" w14:textId="77777777" w:rsidR="000E00BF" w:rsidRPr="007915DD" w:rsidRDefault="000E00BF" w:rsidP="003F2134">
            <w:pPr>
              <w:pStyle w:val="RollCallTable"/>
            </w:pPr>
            <w:r>
              <w:t>Mathilde Androuët, Mireia Borrás Pabón, Elisabeth Dieringer, Margarita de la Pisa Carrión, Anders Vistisen</w:t>
            </w:r>
          </w:p>
        </w:tc>
      </w:tr>
    </w:tbl>
    <w:p w14:paraId="0EB855F6" w14:textId="77777777" w:rsidR="000E00BF" w:rsidRPr="007915DD" w:rsidRDefault="000E00BF" w:rsidP="000E00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0E00BF" w:rsidRPr="007915DD" w14:paraId="11135AA5" w14:textId="77777777" w:rsidTr="003F2134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0C67943" w14:textId="77777777" w:rsidR="000E00BF" w:rsidRPr="007915DD" w:rsidRDefault="000E00BF" w:rsidP="003F2134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14:paraId="6926D056" w14:textId="77777777" w:rsidR="000E00BF" w:rsidRPr="007915DD" w:rsidRDefault="000E00BF" w:rsidP="003F2134">
            <w:pPr>
              <w:pStyle w:val="RollCallSymbols14pt"/>
            </w:pPr>
            <w:r>
              <w:t>0</w:t>
            </w:r>
          </w:p>
        </w:tc>
      </w:tr>
      <w:tr w:rsidR="000E00BF" w:rsidRPr="007915DD" w14:paraId="1909D9B7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2E8938E5" w14:textId="77777777" w:rsidR="000E00BF" w:rsidRPr="007915DD" w:rsidRDefault="000E00BF" w:rsidP="003F2134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61587192" w14:textId="77777777" w:rsidR="000E00BF" w:rsidRPr="007915DD" w:rsidRDefault="000E00BF" w:rsidP="003F2134">
            <w:pPr>
              <w:pStyle w:val="RollCallTable"/>
            </w:pPr>
            <w:r>
              <w:t>Judita Laššáková</w:t>
            </w:r>
          </w:p>
        </w:tc>
      </w:tr>
      <w:tr w:rsidR="000E00BF" w:rsidRPr="007915DD" w14:paraId="52EB7B41" w14:textId="77777777" w:rsidTr="003F2134">
        <w:trPr>
          <w:cantSplit/>
        </w:trPr>
        <w:tc>
          <w:tcPr>
            <w:tcW w:w="1701" w:type="dxa"/>
            <w:shd w:val="clear" w:color="auto" w:fill="FFFFFF"/>
          </w:tcPr>
          <w:p w14:paraId="29F1F5A2" w14:textId="77777777" w:rsidR="000E00BF" w:rsidRPr="007915DD" w:rsidRDefault="000E00BF" w:rsidP="003F2134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42690B83" w14:textId="77777777" w:rsidR="000E00BF" w:rsidRPr="007915DD" w:rsidRDefault="000E00BF" w:rsidP="003F2134">
            <w:pPr>
              <w:pStyle w:val="RollCallTable"/>
            </w:pPr>
            <w:r>
              <w:t>Rosa Estaràs Ferragut</w:t>
            </w:r>
          </w:p>
        </w:tc>
      </w:tr>
    </w:tbl>
    <w:p w14:paraId="4973F0BE" w14:textId="77777777" w:rsidR="000E00BF" w:rsidRDefault="000E00BF" w:rsidP="00147FBF">
      <w:pPr>
        <w:pStyle w:val="Normal12a"/>
      </w:pPr>
    </w:p>
    <w:p w14:paraId="7FE775E5" w14:textId="43E278D9" w:rsidR="000E00BF" w:rsidRDefault="000E00BF" w:rsidP="00B735E3">
      <w:r>
        <w:t>Objaśnienie używanych znaków:</w:t>
      </w:r>
    </w:p>
    <w:p w14:paraId="6DA2E054" w14:textId="3D379F15" w:rsidR="000E00BF" w:rsidRDefault="000E00BF" w:rsidP="003858C5">
      <w:pPr>
        <w:pStyle w:val="RollCallTabs"/>
      </w:pPr>
      <w:r>
        <w:t>+</w:t>
      </w:r>
      <w:r>
        <w:tab/>
        <w:t>:</w:t>
      </w:r>
      <w:r>
        <w:tab/>
        <w:t>za</w:t>
      </w:r>
    </w:p>
    <w:p w14:paraId="1C84E663" w14:textId="0E64CEF9" w:rsidR="000E00BF" w:rsidRDefault="000E00BF" w:rsidP="003858C5">
      <w:pPr>
        <w:pStyle w:val="RollCallTabs"/>
      </w:pPr>
      <w:r>
        <w:t>-</w:t>
      </w:r>
      <w:r>
        <w:tab/>
        <w:t>:</w:t>
      </w:r>
      <w:r>
        <w:tab/>
        <w:t>przeciw</w:t>
      </w:r>
    </w:p>
    <w:p w14:paraId="31871EC9" w14:textId="53D899B2" w:rsidR="000E00BF" w:rsidRDefault="000E00BF" w:rsidP="003858C5">
      <w:pPr>
        <w:pStyle w:val="RollCallTabs"/>
      </w:pPr>
      <w:r>
        <w:t>0</w:t>
      </w:r>
      <w:r>
        <w:tab/>
        <w:t>:</w:t>
      </w:r>
      <w:r>
        <w:tab/>
        <w:t>wstrzymało się</w:t>
      </w:r>
    </w:p>
    <w:p w14:paraId="27B4CF0D" w14:textId="77777777" w:rsidR="000E00BF" w:rsidRDefault="000E00BF" w:rsidP="00207509"/>
    <w:bookmarkEnd w:id="2"/>
    <w:p w14:paraId="615DF7A9" w14:textId="1CBA35B7" w:rsidR="009F7C5A" w:rsidRPr="007915DD" w:rsidRDefault="009F7C5A" w:rsidP="00F9352D">
      <w:pPr>
        <w:pStyle w:val="CoverReference"/>
      </w:pPr>
    </w:p>
    <w:sectPr w:rsidR="009F7C5A" w:rsidRPr="007915DD" w:rsidSect="000E00BF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47C6A" w14:textId="77777777" w:rsidR="00D852C1" w:rsidRPr="007915DD" w:rsidRDefault="00D852C1">
      <w:r w:rsidRPr="007915DD">
        <w:separator/>
      </w:r>
    </w:p>
  </w:endnote>
  <w:endnote w:type="continuationSeparator" w:id="0">
    <w:p w14:paraId="3289F56C" w14:textId="77777777" w:rsidR="00D852C1" w:rsidRPr="007915DD" w:rsidRDefault="00D852C1">
      <w:r w:rsidRPr="007915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89306" w14:textId="77777777" w:rsidR="00132901" w:rsidRPr="007915DD" w:rsidRDefault="00132901" w:rsidP="00132901">
    <w:pPr>
      <w:pStyle w:val="EPFooter"/>
    </w:pPr>
    <w:r w:rsidRPr="007915DD">
      <w:t>PE</w:t>
    </w:r>
    <w:r w:rsidRPr="007915DD">
      <w:rPr>
        <w:rStyle w:val="HideTWBExt"/>
      </w:rPr>
      <w:t>&lt;NoPE&gt;</w:t>
    </w:r>
    <w:r w:rsidRPr="007915DD">
      <w:t>779.730</w:t>
    </w:r>
    <w:r w:rsidRPr="007915DD">
      <w:rPr>
        <w:rStyle w:val="HideTWBExt"/>
      </w:rPr>
      <w:t>&lt;/NoPE&gt;&lt;Version&gt;</w:t>
    </w:r>
    <w:r w:rsidRPr="007915DD">
      <w:t>v03-00</w:t>
    </w:r>
    <w:r w:rsidRPr="007915DD">
      <w:rPr>
        <w:rStyle w:val="HideTWBExt"/>
      </w:rPr>
      <w:t>&lt;/Version&gt;</w:t>
    </w:r>
    <w:r w:rsidRPr="007915DD">
      <w:tab/>
    </w:r>
    <w:r w:rsidRPr="007915DD">
      <w:fldChar w:fldCharType="begin"/>
    </w:r>
    <w:r w:rsidRPr="007915DD">
      <w:instrText xml:space="preserve"> PAGE  \* MERGEFORMAT </w:instrText>
    </w:r>
    <w:r w:rsidRPr="007915DD">
      <w:fldChar w:fldCharType="separate"/>
    </w:r>
    <w:r w:rsidRPr="007915DD">
      <w:rPr>
        <w:noProof/>
      </w:rPr>
      <w:t>8</w:t>
    </w:r>
    <w:r w:rsidRPr="007915DD">
      <w:fldChar w:fldCharType="end"/>
    </w:r>
    <w:r w:rsidRPr="007915DD">
      <w:t>/</w:t>
    </w:r>
    <w:r w:rsidR="00705E02">
      <w:fldChar w:fldCharType="begin"/>
    </w:r>
    <w:r w:rsidR="00705E02">
      <w:instrText xml:space="preserve"> NUMPAGES  \* MERGEFORMAT </w:instrText>
    </w:r>
    <w:r w:rsidR="00705E02">
      <w:fldChar w:fldCharType="separate"/>
    </w:r>
    <w:r w:rsidRPr="007915DD">
      <w:rPr>
        <w:noProof/>
      </w:rPr>
      <w:t>9</w:t>
    </w:r>
    <w:r w:rsidR="00705E02">
      <w:rPr>
        <w:noProof/>
      </w:rPr>
      <w:fldChar w:fldCharType="end"/>
    </w:r>
    <w:r w:rsidRPr="007915DD">
      <w:tab/>
    </w:r>
    <w:r w:rsidRPr="007915DD">
      <w:rPr>
        <w:rStyle w:val="HideTWBExt"/>
      </w:rPr>
      <w:t>&lt;PathFdR&gt;</w:t>
    </w:r>
    <w:r w:rsidRPr="007915DD">
      <w:t>AD\1336107PL.docx</w:t>
    </w:r>
    <w:r w:rsidRPr="007915DD">
      <w:rPr>
        <w:rStyle w:val="HideTWBExt"/>
      </w:rPr>
      <w:t>&lt;/PathFdR&gt;</w:t>
    </w:r>
  </w:p>
  <w:p w14:paraId="48607B87" w14:textId="6C81AE11" w:rsidR="00F9352D" w:rsidRPr="007915DD" w:rsidRDefault="00132901" w:rsidP="00132901">
    <w:pPr>
      <w:pStyle w:val="EPFooter2"/>
    </w:pPr>
    <w:r w:rsidRPr="007915D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69B5" w14:textId="77777777" w:rsidR="00132901" w:rsidRPr="007915DD" w:rsidRDefault="00132901" w:rsidP="00132901">
    <w:pPr>
      <w:pStyle w:val="EPFooter"/>
    </w:pPr>
    <w:r w:rsidRPr="007915DD">
      <w:rPr>
        <w:rStyle w:val="HideTWBExt"/>
      </w:rPr>
      <w:t>&lt;PathFdR&gt;</w:t>
    </w:r>
    <w:r w:rsidRPr="007915DD">
      <w:t>AD\1336107PL.docx</w:t>
    </w:r>
    <w:r w:rsidRPr="007915DD">
      <w:rPr>
        <w:rStyle w:val="HideTWBExt"/>
      </w:rPr>
      <w:t>&lt;/PathFdR&gt;</w:t>
    </w:r>
    <w:r w:rsidRPr="007915DD">
      <w:tab/>
    </w:r>
    <w:r w:rsidRPr="007915DD">
      <w:fldChar w:fldCharType="begin"/>
    </w:r>
    <w:r w:rsidRPr="007915DD">
      <w:instrText xml:space="preserve"> PAGE  \* MERGEFORMAT </w:instrText>
    </w:r>
    <w:r w:rsidRPr="007915DD">
      <w:fldChar w:fldCharType="separate"/>
    </w:r>
    <w:r w:rsidRPr="007915DD">
      <w:rPr>
        <w:noProof/>
      </w:rPr>
      <w:t>9</w:t>
    </w:r>
    <w:r w:rsidRPr="007915DD">
      <w:fldChar w:fldCharType="end"/>
    </w:r>
    <w:r w:rsidRPr="007915DD">
      <w:t>/</w:t>
    </w:r>
    <w:r w:rsidR="00705E02">
      <w:fldChar w:fldCharType="begin"/>
    </w:r>
    <w:r w:rsidR="00705E02">
      <w:instrText xml:space="preserve"> NUMPAGES  \* MERGEFORMAT </w:instrText>
    </w:r>
    <w:r w:rsidR="00705E02">
      <w:fldChar w:fldCharType="separate"/>
    </w:r>
    <w:r w:rsidRPr="007915DD">
      <w:rPr>
        <w:noProof/>
      </w:rPr>
      <w:t>9</w:t>
    </w:r>
    <w:r w:rsidR="00705E02">
      <w:rPr>
        <w:noProof/>
      </w:rPr>
      <w:fldChar w:fldCharType="end"/>
    </w:r>
    <w:r w:rsidRPr="007915DD">
      <w:tab/>
      <w:t>PE</w:t>
    </w:r>
    <w:r w:rsidRPr="007915DD">
      <w:rPr>
        <w:rStyle w:val="HideTWBExt"/>
      </w:rPr>
      <w:t>&lt;NoPE&gt;</w:t>
    </w:r>
    <w:r w:rsidRPr="007915DD">
      <w:t>779.730</w:t>
    </w:r>
    <w:r w:rsidRPr="007915DD">
      <w:rPr>
        <w:rStyle w:val="HideTWBExt"/>
      </w:rPr>
      <w:t>&lt;/NoPE&gt;&lt;Version&gt;</w:t>
    </w:r>
    <w:r w:rsidRPr="007915DD">
      <w:t>v03-00</w:t>
    </w:r>
    <w:r w:rsidRPr="007915DD">
      <w:rPr>
        <w:rStyle w:val="HideTWBExt"/>
      </w:rPr>
      <w:t>&lt;/Version&gt;</w:t>
    </w:r>
  </w:p>
  <w:p w14:paraId="482770F0" w14:textId="4E49997A" w:rsidR="00F9352D" w:rsidRPr="007915DD" w:rsidRDefault="00132901" w:rsidP="00132901">
    <w:pPr>
      <w:pStyle w:val="EPFooter2"/>
    </w:pPr>
    <w:r w:rsidRPr="007915DD">
      <w:tab/>
    </w:r>
    <w:r w:rsidRPr="007915DD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27032" w14:textId="77777777" w:rsidR="00132901" w:rsidRPr="007915DD" w:rsidRDefault="00132901" w:rsidP="00132901">
    <w:pPr>
      <w:pStyle w:val="EPFooter"/>
    </w:pPr>
    <w:r w:rsidRPr="007915DD">
      <w:rPr>
        <w:rStyle w:val="HideTWBExt"/>
      </w:rPr>
      <w:t>&lt;PathFdR&gt;</w:t>
    </w:r>
    <w:r w:rsidRPr="007915DD">
      <w:t>AD\1336107PL.docx</w:t>
    </w:r>
    <w:r w:rsidRPr="007915DD">
      <w:rPr>
        <w:rStyle w:val="HideTWBExt"/>
      </w:rPr>
      <w:t>&lt;/PathFdR&gt;</w:t>
    </w:r>
    <w:r w:rsidRPr="007915DD">
      <w:tab/>
    </w:r>
    <w:r w:rsidRPr="007915DD">
      <w:tab/>
      <w:t>PE</w:t>
    </w:r>
    <w:r w:rsidRPr="007915DD">
      <w:rPr>
        <w:rStyle w:val="HideTWBExt"/>
      </w:rPr>
      <w:t>&lt;NoPE&gt;</w:t>
    </w:r>
    <w:r w:rsidRPr="007915DD">
      <w:t>779.730</w:t>
    </w:r>
    <w:r w:rsidRPr="007915DD">
      <w:rPr>
        <w:rStyle w:val="HideTWBExt"/>
      </w:rPr>
      <w:t>&lt;/NoPE&gt;&lt;Version&gt;</w:t>
    </w:r>
    <w:r w:rsidRPr="007915DD">
      <w:t>v03-00</w:t>
    </w:r>
    <w:r w:rsidRPr="007915DD">
      <w:rPr>
        <w:rStyle w:val="HideTWBExt"/>
      </w:rPr>
      <w:t>&lt;/Version&gt;</w:t>
    </w:r>
  </w:p>
  <w:p w14:paraId="7E359ECB" w14:textId="0D5E08D7" w:rsidR="00F9352D" w:rsidRPr="007915DD" w:rsidRDefault="00132901" w:rsidP="00132901">
    <w:pPr>
      <w:pStyle w:val="EPFooter2"/>
    </w:pPr>
    <w:r w:rsidRPr="007915DD">
      <w:t>PL</w:t>
    </w:r>
    <w:r w:rsidRPr="007915DD">
      <w:tab/>
    </w:r>
    <w:r w:rsidRPr="007915DD">
      <w:rPr>
        <w:b w:val="0"/>
        <w:i/>
        <w:color w:val="C0C0C0"/>
        <w:sz w:val="22"/>
      </w:rPr>
      <w:t>Zjednoczona w różnorodności</w:t>
    </w:r>
    <w:r w:rsidRPr="007915DD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FB8B1" w14:textId="2261DE33" w:rsidR="00DF592C" w:rsidRPr="00705E02" w:rsidRDefault="00DF592C" w:rsidP="00DF592C">
    <w:pPr>
      <w:pStyle w:val="EPFooter"/>
      <w:rPr>
        <w:lang w:val="en-GB"/>
      </w:rPr>
    </w:pPr>
    <w:r w:rsidRPr="00705E02">
      <w:rPr>
        <w:rStyle w:val="HideTWBExt"/>
        <w:lang w:val="en-GB"/>
      </w:rPr>
      <w:t>&lt;PathFdR&gt;</w:t>
    </w:r>
    <w:r w:rsidR="007915DD" w:rsidRPr="00705E02">
      <w:rPr>
        <w:lang w:val="en-GB"/>
      </w:rPr>
      <w:t>AD\1336107PL.docx</w:t>
    </w:r>
    <w:r w:rsidRPr="00705E02">
      <w:rPr>
        <w:rStyle w:val="HideTWBExt"/>
        <w:lang w:val="en-GB"/>
      </w:rPr>
      <w:t>&lt;/PathFdR&gt;</w:t>
    </w:r>
    <w:r w:rsidRPr="00705E02">
      <w:rPr>
        <w:lang w:val="en-GB"/>
      </w:rPr>
      <w:tab/>
    </w:r>
    <w:r w:rsidRPr="00705E02">
      <w:rPr>
        <w:lang w:val="en-GB"/>
      </w:rPr>
      <w:tab/>
      <w:t>PE</w:t>
    </w:r>
    <w:r w:rsidRPr="00705E02">
      <w:rPr>
        <w:rStyle w:val="HideTWBExt"/>
        <w:lang w:val="en-GB"/>
      </w:rPr>
      <w:t>&lt;NoPE&gt;</w:t>
    </w:r>
    <w:r w:rsidRPr="00705E02">
      <w:rPr>
        <w:lang w:val="en-GB"/>
      </w:rPr>
      <w:t>779.730</w:t>
    </w:r>
    <w:r w:rsidRPr="00705E02">
      <w:rPr>
        <w:rStyle w:val="HideTWBExt"/>
        <w:lang w:val="en-GB"/>
      </w:rPr>
      <w:t>&lt;/NoPE&gt;&lt;Version&gt;</w:t>
    </w:r>
    <w:r w:rsidRPr="00705E02">
      <w:rPr>
        <w:lang w:val="en-GB"/>
      </w:rPr>
      <w:t>v03-00</w:t>
    </w:r>
    <w:r w:rsidRPr="00705E02">
      <w:rPr>
        <w:rStyle w:val="HideTWBExt"/>
        <w:lang w:val="en-GB"/>
      </w:rPr>
      <w:t>&lt;/Version&gt;</w:t>
    </w:r>
  </w:p>
  <w:p w14:paraId="73483246" w14:textId="1211F69C" w:rsidR="00C75378" w:rsidRPr="00705E02" w:rsidRDefault="00DF592C" w:rsidP="00DF592C">
    <w:pPr>
      <w:pStyle w:val="EPFooter2"/>
      <w:rPr>
        <w:lang w:val="en-GB"/>
      </w:rPr>
    </w:pPr>
    <w:r w:rsidRPr="00705E02">
      <w:rPr>
        <w:lang w:val="en-GB"/>
      </w:rPr>
      <w:t>EN</w:t>
    </w:r>
    <w:r w:rsidRPr="00705E02">
      <w:rPr>
        <w:lang w:val="en-GB"/>
      </w:rPr>
      <w:tab/>
    </w:r>
    <w:r w:rsidRPr="00705E02">
      <w:rPr>
        <w:b w:val="0"/>
        <w:i/>
        <w:color w:val="C0C0C0"/>
        <w:sz w:val="22"/>
        <w:lang w:val="en-GB"/>
      </w:rPr>
      <w:t>United in diversity</w:t>
    </w:r>
    <w:r w:rsidRPr="00705E02">
      <w:rPr>
        <w:lang w:val="en-GB"/>
      </w:rPr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3E754" w14:textId="77777777" w:rsidR="00D852C1" w:rsidRPr="007915DD" w:rsidRDefault="00D852C1">
      <w:r w:rsidRPr="007915DD">
        <w:separator/>
      </w:r>
    </w:p>
  </w:footnote>
  <w:footnote w:type="continuationSeparator" w:id="0">
    <w:p w14:paraId="52DF6909" w14:textId="77777777" w:rsidR="00D852C1" w:rsidRPr="007915DD" w:rsidRDefault="00D852C1">
      <w:r w:rsidRPr="007915DD">
        <w:continuationSeparator/>
      </w:r>
    </w:p>
  </w:footnote>
  <w:footnote w:id="1">
    <w:p w14:paraId="1398B509" w14:textId="6524FE73" w:rsidR="000E00BF" w:rsidRDefault="000E00BF">
      <w:pPr>
        <w:pStyle w:val="FootnoteText"/>
      </w:pPr>
      <w:r>
        <w:rPr>
          <w:rStyle w:val="FootnoteReference"/>
        </w:rPr>
        <w:footnoteRef/>
      </w:r>
      <w:r>
        <w:t xml:space="preserve"> Porozumienie międzyinstytucjonalne z 20 maja 2021 r. pomiędzy Parlamentem Europejskim, Radą Unii Europejskiej i Komisją Europejską w sprawie obowiązkowego rejestru służącego przejrzystości (Dz.U. L 207 z 11.6.2021, s.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FCFF6" w14:textId="77777777" w:rsidR="000E00BF" w:rsidRDefault="000E00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F6C1" w14:textId="77777777" w:rsidR="000E00BF" w:rsidRDefault="000E00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0F05" w14:textId="77777777" w:rsidR="000E00BF" w:rsidRDefault="000E00B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A6324" w14:textId="77777777" w:rsidR="00DF592C" w:rsidRPr="00DF592C" w:rsidRDefault="00DF592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177BC" w14:textId="77777777" w:rsidR="00DF592C" w:rsidRPr="00DF592C" w:rsidRDefault="00DF592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6C012" w14:textId="77777777" w:rsidR="00DF592C" w:rsidRPr="00DF592C" w:rsidRDefault="00DF59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DE5403"/>
    <w:multiLevelType w:val="multilevel"/>
    <w:tmpl w:val="9B605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ED0BDE"/>
    <w:multiLevelType w:val="hybridMultilevel"/>
    <w:tmpl w:val="ED42BA7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28792">
    <w:abstractNumId w:val="9"/>
  </w:num>
  <w:num w:numId="2" w16cid:durableId="1703357930">
    <w:abstractNumId w:val="9"/>
  </w:num>
  <w:num w:numId="3" w16cid:durableId="184908520">
    <w:abstractNumId w:val="7"/>
  </w:num>
  <w:num w:numId="4" w16cid:durableId="732704666">
    <w:abstractNumId w:val="7"/>
  </w:num>
  <w:num w:numId="5" w16cid:durableId="1800680317">
    <w:abstractNumId w:val="6"/>
  </w:num>
  <w:num w:numId="6" w16cid:durableId="1166088255">
    <w:abstractNumId w:val="6"/>
  </w:num>
  <w:num w:numId="7" w16cid:durableId="708528808">
    <w:abstractNumId w:val="5"/>
  </w:num>
  <w:num w:numId="8" w16cid:durableId="1234197486">
    <w:abstractNumId w:val="5"/>
  </w:num>
  <w:num w:numId="9" w16cid:durableId="1337145658">
    <w:abstractNumId w:val="4"/>
  </w:num>
  <w:num w:numId="10" w16cid:durableId="1422601724">
    <w:abstractNumId w:val="4"/>
  </w:num>
  <w:num w:numId="11" w16cid:durableId="4866193">
    <w:abstractNumId w:val="8"/>
  </w:num>
  <w:num w:numId="12" w16cid:durableId="1418330532">
    <w:abstractNumId w:val="8"/>
  </w:num>
  <w:num w:numId="13" w16cid:durableId="1264875958">
    <w:abstractNumId w:val="3"/>
  </w:num>
  <w:num w:numId="14" w16cid:durableId="1669596750">
    <w:abstractNumId w:val="3"/>
  </w:num>
  <w:num w:numId="15" w16cid:durableId="1598052285">
    <w:abstractNumId w:val="2"/>
  </w:num>
  <w:num w:numId="16" w16cid:durableId="1129666983">
    <w:abstractNumId w:val="2"/>
  </w:num>
  <w:num w:numId="17" w16cid:durableId="38941529">
    <w:abstractNumId w:val="1"/>
  </w:num>
  <w:num w:numId="18" w16cid:durableId="1536117421">
    <w:abstractNumId w:val="1"/>
  </w:num>
  <w:num w:numId="19" w16cid:durableId="556205477">
    <w:abstractNumId w:val="0"/>
  </w:num>
  <w:num w:numId="20" w16cid:durableId="1900509979">
    <w:abstractNumId w:val="0"/>
  </w:num>
  <w:num w:numId="21" w16cid:durableId="1043752607">
    <w:abstractNumId w:val="9"/>
  </w:num>
  <w:num w:numId="22" w16cid:durableId="95640287">
    <w:abstractNumId w:val="7"/>
  </w:num>
  <w:num w:numId="23" w16cid:durableId="1076513050">
    <w:abstractNumId w:val="6"/>
  </w:num>
  <w:num w:numId="24" w16cid:durableId="794713317">
    <w:abstractNumId w:val="5"/>
  </w:num>
  <w:num w:numId="25" w16cid:durableId="281231162">
    <w:abstractNumId w:val="4"/>
  </w:num>
  <w:num w:numId="26" w16cid:durableId="1902279896">
    <w:abstractNumId w:val="8"/>
  </w:num>
  <w:num w:numId="27" w16cid:durableId="422649394">
    <w:abstractNumId w:val="3"/>
  </w:num>
  <w:num w:numId="28" w16cid:durableId="1291588655">
    <w:abstractNumId w:val="2"/>
  </w:num>
  <w:num w:numId="29" w16cid:durableId="465203317">
    <w:abstractNumId w:val="1"/>
  </w:num>
  <w:num w:numId="30" w16cid:durableId="2008317902">
    <w:abstractNumId w:val="0"/>
  </w:num>
  <w:num w:numId="31" w16cid:durableId="1791049372">
    <w:abstractNumId w:val="9"/>
  </w:num>
  <w:num w:numId="32" w16cid:durableId="1277323235">
    <w:abstractNumId w:val="7"/>
  </w:num>
  <w:num w:numId="33" w16cid:durableId="785537434">
    <w:abstractNumId w:val="6"/>
  </w:num>
  <w:num w:numId="34" w16cid:durableId="1560288038">
    <w:abstractNumId w:val="5"/>
  </w:num>
  <w:num w:numId="35" w16cid:durableId="210264513">
    <w:abstractNumId w:val="4"/>
  </w:num>
  <w:num w:numId="36" w16cid:durableId="1434327990">
    <w:abstractNumId w:val="8"/>
  </w:num>
  <w:num w:numId="37" w16cid:durableId="1341199436">
    <w:abstractNumId w:val="3"/>
  </w:num>
  <w:num w:numId="38" w16cid:durableId="1481462761">
    <w:abstractNumId w:val="2"/>
  </w:num>
  <w:num w:numId="39" w16cid:durableId="1969775517">
    <w:abstractNumId w:val="1"/>
  </w:num>
  <w:num w:numId="40" w16cid:durableId="1266695612">
    <w:abstractNumId w:val="0"/>
  </w:num>
  <w:num w:numId="41" w16cid:durableId="16889474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58408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2"/>
    <w:docVar w:name="COMKEY" w:val="FEMM"/>
    <w:docVar w:name="CONTRIBUTIONMNU" w:val=" 2"/>
    <w:docVar w:name="CopyToNetwork" w:val="-1"/>
    <w:docVar w:name="DOCDT" w:val="24/11/2025"/>
    <w:docVar w:name="FONCTIONMNU" w:val=" 2"/>
    <w:docVar w:name="LastAMInserted" w:val="18"/>
    <w:docVar w:name="LastEditedSection" w:val=" 1"/>
    <w:docVar w:name="NumberAMInserted" w:val="18"/>
    <w:docVar w:name="OTHERHEADINGMNU" w:val=" 2"/>
    <w:docVar w:name="PARTCOUNT" w:val="0"/>
    <w:docVar w:name="strDocTypeID" w:val="PA_NonLegDec"/>
    <w:docVar w:name="strSubDir" w:val="1336"/>
    <w:docVar w:name="TITLEMNU" w:val=" 3"/>
    <w:docVar w:name="TXTAUTHOR" w:val="Raquel García Hermida_x001e_Van Der Walle"/>
    <w:docVar w:name="TXTLANGUE" w:val="PL"/>
    <w:docVar w:name="TXTLANGUEMIN" w:val="pl"/>
    <w:docVar w:name="TXTNRPE" w:val="779.730"/>
    <w:docVar w:name="TXTNRPROC" w:val="2025/2145"/>
    <w:docVar w:name="TXTPEorAP" w:val="PE"/>
    <w:docVar w:name="TXTROUTE" w:val="AD\1336107PL.docx"/>
    <w:docVar w:name="TXTTITLE" w:val="European Commission: Consolidated annual accounts of the European Union - Financial year 2024 - Commission"/>
    <w:docVar w:name="TXTVERSION" w:val="03-00"/>
  </w:docVars>
  <w:rsids>
    <w:rsidRoot w:val="00D852C1"/>
    <w:rsid w:val="000048A8"/>
    <w:rsid w:val="00007A18"/>
    <w:rsid w:val="0004034F"/>
    <w:rsid w:val="00062634"/>
    <w:rsid w:val="00066D15"/>
    <w:rsid w:val="00076145"/>
    <w:rsid w:val="000A05CA"/>
    <w:rsid w:val="000B6C4B"/>
    <w:rsid w:val="000D001F"/>
    <w:rsid w:val="000D099F"/>
    <w:rsid w:val="000E00BF"/>
    <w:rsid w:val="000E6813"/>
    <w:rsid w:val="000E7460"/>
    <w:rsid w:val="000F07FE"/>
    <w:rsid w:val="00115823"/>
    <w:rsid w:val="001275F4"/>
    <w:rsid w:val="001316DA"/>
    <w:rsid w:val="00132901"/>
    <w:rsid w:val="0015613C"/>
    <w:rsid w:val="001A02AE"/>
    <w:rsid w:val="001A455F"/>
    <w:rsid w:val="001A58B0"/>
    <w:rsid w:val="001F2766"/>
    <w:rsid w:val="001F6ED8"/>
    <w:rsid w:val="00212D35"/>
    <w:rsid w:val="00235FD1"/>
    <w:rsid w:val="00237EAC"/>
    <w:rsid w:val="00245C7F"/>
    <w:rsid w:val="00271180"/>
    <w:rsid w:val="002A321A"/>
    <w:rsid w:val="002A4AC9"/>
    <w:rsid w:val="002B2892"/>
    <w:rsid w:val="002C0EE6"/>
    <w:rsid w:val="002C34AE"/>
    <w:rsid w:val="002E2F2E"/>
    <w:rsid w:val="00307C14"/>
    <w:rsid w:val="00313903"/>
    <w:rsid w:val="0031443D"/>
    <w:rsid w:val="003707A7"/>
    <w:rsid w:val="00385BAB"/>
    <w:rsid w:val="0039003E"/>
    <w:rsid w:val="00396FA9"/>
    <w:rsid w:val="003B72FC"/>
    <w:rsid w:val="003D61DD"/>
    <w:rsid w:val="003D684B"/>
    <w:rsid w:val="003E06CF"/>
    <w:rsid w:val="003E35FB"/>
    <w:rsid w:val="003F3B83"/>
    <w:rsid w:val="00407185"/>
    <w:rsid w:val="00425AB9"/>
    <w:rsid w:val="00431E30"/>
    <w:rsid w:val="00436099"/>
    <w:rsid w:val="004808BF"/>
    <w:rsid w:val="004867F4"/>
    <w:rsid w:val="00487232"/>
    <w:rsid w:val="00495CA4"/>
    <w:rsid w:val="004A34E6"/>
    <w:rsid w:val="004B0D27"/>
    <w:rsid w:val="004C28FB"/>
    <w:rsid w:val="004D1282"/>
    <w:rsid w:val="004D2539"/>
    <w:rsid w:val="004D2FD9"/>
    <w:rsid w:val="004E54DC"/>
    <w:rsid w:val="004F48ED"/>
    <w:rsid w:val="00514664"/>
    <w:rsid w:val="00532331"/>
    <w:rsid w:val="00544E2C"/>
    <w:rsid w:val="0055017A"/>
    <w:rsid w:val="00556722"/>
    <w:rsid w:val="00565852"/>
    <w:rsid w:val="00577018"/>
    <w:rsid w:val="005779E7"/>
    <w:rsid w:val="005D0786"/>
    <w:rsid w:val="005E3670"/>
    <w:rsid w:val="00600DC9"/>
    <w:rsid w:val="006065B5"/>
    <w:rsid w:val="00643F39"/>
    <w:rsid w:val="00663340"/>
    <w:rsid w:val="0066728C"/>
    <w:rsid w:val="006819E0"/>
    <w:rsid w:val="00697BB9"/>
    <w:rsid w:val="006F5586"/>
    <w:rsid w:val="006F7599"/>
    <w:rsid w:val="00705E02"/>
    <w:rsid w:val="0071319E"/>
    <w:rsid w:val="00722749"/>
    <w:rsid w:val="00772D52"/>
    <w:rsid w:val="007915DD"/>
    <w:rsid w:val="00793A95"/>
    <w:rsid w:val="00797D14"/>
    <w:rsid w:val="007E665D"/>
    <w:rsid w:val="00806587"/>
    <w:rsid w:val="00817280"/>
    <w:rsid w:val="00827A94"/>
    <w:rsid w:val="00857726"/>
    <w:rsid w:val="008818A9"/>
    <w:rsid w:val="008C6240"/>
    <w:rsid w:val="008E7494"/>
    <w:rsid w:val="008F36CD"/>
    <w:rsid w:val="008F7002"/>
    <w:rsid w:val="0090495E"/>
    <w:rsid w:val="009263E0"/>
    <w:rsid w:val="00952DEC"/>
    <w:rsid w:val="0095301E"/>
    <w:rsid w:val="0095497D"/>
    <w:rsid w:val="0096679F"/>
    <w:rsid w:val="009669A8"/>
    <w:rsid w:val="00967C5B"/>
    <w:rsid w:val="00972FD8"/>
    <w:rsid w:val="00977F76"/>
    <w:rsid w:val="0098140C"/>
    <w:rsid w:val="009A33F4"/>
    <w:rsid w:val="009A403C"/>
    <w:rsid w:val="009B5265"/>
    <w:rsid w:val="009F7C5A"/>
    <w:rsid w:val="00A2041C"/>
    <w:rsid w:val="00A24FB1"/>
    <w:rsid w:val="00A35CBB"/>
    <w:rsid w:val="00A44AC3"/>
    <w:rsid w:val="00A61DF7"/>
    <w:rsid w:val="00A722B1"/>
    <w:rsid w:val="00A8267E"/>
    <w:rsid w:val="00A93570"/>
    <w:rsid w:val="00A9617A"/>
    <w:rsid w:val="00AA1A2C"/>
    <w:rsid w:val="00AA223C"/>
    <w:rsid w:val="00AF1087"/>
    <w:rsid w:val="00AF1117"/>
    <w:rsid w:val="00AF77DA"/>
    <w:rsid w:val="00B107A4"/>
    <w:rsid w:val="00B1441B"/>
    <w:rsid w:val="00B27F0E"/>
    <w:rsid w:val="00B362F7"/>
    <w:rsid w:val="00B677B7"/>
    <w:rsid w:val="00B939B2"/>
    <w:rsid w:val="00BB2AC1"/>
    <w:rsid w:val="00BE693C"/>
    <w:rsid w:val="00BF1218"/>
    <w:rsid w:val="00C002B1"/>
    <w:rsid w:val="00C04938"/>
    <w:rsid w:val="00C04A1B"/>
    <w:rsid w:val="00C175C0"/>
    <w:rsid w:val="00C47E30"/>
    <w:rsid w:val="00C54AEF"/>
    <w:rsid w:val="00C54F53"/>
    <w:rsid w:val="00C75378"/>
    <w:rsid w:val="00CA0D01"/>
    <w:rsid w:val="00CD4E22"/>
    <w:rsid w:val="00CE10D6"/>
    <w:rsid w:val="00CF7076"/>
    <w:rsid w:val="00D36953"/>
    <w:rsid w:val="00D41244"/>
    <w:rsid w:val="00D438D0"/>
    <w:rsid w:val="00D44697"/>
    <w:rsid w:val="00D47632"/>
    <w:rsid w:val="00D625A2"/>
    <w:rsid w:val="00D71751"/>
    <w:rsid w:val="00D759AA"/>
    <w:rsid w:val="00D852C1"/>
    <w:rsid w:val="00DA7632"/>
    <w:rsid w:val="00DB4D61"/>
    <w:rsid w:val="00DF592C"/>
    <w:rsid w:val="00E01434"/>
    <w:rsid w:val="00E0465B"/>
    <w:rsid w:val="00E05697"/>
    <w:rsid w:val="00E12435"/>
    <w:rsid w:val="00E3428B"/>
    <w:rsid w:val="00E342EF"/>
    <w:rsid w:val="00E3462E"/>
    <w:rsid w:val="00E354E5"/>
    <w:rsid w:val="00E41C50"/>
    <w:rsid w:val="00E51639"/>
    <w:rsid w:val="00E729C7"/>
    <w:rsid w:val="00E83B40"/>
    <w:rsid w:val="00E9601C"/>
    <w:rsid w:val="00EA78B3"/>
    <w:rsid w:val="00EB19AA"/>
    <w:rsid w:val="00EC2C85"/>
    <w:rsid w:val="00F032A1"/>
    <w:rsid w:val="00F036E0"/>
    <w:rsid w:val="00F129D0"/>
    <w:rsid w:val="00F46E44"/>
    <w:rsid w:val="00F611FC"/>
    <w:rsid w:val="00F61E8C"/>
    <w:rsid w:val="00F707AB"/>
    <w:rsid w:val="00F83AC7"/>
    <w:rsid w:val="00F9352D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5D7B6"/>
  <w15:chartTrackingRefBased/>
  <w15:docId w15:val="{9A1D01FA-5936-4523-A35E-11A6B974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ListParagraph">
    <w:name w:val="List Paragraph"/>
    <w:basedOn w:val="Normal"/>
    <w:uiPriority w:val="34"/>
    <w:qFormat/>
    <w:rsid w:val="00BF1218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Footer">
    <w:name w:val="footer"/>
    <w:basedOn w:val="Normal"/>
    <w:link w:val="FooterChar"/>
    <w:semiHidden/>
    <w:rsid w:val="00BF1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F1218"/>
    <w:rPr>
      <w:sz w:val="24"/>
    </w:rPr>
  </w:style>
  <w:style w:type="paragraph" w:styleId="Revision">
    <w:name w:val="Revision"/>
    <w:hidden/>
    <w:uiPriority w:val="99"/>
    <w:semiHidden/>
    <w:rsid w:val="00CD4E22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436099"/>
    <w:rPr>
      <w:sz w:val="24"/>
    </w:rPr>
  </w:style>
  <w:style w:type="paragraph" w:customStyle="1" w:styleId="Normal24a">
    <w:name w:val="Normal24a"/>
    <w:basedOn w:val="Normal"/>
    <w:rsid w:val="00C04A1B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C04A1B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C04A1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04A1B"/>
    <w:rPr>
      <w:szCs w:val="24"/>
    </w:rPr>
  </w:style>
  <w:style w:type="paragraph" w:styleId="FootnoteText">
    <w:name w:val="footnote text"/>
    <w:basedOn w:val="Normal"/>
    <w:link w:val="FootnoteTextChar"/>
    <w:rsid w:val="00C04A1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04A1B"/>
  </w:style>
  <w:style w:type="character" w:styleId="FootnoteReference">
    <w:name w:val="footnote reference"/>
    <w:basedOn w:val="DefaultParagraphFont"/>
    <w:rsid w:val="00C04A1B"/>
    <w:rPr>
      <w:vertAlign w:val="superscript"/>
    </w:rPr>
  </w:style>
  <w:style w:type="character" w:styleId="Hyperlink">
    <w:name w:val="Hyperlink"/>
    <w:basedOn w:val="DefaultParagraphFont"/>
    <w:rsid w:val="00C04A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A1B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793A9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93A9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93A9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93A95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D884-645E-4BAB-A5C2-D45E498D2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2123</Words>
  <Characters>13937</Characters>
  <Application>Microsoft Office Word</Application>
  <DocSecurity>0</DocSecurity>
  <Lines>232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2026-02-11T15:02:00Z</dcterms:created>
  <dcterms:modified xsi:type="dcterms:W3CDTF">2026-02-11T15:02:00Z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1336107</vt:lpwstr>
  </property>
  <property fmtid="{D5CDD505-2E9C-101B-9397-08002B2CF9AE}" pid="6" name="&lt;Type&gt;">
    <vt:lpwstr>AD</vt:lpwstr>
  </property>
  <property fmtid="{D5CDD505-2E9C-101B-9397-08002B2CF9AE}" pid="7" name="&lt;ModelCod&gt;">
    <vt:lpwstr>\\eiciBRUpr1\pdocep$\DocEP\DOCS\General\PA\PA_NonLeg\PA_NonLegDec.dotx(08/11/2024 09:44:10)</vt:lpwstr>
  </property>
  <property fmtid="{D5CDD505-2E9C-101B-9397-08002B2CF9AE}" pid="8" name="&lt;ModelTra&gt;">
    <vt:lpwstr>\\eiciBRUpr1\pdocep$\DocEP\TRANSFIL\EN\PA_NonLegDec.EN(21/01/2025 14:39:00)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AD\1336107PL.docx</vt:lpwstr>
  </property>
  <property fmtid="{D5CDD505-2E9C-101B-9397-08002B2CF9AE}" pid="11" name="PE number">
    <vt:lpwstr>779.730</vt:lpwstr>
  </property>
  <property fmtid="{D5CDD505-2E9C-101B-9397-08002B2CF9AE}" pid="12" name="SendToEpades">
    <vt:lpwstr>OK - 2026/01/28 19:54</vt:lpwstr>
  </property>
  <property fmtid="{D5CDD505-2E9C-101B-9397-08002B2CF9AE}" pid="13" name="OriLang">
    <vt:lpwstr>EN</vt:lpwstr>
  </property>
  <property fmtid="{D5CDD505-2E9C-101B-9397-08002B2CF9AE}" pid="14" name="SDLStudio">
    <vt:lpwstr/>
  </property>
</Properties>
</file>