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B3343" w:rsidRPr="00CC3D52" w14:paraId="70667A4E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E7E45A" w14:textId="77777777" w:rsidR="004F48ED" w:rsidRPr="00CC3D52" w:rsidRDefault="00AC2527" w:rsidP="00C85D0F">
            <w:pPr>
              <w:pStyle w:val="EPName"/>
            </w:pPr>
            <w:r w:rsidRPr="00CC3D52">
              <w:t>Parlamento Europeu</w:t>
            </w:r>
          </w:p>
          <w:p w14:paraId="4A3037A6" w14:textId="057DD741" w:rsidR="004F48ED" w:rsidRPr="00CC3D52" w:rsidRDefault="00AC2527" w:rsidP="00C85D0F">
            <w:pPr>
              <w:pStyle w:val="EPTerm"/>
            </w:pPr>
            <w:r w:rsidRPr="00CC3D52">
              <w:t>2024</w:t>
            </w:r>
            <w:r w:rsidR="005A2CF3">
              <w:noBreakHyphen/>
            </w:r>
            <w:r w:rsidRPr="00CC3D52">
              <w:t>2029</w:t>
            </w:r>
          </w:p>
        </w:tc>
        <w:tc>
          <w:tcPr>
            <w:tcW w:w="2268" w:type="dxa"/>
            <w:shd w:val="clear" w:color="auto" w:fill="auto"/>
          </w:tcPr>
          <w:p w14:paraId="36D3A4CF" w14:textId="77777777" w:rsidR="004F48ED" w:rsidRPr="00CC3D52" w:rsidRDefault="00AC2527" w:rsidP="00C85D0F">
            <w:pPr>
              <w:pStyle w:val="EPLogo"/>
            </w:pPr>
            <w:r w:rsidRPr="00CC3D52">
              <w:rPr>
                <w:noProof/>
                <w:lang w:eastAsia="ja-JP"/>
              </w:rPr>
              <w:drawing>
                <wp:inline distT="0" distB="0" distL="0" distR="0" wp14:anchorId="5F93FEA9" wp14:editId="4B9D8A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6EEBC3" w14:textId="77777777" w:rsidR="00E9601C" w:rsidRPr="00CC3D52" w:rsidRDefault="00E9601C" w:rsidP="00E9601C">
      <w:pPr>
        <w:pStyle w:val="LineTop"/>
      </w:pPr>
    </w:p>
    <w:p w14:paraId="08576133" w14:textId="77777777" w:rsidR="00E9601C" w:rsidRPr="00CC3D52" w:rsidRDefault="00AC2527" w:rsidP="00E9601C">
      <w:pPr>
        <w:pStyle w:val="EPBody"/>
      </w:pPr>
      <w:r w:rsidRPr="00CC3D52">
        <w:rPr>
          <w:rStyle w:val="HideTWBExt"/>
        </w:rPr>
        <w:t>&lt;</w:t>
      </w:r>
      <w:r w:rsidRPr="00CC3D52">
        <w:rPr>
          <w:rStyle w:val="HideTWBExt"/>
          <w:i w:val="0"/>
        </w:rPr>
        <w:t>Commission</w:t>
      </w:r>
      <w:r w:rsidRPr="00CC3D52">
        <w:rPr>
          <w:rStyle w:val="HideTWBExt"/>
        </w:rPr>
        <w:t>&gt;</w:t>
      </w:r>
      <w:r w:rsidRPr="00CC3D52">
        <w:rPr>
          <w:rStyle w:val="HideTWBInt"/>
          <w:color w:val="auto"/>
        </w:rPr>
        <w:t>{FEMM}</w:t>
      </w:r>
      <w:r w:rsidRPr="00CC3D52">
        <w:t>Comissão dos Direitos das Mulheres e da Igualdade dos Géneros</w:t>
      </w:r>
      <w:r w:rsidRPr="00CC3D52">
        <w:rPr>
          <w:rStyle w:val="HideTWBExt"/>
        </w:rPr>
        <w:t>&lt;/</w:t>
      </w:r>
      <w:r w:rsidRPr="00CC3D52">
        <w:rPr>
          <w:rStyle w:val="HideTWBExt"/>
          <w:i w:val="0"/>
        </w:rPr>
        <w:t>Commission</w:t>
      </w:r>
      <w:r w:rsidRPr="00CC3D52">
        <w:rPr>
          <w:rStyle w:val="HideTWBExt"/>
        </w:rPr>
        <w:t>&gt;</w:t>
      </w:r>
    </w:p>
    <w:p w14:paraId="1B388E56" w14:textId="77777777" w:rsidR="00E9601C" w:rsidRPr="00CC3D52" w:rsidRDefault="00E9601C" w:rsidP="00E9601C">
      <w:pPr>
        <w:pStyle w:val="LineBottom"/>
      </w:pPr>
    </w:p>
    <w:p w14:paraId="63B9448B" w14:textId="77777777" w:rsidR="004E54DC" w:rsidRPr="00CC3D52" w:rsidRDefault="00AC2527" w:rsidP="004E54DC">
      <w:pPr>
        <w:pStyle w:val="CoverReference"/>
      </w:pPr>
      <w:r w:rsidRPr="00CC3D52">
        <w:rPr>
          <w:rStyle w:val="HideTWBExt"/>
          <w:b w:val="0"/>
        </w:rPr>
        <w:t>&lt;RefProc&gt;</w:t>
      </w:r>
      <w:r w:rsidRPr="00CC3D52">
        <w:t>2025/2145</w:t>
      </w:r>
      <w:r w:rsidRPr="00CC3D52">
        <w:rPr>
          <w:rStyle w:val="HideTWBExt"/>
          <w:b w:val="0"/>
        </w:rPr>
        <w:t>&lt;/RefProc&gt;&lt;RefTypeProc&gt;</w:t>
      </w:r>
      <w:r w:rsidRPr="00CC3D52">
        <w:t>(DEC)</w:t>
      </w:r>
      <w:r w:rsidRPr="00CC3D52">
        <w:rPr>
          <w:rStyle w:val="HideTWBExt"/>
          <w:b w:val="0"/>
        </w:rPr>
        <w:t>&lt;/RefTypeProc&gt;</w:t>
      </w:r>
    </w:p>
    <w:p w14:paraId="55877764" w14:textId="77777777" w:rsidR="002E2F2E" w:rsidRPr="00CC3D52" w:rsidRDefault="00AC2527">
      <w:pPr>
        <w:pStyle w:val="CoverDate"/>
      </w:pPr>
      <w:r w:rsidRPr="00CC3D52">
        <w:rPr>
          <w:rStyle w:val="HideTWBExt"/>
        </w:rPr>
        <w:t>&lt;Date&gt;</w:t>
      </w:r>
      <w:r w:rsidRPr="00CC3D52">
        <w:rPr>
          <w:rStyle w:val="HideTWBInt"/>
          <w:color w:val="auto"/>
        </w:rPr>
        <w:t>{28/01/2026}</w:t>
      </w:r>
      <w:r w:rsidRPr="00CC3D52">
        <w:t>28.1.2026</w:t>
      </w:r>
      <w:r w:rsidRPr="00CC3D52">
        <w:rPr>
          <w:rStyle w:val="HideTWBExt"/>
        </w:rPr>
        <w:t>&lt;/Date&gt;</w:t>
      </w:r>
    </w:p>
    <w:p w14:paraId="48FC0A93" w14:textId="77777777" w:rsidR="002E2F2E" w:rsidRPr="00CC3D52" w:rsidRDefault="00AC2527">
      <w:pPr>
        <w:pStyle w:val="CoverDocType24a"/>
      </w:pPr>
      <w:r w:rsidRPr="00CC3D52">
        <w:rPr>
          <w:rStyle w:val="HideTWBExt"/>
          <w:b w:val="0"/>
        </w:rPr>
        <w:t>&lt;TitreType&gt;</w:t>
      </w:r>
      <w:r w:rsidRPr="00CC3D52">
        <w:t>PARECER</w:t>
      </w:r>
      <w:r w:rsidRPr="00CC3D52">
        <w:rPr>
          <w:rStyle w:val="HideTWBExt"/>
          <w:b w:val="0"/>
        </w:rPr>
        <w:t>&lt;/TitreType&gt;</w:t>
      </w:r>
    </w:p>
    <w:p w14:paraId="082E7BAD" w14:textId="77777777" w:rsidR="002E2F2E" w:rsidRPr="00CC3D52" w:rsidRDefault="00AC2527">
      <w:pPr>
        <w:pStyle w:val="CoverNormal24a"/>
      </w:pPr>
      <w:r w:rsidRPr="00CC3D52">
        <w:rPr>
          <w:rStyle w:val="HideTWBExt"/>
        </w:rPr>
        <w:t>&lt;CommissionResp&gt;</w:t>
      </w:r>
      <w:r w:rsidRPr="00CC3D52">
        <w:t>da Comissão dos Direitos das Mulheres e da Igualdade dos Géneros</w:t>
      </w:r>
      <w:r w:rsidRPr="00CC3D52">
        <w:rPr>
          <w:rStyle w:val="HideTWBExt"/>
        </w:rPr>
        <w:t>&lt;/CommissionResp&gt;</w:t>
      </w:r>
    </w:p>
    <w:p w14:paraId="7A4B6041" w14:textId="77777777" w:rsidR="002E2F2E" w:rsidRPr="00CC3D52" w:rsidRDefault="00AC2527" w:rsidP="0095497D">
      <w:pPr>
        <w:pStyle w:val="CoverNormal24a"/>
      </w:pPr>
      <w:r w:rsidRPr="00CC3D52">
        <w:rPr>
          <w:rStyle w:val="HideTWBExt"/>
        </w:rPr>
        <w:t>&lt;CommissionInt&gt;</w:t>
      </w:r>
      <w:r w:rsidRPr="00CC3D52">
        <w:t>dirigido à Comissão do Controlo Orçamental</w:t>
      </w:r>
      <w:r w:rsidRPr="00CC3D52">
        <w:rPr>
          <w:rStyle w:val="HideTWBExt"/>
        </w:rPr>
        <w:t>&lt;/CommissionInt&gt;</w:t>
      </w:r>
    </w:p>
    <w:p w14:paraId="38B89799" w14:textId="684C771A" w:rsidR="002E2F2E" w:rsidRPr="00CC3D52" w:rsidRDefault="00AC2527" w:rsidP="00952DEC">
      <w:pPr>
        <w:pStyle w:val="CoverNormal"/>
      </w:pPr>
      <w:r w:rsidRPr="00CC3D52">
        <w:rPr>
          <w:rStyle w:val="HideTWBExt"/>
        </w:rPr>
        <w:t>&lt;Titre&gt;</w:t>
      </w:r>
      <w:r w:rsidRPr="00CC3D52">
        <w:t xml:space="preserve">sobre a quitação pela execução do orçamento geral da União Europeia para o exercício de 2024, Secção III </w:t>
      </w:r>
      <w:r w:rsidR="005A2CF3">
        <w:noBreakHyphen/>
      </w:r>
      <w:r w:rsidRPr="00CC3D52">
        <w:t xml:space="preserve"> Comissão</w:t>
      </w:r>
      <w:r w:rsidRPr="00CC3D52">
        <w:rPr>
          <w:rStyle w:val="HideTWBExt"/>
        </w:rPr>
        <w:t>&lt;/Titre&gt;</w:t>
      </w:r>
    </w:p>
    <w:p w14:paraId="1C9C9756" w14:textId="77777777" w:rsidR="002E2F2E" w:rsidRPr="00CC3D52" w:rsidRDefault="00AC2527">
      <w:pPr>
        <w:pStyle w:val="CoverNormal24a"/>
      </w:pPr>
      <w:r w:rsidRPr="00CC3D52">
        <w:rPr>
          <w:rStyle w:val="HideTWBExt"/>
        </w:rPr>
        <w:t>&lt;DocRef&gt;</w:t>
      </w:r>
      <w:r w:rsidRPr="00CC3D52">
        <w:t>(2025/2145(DEC))</w:t>
      </w:r>
      <w:r w:rsidRPr="00CC3D52">
        <w:rPr>
          <w:rStyle w:val="HideTWBExt"/>
        </w:rPr>
        <w:t>&lt;/DocRef&gt;</w:t>
      </w:r>
    </w:p>
    <w:p w14:paraId="3E666E0C" w14:textId="10BB8E0B" w:rsidR="002E2F2E" w:rsidRPr="00CC3D52" w:rsidRDefault="00AC2527">
      <w:pPr>
        <w:pStyle w:val="CoverNormal24a"/>
      </w:pPr>
      <w:r w:rsidRPr="00CC3D52">
        <w:t xml:space="preserve">Relatora de parecer: </w:t>
      </w:r>
      <w:r w:rsidRPr="00CC3D52">
        <w:rPr>
          <w:rStyle w:val="HideTWBExt"/>
        </w:rPr>
        <w:t>&lt;Depute&gt;</w:t>
      </w:r>
      <w:r w:rsidRPr="00CC3D52">
        <w:t>Raquel García Hermida</w:t>
      </w:r>
      <w:r w:rsidR="005A2CF3">
        <w:noBreakHyphen/>
      </w:r>
      <w:r w:rsidRPr="00CC3D52">
        <w:t>Van Der Walle</w:t>
      </w:r>
      <w:r w:rsidRPr="00CC3D52">
        <w:rPr>
          <w:rStyle w:val="HideTWBExt"/>
        </w:rPr>
        <w:t>&lt;/Depute&gt;</w:t>
      </w:r>
    </w:p>
    <w:p w14:paraId="7A9897D9" w14:textId="77777777" w:rsidR="00CD4E22" w:rsidRPr="00CC3D52" w:rsidRDefault="00CD4E22" w:rsidP="00977F76">
      <w:pPr>
        <w:pStyle w:val="CoverNormal"/>
      </w:pPr>
    </w:p>
    <w:p w14:paraId="4B0669B3" w14:textId="77777777" w:rsidR="002E2F2E" w:rsidRPr="00CC3D52" w:rsidRDefault="00AC2527" w:rsidP="00BB2AC1">
      <w:pPr>
        <w:widowControl/>
        <w:tabs>
          <w:tab w:val="center" w:pos="4677"/>
        </w:tabs>
      </w:pPr>
      <w:r w:rsidRPr="00CC3D52">
        <w:br w:type="page"/>
      </w:r>
      <w:r w:rsidRPr="00CC3D52">
        <w:lastRenderedPageBreak/>
        <w:t>PA_NonLegDec</w:t>
      </w:r>
    </w:p>
    <w:p w14:paraId="5011DA42" w14:textId="77777777" w:rsidR="00687D01" w:rsidRPr="00CC3D52" w:rsidRDefault="00AC2527" w:rsidP="00687D01">
      <w:pPr>
        <w:pStyle w:val="PageHeadingNotTOC"/>
      </w:pPr>
      <w:r w:rsidRPr="00CC3D52">
        <w:br w:type="page"/>
      </w:r>
      <w:r w:rsidRPr="00CC3D52">
        <w:lastRenderedPageBreak/>
        <w:t>PARECER</w:t>
      </w:r>
    </w:p>
    <w:p w14:paraId="57EEF4D6" w14:textId="77777777" w:rsidR="00687D01" w:rsidRPr="00CC3D52" w:rsidRDefault="00AC2527" w:rsidP="00687D01">
      <w:pPr>
        <w:pStyle w:val="Normal12a"/>
      </w:pPr>
      <w:r w:rsidRPr="00CC3D52">
        <w:t xml:space="preserve">A Comissão dos Direitos das Mulheres e da Igualdade dos </w:t>
      </w:r>
      <w:r w:rsidRPr="00CC3D52">
        <w:t>Géneros insta a Comissão do Controlo Orçamental, competente quanto à matéria de fundo, a incorporar os seguintes elementos na sua proposta de resolução:</w:t>
      </w:r>
      <w:r w:rsidRPr="00CC3D52">
        <w:rPr>
          <w:rStyle w:val="HideTWBExt"/>
        </w:rPr>
        <w:t>&lt;RepeatBlock-Dec&gt;</w:t>
      </w:r>
    </w:p>
    <w:p w14:paraId="05338DF0" w14:textId="77777777" w:rsidR="00687D01" w:rsidRPr="00CC3D52" w:rsidRDefault="00AC2527" w:rsidP="00687D01">
      <w:pPr>
        <w:pStyle w:val="NormalHanging12a"/>
      </w:pPr>
      <w:r w:rsidRPr="00CC3D52">
        <w:t>A.</w:t>
      </w:r>
      <w:r w:rsidRPr="00CC3D52">
        <w:tab/>
        <w:t>Considerando que a igualdade de género é um valor fundamental da União, consagrado no artigo 2.º do Tratado da União Europeia; que a União está empenhada em promover a igualdade em todas as atividades nos termos do artigo 8.º do TFUE, que estabelece a integração da perspetiva de género e da orçamentação sensível ao género em todas as políticas; que os orçamentos não são neutros do ponto de vista do género e que devem ser elaborados e executados com o objetivo da igualdade de género; que a Carta dos Direito</w:t>
      </w:r>
      <w:r w:rsidRPr="00CC3D52">
        <w:t>s Fundamentais da União Europeia não só consagra a igualdade de género, como também protege a dignidade humana e proíbe todas as formas de discriminação, entre elas as baseadas na orientação sexual e na identidade de género;</w:t>
      </w:r>
    </w:p>
    <w:p w14:paraId="25D8DBA6" w14:textId="77777777" w:rsidR="00687D01" w:rsidRPr="00CC3D52" w:rsidRDefault="00AC2527" w:rsidP="00687D01">
      <w:pPr>
        <w:pStyle w:val="NormalHanging12a"/>
      </w:pPr>
      <w:r w:rsidRPr="00CC3D52">
        <w:t>B.</w:t>
      </w:r>
      <w:r w:rsidRPr="00CC3D52">
        <w:tab/>
        <w:t>Considerando que o Parlamento tem solicitado reiteradamente à Comissão que promova e aplique a integração da perspetiva de género em todas as políticas da União, nas quais se incluem uma orçamentação sensível ao género; que a orçamentação sensível ao género deve imperativamente integrar uma perspetiva interseccional;</w:t>
      </w:r>
    </w:p>
    <w:p w14:paraId="0B6F3045" w14:textId="77777777" w:rsidR="00687D01" w:rsidRPr="00CC3D52" w:rsidRDefault="00AC2527" w:rsidP="00687D01">
      <w:pPr>
        <w:pStyle w:val="NormalHanging12a"/>
        <w:rPr>
          <w:bCs/>
          <w:iCs/>
        </w:rPr>
      </w:pPr>
      <w:r w:rsidRPr="00CC3D52">
        <w:t>C.</w:t>
      </w:r>
      <w:r w:rsidRPr="00CC3D52">
        <w:tab/>
        <w:t xml:space="preserve">Considerando que a UE aumentou </w:t>
      </w:r>
      <w:r w:rsidRPr="00CC3D52">
        <w:t>significativamente as dotações destinadas à militarização, incluindo armamento, infraestruturas, investigação em matéria de segurança, mobilidade militar, vigilância das fronteiras e externalização; que estas mudanças são suscetíveis de desviar recursos da igualdade de género, da coesão social e da luta contra a violência baseada no género;</w:t>
      </w:r>
    </w:p>
    <w:p w14:paraId="439B8D0D" w14:textId="1F5B92D8" w:rsidR="00687D01" w:rsidRPr="00CC3D52" w:rsidRDefault="00AC2527" w:rsidP="00687D01">
      <w:pPr>
        <w:pStyle w:val="NormalHanging12a"/>
      </w:pPr>
      <w:r w:rsidRPr="00CC3D52">
        <w:t>D.</w:t>
      </w:r>
      <w:r w:rsidRPr="00CC3D52">
        <w:tab/>
        <w:t>Considerando que a pontuação da UE no Índice da Igualdade de Género de 2025 é de 63,4 pontos, o que representa um aumento de 10,5 pontos desde 2010; que a consecução da igualdade de género na UE continua a estar ainda a, pelo menos, 50 anos de distância; que a igualdade de género na União tem sido afetada negativamente pelos crescentes movimentos antigénero, pelo sexismo e as fortes tendências preconceituosas contra as mulheres, bem como pelos retrocessos em matéria de igualdade de género — especialmente e</w:t>
      </w:r>
      <w:r w:rsidRPr="00CC3D52">
        <w:t>m torno da saúde e dos direitos sexuais e reprodutivos (SDSR) — em vários Estados</w:t>
      </w:r>
      <w:r w:rsidR="005A2CF3">
        <w:noBreakHyphen/>
      </w:r>
      <w:r w:rsidRPr="00CC3D52">
        <w:t>Membros; que a igualdade de género é ainda mais afetada pelas guerras e pelas atuais crises climáticas, energéticas, sociais e do custo de vida, que afetam as mulheres de forma desproporcionada;</w:t>
      </w:r>
    </w:p>
    <w:p w14:paraId="417EF83A" w14:textId="77777777" w:rsidR="00687D01" w:rsidRPr="00CC3D52" w:rsidRDefault="00AC2527" w:rsidP="00687D01">
      <w:pPr>
        <w:pStyle w:val="NormalHanging12a"/>
        <w:rPr>
          <w:bCs/>
          <w:iCs/>
        </w:rPr>
      </w:pPr>
      <w:r w:rsidRPr="00CC3D52">
        <w:t>E.</w:t>
      </w:r>
      <w:r w:rsidRPr="00CC3D52">
        <w:tab/>
        <w:t>Considerando que uma em cada três mulheres é vítima de violência; que, a nível mundial, 140 mulheres e raparigas morrem todos os dias às mãos de um parceiro ou familiar; que, em 7 de maio de 2024, foi adotada a Diretiva relativa ao combate à violência contra as mulheres e à violência doméstica, que entrou em vigor em 14 de junho de 2024; que a intolerância em relação às pessoas LGBTIQ+, em especial às pessoas transgénero, aumentou tragicamente de forma acentuada em comparação com 2019; que a violência e os</w:t>
      </w:r>
      <w:r w:rsidRPr="00CC3D52">
        <w:t xml:space="preserve"> crimes motivados pelo ódio contra as pessoas LGBTIQ+ aumentaram em comparação com 2019, sendo o aumento mais acentuado dos ataques contra mulheres e homens transexuais; que o programa Daphne — destinado a proteger as vítimas de violência, incluindo mulheres e crianças — constitui um instrumento </w:t>
      </w:r>
      <w:r w:rsidRPr="00CC3D52">
        <w:lastRenderedPageBreak/>
        <w:t>crucial da UE para combater a violência baseada no género e defender os direitos fundamentais, e que o seu financiamento e apoio contínuos devem ser assegurados no âmbito do quadro orçamental e político da União;</w:t>
      </w:r>
    </w:p>
    <w:p w14:paraId="3F058E01" w14:textId="77777777" w:rsidR="00687D01" w:rsidRPr="00CC3D52" w:rsidRDefault="00AC2527" w:rsidP="00687D01">
      <w:pPr>
        <w:pStyle w:val="NormalHanging12a"/>
        <w:rPr>
          <w:bCs/>
          <w:iCs/>
        </w:rPr>
      </w:pPr>
      <w:r w:rsidRPr="00CC3D52">
        <w:t>F.</w:t>
      </w:r>
      <w:r w:rsidRPr="00CC3D52">
        <w:tab/>
        <w:t>Considerando que o investimento na igualdade de género reforça o crescimento económico, a resiliência e a coesão social em toda a UE; que uma economia dinâmica e competitiva exige igualdade de género, empreendedorismo e inovação; que a política económica também exige a integração da perspetiva de género, de forma a assegurar que a economia europeia funcione para todas as mulheres; que o apoio às mulheres na criação e gestão das suas próprias empresas contribui para a diversificação económica e reduz as des</w:t>
      </w:r>
      <w:r w:rsidRPr="00CC3D52">
        <w:t>igualdades de género no acesso ao empreendedorismo e à liderança;</w:t>
      </w:r>
    </w:p>
    <w:p w14:paraId="53259A66" w14:textId="77777777" w:rsidR="00687D01" w:rsidRPr="00CC3D52" w:rsidRDefault="00AC2527" w:rsidP="00687D01">
      <w:pPr>
        <w:pStyle w:val="NormalHanging12a"/>
        <w:rPr>
          <w:bCs/>
          <w:iCs/>
        </w:rPr>
      </w:pPr>
      <w:r w:rsidRPr="00CC3D52">
        <w:t>1.</w:t>
      </w:r>
      <w:r w:rsidRPr="00CC3D52">
        <w:tab/>
        <w:t>Salienta que a perspetiva da igualdade de género deve ser integrada e assegurada em todos os domínios de intervenção, especialmente à luz dos múltiplos impactos de género das várias crises climáticas, energéticas, sociais e do custo de vida e guerras em curso, com destaque para a SDSR e o retrocesso em matéria de igualdade de género e direitos das mulheres na UE; reitera, por conseguinte, o seu pedido de aplicação da orçamentação sensível ao género em todas as fases pertinentes e adequadas do processo orça</w:t>
      </w:r>
      <w:r w:rsidRPr="00CC3D52">
        <w:t>mental; insta a Comissão a melhorar a integração da perspetiva de género desde o início da conceção do programa e a estabelecer uma disposição horizontal em matéria de igualdade de género com um objetivo geral de igualdade;</w:t>
      </w:r>
    </w:p>
    <w:p w14:paraId="64A11351" w14:textId="77777777" w:rsidR="00687D01" w:rsidRPr="00CC3D52" w:rsidRDefault="00AC2527" w:rsidP="00687D01">
      <w:pPr>
        <w:pStyle w:val="NormalHanging12a"/>
      </w:pPr>
      <w:r w:rsidRPr="00CC3D52">
        <w:t>2.</w:t>
      </w:r>
      <w:r w:rsidRPr="00CC3D52">
        <w:tab/>
        <w:t>Reconhece o empenho da União em prol da integração da perspetiva de género e da melhoria da metodologia de acompanhamento das despesas no domínio da igualdade de género; lamenta que a metodologia atual da Comissão não reflita as potenciais consequências negativas e provoque incerteza em 20% dos casos relativamente ao impacto na igualdade de género; exorta a Comissão a melhorar os seus instrumentos de avaliação para garantir resultados mais claros e detetar os potenciais efeitos adversos; considera que a me</w:t>
      </w:r>
      <w:r w:rsidRPr="00CC3D52">
        <w:t>todologia de acompanhamento pode ser complementada com critérios mínimos obrigatórios, como avaliações do impacto em função do género, que devem ser associadas aos sistemas de acompanhamento;</w:t>
      </w:r>
    </w:p>
    <w:p w14:paraId="126F0995" w14:textId="55F35FFC" w:rsidR="00687D01" w:rsidRPr="00CC3D52" w:rsidRDefault="00AC2527" w:rsidP="00687D01">
      <w:pPr>
        <w:pStyle w:val="NormalHanging12a"/>
      </w:pPr>
      <w:r w:rsidRPr="00CC3D52">
        <w:t>3.</w:t>
      </w:r>
      <w:r w:rsidRPr="00CC3D52">
        <w:tab/>
        <w:t>Acolhe com agrado a atualização das orientações e dos instrumentos para legislar melhor; lamenta a ausência de progressos na realização de análises das necessidades e das repercussões em função do género dos programas de financiamento da UE; exorta a Comissão a utilizar avaliações de impacto competitivas, incluindo análises sensíveis às questões de género, na conceção e execução dos programas e instrumentos de financiamento da UE, a fim de assegurar resultados políticos eficazes e equitativos e solicita</w:t>
      </w:r>
      <w:r w:rsidR="005A2CF3">
        <w:noBreakHyphen/>
      </w:r>
      <w:r w:rsidRPr="00CC3D52">
        <w:t>lhe que efetue regularmente tais análises; insta a Comissão a incorporar plenamente a integração da perspetiva de género no próximo QFP, a fim de incluir a perspetiva de género em todos os domínios de intervenção, orçamentos e medidas de atenuação e, sempre que se afigure pertinente, a orçamentação sensível ao género, tendo como objetivo promover os direitos das mulheres e a igualdade de género;</w:t>
      </w:r>
    </w:p>
    <w:p w14:paraId="48CF55F8" w14:textId="77777777" w:rsidR="00687D01" w:rsidRPr="00CC3D52" w:rsidRDefault="00AC2527" w:rsidP="00687D01">
      <w:pPr>
        <w:pStyle w:val="NormalHanging12a"/>
        <w:rPr>
          <w:b/>
          <w:i/>
        </w:rPr>
      </w:pPr>
      <w:r w:rsidRPr="00CC3D52">
        <w:t>4.</w:t>
      </w:r>
      <w:r w:rsidRPr="00CC3D52">
        <w:tab/>
        <w:t xml:space="preserve">Observa que as informações relativas ao impacto do orçamento da UE em função do género continuam a ser insuficientes; salienta as lacunas da recolha, da comunicação e da avaliação manuais dos dados repartidos por género e incluindo uma abordagem interseccional; exorta a Comissão a melhorar a qualidade dos dados; salienta que o </w:t>
      </w:r>
      <w:r w:rsidRPr="00CC3D52">
        <w:lastRenderedPageBreak/>
        <w:t>principal ensinamento retirado da aplicação da metodologia piloto foi o de que a possibilidade de atribuir pontuações concretas é limitada, devido à falta de dados necessários; solic</w:t>
      </w:r>
      <w:r w:rsidRPr="00CC3D52">
        <w:t>ita que todos os dados sejam comparáveis, de modo a serem úteis para a elaboração de políticas; realça, por conseguinte, a importância dos requisitos de recolha de dados para permitir uma recolha abrangente de dados desagregados por género no contexto de todas as políticas pertinentes da UE e exorta a Comissão a tratar esta questão como uma prioridade; exorta a Comissão a considerar esta questão como uma prioridade;</w:t>
      </w:r>
    </w:p>
    <w:p w14:paraId="5521F7D0" w14:textId="77777777" w:rsidR="00687D01" w:rsidRPr="00CC3D52" w:rsidRDefault="00AC2527" w:rsidP="00687D01">
      <w:pPr>
        <w:pStyle w:val="NormalHanging12a"/>
      </w:pPr>
      <w:r w:rsidRPr="00CC3D52">
        <w:t>5.</w:t>
      </w:r>
      <w:r w:rsidRPr="00CC3D52">
        <w:tab/>
        <w:t>Solicita à Comissão que determine que percentagem do orçamento da UE deve ser afetada à igualdade de género; preconiza ainda a inclusão de objetivos e indicadores de desempenho em toda a legislação futura, nomeadamente no próximo QFP.</w:t>
      </w:r>
    </w:p>
    <w:p w14:paraId="132CD5E9" w14:textId="77777777" w:rsidR="00687D01" w:rsidRPr="00CC3D52" w:rsidRDefault="00AC2527" w:rsidP="00687D01">
      <w:pPr>
        <w:pStyle w:val="NormalHanging12a"/>
        <w:rPr>
          <w:bCs/>
          <w:iCs/>
        </w:rPr>
      </w:pPr>
      <w:r w:rsidRPr="00CC3D52">
        <w:t>6.</w:t>
      </w:r>
      <w:r w:rsidRPr="00CC3D52">
        <w:tab/>
        <w:t>Insta a Comissão a consagrar uma percentagem adequada do orçamento total da UE à vertente «Igualdade e Direitos» do programa CIDV e ao programa Daphne; lamenta que não existam rubricas orçamentais específicas para medidas em prol da igualdade de género; reitera o seu apelo para a criação de uma rubrica orçamental específica para o programa Daphne, com vista a aumentar a transparência e a responsabilização na distribuição dos fundos; apela a um quadro de financiamento estável para assegurar a eficácia e a s</w:t>
      </w:r>
      <w:r w:rsidRPr="00CC3D52">
        <w:t>ustentabilidade do programa Daphne, a fim de apoiar a proteção das mulheres e das crianças contra a violência; lamenta a fusão do programa Europa Criativa e do programa CIDV no QFP proposto, uma vez que diminui a visibilidade do programa Daphne; insta a UE a considerar o programa uma prioridade;</w:t>
      </w:r>
    </w:p>
    <w:p w14:paraId="3A16FBF9" w14:textId="73939FB2" w:rsidR="00687D01" w:rsidRPr="00CC3D52" w:rsidRDefault="00AC2527" w:rsidP="00687D01">
      <w:pPr>
        <w:pStyle w:val="NormalHanging12a"/>
        <w:rPr>
          <w:bCs/>
          <w:iCs/>
        </w:rPr>
      </w:pPr>
      <w:r w:rsidRPr="00CC3D52">
        <w:t>7.</w:t>
      </w:r>
      <w:r w:rsidRPr="00CC3D52">
        <w:tab/>
        <w:t>Congratula</w:t>
      </w:r>
      <w:r w:rsidR="005A2CF3">
        <w:noBreakHyphen/>
      </w:r>
      <w:r w:rsidRPr="00CC3D52">
        <w:t>se com a diretiva relativa ao combate à violência contra as mulheres e à violência doméstica; insta os Estados</w:t>
      </w:r>
      <w:r w:rsidR="005A2CF3">
        <w:noBreakHyphen/>
      </w:r>
      <w:r w:rsidRPr="00CC3D52">
        <w:t>Membros a aplicarem rapidamente a diretiva e insta os Estados</w:t>
      </w:r>
      <w:r w:rsidR="005A2CF3">
        <w:noBreakHyphen/>
      </w:r>
      <w:r w:rsidRPr="00CC3D52">
        <w:t>Membros a aumentarem o número de abrigos para vítimas de violência doméstica, designadamente no que respeita às quotas estabelecidas na Convenção do Conselho da Europa para a Prevenção e o Combate à Violência Contra as Mulheres e a Violência Doméstica, também chamada Convenção de Istambul (um lugar de acolhimento em casa abrigo por cada 10 000 habitantes); salienta que o feminicídio, definido como o assassinato de mulheres e raparigas devido ao seu género, constitui uma das formas mais extremas de violência</w:t>
      </w:r>
      <w:r w:rsidRPr="00CC3D52">
        <w:t xml:space="preserve"> baseada no género e representa uma grave violação dos direitos fundamentais; condena veementemente a ausência de uma definição harmonizada e as incoerências persistentes na recolha de dados e na comunicação de informações sobre este crime; insta a criar uma definição europeia deste crime;</w:t>
      </w:r>
    </w:p>
    <w:p w14:paraId="1ECD5F5E" w14:textId="6A8D7A64" w:rsidR="00687D01" w:rsidRPr="00CC3D52" w:rsidRDefault="00AC2527" w:rsidP="00687D01">
      <w:pPr>
        <w:pStyle w:val="NormalHanging12a"/>
        <w:rPr>
          <w:bCs/>
          <w:iCs/>
        </w:rPr>
      </w:pPr>
      <w:r w:rsidRPr="00CC3D52">
        <w:t>8.</w:t>
      </w:r>
      <w:r w:rsidRPr="00CC3D52">
        <w:tab/>
        <w:t>Salienta que, devido ao aumento da intolerância em relação às pessoas LGBTIQ+, é necessário afetar uma parte suficiente do orçamento a medidas de combate à fobia das pessoas LGBTIQ+, por exemplo, linhas telefónicas para aconselhamento e atenção; salienta a importância do pleno reconhecimento das mulheres transexuais como mulheres e assinala que a sua inclusão é essencial para a eficácia de quaisquer políticas em matéria de igualdade de género e de luta contra a violência; apela ao reconhecimento e à iguald</w:t>
      </w:r>
      <w:r w:rsidRPr="00CC3D52">
        <w:t>ade de acesso das mulheres transgénero aos serviços de proteção e apoio; insta os Estados</w:t>
      </w:r>
      <w:r w:rsidR="005A2CF3">
        <w:noBreakHyphen/>
      </w:r>
      <w:r w:rsidRPr="00CC3D52">
        <w:t xml:space="preserve">Membros a assegurarem uma proteção plena e eficaz das pessoas LGBTIQ+ contra a discriminação, o assédio e a violência, nomeadamente através do reforço dos quadros jurídicos nacionais, da melhoria dos mecanismos de denúncia e da garantia de </w:t>
      </w:r>
      <w:r w:rsidRPr="00CC3D52">
        <w:lastRenderedPageBreak/>
        <w:t>que os crimes motivados pelo ódio sejam devidamente investigados e julgados; insta ainda o Conselho a prosseguir os trabalhos sobre a diretiva da UE relativa à luta contra a discriminação; exorta a Comissão a acompanhar de perto o cumprimento dos valores da UE pelos Estad</w:t>
      </w:r>
      <w:r w:rsidRPr="00CC3D52">
        <w:t>os</w:t>
      </w:r>
      <w:r w:rsidR="005A2CF3">
        <w:noBreakHyphen/>
      </w:r>
      <w:r w:rsidRPr="00CC3D52">
        <w:t>Membros e a dar início a processos por infração, sempre que necessário;</w:t>
      </w:r>
    </w:p>
    <w:p w14:paraId="47D05FCE" w14:textId="77777777" w:rsidR="00687D01" w:rsidRPr="00CC3D52" w:rsidRDefault="00AC2527" w:rsidP="00687D01">
      <w:pPr>
        <w:pStyle w:val="NormalHanging12a"/>
        <w:rPr>
          <w:bCs/>
          <w:iCs/>
        </w:rPr>
      </w:pPr>
      <w:r w:rsidRPr="00CC3D52">
        <w:t>9.</w:t>
      </w:r>
      <w:r w:rsidRPr="00CC3D52">
        <w:tab/>
        <w:t>Recorda o compromisso assumido pela Comissão, nas suas orientações políticas, de intensificar a sua interação com as organizações da sociedade civil com conhecimentos especializados que desempenham um papel importante na defesa de causas sociais específicas e dos direitos humanos; recorda que é fundamental que as organizações da sociedade civil, através de financiamento da UE, possam encetar um «diálogo aberto, transparente e estruturado com as instituições da UE», tal como consagrado no artigo 11.º do TUE</w:t>
      </w:r>
      <w:r w:rsidRPr="00CC3D52">
        <w:t>, através de atividades como ações de sensibilização, manifestações ou ações judiciais, e que estas continuem a ser elegíveis nos programas de financiamento pertinentes e disponham de financiamento específico suficiente;</w:t>
      </w:r>
    </w:p>
    <w:p w14:paraId="1FF846B1" w14:textId="77777777" w:rsidR="00687D01" w:rsidRPr="00CC3D52" w:rsidRDefault="00AC2527" w:rsidP="00687D01">
      <w:pPr>
        <w:pStyle w:val="NormalHanging12a"/>
        <w:rPr>
          <w:bCs/>
          <w:iCs/>
        </w:rPr>
      </w:pPr>
      <w:r w:rsidRPr="00CC3D52">
        <w:t>10.</w:t>
      </w:r>
      <w:r w:rsidRPr="00CC3D52">
        <w:tab/>
        <w:t>Salienta a importância de impulsionar o crescimento económico em toda a União, nomeadamente através de iniciativas que promovam a participação das mulheres no mercado de trabalho, no empreendedorismo e na liderança;</w:t>
      </w:r>
    </w:p>
    <w:p w14:paraId="12BCBA83" w14:textId="77777777" w:rsidR="00687D01" w:rsidRPr="00CC3D52" w:rsidRDefault="00AC2527" w:rsidP="00687D01">
      <w:pPr>
        <w:pStyle w:val="NormalHanging12a"/>
        <w:rPr>
          <w:bCs/>
          <w:iCs/>
        </w:rPr>
      </w:pPr>
      <w:r w:rsidRPr="00CC3D52">
        <w:t>11.</w:t>
      </w:r>
      <w:r w:rsidRPr="00CC3D52">
        <w:tab/>
        <w:t>Reitera a sua preocupação com a ligação entre os ataques ao Estado de direito, à democracia e aos direitos humanos e o retrocesso no que respeita à igualdade de género e aos direitos das mulheres; salienta que as organizações de defesa dos direitos das mulheres independentes e dotadas de recursos adequados são intervenientes indispensáveis na promoção da igualdade de género, na promoção da saúde e dos direitos sexuais e reprodutivos e na proteção da democracia e dos direitos humanos; sublinha que, no conte</w:t>
      </w:r>
      <w:r w:rsidRPr="00CC3D52">
        <w:t>xto da influência crescente dos movimentos antigénero — definidos como movimentos que visam fragilizar a igualdade de género enquanto valor fundamental da democracia — e da redução do espaço da sociedade civil, estas organizações enfrentam desafios financeiros e operacionais crescentes; insta a Comissão a velar por que não se atribuam fundos da UE a entidades que contribuam para o retrocesso nos direitos das mulheres ou para o aumento das desigualdades ou que ajam contra a igualdade de género, inclusive con</w:t>
      </w:r>
      <w:r w:rsidRPr="00CC3D52">
        <w:t>tra a saúde sexual e reprodutiva e direitos conexos e o direito das mulheres à integridade física, à autonomia e à autodeterminação; insta a Comissão a ter em conta a evolução do panorama do financiamento mundial e a assegurar que os mecanismos de financiamento da UE continuem a ser acessíveis, flexíveis e sensíveis às necessidades específicas e aos requisitos de segurança das organizações de defesa dos direitos das mulheres, em particular as que operam em contextos de alto risco;</w:t>
      </w:r>
    </w:p>
    <w:p w14:paraId="6D4BEEA2" w14:textId="77777777" w:rsidR="00687D01" w:rsidRPr="00CC3D52" w:rsidRDefault="00AC2527" w:rsidP="00687D01">
      <w:pPr>
        <w:pStyle w:val="NormalHanging12a"/>
        <w:rPr>
          <w:bCs/>
          <w:iCs/>
        </w:rPr>
      </w:pPr>
      <w:r w:rsidRPr="00CC3D52">
        <w:t>12.</w:t>
      </w:r>
      <w:r w:rsidRPr="00CC3D52">
        <w:tab/>
        <w:t>Reitera que a saúde sexual e reprodutiva e direitos conexos são direitos humanos fundamentais e que a sua concretização é um aspeto fundamental da dignidade humana e uma condição prévia para a consecução da igualdade de género; apela a que se empreendam os melhores esforços à escala europeia para proteger os nossos valores fundamentais, como a igualdade de direitos à autonomia física e o acesso à saúde sexual e reprodutiva e direitos conexos, entre eles o aborto seguro e legal; destaca a necessidade de ref</w:t>
      </w:r>
      <w:r w:rsidRPr="00CC3D52">
        <w:t xml:space="preserve">orçar as dotações orçamentais que favorecem o respeito e o acesso universais à saúde e aos direitos sexuais e reprodutivos, incluindo o aborto seguro e </w:t>
      </w:r>
      <w:r w:rsidRPr="00CC3D52">
        <w:lastRenderedPageBreak/>
        <w:t>legal; manifesta profunda preocupação com o facto de as mulheres e as raparigas nas zonas de conflito e guerras terem sido sujeitas a violência sexual e baseada no género — por exemplo, as mulheres e raparigas na Ucrânia, em resultado da guerra de agressão da Rússia; condena estes atos como violações graves do direito internacional humanitário e em matéria d</w:t>
      </w:r>
      <w:r w:rsidRPr="00CC3D52">
        <w:t>e direitos humanos; salienta a necessidade urgente de serviços de apoio abrangentes para sobreviventes, nomeadamente apoio médico, serviços de saúde sexual e reprodutiva, apoio psicológico e jurídico e assistência socioeconómica.</w:t>
      </w:r>
    </w:p>
    <w:p w14:paraId="150E9BCA" w14:textId="77777777" w:rsidR="00687D01" w:rsidRPr="00CC3D52" w:rsidRDefault="00AC2527" w:rsidP="00687D01">
      <w:pPr>
        <w:ind w:left="567" w:hanging="567"/>
        <w:rPr>
          <w:rStyle w:val="HideTWBExt"/>
        </w:rPr>
      </w:pPr>
      <w:r w:rsidRPr="00CC3D52">
        <w:rPr>
          <w:rStyle w:val="HideTWBExt"/>
        </w:rPr>
        <w:t>&lt;/RepeatBlock-Dec&gt;</w:t>
      </w:r>
    </w:p>
    <w:p w14:paraId="6C7B4D40" w14:textId="77777777" w:rsidR="00687D01" w:rsidRPr="00CC3D52" w:rsidRDefault="00687D01" w:rsidP="00687D01">
      <w:pPr>
        <w:ind w:left="567" w:hanging="567"/>
      </w:pPr>
    </w:p>
    <w:p w14:paraId="514F8B48" w14:textId="77777777" w:rsidR="00687D01" w:rsidRPr="00CC3D52" w:rsidRDefault="00687D01" w:rsidP="00687D01"/>
    <w:p w14:paraId="739F2CE2" w14:textId="77777777" w:rsidR="00687D01" w:rsidRPr="00CC3D52" w:rsidRDefault="00687D01" w:rsidP="00687D01">
      <w:pPr>
        <w:sectPr w:rsidR="00687D01" w:rsidRPr="00CC3D52" w:rsidSect="00CC3D5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3C89D13D" w14:textId="77777777" w:rsidR="00687D01" w:rsidRPr="00CC3D52" w:rsidRDefault="00AC2527" w:rsidP="00687D01">
      <w:pPr>
        <w:pStyle w:val="PageHeadingNotTOC"/>
      </w:pPr>
      <w:r w:rsidRPr="00CC3D52">
        <w:lastRenderedPageBreak/>
        <w:t>ANEXO: DECLARAÇÃO DE CONTRIBUTOS</w:t>
      </w:r>
    </w:p>
    <w:p w14:paraId="0E2CE3CF" w14:textId="77777777" w:rsidR="00687D01" w:rsidRPr="00CC3D52" w:rsidRDefault="00AC2527" w:rsidP="00687D01">
      <w:pPr>
        <w:pStyle w:val="Normal24a"/>
      </w:pPr>
      <w:r w:rsidRPr="00CC3D52">
        <w:rPr>
          <w:rStyle w:val="HideTWBExt"/>
        </w:rPr>
        <w:t>&lt;FootprintIntro&gt;</w:t>
      </w:r>
      <w:r w:rsidRPr="00CC3D52">
        <w:t xml:space="preserve">A relatora de parecer </w:t>
      </w:r>
      <w:r w:rsidRPr="00CC3D52">
        <w:t>declara, sob sua exclusiva responsabilidade, não ter incluído no seu parecer contributos de representantes de interesses abrangidos pelo âmbito de aplicação do Acordo Interinstitucional sobre um Registo de Transparência Obrigatório</w:t>
      </w:r>
      <w:r w:rsidRPr="00CC3D52">
        <w:rPr>
          <w:rStyle w:val="FootnoteReference"/>
        </w:rPr>
        <w:footnoteReference w:id="1"/>
      </w:r>
      <w:r w:rsidRPr="00CC3D52">
        <w:t xml:space="preserve"> nem de representantes das autoridades públicas de países terceiros, incluindo as respetivas missões diplomáticas e embaixadas, que devessem ser enumerados no presente anexo nos termos do artigo 8.º do anexo I do Regimento.</w:t>
      </w:r>
      <w:r w:rsidRPr="00CC3D52">
        <w:rPr>
          <w:rStyle w:val="HideTWBExt"/>
        </w:rPr>
        <w:t>&lt;/FootprintIntro&gt;</w:t>
      </w:r>
    </w:p>
    <w:p w14:paraId="6B2C3D16" w14:textId="77777777" w:rsidR="007B0940" w:rsidRPr="00CC3D52" w:rsidRDefault="007B0940" w:rsidP="00687D01">
      <w:pPr>
        <w:pStyle w:val="PageHeadingNotTOC"/>
        <w:sectPr w:rsidR="007B0940" w:rsidRPr="00CC3D52" w:rsidSect="00687D01">
          <w:headerReference w:type="even" r:id="rId14"/>
          <w:head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305A5F" w14:textId="77777777" w:rsidR="007B0940" w:rsidRPr="00CC3D52" w:rsidRDefault="00AC2527" w:rsidP="007B0940">
      <w:pPr>
        <w:pStyle w:val="PageHeadingNotTOC"/>
      </w:pPr>
      <w:bookmarkStart w:id="0" w:name="ProcPageAD"/>
      <w:r w:rsidRPr="00CC3D52">
        <w:lastRenderedPageBreak/>
        <w:t>INFORMAÇÕES SOBRE A APROVAÇÃO</w:t>
      </w:r>
      <w:r w:rsidRPr="00CC3D52">
        <w:br/>
        <w:t>NA COMISSÃO ENCARREGADA DE EMITIR PARECER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1B3343" w:rsidRPr="00CC3D52" w14:paraId="1728658F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907BF36" w14:textId="77777777" w:rsidR="007B0940" w:rsidRPr="00CC3D52" w:rsidRDefault="00AC252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C3D52">
              <w:rPr>
                <w:b/>
                <w:color w:val="000000"/>
                <w:sz w:val="20"/>
              </w:rPr>
              <w:t>Data de aprovação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93F4626" w14:textId="77777777" w:rsidR="007B0940" w:rsidRPr="00CC3D52" w:rsidRDefault="00AC25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C3D52">
              <w:rPr>
                <w:color w:val="000000"/>
                <w:sz w:val="20"/>
              </w:rPr>
              <w:t>27.1.2026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B72D6E0" w14:textId="77777777" w:rsidR="007B0940" w:rsidRPr="00CC3D52" w:rsidRDefault="007B0940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FAA3C9E" w14:textId="77777777" w:rsidR="007B0940" w:rsidRPr="00CC3D52" w:rsidRDefault="007B0940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0E4734F" w14:textId="77777777" w:rsidR="007B0940" w:rsidRPr="00CC3D52" w:rsidRDefault="007B0940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1B3343" w:rsidRPr="00CC3D52" w14:paraId="113FD2AF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3CCD9D9" w14:textId="77777777" w:rsidR="007B0940" w:rsidRPr="00CC3D52" w:rsidRDefault="00AC252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CC3D52">
              <w:rPr>
                <w:b/>
                <w:color w:val="000000"/>
                <w:sz w:val="20"/>
              </w:rPr>
              <w:t>Resultado da votação final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CE0477" w14:textId="77777777" w:rsidR="007B0940" w:rsidRPr="00CC3D52" w:rsidRDefault="00AC25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C3D52">
              <w:rPr>
                <w:color w:val="000000"/>
                <w:sz w:val="20"/>
              </w:rPr>
              <w:t>+:</w:t>
            </w:r>
          </w:p>
          <w:p w14:paraId="4E8E30A2" w14:textId="77777777" w:rsidR="007B0940" w:rsidRPr="00CC3D52" w:rsidRDefault="00AC25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C3D52">
              <w:rPr>
                <w:color w:val="000000"/>
                <w:sz w:val="20"/>
              </w:rPr>
              <w:t>–:</w:t>
            </w:r>
          </w:p>
          <w:p w14:paraId="3FEC83CE" w14:textId="77777777" w:rsidR="007B0940" w:rsidRPr="00CC3D52" w:rsidRDefault="00AC25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C3D52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F893E37" w14:textId="77777777" w:rsidR="007B0940" w:rsidRPr="00CC3D52" w:rsidRDefault="00AC25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C3D52">
              <w:rPr>
                <w:color w:val="000000"/>
                <w:sz w:val="20"/>
              </w:rPr>
              <w:t>22</w:t>
            </w:r>
          </w:p>
          <w:p w14:paraId="7F24AFA6" w14:textId="77777777" w:rsidR="007B0940" w:rsidRPr="00CC3D52" w:rsidRDefault="00AC25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C3D52">
              <w:rPr>
                <w:color w:val="000000"/>
                <w:sz w:val="20"/>
              </w:rPr>
              <w:t>8</w:t>
            </w:r>
          </w:p>
          <w:p w14:paraId="3D737442" w14:textId="77777777" w:rsidR="007B0940" w:rsidRPr="00CC3D52" w:rsidRDefault="00AC25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C3D52">
              <w:rPr>
                <w:color w:val="000000"/>
                <w:sz w:val="20"/>
              </w:rPr>
              <w:t>2</w:t>
            </w:r>
          </w:p>
        </w:tc>
      </w:tr>
    </w:tbl>
    <w:p w14:paraId="58823AB8" w14:textId="77777777" w:rsidR="007B0940" w:rsidRPr="00CC3D52" w:rsidRDefault="007B0940" w:rsidP="00687D01"/>
    <w:bookmarkEnd w:id="0"/>
    <w:p w14:paraId="1713990F" w14:textId="77777777" w:rsidR="00687D01" w:rsidRPr="00CC3D52" w:rsidRDefault="00687D01" w:rsidP="007B0940">
      <w:pPr>
        <w:sectPr w:rsidR="00687D01" w:rsidRPr="00CC3D52" w:rsidSect="00687D01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65E3A3B9" w14:textId="77777777" w:rsidR="00687D01" w:rsidRPr="00CC3D52" w:rsidRDefault="00AC2527" w:rsidP="00C36610">
      <w:pPr>
        <w:pStyle w:val="PageHeadingNotTOC"/>
      </w:pPr>
      <w:bookmarkStart w:id="1" w:name="RollCallPageAD"/>
      <w:r w:rsidRPr="00CC3D52">
        <w:t>VOTAÇÃO NOMINAL FINAL</w:t>
      </w:r>
      <w:r w:rsidRPr="00CC3D52">
        <w:br/>
        <w:t>NA COMISSÃO ENCARREGADA DE EMITIR PARECER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B3343" w:rsidRPr="00CC3D52" w14:paraId="01BF4676" w14:textId="77777777" w:rsidTr="006639C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690CD0CA" w14:textId="77777777" w:rsidR="00687D01" w:rsidRPr="00CC3D52" w:rsidRDefault="00AC2527" w:rsidP="006639CF">
            <w:pPr>
              <w:pStyle w:val="RollCallVotes"/>
            </w:pPr>
            <w:r w:rsidRPr="00CC3D52">
              <w:t>22</w:t>
            </w:r>
          </w:p>
        </w:tc>
        <w:tc>
          <w:tcPr>
            <w:tcW w:w="7371" w:type="dxa"/>
            <w:shd w:val="pct10" w:color="000000" w:fill="FFFFFF"/>
          </w:tcPr>
          <w:p w14:paraId="2BB2B465" w14:textId="77777777" w:rsidR="00687D01" w:rsidRPr="00CC3D52" w:rsidRDefault="00AC2527" w:rsidP="006639CF">
            <w:pPr>
              <w:pStyle w:val="RollCallSymbols14pt"/>
            </w:pPr>
            <w:r w:rsidRPr="00CC3D52">
              <w:t>+</w:t>
            </w:r>
          </w:p>
        </w:tc>
      </w:tr>
      <w:tr w:rsidR="001B3343" w:rsidRPr="00CC3D52" w14:paraId="56AF6EB2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21FEC016" w14:textId="77777777" w:rsidR="00687D01" w:rsidRPr="00CC3D52" w:rsidRDefault="00AC2527" w:rsidP="006639CF">
            <w:pPr>
              <w:pStyle w:val="RollCallTable"/>
            </w:pPr>
            <w:r w:rsidRPr="00CC3D52">
              <w:t>PPE</w:t>
            </w:r>
          </w:p>
        </w:tc>
        <w:tc>
          <w:tcPr>
            <w:tcW w:w="7371" w:type="dxa"/>
            <w:shd w:val="clear" w:color="auto" w:fill="FFFFFF"/>
          </w:tcPr>
          <w:p w14:paraId="451BCDB5" w14:textId="77777777" w:rsidR="00687D01" w:rsidRPr="00CC3D52" w:rsidRDefault="00AC2527" w:rsidP="006639CF">
            <w:pPr>
              <w:pStyle w:val="RollCallTable"/>
            </w:pPr>
            <w:r w:rsidRPr="00CC3D52">
              <w:t>Ewa Kopacz, Verena Mertens, Mirosława Nykiel, Giusi Princi, Maria Walsh</w:t>
            </w:r>
          </w:p>
        </w:tc>
      </w:tr>
      <w:tr w:rsidR="001B3343" w:rsidRPr="00CC3D52" w14:paraId="00E8EE07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2336899E" w14:textId="77777777" w:rsidR="00687D01" w:rsidRPr="00CC3D52" w:rsidRDefault="00AC2527" w:rsidP="006639CF">
            <w:pPr>
              <w:pStyle w:val="RollCallTable"/>
            </w:pPr>
            <w:r w:rsidRPr="00CC3D52">
              <w:t>Renew</w:t>
            </w:r>
          </w:p>
        </w:tc>
        <w:tc>
          <w:tcPr>
            <w:tcW w:w="7371" w:type="dxa"/>
            <w:shd w:val="clear" w:color="auto" w:fill="FFFFFF"/>
          </w:tcPr>
          <w:p w14:paraId="7E4A3BE6" w14:textId="1B216089" w:rsidR="00687D01" w:rsidRPr="00CC3D52" w:rsidRDefault="00AC2527" w:rsidP="006639CF">
            <w:pPr>
              <w:pStyle w:val="RollCallTable"/>
            </w:pPr>
            <w:r w:rsidRPr="00CC3D52">
              <w:t>Abir Al</w:t>
            </w:r>
            <w:r w:rsidR="005A2CF3">
              <w:noBreakHyphen/>
            </w:r>
            <w:r w:rsidRPr="00CC3D52">
              <w:t>Sahlani, Raquel García Hermida</w:t>
            </w:r>
            <w:r w:rsidR="005A2CF3">
              <w:noBreakHyphen/>
            </w:r>
            <w:r w:rsidRPr="00CC3D52">
              <w:t xml:space="preserve">Van Der Walle, Lucia Yar, </w:t>
            </w:r>
            <w:r w:rsidRPr="00CC3D52">
              <w:t>Dainius Žalimas</w:t>
            </w:r>
          </w:p>
        </w:tc>
      </w:tr>
      <w:tr w:rsidR="001B3343" w:rsidRPr="00CC3D52" w14:paraId="58D1BC8E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0300459C" w14:textId="77777777" w:rsidR="00687D01" w:rsidRPr="00CC3D52" w:rsidRDefault="00AC2527" w:rsidP="006639CF">
            <w:pPr>
              <w:pStyle w:val="RollCallTable"/>
            </w:pPr>
            <w:r w:rsidRPr="00CC3D52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3C7B1497" w14:textId="77AE3E28" w:rsidR="00687D01" w:rsidRPr="00CC3D52" w:rsidRDefault="00AC2527" w:rsidP="006639CF">
            <w:pPr>
              <w:pStyle w:val="RollCallTable"/>
            </w:pPr>
            <w:r w:rsidRPr="00CC3D52">
              <w:t>Gabriela Firea, Heléne Fritzon, Lina Gálvez, Maria Noichl, Joanna Scheuring</w:t>
            </w:r>
            <w:r w:rsidR="005A2CF3">
              <w:noBreakHyphen/>
            </w:r>
            <w:r w:rsidRPr="00CC3D52">
              <w:t>Wielgus, Cecilia Strada, Marko Vešligaj</w:t>
            </w:r>
          </w:p>
        </w:tc>
      </w:tr>
      <w:tr w:rsidR="001B3343" w:rsidRPr="00CC3D52" w14:paraId="4EAA4FCF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013B810F" w14:textId="77777777" w:rsidR="00687D01" w:rsidRPr="00CC3D52" w:rsidRDefault="00AC2527" w:rsidP="006639CF">
            <w:pPr>
              <w:pStyle w:val="RollCallTable"/>
            </w:pPr>
            <w:r w:rsidRPr="00CC3D52"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62D2DE62" w14:textId="77777777" w:rsidR="00687D01" w:rsidRPr="00CC3D52" w:rsidRDefault="00AC2527" w:rsidP="006639CF">
            <w:pPr>
              <w:pStyle w:val="RollCallTable"/>
            </w:pPr>
            <w:r w:rsidRPr="00CC3D52">
              <w:t>Hanna Gedin, Irene Montero, Carolina Morace</w:t>
            </w:r>
          </w:p>
        </w:tc>
      </w:tr>
      <w:tr w:rsidR="001B3343" w:rsidRPr="00CC3D52" w14:paraId="339011D3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76C4A751" w14:textId="77777777" w:rsidR="00687D01" w:rsidRPr="00CC3D52" w:rsidRDefault="00AC2527" w:rsidP="006639CF">
            <w:pPr>
              <w:pStyle w:val="RollCallTable"/>
            </w:pPr>
            <w:r w:rsidRPr="00CC3D52"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7153B693" w14:textId="77777777" w:rsidR="00687D01" w:rsidRPr="00CC3D52" w:rsidRDefault="00AC2527" w:rsidP="006639CF">
            <w:pPr>
              <w:pStyle w:val="RollCallTable"/>
            </w:pPr>
            <w:r w:rsidRPr="00CC3D52">
              <w:t xml:space="preserve">Mélissa Camara, Alexandra Geese, Benedetta </w:t>
            </w:r>
            <w:r w:rsidRPr="00CC3D52">
              <w:t>Scuderi</w:t>
            </w:r>
          </w:p>
        </w:tc>
      </w:tr>
    </w:tbl>
    <w:p w14:paraId="39089F33" w14:textId="77777777" w:rsidR="00687D01" w:rsidRPr="00CC3D52" w:rsidRDefault="00687D01" w:rsidP="00687D01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B3343" w:rsidRPr="00CC3D52" w14:paraId="6E729607" w14:textId="77777777" w:rsidTr="006639C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AD02F50" w14:textId="77777777" w:rsidR="00687D01" w:rsidRPr="00CC3D52" w:rsidRDefault="00AC2527" w:rsidP="006639CF">
            <w:pPr>
              <w:pStyle w:val="RollCallVotes"/>
            </w:pPr>
            <w:r w:rsidRPr="00CC3D52">
              <w:t>8</w:t>
            </w:r>
          </w:p>
        </w:tc>
        <w:tc>
          <w:tcPr>
            <w:tcW w:w="7371" w:type="dxa"/>
            <w:shd w:val="pct10" w:color="000000" w:fill="FFFFFF"/>
          </w:tcPr>
          <w:p w14:paraId="3FB3C3FD" w14:textId="1F9FFA53" w:rsidR="00687D01" w:rsidRPr="00CC3D52" w:rsidRDefault="005A2CF3" w:rsidP="006639CF">
            <w:pPr>
              <w:pStyle w:val="RollCallSymbols14pt"/>
            </w:pPr>
            <w:r>
              <w:noBreakHyphen/>
            </w:r>
          </w:p>
        </w:tc>
      </w:tr>
      <w:tr w:rsidR="001B3343" w:rsidRPr="00CC3D52" w14:paraId="43CB6472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3CF27192" w14:textId="77777777" w:rsidR="00687D01" w:rsidRPr="00CC3D52" w:rsidRDefault="00AC2527" w:rsidP="006639CF">
            <w:pPr>
              <w:pStyle w:val="RollCallTable"/>
            </w:pPr>
            <w:r w:rsidRPr="00CC3D52">
              <w:t>ECR</w:t>
            </w:r>
          </w:p>
        </w:tc>
        <w:tc>
          <w:tcPr>
            <w:tcW w:w="7371" w:type="dxa"/>
            <w:shd w:val="clear" w:color="auto" w:fill="FFFFFF"/>
          </w:tcPr>
          <w:p w14:paraId="3BFBBE96" w14:textId="77777777" w:rsidR="00687D01" w:rsidRPr="00CC3D52" w:rsidRDefault="00AC2527" w:rsidP="006639CF">
            <w:pPr>
              <w:pStyle w:val="RollCallTable"/>
            </w:pPr>
            <w:r w:rsidRPr="00CC3D52">
              <w:t>Chiara Gemma, Beatrice Timgren</w:t>
            </w:r>
          </w:p>
        </w:tc>
      </w:tr>
      <w:tr w:rsidR="001B3343" w:rsidRPr="00CC3D52" w14:paraId="3505B2A2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6CD94F17" w14:textId="77777777" w:rsidR="00687D01" w:rsidRPr="00CC3D52" w:rsidRDefault="00AC2527" w:rsidP="006639CF">
            <w:pPr>
              <w:pStyle w:val="RollCallTable"/>
            </w:pPr>
            <w:r w:rsidRPr="00CC3D52">
              <w:t>NI</w:t>
            </w:r>
          </w:p>
        </w:tc>
        <w:tc>
          <w:tcPr>
            <w:tcW w:w="7371" w:type="dxa"/>
            <w:shd w:val="clear" w:color="auto" w:fill="FFFFFF"/>
          </w:tcPr>
          <w:p w14:paraId="67BC11D9" w14:textId="77777777" w:rsidR="00687D01" w:rsidRPr="00CC3D52" w:rsidRDefault="00AC2527" w:rsidP="006639CF">
            <w:pPr>
              <w:pStyle w:val="RollCallTable"/>
            </w:pPr>
            <w:r w:rsidRPr="00CC3D52">
              <w:t>Fernand Kartheiser</w:t>
            </w:r>
          </w:p>
        </w:tc>
      </w:tr>
      <w:tr w:rsidR="001B3343" w:rsidRPr="00CC3D52" w14:paraId="162E3F67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36A2D3E8" w14:textId="77777777" w:rsidR="00687D01" w:rsidRPr="00CC3D52" w:rsidRDefault="00AC2527" w:rsidP="006639CF">
            <w:pPr>
              <w:pStyle w:val="RollCallTable"/>
            </w:pPr>
            <w:r w:rsidRPr="00CC3D52">
              <w:t>PfE</w:t>
            </w:r>
          </w:p>
        </w:tc>
        <w:tc>
          <w:tcPr>
            <w:tcW w:w="7371" w:type="dxa"/>
            <w:shd w:val="clear" w:color="auto" w:fill="FFFFFF"/>
          </w:tcPr>
          <w:p w14:paraId="1FA84A11" w14:textId="77777777" w:rsidR="00687D01" w:rsidRPr="00CC3D52" w:rsidRDefault="00AC2527" w:rsidP="006639CF">
            <w:pPr>
              <w:pStyle w:val="RollCallTable"/>
            </w:pPr>
            <w:r w:rsidRPr="00CC3D52">
              <w:t>Mathilde Androuët, Mireia Borrás Pabón, Elisabeth Dieringer, Margarita de la Pisa Carrión, Anders Vistisen</w:t>
            </w:r>
          </w:p>
        </w:tc>
      </w:tr>
    </w:tbl>
    <w:p w14:paraId="07430200" w14:textId="77777777" w:rsidR="00687D01" w:rsidRPr="00CC3D52" w:rsidRDefault="00687D01" w:rsidP="00687D01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1B3343" w:rsidRPr="00CC3D52" w14:paraId="4355F687" w14:textId="77777777" w:rsidTr="006639C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0B07A97" w14:textId="77777777" w:rsidR="00687D01" w:rsidRPr="00CC3D52" w:rsidRDefault="00AC2527" w:rsidP="006639CF">
            <w:pPr>
              <w:pStyle w:val="RollCallVotes"/>
            </w:pPr>
            <w:r w:rsidRPr="00CC3D52">
              <w:t>2</w:t>
            </w:r>
          </w:p>
        </w:tc>
        <w:tc>
          <w:tcPr>
            <w:tcW w:w="7371" w:type="dxa"/>
            <w:shd w:val="pct10" w:color="000000" w:fill="FFFFFF"/>
          </w:tcPr>
          <w:p w14:paraId="7D5BBC5B" w14:textId="77777777" w:rsidR="00687D01" w:rsidRPr="00CC3D52" w:rsidRDefault="00AC2527" w:rsidP="006639CF">
            <w:pPr>
              <w:pStyle w:val="RollCallSymbols14pt"/>
            </w:pPr>
            <w:r w:rsidRPr="00CC3D52">
              <w:t>0</w:t>
            </w:r>
          </w:p>
        </w:tc>
      </w:tr>
      <w:tr w:rsidR="001B3343" w:rsidRPr="00CC3D52" w14:paraId="61EAA393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53DF8277" w14:textId="77777777" w:rsidR="00687D01" w:rsidRPr="00CC3D52" w:rsidRDefault="00AC2527" w:rsidP="006639CF">
            <w:pPr>
              <w:pStyle w:val="RollCallTable"/>
            </w:pPr>
            <w:r w:rsidRPr="00CC3D52">
              <w:t>NI</w:t>
            </w:r>
          </w:p>
        </w:tc>
        <w:tc>
          <w:tcPr>
            <w:tcW w:w="7371" w:type="dxa"/>
            <w:shd w:val="clear" w:color="auto" w:fill="FFFFFF"/>
          </w:tcPr>
          <w:p w14:paraId="409CFEE0" w14:textId="77777777" w:rsidR="00687D01" w:rsidRPr="00CC3D52" w:rsidRDefault="00AC2527" w:rsidP="006639CF">
            <w:pPr>
              <w:pStyle w:val="RollCallTable"/>
            </w:pPr>
            <w:r w:rsidRPr="00CC3D52">
              <w:t>Judita Laššáková</w:t>
            </w:r>
          </w:p>
        </w:tc>
      </w:tr>
      <w:tr w:rsidR="001B3343" w:rsidRPr="00CC3D52" w14:paraId="6649A4C5" w14:textId="77777777" w:rsidTr="006639CF">
        <w:trPr>
          <w:cantSplit/>
        </w:trPr>
        <w:tc>
          <w:tcPr>
            <w:tcW w:w="1701" w:type="dxa"/>
            <w:shd w:val="clear" w:color="auto" w:fill="FFFFFF"/>
          </w:tcPr>
          <w:p w14:paraId="01923432" w14:textId="77777777" w:rsidR="00687D01" w:rsidRPr="00CC3D52" w:rsidRDefault="00AC2527" w:rsidP="006639CF">
            <w:pPr>
              <w:pStyle w:val="RollCallTable"/>
            </w:pPr>
            <w:r w:rsidRPr="00CC3D52">
              <w:t>PPE</w:t>
            </w:r>
          </w:p>
        </w:tc>
        <w:tc>
          <w:tcPr>
            <w:tcW w:w="7371" w:type="dxa"/>
            <w:shd w:val="clear" w:color="auto" w:fill="FFFFFF"/>
          </w:tcPr>
          <w:p w14:paraId="60E903F4" w14:textId="77777777" w:rsidR="00687D01" w:rsidRPr="00CC3D52" w:rsidRDefault="00AC2527" w:rsidP="006639CF">
            <w:pPr>
              <w:pStyle w:val="RollCallTable"/>
            </w:pPr>
            <w:r w:rsidRPr="00CC3D52">
              <w:t>Rosa Estaràs Ferragut</w:t>
            </w:r>
          </w:p>
        </w:tc>
      </w:tr>
    </w:tbl>
    <w:p w14:paraId="32430BE8" w14:textId="77777777" w:rsidR="00687D01" w:rsidRPr="00CC3D52" w:rsidRDefault="00687D01" w:rsidP="00147FBF">
      <w:pPr>
        <w:pStyle w:val="Normal12a"/>
      </w:pPr>
    </w:p>
    <w:p w14:paraId="512CA42A" w14:textId="77777777" w:rsidR="00687D01" w:rsidRPr="00CC3D52" w:rsidRDefault="00AC2527" w:rsidP="00B735E3">
      <w:r w:rsidRPr="00CC3D52">
        <w:t xml:space="preserve">Legenda dos </w:t>
      </w:r>
      <w:r w:rsidRPr="00CC3D52">
        <w:t>símbolos utilizados:</w:t>
      </w:r>
    </w:p>
    <w:p w14:paraId="38A2B3C7" w14:textId="77777777" w:rsidR="00687D01" w:rsidRPr="00CC3D52" w:rsidRDefault="00AC2527" w:rsidP="003858C5">
      <w:pPr>
        <w:pStyle w:val="RollCallTabs"/>
      </w:pPr>
      <w:r w:rsidRPr="00CC3D52">
        <w:t>+</w:t>
      </w:r>
      <w:r w:rsidRPr="00CC3D52">
        <w:tab/>
        <w:t>:</w:t>
      </w:r>
      <w:r w:rsidRPr="00CC3D52">
        <w:tab/>
        <w:t>votos a favor</w:t>
      </w:r>
    </w:p>
    <w:p w14:paraId="54D7AEEF" w14:textId="24EAF00F" w:rsidR="00687D01" w:rsidRPr="00CC3D52" w:rsidRDefault="005A2CF3" w:rsidP="003858C5">
      <w:pPr>
        <w:pStyle w:val="RollCallTabs"/>
      </w:pPr>
      <w:r>
        <w:noBreakHyphen/>
      </w:r>
      <w:r w:rsidR="00AC2527" w:rsidRPr="00CC3D52">
        <w:tab/>
        <w:t>:</w:t>
      </w:r>
      <w:r w:rsidR="00AC2527" w:rsidRPr="00CC3D52">
        <w:tab/>
        <w:t>votos contra</w:t>
      </w:r>
    </w:p>
    <w:p w14:paraId="715EF843" w14:textId="77777777" w:rsidR="00687D01" w:rsidRPr="00CC3D52" w:rsidRDefault="00AC2527" w:rsidP="003858C5">
      <w:pPr>
        <w:pStyle w:val="RollCallTabs"/>
      </w:pPr>
      <w:r w:rsidRPr="00CC3D52">
        <w:t>0</w:t>
      </w:r>
      <w:r w:rsidRPr="00CC3D52">
        <w:tab/>
        <w:t>:</w:t>
      </w:r>
      <w:r w:rsidRPr="00CC3D52">
        <w:tab/>
        <w:t>abstenções</w:t>
      </w:r>
    </w:p>
    <w:p w14:paraId="636722B1" w14:textId="77777777" w:rsidR="00687D01" w:rsidRPr="00CC3D52" w:rsidRDefault="00687D01" w:rsidP="00207509"/>
    <w:bookmarkEnd w:id="1"/>
    <w:p w14:paraId="06AABFFD" w14:textId="77777777" w:rsidR="007B0940" w:rsidRPr="00CC3D52" w:rsidRDefault="007B0940" w:rsidP="007B0940"/>
    <w:sectPr w:rsidR="007B0940" w:rsidRPr="00CC3D52" w:rsidSect="00687D01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CF364" w14:textId="77777777" w:rsidR="00AC2527" w:rsidRPr="00CC3D52" w:rsidRDefault="00AC2527">
      <w:r w:rsidRPr="00CC3D52">
        <w:separator/>
      </w:r>
    </w:p>
  </w:endnote>
  <w:endnote w:type="continuationSeparator" w:id="0">
    <w:p w14:paraId="2966085C" w14:textId="77777777" w:rsidR="00AC2527" w:rsidRPr="00CC3D52" w:rsidRDefault="00AC2527">
      <w:r w:rsidRPr="00CC3D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1714F" w14:textId="298C549D" w:rsidR="00CC3D52" w:rsidRPr="00CC3D52" w:rsidRDefault="00CC3D52" w:rsidP="00CC3D52">
    <w:pPr>
      <w:pStyle w:val="EPFooter"/>
    </w:pPr>
    <w:r w:rsidRPr="00CC3D52">
      <w:t>PE</w:t>
    </w:r>
    <w:r w:rsidRPr="00CC3D52">
      <w:rPr>
        <w:rStyle w:val="HideTWBExt"/>
      </w:rPr>
      <w:t>&lt;NoPE&gt;</w:t>
    </w:r>
    <w:r w:rsidRPr="00CC3D52">
      <w:t>779.730</w:t>
    </w:r>
    <w:r w:rsidRPr="00CC3D52">
      <w:rPr>
        <w:rStyle w:val="HideTWBExt"/>
      </w:rPr>
      <w:t>&lt;/NoPE&gt;&lt;Version&gt;</w:t>
    </w:r>
    <w:r w:rsidRPr="00CC3D52">
      <w:t>v03</w:t>
    </w:r>
    <w:r w:rsidR="005A2CF3">
      <w:noBreakHyphen/>
    </w:r>
    <w:r w:rsidRPr="00CC3D52">
      <w:t>00</w:t>
    </w:r>
    <w:r w:rsidRPr="00CC3D52">
      <w:rPr>
        <w:rStyle w:val="HideTWBExt"/>
      </w:rPr>
      <w:t>&lt;/Version&gt;</w:t>
    </w:r>
    <w:r w:rsidRPr="00CC3D52">
      <w:tab/>
    </w:r>
    <w:r w:rsidRPr="00CC3D52">
      <w:fldChar w:fldCharType="begin"/>
    </w:r>
    <w:r w:rsidRPr="00CC3D52">
      <w:instrText xml:space="preserve"> PAGE  \* MERGEFORMAT </w:instrText>
    </w:r>
    <w:r w:rsidRPr="00CC3D52">
      <w:fldChar w:fldCharType="separate"/>
    </w:r>
    <w:r w:rsidRPr="00CC3D52">
      <w:rPr>
        <w:noProof/>
      </w:rPr>
      <w:t>10</w:t>
    </w:r>
    <w:r w:rsidRPr="00CC3D52">
      <w:fldChar w:fldCharType="end"/>
    </w:r>
    <w:r w:rsidRPr="00CC3D52">
      <w:t>/</w:t>
    </w:r>
    <w:fldSimple w:instr=" NUMPAGES  \* MERGEFORMAT ">
      <w:r w:rsidRPr="00CC3D52">
        <w:rPr>
          <w:noProof/>
        </w:rPr>
        <w:t>10</w:t>
      </w:r>
    </w:fldSimple>
    <w:r w:rsidRPr="00CC3D52">
      <w:tab/>
    </w:r>
    <w:r w:rsidRPr="00CC3D52">
      <w:rPr>
        <w:rStyle w:val="HideTWBExt"/>
      </w:rPr>
      <w:t>&lt;PathFdR&gt;</w:t>
    </w:r>
    <w:r w:rsidRPr="00CC3D52">
      <w:t>AD\1336107PT.docx</w:t>
    </w:r>
    <w:r w:rsidRPr="00CC3D52">
      <w:rPr>
        <w:rStyle w:val="HideTWBExt"/>
      </w:rPr>
      <w:t>&lt;/PathFdR&gt;</w:t>
    </w:r>
  </w:p>
  <w:p w14:paraId="739F9A56" w14:textId="1E72883B" w:rsidR="00687D01" w:rsidRPr="00CC3D52" w:rsidRDefault="00CC3D52" w:rsidP="00CC3D52">
    <w:pPr>
      <w:pStyle w:val="EPFooter2"/>
    </w:pPr>
    <w:r w:rsidRPr="00CC3D52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91AF1" w14:textId="3F8FDCCF" w:rsidR="00CC3D52" w:rsidRPr="00CC3D52" w:rsidRDefault="00CC3D52" w:rsidP="00CC3D52">
    <w:pPr>
      <w:pStyle w:val="EPFooter"/>
    </w:pPr>
    <w:r w:rsidRPr="00CC3D52">
      <w:rPr>
        <w:rStyle w:val="HideTWBExt"/>
      </w:rPr>
      <w:t>&lt;PathFdR&gt;</w:t>
    </w:r>
    <w:r w:rsidRPr="00CC3D52">
      <w:t>AD\1336107PT.docx</w:t>
    </w:r>
    <w:r w:rsidRPr="00CC3D52">
      <w:rPr>
        <w:rStyle w:val="HideTWBExt"/>
      </w:rPr>
      <w:t>&lt;/PathFdR&gt;</w:t>
    </w:r>
    <w:r w:rsidRPr="00CC3D52">
      <w:tab/>
    </w:r>
    <w:r w:rsidRPr="00CC3D52">
      <w:fldChar w:fldCharType="begin"/>
    </w:r>
    <w:r w:rsidRPr="00CC3D52">
      <w:instrText xml:space="preserve"> PAGE  \* MERGEFORMAT </w:instrText>
    </w:r>
    <w:r w:rsidRPr="00CC3D52">
      <w:fldChar w:fldCharType="separate"/>
    </w:r>
    <w:r w:rsidRPr="00CC3D52">
      <w:rPr>
        <w:noProof/>
      </w:rPr>
      <w:t>9</w:t>
    </w:r>
    <w:r w:rsidRPr="00CC3D52">
      <w:fldChar w:fldCharType="end"/>
    </w:r>
    <w:r w:rsidRPr="00CC3D52">
      <w:t>/</w:t>
    </w:r>
    <w:fldSimple w:instr=" NUMPAGES  \* MERGEFORMAT ">
      <w:r w:rsidRPr="00CC3D52">
        <w:rPr>
          <w:noProof/>
        </w:rPr>
        <w:t>10</w:t>
      </w:r>
    </w:fldSimple>
    <w:r w:rsidRPr="00CC3D52">
      <w:tab/>
      <w:t>PE</w:t>
    </w:r>
    <w:r w:rsidRPr="00CC3D52">
      <w:rPr>
        <w:rStyle w:val="HideTWBExt"/>
      </w:rPr>
      <w:t>&lt;NoPE&gt;</w:t>
    </w:r>
    <w:r w:rsidRPr="00CC3D52">
      <w:t>779.730</w:t>
    </w:r>
    <w:r w:rsidRPr="00CC3D52">
      <w:rPr>
        <w:rStyle w:val="HideTWBExt"/>
      </w:rPr>
      <w:t>&lt;/NoPE&gt;&lt;Version&gt;</w:t>
    </w:r>
    <w:r w:rsidRPr="00CC3D52">
      <w:t>v03</w:t>
    </w:r>
    <w:r w:rsidR="005A2CF3">
      <w:noBreakHyphen/>
    </w:r>
    <w:r w:rsidRPr="00CC3D52">
      <w:t>00</w:t>
    </w:r>
    <w:r w:rsidRPr="00CC3D52">
      <w:rPr>
        <w:rStyle w:val="HideTWBExt"/>
      </w:rPr>
      <w:t>&lt;/Version&gt;</w:t>
    </w:r>
  </w:p>
  <w:p w14:paraId="67693D96" w14:textId="15697FD5" w:rsidR="00687D01" w:rsidRPr="00CC3D52" w:rsidRDefault="00CC3D52" w:rsidP="00CC3D52">
    <w:pPr>
      <w:pStyle w:val="EPFooter2"/>
    </w:pPr>
    <w:r w:rsidRPr="00CC3D52">
      <w:tab/>
    </w:r>
    <w:r w:rsidRPr="00CC3D52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3FC35" w14:textId="408338C5" w:rsidR="00CC3D52" w:rsidRPr="00CC3D52" w:rsidRDefault="00CC3D52" w:rsidP="00CC3D52">
    <w:pPr>
      <w:pStyle w:val="EPFooter"/>
    </w:pPr>
    <w:r w:rsidRPr="00CC3D52">
      <w:rPr>
        <w:rStyle w:val="HideTWBExt"/>
      </w:rPr>
      <w:t>&lt;PathFdR&gt;</w:t>
    </w:r>
    <w:r w:rsidRPr="00CC3D52">
      <w:t>AD\1336107PT.docx</w:t>
    </w:r>
    <w:r w:rsidRPr="00CC3D52">
      <w:rPr>
        <w:rStyle w:val="HideTWBExt"/>
      </w:rPr>
      <w:t>&lt;/PathFdR&gt;</w:t>
    </w:r>
    <w:r w:rsidRPr="00CC3D52">
      <w:tab/>
    </w:r>
    <w:r w:rsidRPr="00CC3D52">
      <w:tab/>
      <w:t>PE</w:t>
    </w:r>
    <w:r w:rsidRPr="00CC3D52">
      <w:rPr>
        <w:rStyle w:val="HideTWBExt"/>
      </w:rPr>
      <w:t>&lt;NoPE&gt;</w:t>
    </w:r>
    <w:r w:rsidRPr="00CC3D52">
      <w:t>779.730</w:t>
    </w:r>
    <w:r w:rsidRPr="00CC3D52">
      <w:rPr>
        <w:rStyle w:val="HideTWBExt"/>
      </w:rPr>
      <w:t>&lt;/NoPE&gt;&lt;Version&gt;</w:t>
    </w:r>
    <w:r w:rsidRPr="00CC3D52">
      <w:t>v03</w:t>
    </w:r>
    <w:r w:rsidR="005A2CF3">
      <w:noBreakHyphen/>
    </w:r>
    <w:r w:rsidRPr="00CC3D52">
      <w:t>00</w:t>
    </w:r>
    <w:r w:rsidRPr="00CC3D52">
      <w:rPr>
        <w:rStyle w:val="HideTWBExt"/>
      </w:rPr>
      <w:t>&lt;/Version&gt;</w:t>
    </w:r>
  </w:p>
  <w:p w14:paraId="6840FA36" w14:textId="635D90EA" w:rsidR="00687D01" w:rsidRPr="00CC3D52" w:rsidRDefault="00CC3D52" w:rsidP="00CC3D52">
    <w:pPr>
      <w:pStyle w:val="EPFooter2"/>
    </w:pPr>
    <w:r w:rsidRPr="00CC3D52">
      <w:t>PT</w:t>
    </w:r>
    <w:r w:rsidRPr="00CC3D52">
      <w:tab/>
    </w:r>
    <w:r w:rsidRPr="00CC3D52">
      <w:rPr>
        <w:b w:val="0"/>
        <w:i/>
        <w:color w:val="C0C0C0"/>
        <w:sz w:val="22"/>
      </w:rPr>
      <w:t>Unida na diversidade</w:t>
    </w:r>
    <w:r w:rsidRPr="00CC3D52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C1728" w14:textId="0FBE07B4" w:rsidR="007B0940" w:rsidRPr="00CC3D52" w:rsidRDefault="00AC2527" w:rsidP="007B0940">
    <w:pPr>
      <w:pStyle w:val="EPFooter"/>
    </w:pPr>
    <w:r w:rsidRPr="00CC3D52">
      <w:rPr>
        <w:rStyle w:val="HideTWBExt"/>
      </w:rPr>
      <w:t>&lt;PathFdR&gt;</w:t>
    </w:r>
    <w:r w:rsidRPr="00CC3D52">
      <w:t>AD\1336107PT.docx</w:t>
    </w:r>
    <w:r w:rsidRPr="00CC3D52">
      <w:rPr>
        <w:rStyle w:val="HideTWBExt"/>
      </w:rPr>
      <w:t>&lt;/PathFdR&gt;</w:t>
    </w:r>
    <w:r w:rsidRPr="00CC3D52">
      <w:tab/>
    </w:r>
    <w:r w:rsidRPr="00CC3D52">
      <w:tab/>
      <w:t>PE</w:t>
    </w:r>
    <w:r w:rsidRPr="00CC3D52">
      <w:rPr>
        <w:rStyle w:val="HideTWBExt"/>
      </w:rPr>
      <w:t>&lt;NoPE&gt;</w:t>
    </w:r>
    <w:r w:rsidRPr="00CC3D52">
      <w:t>779.730</w:t>
    </w:r>
    <w:r w:rsidRPr="00CC3D52">
      <w:rPr>
        <w:rStyle w:val="HideTWBExt"/>
      </w:rPr>
      <w:t>&lt;/NoPE&gt;&lt;Version&gt;</w:t>
    </w:r>
    <w:r w:rsidRPr="00CC3D52">
      <w:t>v03</w:t>
    </w:r>
    <w:r w:rsidR="005A2CF3">
      <w:noBreakHyphen/>
    </w:r>
    <w:r w:rsidRPr="00CC3D52">
      <w:t>00</w:t>
    </w:r>
    <w:r w:rsidRPr="00CC3D52">
      <w:rPr>
        <w:rStyle w:val="HideTWBExt"/>
      </w:rPr>
      <w:t>&lt;/Version&gt;</w:t>
    </w:r>
  </w:p>
  <w:p w14:paraId="50D12210" w14:textId="77777777" w:rsidR="00C75378" w:rsidRPr="00CC3D52" w:rsidRDefault="00AC2527" w:rsidP="007B0940">
    <w:pPr>
      <w:pStyle w:val="EPFooter2"/>
    </w:pPr>
    <w:r w:rsidRPr="00CC3D52">
      <w:t>PT</w:t>
    </w:r>
    <w:r w:rsidRPr="00CC3D52">
      <w:tab/>
    </w:r>
    <w:r w:rsidRPr="00CC3D52">
      <w:rPr>
        <w:b w:val="0"/>
        <w:i/>
        <w:color w:val="C0C0C0"/>
        <w:sz w:val="22"/>
      </w:rPr>
      <w:t>Unida na diversidade</w:t>
    </w:r>
    <w:r w:rsidRPr="00CC3D52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C60DE" w14:textId="77777777" w:rsidR="001C4F25" w:rsidRPr="00CC3D52" w:rsidRDefault="00AC2527">
      <w:r w:rsidRPr="00CC3D52">
        <w:separator/>
      </w:r>
    </w:p>
  </w:footnote>
  <w:footnote w:type="continuationSeparator" w:id="0">
    <w:p w14:paraId="6EC5E1C0" w14:textId="77777777" w:rsidR="001C4F25" w:rsidRPr="00CC3D52" w:rsidRDefault="00AC2527">
      <w:r w:rsidRPr="00CC3D52">
        <w:continuationSeparator/>
      </w:r>
    </w:p>
  </w:footnote>
  <w:footnote w:id="1">
    <w:p w14:paraId="2BD6159F" w14:textId="1B276254" w:rsidR="00687D01" w:rsidRPr="00CC3D52" w:rsidRDefault="00AC2527" w:rsidP="00687D01">
      <w:pPr>
        <w:pStyle w:val="FootnoteText"/>
      </w:pPr>
      <w:r w:rsidRPr="00CC3D52">
        <w:rPr>
          <w:rStyle w:val="FootnoteReference"/>
        </w:rPr>
        <w:footnoteRef/>
      </w:r>
      <w:r w:rsidRPr="00CC3D52">
        <w:t xml:space="preserve"> Acordo Interinstitucional de 20 de maio de 2021 entre o Parlamento Europeu, o Conselho da União Europeia e a Comissão Europeia sobre um Registo de Transparência Obrigatório (JO L 207 de 11.6.2021, p. 1, ELI: </w:t>
      </w:r>
      <w:hyperlink r:id="rId1" w:history="1">
        <w:r w:rsidRPr="00CC3D52">
          <w:rPr>
            <w:rStyle w:val="Hyperlink"/>
            <w:sz w:val="24"/>
          </w:rPr>
          <w:t>http://data.europa.eu/eli/agree_interinstit/2021/611/oj</w:t>
        </w:r>
      </w:hyperlink>
      <w:r w:rsidRPr="00CC3D52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EE27" w14:textId="77777777" w:rsidR="005A2CF3" w:rsidRDefault="005A2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4D0E0" w14:textId="77777777" w:rsidR="005A2CF3" w:rsidRDefault="005A2C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23338" w14:textId="77777777" w:rsidR="005A2CF3" w:rsidRDefault="005A2CF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7294" w14:textId="77777777" w:rsidR="001C4F25" w:rsidRDefault="001C4F2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21719" w14:textId="77777777" w:rsidR="001C4F25" w:rsidRDefault="001C4F2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CBCEE" w14:textId="77777777" w:rsidR="001C4F25" w:rsidRDefault="001C4F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2DE5403"/>
    <w:multiLevelType w:val="multilevel"/>
    <w:tmpl w:val="9B605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ED0BDE"/>
    <w:multiLevelType w:val="hybridMultilevel"/>
    <w:tmpl w:val="ED42BA76"/>
    <w:lvl w:ilvl="0" w:tplc="08226E7E">
      <w:start w:val="1"/>
      <w:numFmt w:val="upperLetter"/>
      <w:lvlText w:val="%1."/>
      <w:lvlJc w:val="left"/>
      <w:pPr>
        <w:ind w:left="720" w:hanging="360"/>
      </w:pPr>
    </w:lvl>
    <w:lvl w:ilvl="1" w:tplc="5D760E7C">
      <w:start w:val="1"/>
      <w:numFmt w:val="lowerLetter"/>
      <w:lvlText w:val="%2."/>
      <w:lvlJc w:val="left"/>
      <w:pPr>
        <w:ind w:left="1440" w:hanging="360"/>
      </w:pPr>
    </w:lvl>
    <w:lvl w:ilvl="2" w:tplc="FC2CE4D6">
      <w:start w:val="1"/>
      <w:numFmt w:val="lowerRoman"/>
      <w:lvlText w:val="%3."/>
      <w:lvlJc w:val="right"/>
      <w:pPr>
        <w:ind w:left="2160" w:hanging="180"/>
      </w:pPr>
    </w:lvl>
    <w:lvl w:ilvl="3" w:tplc="9A52EBF2">
      <w:start w:val="1"/>
      <w:numFmt w:val="decimal"/>
      <w:lvlText w:val="%4."/>
      <w:lvlJc w:val="left"/>
      <w:pPr>
        <w:ind w:left="2880" w:hanging="360"/>
      </w:pPr>
    </w:lvl>
    <w:lvl w:ilvl="4" w:tplc="5DAC0AEC">
      <w:start w:val="1"/>
      <w:numFmt w:val="lowerLetter"/>
      <w:lvlText w:val="%5."/>
      <w:lvlJc w:val="left"/>
      <w:pPr>
        <w:ind w:left="3600" w:hanging="360"/>
      </w:pPr>
    </w:lvl>
    <w:lvl w:ilvl="5" w:tplc="7188F5F0">
      <w:start w:val="1"/>
      <w:numFmt w:val="lowerRoman"/>
      <w:lvlText w:val="%6."/>
      <w:lvlJc w:val="right"/>
      <w:pPr>
        <w:ind w:left="4320" w:hanging="180"/>
      </w:pPr>
    </w:lvl>
    <w:lvl w:ilvl="6" w:tplc="80D05174">
      <w:start w:val="1"/>
      <w:numFmt w:val="decimal"/>
      <w:lvlText w:val="%7."/>
      <w:lvlJc w:val="left"/>
      <w:pPr>
        <w:ind w:left="5040" w:hanging="360"/>
      </w:pPr>
    </w:lvl>
    <w:lvl w:ilvl="7" w:tplc="416E74CC">
      <w:start w:val="1"/>
      <w:numFmt w:val="lowerLetter"/>
      <w:lvlText w:val="%8."/>
      <w:lvlJc w:val="left"/>
      <w:pPr>
        <w:ind w:left="5760" w:hanging="360"/>
      </w:pPr>
    </w:lvl>
    <w:lvl w:ilvl="8" w:tplc="2B32976E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928792">
    <w:abstractNumId w:val="9"/>
  </w:num>
  <w:num w:numId="2" w16cid:durableId="1703357930">
    <w:abstractNumId w:val="9"/>
  </w:num>
  <w:num w:numId="3" w16cid:durableId="184908520">
    <w:abstractNumId w:val="7"/>
  </w:num>
  <w:num w:numId="4" w16cid:durableId="732704666">
    <w:abstractNumId w:val="7"/>
  </w:num>
  <w:num w:numId="5" w16cid:durableId="1800680317">
    <w:abstractNumId w:val="6"/>
  </w:num>
  <w:num w:numId="6" w16cid:durableId="1166088255">
    <w:abstractNumId w:val="6"/>
  </w:num>
  <w:num w:numId="7" w16cid:durableId="708528808">
    <w:abstractNumId w:val="5"/>
  </w:num>
  <w:num w:numId="8" w16cid:durableId="1234197486">
    <w:abstractNumId w:val="5"/>
  </w:num>
  <w:num w:numId="9" w16cid:durableId="1337145658">
    <w:abstractNumId w:val="4"/>
  </w:num>
  <w:num w:numId="10" w16cid:durableId="1422601724">
    <w:abstractNumId w:val="4"/>
  </w:num>
  <w:num w:numId="11" w16cid:durableId="4866193">
    <w:abstractNumId w:val="8"/>
  </w:num>
  <w:num w:numId="12" w16cid:durableId="1418330532">
    <w:abstractNumId w:val="8"/>
  </w:num>
  <w:num w:numId="13" w16cid:durableId="1264875958">
    <w:abstractNumId w:val="3"/>
  </w:num>
  <w:num w:numId="14" w16cid:durableId="1669596750">
    <w:abstractNumId w:val="3"/>
  </w:num>
  <w:num w:numId="15" w16cid:durableId="1598052285">
    <w:abstractNumId w:val="2"/>
  </w:num>
  <w:num w:numId="16" w16cid:durableId="1129666983">
    <w:abstractNumId w:val="2"/>
  </w:num>
  <w:num w:numId="17" w16cid:durableId="38941529">
    <w:abstractNumId w:val="1"/>
  </w:num>
  <w:num w:numId="18" w16cid:durableId="1536117421">
    <w:abstractNumId w:val="1"/>
  </w:num>
  <w:num w:numId="19" w16cid:durableId="556205477">
    <w:abstractNumId w:val="0"/>
  </w:num>
  <w:num w:numId="20" w16cid:durableId="1900509979">
    <w:abstractNumId w:val="0"/>
  </w:num>
  <w:num w:numId="21" w16cid:durableId="1043752607">
    <w:abstractNumId w:val="9"/>
  </w:num>
  <w:num w:numId="22" w16cid:durableId="95640287">
    <w:abstractNumId w:val="7"/>
  </w:num>
  <w:num w:numId="23" w16cid:durableId="1076513050">
    <w:abstractNumId w:val="6"/>
  </w:num>
  <w:num w:numId="24" w16cid:durableId="794713317">
    <w:abstractNumId w:val="5"/>
  </w:num>
  <w:num w:numId="25" w16cid:durableId="281231162">
    <w:abstractNumId w:val="4"/>
  </w:num>
  <w:num w:numId="26" w16cid:durableId="1902279896">
    <w:abstractNumId w:val="8"/>
  </w:num>
  <w:num w:numId="27" w16cid:durableId="422649394">
    <w:abstractNumId w:val="3"/>
  </w:num>
  <w:num w:numId="28" w16cid:durableId="1291588655">
    <w:abstractNumId w:val="2"/>
  </w:num>
  <w:num w:numId="29" w16cid:durableId="465203317">
    <w:abstractNumId w:val="1"/>
  </w:num>
  <w:num w:numId="30" w16cid:durableId="2008317902">
    <w:abstractNumId w:val="0"/>
  </w:num>
  <w:num w:numId="31" w16cid:durableId="1791049372">
    <w:abstractNumId w:val="9"/>
  </w:num>
  <w:num w:numId="32" w16cid:durableId="1277323235">
    <w:abstractNumId w:val="7"/>
  </w:num>
  <w:num w:numId="33" w16cid:durableId="785537434">
    <w:abstractNumId w:val="6"/>
  </w:num>
  <w:num w:numId="34" w16cid:durableId="1560288038">
    <w:abstractNumId w:val="5"/>
  </w:num>
  <w:num w:numId="35" w16cid:durableId="210264513">
    <w:abstractNumId w:val="4"/>
  </w:num>
  <w:num w:numId="36" w16cid:durableId="1434327990">
    <w:abstractNumId w:val="8"/>
  </w:num>
  <w:num w:numId="37" w16cid:durableId="1341199436">
    <w:abstractNumId w:val="3"/>
  </w:num>
  <w:num w:numId="38" w16cid:durableId="1481462761">
    <w:abstractNumId w:val="2"/>
  </w:num>
  <w:num w:numId="39" w16cid:durableId="1969775517">
    <w:abstractNumId w:val="1"/>
  </w:num>
  <w:num w:numId="40" w16cid:durableId="1266695612">
    <w:abstractNumId w:val="0"/>
  </w:num>
  <w:num w:numId="41" w16cid:durableId="16889474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758408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FEMM"/>
    <w:docVar w:name="CopyToNetwork" w:val="-1"/>
    <w:docVar w:name="DOCDT" w:val="24/11/2025"/>
    <w:docVar w:name="LastEditedSection" w:val=" 4"/>
    <w:docVar w:name="OTHERHEADINGMNU" w:val=" 2"/>
    <w:docVar w:name="PARTCOUNT" w:val="0"/>
    <w:docVar w:name="strDocTypeID" w:val="PA_NonLegDec"/>
    <w:docVar w:name="strSubDir" w:val="1336"/>
    <w:docVar w:name="TITLEMNU" w:val=" 3"/>
    <w:docVar w:name="TXTAUTHOR" w:val="Raquel García Hermida_x001e_Van Der Walle"/>
    <w:docVar w:name="TXTLANGUE" w:val="PT"/>
    <w:docVar w:name="TXTLANGUEMIN" w:val="pt"/>
    <w:docVar w:name="TXTNRPE" w:val="779.730"/>
    <w:docVar w:name="TXTNRPROC" w:val="2025/2145"/>
    <w:docVar w:name="TXTPEorAP" w:val="PE"/>
    <w:docVar w:name="TXTROUTE" w:val="AD\1336107PT.docx"/>
    <w:docVar w:name="TXTTITLE" w:val="European Commission: Consolidated annual accounts of the European Union - Financial year 2024 - Commission"/>
    <w:docVar w:name="TXTVERSION" w:val="03-00"/>
  </w:docVars>
  <w:rsids>
    <w:rsidRoot w:val="00D852C1"/>
    <w:rsid w:val="000048A8"/>
    <w:rsid w:val="00007A18"/>
    <w:rsid w:val="0004034F"/>
    <w:rsid w:val="00062634"/>
    <w:rsid w:val="000A05CA"/>
    <w:rsid w:val="000B6C4B"/>
    <w:rsid w:val="000D001F"/>
    <w:rsid w:val="000D099F"/>
    <w:rsid w:val="000E6813"/>
    <w:rsid w:val="000E7460"/>
    <w:rsid w:val="000F07FE"/>
    <w:rsid w:val="001275F4"/>
    <w:rsid w:val="00147FBF"/>
    <w:rsid w:val="001A455F"/>
    <w:rsid w:val="001B3343"/>
    <w:rsid w:val="001C4F25"/>
    <w:rsid w:val="001E70C6"/>
    <w:rsid w:val="001F2766"/>
    <w:rsid w:val="001F6ED8"/>
    <w:rsid w:val="00207509"/>
    <w:rsid w:val="00212D35"/>
    <w:rsid w:val="002251D8"/>
    <w:rsid w:val="00237EAC"/>
    <w:rsid w:val="00245C7F"/>
    <w:rsid w:val="00271180"/>
    <w:rsid w:val="002A321A"/>
    <w:rsid w:val="002A4AC9"/>
    <w:rsid w:val="002B2892"/>
    <w:rsid w:val="002C0EE6"/>
    <w:rsid w:val="002C34AE"/>
    <w:rsid w:val="002E2F2E"/>
    <w:rsid w:val="00307C14"/>
    <w:rsid w:val="0031106F"/>
    <w:rsid w:val="00313903"/>
    <w:rsid w:val="00365F8B"/>
    <w:rsid w:val="003707A7"/>
    <w:rsid w:val="003858C5"/>
    <w:rsid w:val="00385BAB"/>
    <w:rsid w:val="0039003E"/>
    <w:rsid w:val="00396FA9"/>
    <w:rsid w:val="003B72FC"/>
    <w:rsid w:val="003D61DD"/>
    <w:rsid w:val="003D684B"/>
    <w:rsid w:val="003E06CF"/>
    <w:rsid w:val="003E35FB"/>
    <w:rsid w:val="003F3B83"/>
    <w:rsid w:val="00407185"/>
    <w:rsid w:val="00431E30"/>
    <w:rsid w:val="00487232"/>
    <w:rsid w:val="00495CA4"/>
    <w:rsid w:val="004A34E6"/>
    <w:rsid w:val="004C28FB"/>
    <w:rsid w:val="004E54DC"/>
    <w:rsid w:val="004F48ED"/>
    <w:rsid w:val="00514664"/>
    <w:rsid w:val="00532331"/>
    <w:rsid w:val="00544E2C"/>
    <w:rsid w:val="0055017A"/>
    <w:rsid w:val="00556722"/>
    <w:rsid w:val="00565852"/>
    <w:rsid w:val="00577018"/>
    <w:rsid w:val="005779E7"/>
    <w:rsid w:val="005A2CF3"/>
    <w:rsid w:val="005D0786"/>
    <w:rsid w:val="005E3670"/>
    <w:rsid w:val="00600DC9"/>
    <w:rsid w:val="00643F39"/>
    <w:rsid w:val="00663340"/>
    <w:rsid w:val="006639CF"/>
    <w:rsid w:val="0066728C"/>
    <w:rsid w:val="006819E0"/>
    <w:rsid w:val="00687D01"/>
    <w:rsid w:val="00697BB9"/>
    <w:rsid w:val="0071319E"/>
    <w:rsid w:val="00722749"/>
    <w:rsid w:val="00772D52"/>
    <w:rsid w:val="007B0940"/>
    <w:rsid w:val="00806587"/>
    <w:rsid w:val="00827A94"/>
    <w:rsid w:val="008818A9"/>
    <w:rsid w:val="008C6240"/>
    <w:rsid w:val="008E7494"/>
    <w:rsid w:val="008F36CD"/>
    <w:rsid w:val="008F7002"/>
    <w:rsid w:val="00952DEC"/>
    <w:rsid w:val="0095301E"/>
    <w:rsid w:val="0095497D"/>
    <w:rsid w:val="009669A8"/>
    <w:rsid w:val="00967C5B"/>
    <w:rsid w:val="00972FD8"/>
    <w:rsid w:val="00977F76"/>
    <w:rsid w:val="0098140C"/>
    <w:rsid w:val="0099178F"/>
    <w:rsid w:val="009A33F4"/>
    <w:rsid w:val="009A403C"/>
    <w:rsid w:val="009B5265"/>
    <w:rsid w:val="009D7630"/>
    <w:rsid w:val="00A2041C"/>
    <w:rsid w:val="00A21F52"/>
    <w:rsid w:val="00A24FB1"/>
    <w:rsid w:val="00A44AC3"/>
    <w:rsid w:val="00A722B1"/>
    <w:rsid w:val="00A8267E"/>
    <w:rsid w:val="00A93570"/>
    <w:rsid w:val="00A9617A"/>
    <w:rsid w:val="00AA1A2C"/>
    <w:rsid w:val="00AA223C"/>
    <w:rsid w:val="00AC2527"/>
    <w:rsid w:val="00AF1117"/>
    <w:rsid w:val="00AF77DA"/>
    <w:rsid w:val="00B107A4"/>
    <w:rsid w:val="00B1441B"/>
    <w:rsid w:val="00B362F7"/>
    <w:rsid w:val="00B735E3"/>
    <w:rsid w:val="00B939B2"/>
    <w:rsid w:val="00BB2AC1"/>
    <w:rsid w:val="00BC0006"/>
    <w:rsid w:val="00BF1218"/>
    <w:rsid w:val="00C002B1"/>
    <w:rsid w:val="00C04938"/>
    <w:rsid w:val="00C175C0"/>
    <w:rsid w:val="00C36610"/>
    <w:rsid w:val="00C47E30"/>
    <w:rsid w:val="00C54AEF"/>
    <w:rsid w:val="00C54F53"/>
    <w:rsid w:val="00C75378"/>
    <w:rsid w:val="00C85D0F"/>
    <w:rsid w:val="00CA0D01"/>
    <w:rsid w:val="00CC3D52"/>
    <w:rsid w:val="00CD4E22"/>
    <w:rsid w:val="00CF7076"/>
    <w:rsid w:val="00D41244"/>
    <w:rsid w:val="00D438D0"/>
    <w:rsid w:val="00D44697"/>
    <w:rsid w:val="00D47632"/>
    <w:rsid w:val="00D625A2"/>
    <w:rsid w:val="00D71751"/>
    <w:rsid w:val="00D759AA"/>
    <w:rsid w:val="00D852C1"/>
    <w:rsid w:val="00DA7632"/>
    <w:rsid w:val="00DB4D61"/>
    <w:rsid w:val="00E01434"/>
    <w:rsid w:val="00E0465B"/>
    <w:rsid w:val="00E05697"/>
    <w:rsid w:val="00E12435"/>
    <w:rsid w:val="00E3428B"/>
    <w:rsid w:val="00E342EF"/>
    <w:rsid w:val="00E3462E"/>
    <w:rsid w:val="00E729C7"/>
    <w:rsid w:val="00E83B40"/>
    <w:rsid w:val="00E9601C"/>
    <w:rsid w:val="00EA78B3"/>
    <w:rsid w:val="00EB19AA"/>
    <w:rsid w:val="00EC2C85"/>
    <w:rsid w:val="00F036E0"/>
    <w:rsid w:val="00F129D0"/>
    <w:rsid w:val="00F46E44"/>
    <w:rsid w:val="00F611FC"/>
    <w:rsid w:val="00F61E8C"/>
    <w:rsid w:val="00F707AB"/>
    <w:rsid w:val="00F96D53"/>
    <w:rsid w:val="00FA5ACC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0D548"/>
  <w15:chartTrackingRefBased/>
  <w15:docId w15:val="{9A1D01FA-5936-4523-A35E-11A6B974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ListParagraph">
    <w:name w:val="List Paragraph"/>
    <w:basedOn w:val="Normal"/>
    <w:uiPriority w:val="34"/>
    <w:qFormat/>
    <w:rsid w:val="00BF1218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styleId="Footer">
    <w:name w:val="footer"/>
    <w:basedOn w:val="Normal"/>
    <w:link w:val="FooterChar"/>
    <w:semiHidden/>
    <w:rsid w:val="00BF1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F1218"/>
    <w:rPr>
      <w:sz w:val="24"/>
    </w:rPr>
  </w:style>
  <w:style w:type="paragraph" w:styleId="Revision">
    <w:name w:val="Revision"/>
    <w:hidden/>
    <w:uiPriority w:val="99"/>
    <w:semiHidden/>
    <w:rsid w:val="00CD4E22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687D01"/>
    <w:rPr>
      <w:sz w:val="24"/>
    </w:rPr>
  </w:style>
  <w:style w:type="paragraph" w:customStyle="1" w:styleId="Normal24a">
    <w:name w:val="Normal24a"/>
    <w:basedOn w:val="Normal"/>
    <w:rsid w:val="00687D01"/>
    <w:pPr>
      <w:spacing w:after="480"/>
    </w:pPr>
    <w:rPr>
      <w:szCs w:val="24"/>
    </w:rPr>
  </w:style>
  <w:style w:type="paragraph" w:styleId="FootnoteText">
    <w:name w:val="footnote text"/>
    <w:basedOn w:val="Normal"/>
    <w:link w:val="FootnoteTextChar"/>
    <w:rsid w:val="00687D01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87D01"/>
    <w:rPr>
      <w:lang w:val="pt-PT"/>
    </w:rPr>
  </w:style>
  <w:style w:type="character" w:styleId="FootnoteReference">
    <w:name w:val="footnote reference"/>
    <w:basedOn w:val="DefaultParagraphFont"/>
    <w:rsid w:val="00687D01"/>
    <w:rPr>
      <w:vertAlign w:val="superscript"/>
    </w:rPr>
  </w:style>
  <w:style w:type="character" w:styleId="Hyperlink">
    <w:name w:val="Hyperlink"/>
    <w:basedOn w:val="DefaultParagraphFont"/>
    <w:rsid w:val="00687D01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687D0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87D0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87D0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87D01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2520</Words>
  <Characters>13978</Characters>
  <Application>Microsoft Office Word</Application>
  <DocSecurity>0</DocSecurity>
  <Lines>274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16408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creator>European Parliament</dc:creator>
  <cp:lastModifiedBy>European Parliament</cp:lastModifiedBy>
  <cp:revision>2</cp:revision>
  <cp:lastPrinted>2004-10-28T10:33:00Z</cp:lastPrinted>
  <dcterms:created xsi:type="dcterms:W3CDTF">2026-02-11T11:15:00Z</dcterms:created>
  <dcterms:modified xsi:type="dcterms:W3CDTF">2026-02-11T11:15:00Z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1336107</vt:lpwstr>
  </property>
  <property fmtid="{D5CDD505-2E9C-101B-9397-08002B2CF9AE}" pid="4" name="&lt;Model&gt;">
    <vt:lpwstr>PA_NonLegDec</vt:lpwstr>
  </property>
  <property fmtid="{D5CDD505-2E9C-101B-9397-08002B2CF9AE}" pid="5" name="&lt;ModelCod&gt;">
    <vt:lpwstr>\\eiciBRUpr1\pdocep$\DocEP\DOCS\General\PA\PA_NonLeg\PA_NonLegDec.dotx(08/11/2024 09:44:10)</vt:lpwstr>
  </property>
  <property fmtid="{D5CDD505-2E9C-101B-9397-08002B2CF9AE}" pid="6" name="&lt;ModelTra&gt;">
    <vt:lpwstr>\\eiciBRUpr1\pdocep$\DocEP\TRANSFIL\EN\PA_NonLegDec.EN(21/01/2025 14:39:00)</vt:lpwstr>
  </property>
  <property fmtid="{D5CDD505-2E9C-101B-9397-08002B2CF9AE}" pid="7" name="&lt;Type&gt;">
    <vt:lpwstr>AD</vt:lpwstr>
  </property>
  <property fmtid="{D5CDD505-2E9C-101B-9397-08002B2CF9AE}" pid="8" name="Bookout">
    <vt:lpwstr>OK - 2026/02/11 12:13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AD\1336107PT.docx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779.730</vt:lpwstr>
  </property>
  <property fmtid="{D5CDD505-2E9C-101B-9397-08002B2CF9AE}" pid="13" name="SDLStudio">
    <vt:lpwstr/>
  </property>
  <property fmtid="{D5CDD505-2E9C-101B-9397-08002B2CF9AE}" pid="14" name="SendToEpades">
    <vt:lpwstr>OK - 2025/11/27 12:06</vt:lpwstr>
  </property>
</Properties>
</file>