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4043C" w14:paraId="2E90A33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D99EF9" w14:textId="77777777" w:rsidR="004F48ED" w:rsidRPr="00494F6B" w:rsidRDefault="0083239E" w:rsidP="00C85D0F">
            <w:pPr>
              <w:pStyle w:val="EPName"/>
            </w:pPr>
            <w:r>
              <w:t>Parlamentul European</w:t>
            </w:r>
          </w:p>
          <w:p w14:paraId="1FB47314" w14:textId="77777777" w:rsidR="004F48ED" w:rsidRPr="00494F6B" w:rsidRDefault="0083239E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8AF77B7" w14:textId="77777777" w:rsidR="004F48ED" w:rsidRPr="00494F6B" w:rsidRDefault="0083239E" w:rsidP="00C85D0F">
            <w:pPr>
              <w:pStyle w:val="EPLogo"/>
            </w:pPr>
            <w:r w:rsidRPr="00494F6B">
              <w:rPr>
                <w:noProof/>
                <w:lang w:eastAsia="ja-JP"/>
              </w:rPr>
              <w:drawing>
                <wp:inline distT="0" distB="0" distL="0" distR="0" wp14:anchorId="4045C8F8" wp14:editId="503BAC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13E01" w14:textId="77777777" w:rsidR="00E9601C" w:rsidRPr="00494F6B" w:rsidRDefault="00E9601C" w:rsidP="00E9601C">
      <w:pPr>
        <w:pStyle w:val="LineTop"/>
      </w:pPr>
    </w:p>
    <w:p w14:paraId="5F4496D6" w14:textId="1BCD8DDF" w:rsidR="00E9601C" w:rsidRPr="00494F6B" w:rsidRDefault="0083239E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Comisia pentru drepturile femeilor ș</w:t>
      </w:r>
      <w:r>
        <w:t>i egalitatea de gen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655B6DED" w14:textId="77777777" w:rsidR="00E9601C" w:rsidRPr="00494F6B" w:rsidRDefault="00E9601C" w:rsidP="00E9601C">
      <w:pPr>
        <w:pStyle w:val="LineBottom"/>
      </w:pPr>
    </w:p>
    <w:p w14:paraId="7F95034C" w14:textId="77777777" w:rsidR="00F9352D" w:rsidRPr="00494F6B" w:rsidRDefault="0083239E" w:rsidP="00F9352D">
      <w:pPr>
        <w:pStyle w:val="CoverReference"/>
      </w:pPr>
      <w:r>
        <w:rPr>
          <w:rStyle w:val="HideTWBExt"/>
          <w:b w:val="0"/>
        </w:rPr>
        <w:t>&lt;RefProc&gt;</w:t>
      </w:r>
      <w:r>
        <w:t>2025/2145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12AC7186" w14:textId="77777777" w:rsidR="00F9352D" w:rsidRPr="00494F6B" w:rsidRDefault="0083239E" w:rsidP="00F9352D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{28/01/2026}</w:t>
      </w:r>
      <w:r>
        <w:t>28.1.2026</w:t>
      </w:r>
      <w:r>
        <w:rPr>
          <w:rStyle w:val="HideTWBExt"/>
        </w:rPr>
        <w:t>&lt;/Date&gt;</w:t>
      </w:r>
    </w:p>
    <w:p w14:paraId="7C8BDF58" w14:textId="77777777" w:rsidR="00F9352D" w:rsidRPr="00494F6B" w:rsidRDefault="0083239E" w:rsidP="00F9352D">
      <w:pPr>
        <w:pStyle w:val="CoverDocType24a"/>
      </w:pPr>
      <w:r>
        <w:rPr>
          <w:rStyle w:val="HideTWBExt"/>
          <w:b w:val="0"/>
        </w:rPr>
        <w:t>&lt;TitreType&gt;</w:t>
      </w:r>
      <w:r>
        <w:t>AVIZ</w:t>
      </w:r>
      <w:r>
        <w:rPr>
          <w:rStyle w:val="HideTWBExt"/>
          <w:b w:val="0"/>
        </w:rPr>
        <w:t>&lt;/TitreType&gt;</w:t>
      </w:r>
    </w:p>
    <w:p w14:paraId="1D041F9E" w14:textId="2051D439" w:rsidR="00F9352D" w:rsidRPr="00494F6B" w:rsidRDefault="0083239E" w:rsidP="00F9352D">
      <w:pPr>
        <w:pStyle w:val="CoverNormal24a"/>
      </w:pPr>
      <w:r>
        <w:rPr>
          <w:rStyle w:val="HideTWBExt"/>
        </w:rPr>
        <w:t>&lt;CommissionResp&gt;</w:t>
      </w:r>
      <w:r>
        <w:t>al Comisiei pentru drepturile femeilor ș</w:t>
      </w:r>
      <w:r>
        <w:t>i egalitatea de gen</w:t>
      </w:r>
      <w:r>
        <w:rPr>
          <w:rStyle w:val="HideTWBExt"/>
        </w:rPr>
        <w:t>&lt;/CommissionResp&gt;</w:t>
      </w:r>
    </w:p>
    <w:p w14:paraId="423DB28F" w14:textId="77777777" w:rsidR="00F9352D" w:rsidRPr="00494F6B" w:rsidRDefault="0083239E" w:rsidP="00F9352D">
      <w:pPr>
        <w:pStyle w:val="CoverNormal24a"/>
      </w:pPr>
      <w:r>
        <w:rPr>
          <w:rStyle w:val="HideTWBExt"/>
        </w:rPr>
        <w:t>&lt;CommissionInt&gt;</w:t>
      </w:r>
      <w:r>
        <w:t>destinat Comisiei pentru control bugetar</w:t>
      </w:r>
      <w:r>
        <w:rPr>
          <w:rStyle w:val="HideTWBExt"/>
        </w:rPr>
        <w:t>&lt;/CommissionInt&gt;</w:t>
      </w:r>
    </w:p>
    <w:p w14:paraId="53F800B3" w14:textId="0B147C72" w:rsidR="00F9352D" w:rsidRPr="00494F6B" w:rsidRDefault="0083239E" w:rsidP="00F9352D">
      <w:pPr>
        <w:pStyle w:val="CoverNormal"/>
      </w:pPr>
      <w:r>
        <w:rPr>
          <w:rStyle w:val="HideTWBExt"/>
        </w:rPr>
        <w:t>&lt;Titre&gt;</w:t>
      </w:r>
      <w:r>
        <w:t>referitor la descărcarea de gestiune pentru execuț</w:t>
      </w:r>
      <w:r>
        <w:t>ia bugetului general al Uniunii Europene aferent exerciț</w:t>
      </w:r>
      <w:r>
        <w:t>iului financiar 2024, secț</w:t>
      </w:r>
      <w:r>
        <w:t>iunea III – Comisia</w:t>
      </w:r>
      <w:r>
        <w:rPr>
          <w:rStyle w:val="HideTWBExt"/>
        </w:rPr>
        <w:t>&lt;/Titre&gt;</w:t>
      </w:r>
    </w:p>
    <w:p w14:paraId="6C3FAA51" w14:textId="77777777" w:rsidR="00F9352D" w:rsidRPr="00494F6B" w:rsidRDefault="0083239E" w:rsidP="00F9352D">
      <w:pPr>
        <w:pStyle w:val="CoverNormal24a"/>
      </w:pPr>
      <w:r>
        <w:rPr>
          <w:rStyle w:val="HideTWBExt"/>
        </w:rPr>
        <w:t>&lt;DocRef&gt;</w:t>
      </w:r>
      <w:r>
        <w:t>(2025/2145(DEC))</w:t>
      </w:r>
      <w:r>
        <w:rPr>
          <w:rStyle w:val="HideTWBExt"/>
        </w:rPr>
        <w:t>&lt;/DocRef&gt;</w:t>
      </w:r>
    </w:p>
    <w:p w14:paraId="6175D6B7" w14:textId="77777777" w:rsidR="00F9352D" w:rsidRPr="00494F6B" w:rsidRDefault="0083239E" w:rsidP="00F9352D">
      <w:pPr>
        <w:pStyle w:val="CoverNormal24a"/>
      </w:pPr>
      <w:r>
        <w:t xml:space="preserve">Raportoare pentru aviz: </w:t>
      </w:r>
      <w:r>
        <w:rPr>
          <w:rStyle w:val="HideTWBExt"/>
        </w:rPr>
        <w:t>&lt;Depute&gt;</w:t>
      </w:r>
      <w:r>
        <w:t>Raquel García Hermida</w:t>
      </w:r>
      <w:r>
        <w:noBreakHyphen/>
        <w:t>Van Der Walle</w:t>
      </w:r>
      <w:r>
        <w:rPr>
          <w:rStyle w:val="HideTWBExt"/>
        </w:rPr>
        <w:t>&lt;/Depute&gt;</w:t>
      </w:r>
    </w:p>
    <w:p w14:paraId="00BB1CE6" w14:textId="77777777" w:rsidR="00F9352D" w:rsidRPr="00494F6B" w:rsidRDefault="00F9352D" w:rsidP="00F9352D">
      <w:pPr>
        <w:pStyle w:val="CoverNormal"/>
      </w:pPr>
    </w:p>
    <w:p w14:paraId="2550650B" w14:textId="77777777" w:rsidR="00F9352D" w:rsidRPr="00494F6B" w:rsidRDefault="0083239E" w:rsidP="00F9352D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14:paraId="18412766" w14:textId="77777777" w:rsidR="00F9352D" w:rsidRPr="00494F6B" w:rsidRDefault="0083239E" w:rsidP="00F9352D">
      <w:pPr>
        <w:pStyle w:val="PageHeadingNotTOC"/>
      </w:pPr>
      <w:r>
        <w:br w:type="page"/>
      </w:r>
      <w:r>
        <w:lastRenderedPageBreak/>
        <w:t>AVIZ</w:t>
      </w:r>
    </w:p>
    <w:p w14:paraId="16912F37" w14:textId="359FF407" w:rsidR="00F9352D" w:rsidRPr="00494F6B" w:rsidRDefault="0083239E" w:rsidP="00F9352D">
      <w:pPr>
        <w:pStyle w:val="Normal12a"/>
      </w:pPr>
      <w:r>
        <w:t xml:space="preserve">Comisia pentru drepturile </w:t>
      </w:r>
      <w:r>
        <w:t>femeilor ș</w:t>
      </w:r>
      <w:r>
        <w:t>i egalitatea de gen recomandă Comisiei pentru control bugetar, care este comisie competentă, includerea în propunerea de rezoluț</w:t>
      </w:r>
      <w:r>
        <w:t>ie ce urmează a fi adoptată a următoarelor:</w:t>
      </w:r>
      <w:r>
        <w:rPr>
          <w:rStyle w:val="HideTWBExt"/>
        </w:rPr>
        <w:t>&lt;RepeatBlock-Dec&gt;</w:t>
      </w:r>
    </w:p>
    <w:p w14:paraId="5ACD00D2" w14:textId="37DD0536" w:rsidR="00F9352D" w:rsidRPr="00494F6B" w:rsidRDefault="0083239E" w:rsidP="00F9352D">
      <w:pPr>
        <w:pStyle w:val="NormalHanging12a"/>
      </w:pPr>
      <w:r>
        <w:t>A.</w:t>
      </w:r>
      <w:r>
        <w:tab/>
        <w:t>întrucât egalitatea de gen este o valoare fundamentală a Uniunii, consacrată la articolul 2 din Tratatul privind Uniunea Europeană; întrucât Uniunea s-a angajat să promoveze egalitatea în toate activităț</w:t>
      </w:r>
      <w:r>
        <w:t>ile, în temeiul articolului 8 din TFUE, care stabileș</w:t>
      </w:r>
      <w:r>
        <w:t>te integrarea perspectivei de gen în buget ș</w:t>
      </w:r>
      <w:r>
        <w:t>i în toate politicile; întrucât bugetele nu sunt neutre din punctul de vedere al genului ș</w:t>
      </w:r>
      <w:r>
        <w:t>i trebuie elaborate ș</w:t>
      </w:r>
      <w:r>
        <w:t>i executate cu obiectivul egalităț</w:t>
      </w:r>
      <w:r>
        <w:t>ii de gen; întrucât Carta drepturilor fundamentale a Uniunii Europene nu numai că consacră egalitatea de gen, ci apără ș</w:t>
      </w:r>
      <w:r>
        <w:t>i demnitatea umană ș</w:t>
      </w:r>
      <w:r>
        <w:t>i interzice toate formele de discriminare, inclusiv cele bazate pe orientarea sexuală ș</w:t>
      </w:r>
      <w:r>
        <w:t>i identitatea de gen;</w:t>
      </w:r>
    </w:p>
    <w:p w14:paraId="05A56474" w14:textId="5F04FA61" w:rsidR="00F9352D" w:rsidRPr="00494F6B" w:rsidRDefault="0083239E" w:rsidP="00F9352D">
      <w:pPr>
        <w:pStyle w:val="NormalHanging12a"/>
      </w:pPr>
      <w:r>
        <w:t>B.</w:t>
      </w:r>
      <w:r>
        <w:tab/>
        <w:t>întrucât Parlamentul a cerut în repetate rânduri Comisiei să promoveze ș</w:t>
      </w:r>
      <w:r>
        <w:t>i să pună în aplicare integrarea perspectivei de gen, inclusiv în buget, în toate domeniile de politică ale Uniunii; întrucât integrarea dimensiunii de gen în buget trebuie să respecte o optică orizontală;</w:t>
      </w:r>
    </w:p>
    <w:p w14:paraId="350B5E01" w14:textId="22320C38" w:rsidR="00F9352D" w:rsidRPr="00494F6B" w:rsidRDefault="0083239E" w:rsidP="00F9352D">
      <w:pPr>
        <w:pStyle w:val="NormalHanging12a"/>
        <w:rPr>
          <w:bCs/>
          <w:iCs/>
        </w:rPr>
      </w:pPr>
      <w:r>
        <w:t>C.</w:t>
      </w:r>
      <w:r>
        <w:tab/>
        <w:t>întrucât UE a majorat semnificativ alocările pentru militarizare, inclusiv pentru arme, infrastructură, cercetare în domeniul securităț</w:t>
      </w:r>
      <w:r>
        <w:t>ii, mobilitate militară, supravegherea ș</w:t>
      </w:r>
      <w:r>
        <w:t>i externalizarea frontierelor; întrucât aceste schimbări riscă să devieze resursele de la egalitatea de gen, coeziunea socială ș</w:t>
      </w:r>
      <w:r>
        <w:t>i combaterea violenț</w:t>
      </w:r>
      <w:r>
        <w:t>ei de gen;</w:t>
      </w:r>
    </w:p>
    <w:p w14:paraId="1022181E" w14:textId="72C3DC3B" w:rsidR="00F9352D" w:rsidRPr="00494F6B" w:rsidRDefault="0083239E" w:rsidP="00F9352D">
      <w:pPr>
        <w:pStyle w:val="NormalHanging12a"/>
      </w:pPr>
      <w:r>
        <w:t>D.</w:t>
      </w:r>
      <w:r>
        <w:tab/>
        <w:t>întrucât indicele egalităț</w:t>
      </w:r>
      <w:r>
        <w:t>ii de gen pe anul 2025 pentru UE este de 63,4, cu o creș</w:t>
      </w:r>
      <w:r>
        <w:t>tere de 10,5 puncte faț</w:t>
      </w:r>
      <w:r>
        <w:t>ă de 2010; întrucât egalitatea de gen în UE nu va fi atinsă cel puț</w:t>
      </w:r>
      <w:r>
        <w:t>in încă 50 de ani de acum înainte; întrucât egalitatea de gen în Uniune a fost afectată de miș</w:t>
      </w:r>
      <w:r>
        <w:t>cările tot mai numeroase împotriva egalităț</w:t>
      </w:r>
      <w:r>
        <w:t>ii de gen, de sexism ș</w:t>
      </w:r>
      <w:r>
        <w:t>i de tendinț</w:t>
      </w:r>
      <w:r>
        <w:t>ele puternice de prejudecăț</w:t>
      </w:r>
      <w:r>
        <w:t>i împotriva femeilor, precum ș</w:t>
      </w:r>
      <w:r>
        <w:t>i de regresele în domeniu, în special în ceea ce priveș</w:t>
      </w:r>
      <w:r>
        <w:t>te sănătatea sexuală ș</w:t>
      </w:r>
      <w:r>
        <w:t>i reproductivă ș</w:t>
      </w:r>
      <w:r>
        <w:t>i drepturile aferente (SRHR) în mai multe state membre, întrucât egalitatea de gen este afectată ș</w:t>
      </w:r>
      <w:r>
        <w:t>i mai mult de războaiele, de actuala criză climatică, energetică, socială ș</w:t>
      </w:r>
      <w:r>
        <w:t>i a costului vieț</w:t>
      </w:r>
      <w:r>
        <w:t>ii, care afectează femeile în mod disproporț</w:t>
      </w:r>
      <w:r>
        <w:t>ionat;</w:t>
      </w:r>
    </w:p>
    <w:p w14:paraId="070402E1" w14:textId="77A32D71" w:rsidR="00F9352D" w:rsidRPr="00494F6B" w:rsidRDefault="0083239E" w:rsidP="00F9352D">
      <w:pPr>
        <w:pStyle w:val="NormalHanging12a"/>
        <w:rPr>
          <w:bCs/>
          <w:iCs/>
        </w:rPr>
      </w:pPr>
      <w:r>
        <w:t>E.</w:t>
      </w:r>
      <w:r>
        <w:tab/>
        <w:t>întrucât una din trei femei se confruntă cu violenț</w:t>
      </w:r>
      <w:r>
        <w:t>a; întrucât, la nivel mondial, zilnic sunt ucise 140 de femei ș</w:t>
      </w:r>
      <w:r>
        <w:t>i fete de un partener sau o rudă; întrucât Directiva privind combaterea violenț</w:t>
      </w:r>
      <w:r>
        <w:t>ei împotriva femeilor ș</w:t>
      </w:r>
      <w:r>
        <w:t>i a violenț</w:t>
      </w:r>
      <w:r>
        <w:t>ei domestice a fost adoptată la 7 mai 2024 ș</w:t>
      </w:r>
      <w:r>
        <w:t>i a intrat în vigoare la 14 iunie 2024; întrucât intoleranț</w:t>
      </w:r>
      <w:r>
        <w:t>a faț</w:t>
      </w:r>
      <w:r>
        <w:t>ă de persoanele LGBTIQ+, mai ales faț</w:t>
      </w:r>
      <w:r>
        <w:t>ă de persoanele transgen, a crescut dramatic în comparaț</w:t>
      </w:r>
      <w:r>
        <w:t>ie cu 2019; întrucât violenț</w:t>
      </w:r>
      <w:r>
        <w:t>a ș</w:t>
      </w:r>
      <w:r>
        <w:t>i infracț</w:t>
      </w:r>
      <w:r>
        <w:t>iunile motivate de ură împotriva persoanelor LGBTIQ+ au crescut faț</w:t>
      </w:r>
      <w:r>
        <w:t>ă de anul 2019, înregistrându-se cea mai mare creș</w:t>
      </w:r>
      <w:r>
        <w:t>tere a atacurilor asupra femeilor ș</w:t>
      </w:r>
      <w:r>
        <w:t>i bărbaț</w:t>
      </w:r>
      <w:r>
        <w:t>ilor transgen; întrucât programul Daphne, care urmăreș</w:t>
      </w:r>
      <w:r>
        <w:t>te să protejeze victimele violenț</w:t>
      </w:r>
      <w:r>
        <w:t>ei, inclusiv femeile ș</w:t>
      </w:r>
      <w:r>
        <w:t>i copiii, este un instrument esenț</w:t>
      </w:r>
      <w:r>
        <w:t>ial al UE de combatere a violenț</w:t>
      </w:r>
      <w:r>
        <w:t>ei de gen ș</w:t>
      </w:r>
      <w:r>
        <w:t>i pentru respectarea drepturilor fundamentale ș</w:t>
      </w:r>
      <w:r>
        <w:t>i ar trebui asigurate finanț</w:t>
      </w:r>
      <w:r>
        <w:t>area ș</w:t>
      </w:r>
      <w:r>
        <w:t>i sprijinirea sa continue în cadrul bugetar ș</w:t>
      </w:r>
      <w:r>
        <w:t>i de politică al Uniunii;</w:t>
      </w:r>
    </w:p>
    <w:p w14:paraId="3FEF2C42" w14:textId="3E1B6E9B" w:rsidR="00F9352D" w:rsidRPr="00494F6B" w:rsidRDefault="0083239E" w:rsidP="00F9352D">
      <w:pPr>
        <w:pStyle w:val="NormalHanging12a"/>
        <w:rPr>
          <w:bCs/>
          <w:iCs/>
        </w:rPr>
      </w:pPr>
      <w:r>
        <w:t>F.</w:t>
      </w:r>
      <w:r>
        <w:tab/>
        <w:t>întrucât investiț</w:t>
      </w:r>
      <w:r>
        <w:t>iile în politicile de egalitate de gen consolidează creș</w:t>
      </w:r>
      <w:r>
        <w:t xml:space="preserve">terea economică, </w:t>
      </w:r>
      <w:r>
        <w:lastRenderedPageBreak/>
        <w:t>rezilienț</w:t>
      </w:r>
      <w:r>
        <w:t>a ș</w:t>
      </w:r>
      <w:r>
        <w:t>i coeziunea socială în întreaga UE; întrucât o economie dinamică ș</w:t>
      </w:r>
      <w:r>
        <w:t>i competitivă are nevoie de egalitate de gen, spirit de antreprenoriat ș</w:t>
      </w:r>
      <w:r>
        <w:t>i inovare; întrucât politica economică presupune ș</w:t>
      </w:r>
      <w:r>
        <w:t>i integrarea perspectivei de gen, pentru ca economia europeană să fie în beneficiul tuturor femeilor; întrucât sprijinirea femeilor pentru a-ș</w:t>
      </w:r>
      <w:r>
        <w:t>i înființ</w:t>
      </w:r>
      <w:r>
        <w:t>a ș</w:t>
      </w:r>
      <w:r>
        <w:t>i conduce propriile afaceri contribuie la diversificarea economică ș</w:t>
      </w:r>
      <w:r>
        <w:t>i reduce disparităț</w:t>
      </w:r>
      <w:r>
        <w:t>ile de gen în ceea ce priveș</w:t>
      </w:r>
      <w:r>
        <w:t>te accesul la antreprenoriat ș</w:t>
      </w:r>
      <w:r>
        <w:t>i la funcț</w:t>
      </w:r>
      <w:r>
        <w:t>ii de conducere,</w:t>
      </w:r>
    </w:p>
    <w:p w14:paraId="5581B47F" w14:textId="37406B3F" w:rsidR="00F9352D" w:rsidRPr="00494F6B" w:rsidRDefault="0083239E" w:rsidP="00F9352D">
      <w:pPr>
        <w:pStyle w:val="NormalHanging12a"/>
        <w:rPr>
          <w:bCs/>
          <w:iCs/>
        </w:rPr>
      </w:pPr>
      <w:r>
        <w:t>1.</w:t>
      </w:r>
      <w:r>
        <w:tab/>
        <w:t>accentuează că o perspectivă a egalităț</w:t>
      </w:r>
      <w:r>
        <w:t>ii de gen ar trebui integrată ș</w:t>
      </w:r>
      <w:r>
        <w:t>i asigurată în toate domeniile de politică, având în vedere mai cu seamă multiplele efecte de gen ale multiplelor crize (climatică, energetică, socială ș</w:t>
      </w:r>
      <w:r>
        <w:t>i a costului vieț</w:t>
      </w:r>
      <w:r>
        <w:t>ii) ș</w:t>
      </w:r>
      <w:r>
        <w:t>i războaie din prezent, cu accent pe SRHR ș</w:t>
      </w:r>
      <w:r>
        <w:t>i pe opoziț</w:t>
      </w:r>
      <w:r>
        <w:t>ia împotriva egalităț</w:t>
      </w:r>
      <w:r>
        <w:t>ii de gen ș</w:t>
      </w:r>
      <w:r>
        <w:t>i a drepturilor femeilor în UE; îș</w:t>
      </w:r>
      <w:r>
        <w:t>i reiterează, aș</w:t>
      </w:r>
      <w:r>
        <w:t>adar, solicitarea de a se asigura întocmirea bugetului ț</w:t>
      </w:r>
      <w:r>
        <w:t>inând cont de perspectiva de gen în toate etapele relevante ș</w:t>
      </w:r>
      <w:r>
        <w:t>i oportune ale procesului bugetar; invită Comisia să îmbunătăț</w:t>
      </w:r>
      <w:r>
        <w:t>ească integrarea perspectivei de gen încă de la începutul elaborării programelor ș</w:t>
      </w:r>
      <w:r>
        <w:t>i să stabilească o dispoziț</w:t>
      </w:r>
      <w:r>
        <w:t>ie orizontală privind egalitatea de gen, cu un obiectiv general privind egalitatea;</w:t>
      </w:r>
    </w:p>
    <w:p w14:paraId="6BF641C7" w14:textId="64EEBCEC" w:rsidR="00F9352D" w:rsidRPr="00494F6B" w:rsidRDefault="0083239E" w:rsidP="00F9352D">
      <w:pPr>
        <w:pStyle w:val="NormalHanging12a"/>
      </w:pPr>
      <w:r>
        <w:t>2.</w:t>
      </w:r>
      <w:r>
        <w:tab/>
        <w:t>recunoaș</w:t>
      </w:r>
      <w:r>
        <w:t>te angajamentul Uniunii faț</w:t>
      </w:r>
      <w:r>
        <w:t>ă de integrarea perspectivei de gen ș</w:t>
      </w:r>
      <w:r>
        <w:t>i îmbunătăț</w:t>
      </w:r>
      <w:r>
        <w:t>irea metodologiei de urmărire a cheltuielilor legate de gen; regretă că metodologia actuală a Comisiei nu reflectă potenț</w:t>
      </w:r>
      <w:r>
        <w:t>ialele consecinț</w:t>
      </w:r>
      <w:r>
        <w:t>e negative ș</w:t>
      </w:r>
      <w:r>
        <w:t>i are ca rezultat o rată de incertitudine de 20 % a cazurilor în ceea ce priveș</w:t>
      </w:r>
      <w:r>
        <w:t>te impactul de gen; îndeamnă Comisia să îș</w:t>
      </w:r>
      <w:r>
        <w:t>i îmbunătăț</w:t>
      </w:r>
      <w:r>
        <w:t>ească instrumentele de evaluare pentru rezultate mai clare ș</w:t>
      </w:r>
      <w:r>
        <w:t>i pentru a monitoriza orice eventuale efecte negative; consideră că metodologia de urmărire ar putea fi completată cu criterii minime precum evaluările obligatorii ale impactului de gen, care ar trebui să fie legate de sistemele de urmărire;</w:t>
      </w:r>
    </w:p>
    <w:p w14:paraId="614660BC" w14:textId="25A10992" w:rsidR="00F9352D" w:rsidRPr="00494F6B" w:rsidRDefault="0083239E" w:rsidP="00F9352D">
      <w:pPr>
        <w:pStyle w:val="NormalHanging12a"/>
      </w:pPr>
      <w:r>
        <w:t>3.</w:t>
      </w:r>
      <w:r>
        <w:tab/>
        <w:t>apreciază actualizarea orientărilor ș</w:t>
      </w:r>
      <w:r>
        <w:t>i a setului de instrumente pentru o mai bună legiferare; regretă lipsa de progrese în efectuarea de analize de gen ale nevoilor ș</w:t>
      </w:r>
      <w:r>
        <w:t>i impactului programelor de finanț</w:t>
      </w:r>
      <w:r>
        <w:t>are ale UE; invită Comisia să recurgă la evaluări ale impactului competitiv, inclusiv la analize care iau în considerare dimensiunea de gen, atunci când se concep ș</w:t>
      </w:r>
      <w:r>
        <w:t>i se pun în aplicare programe ș</w:t>
      </w:r>
      <w:r>
        <w:t>i instrumente de finanț</w:t>
      </w:r>
      <w:r>
        <w:t>are ale UE, pentru a asigura rezultate eficace ș</w:t>
      </w:r>
      <w:r>
        <w:t>i echitabile ale politicilor; ș</w:t>
      </w:r>
      <w:r>
        <w:t>i solicită Comisiei să efectueze cu consecvenț</w:t>
      </w:r>
      <w:r>
        <w:t>ă astfel de analize; invită Comisia să asigure pe deplin integrarea perspectivei de gen în următorul CFM pentru a o include în toate domeniile de politică ș</w:t>
      </w:r>
      <w:r>
        <w:t>i în toate bugetele, precum ș</w:t>
      </w:r>
      <w:r>
        <w:t>i în măsurile de atenuare, ș</w:t>
      </w:r>
      <w:r>
        <w:t>i, după caz, să o integreze ș</w:t>
      </w:r>
      <w:r>
        <w:t>i în bugete, pentru a promova drepturile femeilor ș</w:t>
      </w:r>
      <w:r>
        <w:t>i egalitatea de gen;</w:t>
      </w:r>
    </w:p>
    <w:p w14:paraId="63F9E66F" w14:textId="38D980D0" w:rsidR="00F9352D" w:rsidRPr="00494F6B" w:rsidRDefault="0083239E" w:rsidP="00F9352D">
      <w:pPr>
        <w:pStyle w:val="NormalHanging12a"/>
        <w:rPr>
          <w:b/>
          <w:i/>
        </w:rPr>
      </w:pPr>
      <w:r>
        <w:t>4.</w:t>
      </w:r>
      <w:r>
        <w:tab/>
        <w:t>constată că informaț</w:t>
      </w:r>
      <w:r>
        <w:t>iile privind impactul bugetului UE asupra egalităț</w:t>
      </w:r>
      <w:r>
        <w:t>ii de gen rămân insuficiente; subliniază deficienț</w:t>
      </w:r>
      <w:r>
        <w:t>ele în colectarea, raportarea ș</w:t>
      </w:r>
      <w:r>
        <w:t>i evaluarea manuale ale datelor defalcate în funcț</w:t>
      </w:r>
      <w:r>
        <w:t>ie de gen ș</w:t>
      </w:r>
      <w:r>
        <w:t>i pe orizontală; solicită Comisiei să amelioreze calitatea datelor; evidenț</w:t>
      </w:r>
      <w:r>
        <w:t>iază că lecț</w:t>
      </w:r>
      <w:r>
        <w:t>ia esenț</w:t>
      </w:r>
      <w:r>
        <w:t>ială în urma aplicării metodologiei-pilot a privit posibilitatea limitată de a atribui punctaje concrete din cauza lipsei datelor necesare; solicită ca toate datele să fie comparabile, astfel încât să fie utile pentru elaborarea politicilor; accentuează, prin urmare, importanț</w:t>
      </w:r>
      <w:r>
        <w:t>a cerinț</w:t>
      </w:r>
      <w:r>
        <w:t>elor de colectare a datelor pentru a permite o colectare cuprinzătoare a datelor defalcate în funcț</w:t>
      </w:r>
      <w:r>
        <w:t>ie de gen în contextul tuturor politicilor relevante ale UE ș</w:t>
      </w:r>
      <w:r>
        <w:t>i solicită Comisiei să trateze acest aspect ca prioritar; îndeamnă Comisia să trateze acest aspect cu prioritate;</w:t>
      </w:r>
    </w:p>
    <w:p w14:paraId="050A1DE0" w14:textId="36BF0D61" w:rsidR="00F9352D" w:rsidRPr="00494F6B" w:rsidRDefault="0083239E" w:rsidP="00F9352D">
      <w:pPr>
        <w:pStyle w:val="NormalHanging12a"/>
      </w:pPr>
      <w:r>
        <w:lastRenderedPageBreak/>
        <w:t>5.</w:t>
      </w:r>
      <w:r>
        <w:tab/>
        <w:t>invită Comisia să analizeze ce procent din bugetul UE ar trebui să sprijine egalitatea de gen; solicită ș</w:t>
      </w:r>
      <w:r>
        <w:t>i obiective ș</w:t>
      </w:r>
      <w:r>
        <w:t>i indicatori de performanț</w:t>
      </w:r>
      <w:r>
        <w:t>ă în toate actele legislative viitoare, inclusiv în următorul CFM.</w:t>
      </w:r>
    </w:p>
    <w:p w14:paraId="7028BCEA" w14:textId="354ECD34" w:rsidR="00F9352D" w:rsidRPr="00494F6B" w:rsidRDefault="0083239E" w:rsidP="00F9352D">
      <w:pPr>
        <w:pStyle w:val="NormalHanging12a"/>
        <w:rPr>
          <w:bCs/>
          <w:iCs/>
        </w:rPr>
      </w:pPr>
      <w:r>
        <w:t>6.</w:t>
      </w:r>
      <w:r>
        <w:tab/>
        <w:t>invită Comisia să aloce un procent adecvat din bugetul total al UE, din componenta „Egalitate ș</w:t>
      </w:r>
      <w:r>
        <w:t>i drepturi” a programului CEDV ș</w:t>
      </w:r>
      <w:r>
        <w:t>i din programul Daphne; regretă că nu există linii bugetare special prevăzute pentru măsurile dedicate egalităț</w:t>
      </w:r>
      <w:r>
        <w:t>ii de gen; cere din nou să se creeze o linie bugetară specială pentru programul Daphne, pentru ca repartizarea fondurilor să se facă cu mai mare transparentă ș</w:t>
      </w:r>
      <w:r>
        <w:t>i răspundere; solicită un cadru de finanț</w:t>
      </w:r>
      <w:r>
        <w:t>are stabil, care să asigure eficacitatea ș</w:t>
      </w:r>
      <w:r>
        <w:t>i sustenabilitatea programului Daphne, pentru a sprijini obiectivul de protecț</w:t>
      </w:r>
      <w:r>
        <w:t>ie a femeilor ș</w:t>
      </w:r>
      <w:r>
        <w:t>i a copiilor împotriva violenț</w:t>
      </w:r>
      <w:r>
        <w:t>ei; regretă fuziunea dintre Europa creativă ș</w:t>
      </w:r>
      <w:r>
        <w:t>i CEDV în CFM propus, deoarece duce la reducerea vizibilităț</w:t>
      </w:r>
      <w:r>
        <w:t>ii programului Daphne; îndeamnă UE să considere programul o prioritate;</w:t>
      </w:r>
    </w:p>
    <w:p w14:paraId="65E45318" w14:textId="45F15FE5" w:rsidR="00F9352D" w:rsidRPr="00494F6B" w:rsidRDefault="0083239E" w:rsidP="00F9352D">
      <w:pPr>
        <w:pStyle w:val="NormalHanging12a"/>
        <w:rPr>
          <w:bCs/>
          <w:iCs/>
        </w:rPr>
      </w:pPr>
      <w:r>
        <w:t>7.</w:t>
      </w:r>
      <w:r>
        <w:tab/>
        <w:t>salută Directiva privind combaterea violenț</w:t>
      </w:r>
      <w:r>
        <w:t>ei împotriva femeilor ș</w:t>
      </w:r>
      <w:r>
        <w:t>i a violenț</w:t>
      </w:r>
      <w:r>
        <w:t>ei domestice; îndeamnă statele membre să pună rapid în aplicare directiva ș</w:t>
      </w:r>
      <w:r>
        <w:t>i invită statele membre să mărească numărul adăposturilor pentru victimele violenț</w:t>
      </w:r>
      <w:r>
        <w:t>ei domestice, cu referire specifică la cotele stabilite în Convenț</w:t>
      </w:r>
      <w:r>
        <w:t>ia Consiliului Europei privind prevenirea ș</w:t>
      </w:r>
      <w:r>
        <w:t>i combaterea violenț</w:t>
      </w:r>
      <w:r>
        <w:t>ei împotriva femeilor ș</w:t>
      </w:r>
      <w:r>
        <w:t>i a violenț</w:t>
      </w:r>
      <w:r>
        <w:t>ei domestice, aș</w:t>
      </w:r>
      <w:r>
        <w:t>a-numita Convenț</w:t>
      </w:r>
      <w:r>
        <w:t>ie de la Istanbul (un loc pentru familii la 10 000 de locuitori); accentuează că feminicidul, definit ca uciderea femeilor ș</w:t>
      </w:r>
      <w:r>
        <w:t>i fetelor din motive de gen, constituie una dintre formele extreme de violenț</w:t>
      </w:r>
      <w:r>
        <w:t>ă de gen ș</w:t>
      </w:r>
      <w:r>
        <w:t>i reprezintă o încălcare gravă a drepturilor fundamentale; condamnă cu fermitate absenț</w:t>
      </w:r>
      <w:r>
        <w:t>a unei definiț</w:t>
      </w:r>
      <w:r>
        <w:t>ii armonizate ș</w:t>
      </w:r>
      <w:r>
        <w:t>i inconsecvenț</w:t>
      </w:r>
      <w:r>
        <w:t>ele persistente în colectarea de date ș</w:t>
      </w:r>
      <w:r>
        <w:t>i raportare cu privire la această infracț</w:t>
      </w:r>
      <w:r>
        <w:t>iune; solicită o definiț</w:t>
      </w:r>
      <w:r>
        <w:t>ie europeană a acestei infracț</w:t>
      </w:r>
      <w:r>
        <w:t>iuni;</w:t>
      </w:r>
    </w:p>
    <w:p w14:paraId="0354A3C1" w14:textId="53F77AFC" w:rsidR="00F9352D" w:rsidRPr="00494F6B" w:rsidRDefault="0083239E" w:rsidP="00F9352D">
      <w:pPr>
        <w:pStyle w:val="NormalHanging12a"/>
        <w:rPr>
          <w:bCs/>
          <w:iCs/>
        </w:rPr>
      </w:pPr>
      <w:r>
        <w:t>8.</w:t>
      </w:r>
      <w:r>
        <w:tab/>
        <w:t>subliniază că, din cauza creș</w:t>
      </w:r>
      <w:r>
        <w:t>terii intoleranț</w:t>
      </w:r>
      <w:r>
        <w:t>ei faț</w:t>
      </w:r>
      <w:r>
        <w:t>ă de persoanele LGBTIQ+, este necesar să se aloce un buget suficient pentru măsurile de combatere a fobiei LGBTIQ+, cum ar fi, printre altele, liniile telefonice pentru consiliere ș</w:t>
      </w:r>
      <w:r>
        <w:t>i atenț</w:t>
      </w:r>
      <w:r>
        <w:t>ie; subliniază importanț</w:t>
      </w:r>
      <w:r>
        <w:t>a recunoaș</w:t>
      </w:r>
      <w:r>
        <w:t>terii depline a femeilor transgen ca femei, observând că includerea lor este esenț</w:t>
      </w:r>
      <w:r>
        <w:t>ială pentru eficacitatea oricăror politici privind egalitatea de gen ș</w:t>
      </w:r>
      <w:r>
        <w:t>i combaterea violenț</w:t>
      </w:r>
      <w:r>
        <w:t>ei; solicită recunoaș</w:t>
      </w:r>
      <w:r>
        <w:t>terea ș</w:t>
      </w:r>
      <w:r>
        <w:t>i accesul egal al femeilor transgen la servicii de protecț</w:t>
      </w:r>
      <w:r>
        <w:t>ie ș</w:t>
      </w:r>
      <w:r>
        <w:t>i de sprijin; invită statele membre să asigure protecț</w:t>
      </w:r>
      <w:r>
        <w:t>ia deplină ș</w:t>
      </w:r>
      <w:r>
        <w:t>i eficace a persoanelor LGBTIQ+ împotriva discriminării, hărț</w:t>
      </w:r>
      <w:r>
        <w:t>uirii ș</w:t>
      </w:r>
      <w:r>
        <w:t>i violenț</w:t>
      </w:r>
      <w:r>
        <w:t>ei, inclusiv prin consolidarea cadrelor juridice naț</w:t>
      </w:r>
      <w:r>
        <w:t>ionale, îmbunătăț</w:t>
      </w:r>
      <w:r>
        <w:t>irea mecanismelor de raportare ș</w:t>
      </w:r>
      <w:r>
        <w:t>i asigurarea investigării ș</w:t>
      </w:r>
      <w:r>
        <w:t>i urmăririi penale corespunzătoare a infracț</w:t>
      </w:r>
      <w:r>
        <w:t>iunilor motivate de ură; invită totodată Consiliul să continue lucrările legate de Directiva UE privind combaterea discriminării; îndeamnă Comisia să monitorizeze îndeaproape respectarea de către statele membre a valorilor UE ș</w:t>
      </w:r>
      <w:r>
        <w:t>i să iniț</w:t>
      </w:r>
      <w:r>
        <w:t>ieze proceduri de constatare a neîndeplinirii obligaț</w:t>
      </w:r>
      <w:r>
        <w:t>iilor, dacă este necesar;</w:t>
      </w:r>
    </w:p>
    <w:p w14:paraId="611AC308" w14:textId="739BC520" w:rsidR="00F9352D" w:rsidRPr="00494F6B" w:rsidRDefault="0083239E" w:rsidP="00F9352D">
      <w:pPr>
        <w:pStyle w:val="NormalHanging12a"/>
        <w:rPr>
          <w:bCs/>
          <w:iCs/>
        </w:rPr>
      </w:pPr>
      <w:r>
        <w:t>9.</w:t>
      </w:r>
      <w:r>
        <w:tab/>
        <w:t>reaminteș</w:t>
      </w:r>
      <w:r>
        <w:t>te angajamentul luat de Comisie în orientările sale politice de a-ș</w:t>
      </w:r>
      <w:r>
        <w:t>i intensifica implicarea în relaț</w:t>
      </w:r>
      <w:r>
        <w:t>ia cu organizaț</w:t>
      </w:r>
      <w:r>
        <w:t>iile societăț</w:t>
      </w:r>
      <w:r>
        <w:t>ii civile care sunt specializate ș</w:t>
      </w:r>
      <w:r>
        <w:t>i joacă un rol important în apărarea problemelor societale specifice ș</w:t>
      </w:r>
      <w:r>
        <w:t>i în promovarea drepturilor omului; reaminteș</w:t>
      </w:r>
      <w:r>
        <w:t>te că este fundamental ca organizaț</w:t>
      </w:r>
      <w:r>
        <w:t>iile societăț</w:t>
      </w:r>
      <w:r>
        <w:t>ii civile, prin finanț</w:t>
      </w:r>
      <w:r>
        <w:t>are din partea UE, să se poată angaja într-un „dialog deschis, transparent ș</w:t>
      </w:r>
      <w:r>
        <w:t>i structurat cu instituț</w:t>
      </w:r>
      <w:r>
        <w:t>iile UE”, astfel cum este consacrat la articolul 11 din TUE, prin activităț</w:t>
      </w:r>
      <w:r>
        <w:t xml:space="preserve">i precum </w:t>
      </w:r>
      <w:r>
        <w:lastRenderedPageBreak/>
        <w:t>activităț</w:t>
      </w:r>
      <w:r>
        <w:t>ile de promovare, demonstraț</w:t>
      </w:r>
      <w:r>
        <w:t>iile sau acț</w:t>
      </w:r>
      <w:r>
        <w:t>iunile judiciare, iar acestea ar trebui să rămână eligibile în programele de finanț</w:t>
      </w:r>
      <w:r>
        <w:t>are relevante ș</w:t>
      </w:r>
      <w:r>
        <w:t>i să dispună de o finanț</w:t>
      </w:r>
      <w:r>
        <w:t>are specifică suficientă;</w:t>
      </w:r>
    </w:p>
    <w:p w14:paraId="5AB8F248" w14:textId="4B7FB767" w:rsidR="00F9352D" w:rsidRPr="00494F6B" w:rsidRDefault="0083239E" w:rsidP="00F9352D">
      <w:pPr>
        <w:pStyle w:val="NormalHanging12a"/>
        <w:rPr>
          <w:bCs/>
          <w:iCs/>
        </w:rPr>
      </w:pPr>
      <w:r>
        <w:t>10.</w:t>
      </w:r>
      <w:r>
        <w:tab/>
        <w:t>evidenț</w:t>
      </w:r>
      <w:r>
        <w:t>iază că este important să se stimuleze creș</w:t>
      </w:r>
      <w:r>
        <w:t>terea economică în întreaga Uniune, inclusiv prin iniț</w:t>
      </w:r>
      <w:r>
        <w:t>iative care promovează participarea femeilor pe piaț</w:t>
      </w:r>
      <w:r>
        <w:t>a muncii, în antreprenoriat ș</w:t>
      </w:r>
      <w:r>
        <w:t>i în funcț</w:t>
      </w:r>
      <w:r>
        <w:t>ii de conducere;</w:t>
      </w:r>
    </w:p>
    <w:p w14:paraId="0433A5FA" w14:textId="5DC55039" w:rsidR="00F9352D" w:rsidRPr="00494F6B" w:rsidRDefault="0083239E" w:rsidP="00F9352D">
      <w:pPr>
        <w:pStyle w:val="NormalHanging12a"/>
        <w:rPr>
          <w:bCs/>
          <w:iCs/>
        </w:rPr>
      </w:pPr>
      <w:r>
        <w:t>11.</w:t>
      </w:r>
      <w:r>
        <w:tab/>
        <w:t>se arată din nou îngrijorat de corelaț</w:t>
      </w:r>
      <w:r>
        <w:t>ia dintre atacurile la adresa statului de drept, democraț</w:t>
      </w:r>
      <w:r>
        <w:t>iei ș</w:t>
      </w:r>
      <w:r>
        <w:t>i drepturilor omului ș</w:t>
      </w:r>
      <w:r>
        <w:t>i reacț</w:t>
      </w:r>
      <w:r>
        <w:t>iile negative faț</w:t>
      </w:r>
      <w:r>
        <w:t>ă de egalitatea de gen ș</w:t>
      </w:r>
      <w:r>
        <w:t>i drepturile femeilor; evidenț</w:t>
      </w:r>
      <w:r>
        <w:t>iază că organizaț</w:t>
      </w:r>
      <w:r>
        <w:t>iile independente ș</w:t>
      </w:r>
      <w:r>
        <w:t>i care dispun de resurse suficiente pentru drepturile femeilor sunt actori indispensabili pentru promovarea egalităț</w:t>
      </w:r>
      <w:r>
        <w:t>ii de gen, promovarea sănătăț</w:t>
      </w:r>
      <w:r>
        <w:t>ii sexuale ș</w:t>
      </w:r>
      <w:r>
        <w:t>i reproductive ș</w:t>
      </w:r>
      <w:r>
        <w:t>i a drepturilor aferente ș</w:t>
      </w:r>
      <w:r>
        <w:t>i protecț</w:t>
      </w:r>
      <w:r>
        <w:t>ia democraț</w:t>
      </w:r>
      <w:r>
        <w:t>iei ș</w:t>
      </w:r>
      <w:r>
        <w:t>i a drepturilor omului; subliniază că, în contextul influenț</w:t>
      </w:r>
      <w:r>
        <w:t>ei tot mai mari a miș</w:t>
      </w:r>
      <w:r>
        <w:t>cărilor definite ca miș</w:t>
      </w:r>
      <w:r>
        <w:t>cări împotriva egalităț</w:t>
      </w:r>
      <w:r>
        <w:t>ii de gen, menite să o submineze ca valoare fundamentală a democraț</w:t>
      </w:r>
      <w:r>
        <w:t>iei, ș</w:t>
      </w:r>
      <w:r>
        <w:t>i în contextul restrângerii spaț</w:t>
      </w:r>
      <w:r>
        <w:t>iului de acț</w:t>
      </w:r>
      <w:r>
        <w:t>iune al societăț</w:t>
      </w:r>
      <w:r>
        <w:t>ii civile, aceste organizaț</w:t>
      </w:r>
      <w:r>
        <w:t>ii se confruntă cu dificultăț</w:t>
      </w:r>
      <w:r>
        <w:t>i financiare ș</w:t>
      </w:r>
      <w:r>
        <w:t>i operaț</w:t>
      </w:r>
      <w:r>
        <w:t>ionale tot mai mari; invită Comisia să se asigure că nu i se acordă fonduri UE niciunei entităț</w:t>
      </w:r>
      <w:r>
        <w:t>i care contribuie la regresul în materie de drepturi ale femeilor ș</w:t>
      </w:r>
      <w:r>
        <w:t>i la adâncirea inegalităț</w:t>
      </w:r>
      <w:r>
        <w:t>ilor sau care luptă împotriva egalităț</w:t>
      </w:r>
      <w:r>
        <w:t>ii de gen, inclusiv a SRHR ș</w:t>
      </w:r>
      <w:r>
        <w:t>i a drepturilor femeilor la integritate corporală, autonomie ș</w:t>
      </w:r>
      <w:r>
        <w:t>i autodeterminare; îndeamnă Comisia să ț</w:t>
      </w:r>
      <w:r>
        <w:t>ină seama de peisajul global în schimbare al finanț</w:t>
      </w:r>
      <w:r>
        <w:t>ării ș</w:t>
      </w:r>
      <w:r>
        <w:t>i să se asigure că mecanismele de finanț</w:t>
      </w:r>
      <w:r>
        <w:t>are ale UE rămân accesibile, flexibile ș</w:t>
      </w:r>
      <w:r>
        <w:t>i receptive la nevoile specifice ș</w:t>
      </w:r>
      <w:r>
        <w:t>i la cerinț</w:t>
      </w:r>
      <w:r>
        <w:t>ele de securitate ale organizaț</w:t>
      </w:r>
      <w:r>
        <w:t>iilor pentru drepturile femeilor, în special ale celor care îș</w:t>
      </w:r>
      <w:r>
        <w:t>i desfăș</w:t>
      </w:r>
      <w:r>
        <w:t>oară activitatea în contexte cu risc ridicat;</w:t>
      </w:r>
    </w:p>
    <w:p w14:paraId="4C7317ED" w14:textId="34AFF740" w:rsidR="00F9352D" w:rsidRPr="00494F6B" w:rsidRDefault="0083239E" w:rsidP="00F9352D">
      <w:pPr>
        <w:pStyle w:val="NormalHanging12a"/>
        <w:rPr>
          <w:bCs/>
          <w:iCs/>
        </w:rPr>
      </w:pPr>
      <w:r>
        <w:t>12.</w:t>
      </w:r>
      <w:r>
        <w:tab/>
        <w:t>reiterează că sănătatea sexuală ș</w:t>
      </w:r>
      <w:r>
        <w:t>i reproductivă ș</w:t>
      </w:r>
      <w:r>
        <w:t>i drepturile aferente (SRHR) sunt drepturi fundamentale ale omului, iar exercitarea lor este un aspect fundamental al demnităț</w:t>
      </w:r>
      <w:r>
        <w:t>ii umane ș</w:t>
      </w:r>
      <w:r>
        <w:t>i o condiț</w:t>
      </w:r>
      <w:r>
        <w:t>ie indispensabilă pentru a atinge egalitatea de gen; cere eforturi susț</w:t>
      </w:r>
      <w:r>
        <w:t>inute la nivel european pentru a ne proteja valorile fundamentale, cum ar fi drepturile egale la autonomie corporală ș</w:t>
      </w:r>
      <w:r>
        <w:t>i accesul la sănătatea sexuală ș</w:t>
      </w:r>
      <w:r>
        <w:t>i reproductivă ș</w:t>
      </w:r>
      <w:r>
        <w:t>i la drepturile aferente, printre care ș</w:t>
      </w:r>
      <w:r>
        <w:t>i avortul legal ș</w:t>
      </w:r>
      <w:r>
        <w:t>i în condiț</w:t>
      </w:r>
      <w:r>
        <w:t>ii de siguranț</w:t>
      </w:r>
      <w:r>
        <w:t>ă; evidenț</w:t>
      </w:r>
      <w:r>
        <w:t>iază că trebuie să se consolideze alocările bugetare care susț</w:t>
      </w:r>
      <w:r>
        <w:t>in respectarea universală a sănătăț</w:t>
      </w:r>
      <w:r>
        <w:t>ii sexuale ș</w:t>
      </w:r>
      <w:r>
        <w:t>i reproductive, printre care dreptul la avort legal ș</w:t>
      </w:r>
      <w:r>
        <w:t>i în condiț</w:t>
      </w:r>
      <w:r>
        <w:t>ii sigure; îș</w:t>
      </w:r>
      <w:r>
        <w:t>i exprimă profunda îngrijorare că femeile ș</w:t>
      </w:r>
      <w:r>
        <w:t>i fetele din zone de conflict ș</w:t>
      </w:r>
      <w:r>
        <w:t>i teatre de război au fost supuse violenț</w:t>
      </w:r>
      <w:r>
        <w:t>ei sexuale ș</w:t>
      </w:r>
      <w:r>
        <w:t>i de gen, cum este cazul femeilor ș</w:t>
      </w:r>
      <w:r>
        <w:t>i fetelor din Ucraina, ca urmare a războiului de agresiune în curs al Rusiei; condamnă aceste acte ca fiind încălcări grave ale dreptului internaț</w:t>
      </w:r>
      <w:r>
        <w:t>ional umanitar ș</w:t>
      </w:r>
      <w:r>
        <w:t>i ale dreptului internaț</w:t>
      </w:r>
      <w:r>
        <w:t>ional al drepturilor omului; subliniază că se impun de urgenț</w:t>
      </w:r>
      <w:r>
        <w:t>ă servicii ample de sprijin pentru supravieț</w:t>
      </w:r>
      <w:r>
        <w:t>uitori - sprijin medical, servicii de sănătate sexuală ș</w:t>
      </w:r>
      <w:r>
        <w:t>i reproductivă, sprijin psihologic ș</w:t>
      </w:r>
      <w:r>
        <w:t>i juridic ș</w:t>
      </w:r>
      <w:r>
        <w:t>i asistenț</w:t>
      </w:r>
      <w:r>
        <w:t>ă socioeconomică.</w:t>
      </w:r>
    </w:p>
    <w:p w14:paraId="7669AA19" w14:textId="77777777" w:rsidR="00F9352D" w:rsidRPr="00494F6B" w:rsidRDefault="0083239E" w:rsidP="00F9352D">
      <w:pPr>
        <w:ind w:left="567" w:hanging="567"/>
        <w:rPr>
          <w:rStyle w:val="HideTWBExt"/>
        </w:rPr>
      </w:pPr>
      <w:r>
        <w:rPr>
          <w:rStyle w:val="HideTWBExt"/>
        </w:rPr>
        <w:t>&lt;/RepeatBlock-Dec&gt;</w:t>
      </w:r>
    </w:p>
    <w:p w14:paraId="4EAF7A77" w14:textId="77777777" w:rsidR="00F9352D" w:rsidRPr="00494F6B" w:rsidRDefault="00F9352D" w:rsidP="00F9352D">
      <w:pPr>
        <w:ind w:left="567" w:hanging="567"/>
      </w:pPr>
    </w:p>
    <w:p w14:paraId="3CFA0AF6" w14:textId="77777777" w:rsidR="00F9352D" w:rsidRPr="00494F6B" w:rsidRDefault="00F9352D" w:rsidP="00F9352D"/>
    <w:p w14:paraId="5F835023" w14:textId="77777777" w:rsidR="00F9352D" w:rsidRPr="00494F6B" w:rsidRDefault="00F9352D" w:rsidP="00F9352D">
      <w:pPr>
        <w:sectPr w:rsidR="00F9352D" w:rsidRPr="00494F6B" w:rsidSect="006212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BA64793" w14:textId="733F089E" w:rsidR="00F9352D" w:rsidRPr="00494F6B" w:rsidRDefault="0083239E" w:rsidP="00F9352D">
      <w:pPr>
        <w:pStyle w:val="PageHeadingNotTOC"/>
      </w:pPr>
      <w:bookmarkStart w:id="0" w:name="FootprintPageAD"/>
      <w:r>
        <w:lastRenderedPageBreak/>
        <w:t>ANEXĂ: DECLARAȚ</w:t>
      </w:r>
      <w:r>
        <w:t>IE PRIVIND CONTRIBUȚ</w:t>
      </w:r>
      <w:r>
        <w:t>IILE</w:t>
      </w:r>
    </w:p>
    <w:p w14:paraId="4514ABB8" w14:textId="39F8A655" w:rsidR="00F9352D" w:rsidRPr="00494F6B" w:rsidRDefault="0083239E" w:rsidP="00F9352D">
      <w:pPr>
        <w:pStyle w:val="Normal24a"/>
      </w:pPr>
      <w:r>
        <w:rPr>
          <w:rStyle w:val="HideTWBExt"/>
        </w:rPr>
        <w:t>&lt;FootprintIntro&gt;</w:t>
      </w:r>
      <w:r>
        <w:t>Raportoarea pentru aviz declară pe propria răspundere că nu a inclus în avizul său nicio contribuț</w:t>
      </w:r>
      <w:r>
        <w:t>ie de la reprezentanț</w:t>
      </w:r>
      <w:r>
        <w:t>i de interese care intră sub incidenț</w:t>
      </w:r>
      <w:r>
        <w:t>a Acordului interinstituț</w:t>
      </w:r>
      <w:r>
        <w:t>ional privind un registru</w:t>
      </w:r>
      <w:r>
        <w:rPr>
          <w:rStyle w:val="FootnoteReference"/>
        </w:rPr>
        <w:footnoteReference w:id="1"/>
      </w:r>
      <w:r>
        <w:t xml:space="preserve"> de transparenț</w:t>
      </w:r>
      <w:r>
        <w:t>ă obligatoriu sau de la reprezentanț</w:t>
      </w:r>
      <w:r>
        <w:t>i ai autorităț</w:t>
      </w:r>
      <w:r>
        <w:t>ilor publice din ț</w:t>
      </w:r>
      <w:r>
        <w:t>ările terț</w:t>
      </w:r>
      <w:r>
        <w:t>e, inclusiv misiuni diplomatice ș</w:t>
      </w:r>
      <w:r>
        <w:t>i ambasade ale acestora, care trebuie menț</w:t>
      </w:r>
      <w:r>
        <w:t>ionată în prezenta anexă în conformitate cu articolul 8 din anexa I la Regulamentul de procedură.</w:t>
      </w:r>
      <w:r>
        <w:rPr>
          <w:rStyle w:val="HideTWBExt"/>
        </w:rPr>
        <w:t>&lt;/FootprintIntro&gt;</w:t>
      </w:r>
    </w:p>
    <w:p w14:paraId="450C791A" w14:textId="77777777" w:rsidR="00F9352D" w:rsidRPr="00494F6B" w:rsidRDefault="00F9352D" w:rsidP="00F9352D"/>
    <w:bookmarkEnd w:id="0"/>
    <w:p w14:paraId="0A8EAA53" w14:textId="77777777" w:rsidR="00F9352D" w:rsidRPr="007214E8" w:rsidRDefault="00F9352D" w:rsidP="007214E8">
      <w:pPr>
        <w:pStyle w:val="PageHeadingNotTOC"/>
      </w:pPr>
    </w:p>
    <w:p w14:paraId="1E28D765" w14:textId="77777777" w:rsidR="00F9352D" w:rsidRPr="007214E8" w:rsidRDefault="00F9352D" w:rsidP="007214E8">
      <w:pPr>
        <w:sectPr w:rsidR="00F9352D" w:rsidRPr="007214E8" w:rsidSect="00F9352D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1FDBFBBC" w14:textId="63A73E1B" w:rsidR="007214E8" w:rsidRDefault="0083239E" w:rsidP="007214E8">
      <w:pPr>
        <w:pStyle w:val="PageHeadingNotTOC"/>
      </w:pPr>
      <w:bookmarkStart w:id="1" w:name="ProcPageAD"/>
      <w:r>
        <w:lastRenderedPageBreak/>
        <w:t>INFORMAȚ</w:t>
      </w:r>
      <w:r>
        <w:t>II PRIVIND ADOPTAREA</w:t>
      </w:r>
      <w:r>
        <w:br/>
        <w:t>ÎN COMISIA SESIZATĂ PENTRU AVIZ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4043C" w14:paraId="56055B39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5551E0F" w14:textId="77777777" w:rsidR="007214E8" w:rsidRDefault="0083239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adoptării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6EF938" w14:textId="77777777" w:rsidR="007214E8" w:rsidRDefault="0083239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55BB607" w14:textId="77777777" w:rsidR="007214E8" w:rsidRDefault="007214E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A631ED6" w14:textId="77777777" w:rsidR="007214E8" w:rsidRDefault="007214E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7A2A7A0" w14:textId="77777777" w:rsidR="007214E8" w:rsidRDefault="007214E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4043C" w14:paraId="46EB0673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6897918" w14:textId="77777777" w:rsidR="007214E8" w:rsidRDefault="0083239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Rezultatul votului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2F749F7" w14:textId="77777777" w:rsidR="007214E8" w:rsidRDefault="0083239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63DD3DB4" w14:textId="77777777" w:rsidR="007214E8" w:rsidRDefault="0083239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39950C58" w14:textId="77777777" w:rsidR="007214E8" w:rsidRDefault="0083239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607504E" w14:textId="77777777" w:rsidR="007214E8" w:rsidRDefault="0083239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14:paraId="01A08CFE" w14:textId="77777777" w:rsidR="007214E8" w:rsidRDefault="0083239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  <w:p w14:paraId="074D98C9" w14:textId="77777777" w:rsidR="007214E8" w:rsidRDefault="0083239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</w:tbl>
    <w:p w14:paraId="41634E4B" w14:textId="77777777" w:rsidR="007214E8" w:rsidRDefault="007214E8"/>
    <w:bookmarkEnd w:id="1"/>
    <w:p w14:paraId="19BF739B" w14:textId="77777777" w:rsidR="00F9352D" w:rsidRPr="007214E8" w:rsidRDefault="00F9352D" w:rsidP="007214E8">
      <w:pPr>
        <w:sectPr w:rsidR="00F9352D" w:rsidRPr="007214E8" w:rsidSect="00F9352D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60C2CB69" w14:textId="77777777" w:rsidR="00F9352D" w:rsidRPr="00494F6B" w:rsidRDefault="0083239E" w:rsidP="00F9352D">
      <w:pPr>
        <w:pStyle w:val="PageHeadingNotTOC"/>
      </w:pPr>
      <w:bookmarkStart w:id="2" w:name="RollCallPageAD"/>
      <w:r>
        <w:t>VOT FINAL PRIN APEL NOMINAL</w:t>
      </w:r>
      <w:r>
        <w:br/>
        <w:t xml:space="preserve">DE CĂTRE </w:t>
      </w:r>
      <w:r>
        <w:t>COMISIA SESIZATĂ PENTRU AVIZ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4043C" w14:paraId="28E968C3" w14:textId="77777777" w:rsidTr="006B17F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C026DA3" w14:textId="77777777" w:rsidR="00F9352D" w:rsidRPr="00494F6B" w:rsidRDefault="0083239E" w:rsidP="006B17FA">
            <w:pPr>
              <w:pStyle w:val="RollCallVotes"/>
            </w:pPr>
            <w:r>
              <w:t>22</w:t>
            </w:r>
          </w:p>
        </w:tc>
        <w:tc>
          <w:tcPr>
            <w:tcW w:w="7371" w:type="dxa"/>
            <w:shd w:val="pct10" w:color="000000" w:fill="FFFFFF"/>
          </w:tcPr>
          <w:p w14:paraId="7434CEAB" w14:textId="77777777" w:rsidR="00F9352D" w:rsidRPr="00494F6B" w:rsidRDefault="0083239E" w:rsidP="006B17FA">
            <w:pPr>
              <w:pStyle w:val="RollCallSymbols14pt"/>
            </w:pPr>
            <w:r>
              <w:t>+</w:t>
            </w:r>
          </w:p>
        </w:tc>
      </w:tr>
      <w:tr w:rsidR="00D4043C" w14:paraId="792E824C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1D64D762" w14:textId="77777777" w:rsidR="00F9352D" w:rsidRPr="00494F6B" w:rsidRDefault="0083239E" w:rsidP="006B17FA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40A79C93" w14:textId="77777777" w:rsidR="00F9352D" w:rsidRPr="00494F6B" w:rsidRDefault="0083239E" w:rsidP="006B17FA">
            <w:pPr>
              <w:pStyle w:val="RollCallTable"/>
            </w:pPr>
            <w:r>
              <w:t>Ewa Kopacz, Verena Mertens, Mirosława Nykiel, Giusi Princi, Maria Walsh</w:t>
            </w:r>
          </w:p>
        </w:tc>
      </w:tr>
      <w:tr w:rsidR="00D4043C" w14:paraId="0302B036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0849A815" w14:textId="77777777" w:rsidR="00F9352D" w:rsidRPr="00494F6B" w:rsidRDefault="0083239E" w:rsidP="006B17FA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0CC1D485" w14:textId="77777777" w:rsidR="00F9352D" w:rsidRPr="00494F6B" w:rsidRDefault="0083239E" w:rsidP="006B17FA">
            <w:pPr>
              <w:pStyle w:val="RollCallTable"/>
            </w:pPr>
            <w:r>
              <w:t>Abir Al-Sahlani, Raquel García Hermida-Van Der Walle, Lucia Yar, Dainius Žalimas</w:t>
            </w:r>
          </w:p>
        </w:tc>
      </w:tr>
      <w:tr w:rsidR="00D4043C" w14:paraId="6B81B3C0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192EBC72" w14:textId="77777777" w:rsidR="00F9352D" w:rsidRPr="00494F6B" w:rsidRDefault="0083239E" w:rsidP="006B17FA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31001711" w14:textId="77777777" w:rsidR="00F9352D" w:rsidRPr="00494F6B" w:rsidRDefault="0083239E" w:rsidP="006B17FA">
            <w:pPr>
              <w:pStyle w:val="RollCallTable"/>
            </w:pPr>
            <w:r>
              <w:t xml:space="preserve">Gabriela Firea, Heléne Fritzon, Lina Gálvez, </w:t>
            </w:r>
            <w:r>
              <w:t>Maria Noichl, Joanna Scheuring-Wielgus, Cecilia Strada, Marko Vešligaj</w:t>
            </w:r>
          </w:p>
        </w:tc>
      </w:tr>
      <w:tr w:rsidR="00D4043C" w14:paraId="4D0C8CA9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69D9BF03" w14:textId="77777777" w:rsidR="00F9352D" w:rsidRPr="00494F6B" w:rsidRDefault="0083239E" w:rsidP="006B17FA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6181D671" w14:textId="77777777" w:rsidR="00F9352D" w:rsidRPr="00494F6B" w:rsidRDefault="0083239E" w:rsidP="006B17FA">
            <w:pPr>
              <w:pStyle w:val="RollCallTable"/>
            </w:pPr>
            <w:r>
              <w:t>Hanna Gedin, Irene Montero, Carolina Morace</w:t>
            </w:r>
          </w:p>
        </w:tc>
      </w:tr>
      <w:tr w:rsidR="00D4043C" w14:paraId="7CAE1DD0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757D008A" w14:textId="77777777" w:rsidR="00F9352D" w:rsidRPr="00494F6B" w:rsidRDefault="0083239E" w:rsidP="006B17FA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578AA378" w14:textId="77777777" w:rsidR="00F9352D" w:rsidRPr="00494F6B" w:rsidRDefault="0083239E" w:rsidP="006B17FA">
            <w:pPr>
              <w:pStyle w:val="RollCallTable"/>
            </w:pPr>
            <w:r>
              <w:t>Mélissa Camara, Alexandra Geese, Benedetta Scuderi</w:t>
            </w:r>
          </w:p>
        </w:tc>
      </w:tr>
    </w:tbl>
    <w:p w14:paraId="3EBAB1FE" w14:textId="77777777" w:rsidR="00F9352D" w:rsidRPr="00494F6B" w:rsidRDefault="00F9352D" w:rsidP="00F9352D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4043C" w14:paraId="7D1D1FB4" w14:textId="77777777" w:rsidTr="006B17F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B4B39D0" w14:textId="77777777" w:rsidR="00F9352D" w:rsidRPr="00494F6B" w:rsidRDefault="0083239E" w:rsidP="006B17FA">
            <w:pPr>
              <w:pStyle w:val="RollCallVotes"/>
            </w:pPr>
            <w:r>
              <w:t>8</w:t>
            </w:r>
          </w:p>
        </w:tc>
        <w:tc>
          <w:tcPr>
            <w:tcW w:w="7371" w:type="dxa"/>
            <w:shd w:val="pct10" w:color="000000" w:fill="FFFFFF"/>
          </w:tcPr>
          <w:p w14:paraId="2FF5A08D" w14:textId="77777777" w:rsidR="00F9352D" w:rsidRPr="00494F6B" w:rsidRDefault="0083239E" w:rsidP="006B17FA">
            <w:pPr>
              <w:pStyle w:val="RollCallSymbols14pt"/>
            </w:pPr>
            <w:r>
              <w:t>-</w:t>
            </w:r>
          </w:p>
        </w:tc>
      </w:tr>
      <w:tr w:rsidR="00D4043C" w14:paraId="5F8EAF7C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61563E77" w14:textId="77777777" w:rsidR="00F9352D" w:rsidRPr="00494F6B" w:rsidRDefault="0083239E" w:rsidP="006B17FA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44A741A8" w14:textId="77777777" w:rsidR="00F9352D" w:rsidRPr="00494F6B" w:rsidRDefault="0083239E" w:rsidP="006B17FA">
            <w:pPr>
              <w:pStyle w:val="RollCallTable"/>
            </w:pPr>
            <w:r>
              <w:t>Chiara Gemma, Beatrice Timgren</w:t>
            </w:r>
          </w:p>
        </w:tc>
      </w:tr>
      <w:tr w:rsidR="00D4043C" w14:paraId="27FE3663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7FEEFFA2" w14:textId="77777777" w:rsidR="00F9352D" w:rsidRPr="00494F6B" w:rsidRDefault="0083239E" w:rsidP="006B17FA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0ED1F705" w14:textId="77777777" w:rsidR="00F9352D" w:rsidRPr="00494F6B" w:rsidRDefault="0083239E" w:rsidP="006B17FA">
            <w:pPr>
              <w:pStyle w:val="RollCallTable"/>
            </w:pPr>
            <w:r>
              <w:t xml:space="preserve">Fernand </w:t>
            </w:r>
            <w:r>
              <w:t>Kartheiser</w:t>
            </w:r>
          </w:p>
        </w:tc>
      </w:tr>
      <w:tr w:rsidR="00D4043C" w14:paraId="425190F7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5E7936F3" w14:textId="77777777" w:rsidR="00F9352D" w:rsidRPr="00494F6B" w:rsidRDefault="0083239E" w:rsidP="006B17FA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6B3DF0F3" w14:textId="77777777" w:rsidR="00F9352D" w:rsidRPr="00494F6B" w:rsidRDefault="0083239E" w:rsidP="006B17FA">
            <w:pPr>
              <w:pStyle w:val="RollCallTable"/>
            </w:pPr>
            <w:r>
              <w:t>Mathilde Androuët, Mireia Borrás Pabón, Elisabeth Dieringer, Margarita de la Pisa Carrión, Anders Vistisen</w:t>
            </w:r>
          </w:p>
        </w:tc>
      </w:tr>
    </w:tbl>
    <w:p w14:paraId="4E3322C7" w14:textId="77777777" w:rsidR="00F9352D" w:rsidRPr="00494F6B" w:rsidRDefault="00F9352D" w:rsidP="00F9352D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4043C" w14:paraId="65301240" w14:textId="77777777" w:rsidTr="006B17F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ACA1E56" w14:textId="77777777" w:rsidR="00F9352D" w:rsidRPr="00494F6B" w:rsidRDefault="0083239E" w:rsidP="006B17FA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14:paraId="56FA8E40" w14:textId="77777777" w:rsidR="00F9352D" w:rsidRPr="00494F6B" w:rsidRDefault="0083239E" w:rsidP="006B17FA">
            <w:pPr>
              <w:pStyle w:val="RollCallSymbols14pt"/>
            </w:pPr>
            <w:r>
              <w:t>0</w:t>
            </w:r>
          </w:p>
        </w:tc>
      </w:tr>
      <w:tr w:rsidR="00D4043C" w14:paraId="2D070544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00391BC3" w14:textId="77777777" w:rsidR="00F9352D" w:rsidRPr="00494F6B" w:rsidRDefault="0083239E" w:rsidP="006B17FA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29EABAA5" w14:textId="77777777" w:rsidR="00F9352D" w:rsidRPr="00494F6B" w:rsidRDefault="0083239E" w:rsidP="006B17FA">
            <w:pPr>
              <w:pStyle w:val="RollCallTable"/>
            </w:pPr>
            <w:r>
              <w:t>Judita Laššáková</w:t>
            </w:r>
          </w:p>
        </w:tc>
      </w:tr>
      <w:tr w:rsidR="00D4043C" w14:paraId="6E1CAB83" w14:textId="77777777" w:rsidTr="006B17FA">
        <w:trPr>
          <w:cantSplit/>
        </w:trPr>
        <w:tc>
          <w:tcPr>
            <w:tcW w:w="1701" w:type="dxa"/>
            <w:shd w:val="clear" w:color="auto" w:fill="FFFFFF"/>
          </w:tcPr>
          <w:p w14:paraId="0161C1D9" w14:textId="77777777" w:rsidR="00F9352D" w:rsidRPr="00494F6B" w:rsidRDefault="0083239E" w:rsidP="006B17FA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1E564187" w14:textId="77777777" w:rsidR="00F9352D" w:rsidRPr="00494F6B" w:rsidRDefault="0083239E" w:rsidP="006B17FA">
            <w:pPr>
              <w:pStyle w:val="RollCallTable"/>
            </w:pPr>
            <w:r>
              <w:t>Rosa Estaràs Ferragut</w:t>
            </w:r>
          </w:p>
        </w:tc>
      </w:tr>
    </w:tbl>
    <w:p w14:paraId="5CECB344" w14:textId="77777777" w:rsidR="00F9352D" w:rsidRPr="00494F6B" w:rsidRDefault="00F9352D" w:rsidP="00F9352D">
      <w:pPr>
        <w:pStyle w:val="Normal12a"/>
      </w:pPr>
    </w:p>
    <w:p w14:paraId="7FA624DF" w14:textId="77777777" w:rsidR="007214E8" w:rsidRPr="00DD51D9" w:rsidRDefault="0083239E" w:rsidP="007214E8">
      <w:pPr>
        <w:rPr>
          <w:szCs w:val="24"/>
        </w:rPr>
      </w:pPr>
      <w:r>
        <w:t xml:space="preserve">Legenda simbolurilor utilizate: </w:t>
      </w:r>
    </w:p>
    <w:p w14:paraId="23E171CE" w14:textId="77777777" w:rsidR="007214E8" w:rsidRPr="00DD51D9" w:rsidRDefault="0083239E" w:rsidP="007214E8">
      <w:pPr>
        <w:tabs>
          <w:tab w:val="center" w:pos="284"/>
          <w:tab w:val="left" w:pos="426"/>
        </w:tabs>
        <w:rPr>
          <w:szCs w:val="24"/>
        </w:rPr>
      </w:pPr>
      <w:r>
        <w:t>+</w:t>
      </w:r>
      <w:r>
        <w:tab/>
        <w:t>:</w:t>
      </w:r>
      <w:r>
        <w:tab/>
        <w:t>pentru</w:t>
      </w:r>
    </w:p>
    <w:p w14:paraId="1AD7A9CE" w14:textId="77777777" w:rsidR="007214E8" w:rsidRPr="00DD51D9" w:rsidRDefault="0083239E" w:rsidP="007214E8">
      <w:pPr>
        <w:tabs>
          <w:tab w:val="center" w:pos="284"/>
          <w:tab w:val="left" w:pos="426"/>
        </w:tabs>
        <w:rPr>
          <w:szCs w:val="24"/>
        </w:rPr>
      </w:pPr>
      <w:r>
        <w:t>-</w:t>
      </w:r>
      <w:r>
        <w:tab/>
        <w:t>:</w:t>
      </w:r>
      <w:r>
        <w:tab/>
        <w:t>împotrivă</w:t>
      </w:r>
    </w:p>
    <w:p w14:paraId="5E99FFA1" w14:textId="28BC9370" w:rsidR="007214E8" w:rsidRPr="00DD51D9" w:rsidRDefault="0083239E" w:rsidP="007214E8">
      <w:pPr>
        <w:tabs>
          <w:tab w:val="center" w:pos="284"/>
          <w:tab w:val="left" w:pos="426"/>
        </w:tabs>
        <w:rPr>
          <w:szCs w:val="24"/>
        </w:rPr>
      </w:pPr>
      <w:r>
        <w:t>0</w:t>
      </w:r>
      <w:r>
        <w:tab/>
        <w:t>:</w:t>
      </w:r>
      <w:r>
        <w:tab/>
      </w:r>
      <w:r>
        <w:t>abț</w:t>
      </w:r>
      <w:r>
        <w:t>ineri</w:t>
      </w:r>
    </w:p>
    <w:p w14:paraId="54F09B61" w14:textId="77777777" w:rsidR="00F9352D" w:rsidRPr="00494F6B" w:rsidRDefault="00F9352D" w:rsidP="00F9352D"/>
    <w:bookmarkEnd w:id="2"/>
    <w:p w14:paraId="2D85B48D" w14:textId="77777777" w:rsidR="00F9352D" w:rsidRPr="00494F6B" w:rsidRDefault="00F9352D" w:rsidP="00F9352D"/>
    <w:p w14:paraId="7D6C56AB" w14:textId="77777777" w:rsidR="009F7C5A" w:rsidRPr="00494F6B" w:rsidRDefault="009F7C5A" w:rsidP="00F9352D">
      <w:pPr>
        <w:pStyle w:val="CoverReference"/>
      </w:pPr>
    </w:p>
    <w:sectPr w:rsidR="009F7C5A" w:rsidRPr="00494F6B" w:rsidSect="00E342EF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33AA" w14:textId="77777777" w:rsidR="0083239E" w:rsidRDefault="0083239E">
      <w:r>
        <w:separator/>
      </w:r>
    </w:p>
  </w:endnote>
  <w:endnote w:type="continuationSeparator" w:id="0">
    <w:p w14:paraId="0C1000AA" w14:textId="77777777" w:rsidR="0083239E" w:rsidRDefault="00832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DDEF" w14:textId="77777777" w:rsidR="006212B5" w:rsidRPr="00494F6B" w:rsidRDefault="0083239E" w:rsidP="006212B5">
    <w:pPr>
      <w:pStyle w:val="EPFooter"/>
    </w:pPr>
    <w:r w:rsidRPr="00494F6B">
      <w:t>PE</w:t>
    </w:r>
    <w:r w:rsidRPr="00494F6B">
      <w:rPr>
        <w:rStyle w:val="HideTWBExt"/>
      </w:rPr>
      <w:t>&lt;NoPE&gt;</w:t>
    </w:r>
    <w:r w:rsidRPr="00494F6B">
      <w:t>779.730</w:t>
    </w:r>
    <w:r w:rsidRPr="00494F6B">
      <w:rPr>
        <w:rStyle w:val="HideTWBExt"/>
      </w:rPr>
      <w:t>&lt;/NoPE&gt;&lt;Version&gt;</w:t>
    </w:r>
    <w:r w:rsidRPr="00494F6B">
      <w:t>v03-00</w:t>
    </w:r>
    <w:r w:rsidRPr="00494F6B">
      <w:rPr>
        <w:rStyle w:val="HideTWBExt"/>
      </w:rPr>
      <w:t>&lt;/Version&gt;</w:t>
    </w:r>
    <w:r w:rsidRPr="00494F6B">
      <w:tab/>
    </w:r>
    <w:r w:rsidRPr="00494F6B">
      <w:fldChar w:fldCharType="begin"/>
    </w:r>
    <w:r w:rsidRPr="00494F6B">
      <w:instrText xml:space="preserve"> PAGE  \* MERGEFORMAT </w:instrText>
    </w:r>
    <w:r w:rsidRPr="00494F6B">
      <w:fldChar w:fldCharType="separate"/>
    </w:r>
    <w:r w:rsidRPr="00494F6B">
      <w:rPr>
        <w:noProof/>
      </w:rPr>
      <w:t>6</w:t>
    </w:r>
    <w:r w:rsidRPr="00494F6B">
      <w:fldChar w:fldCharType="end"/>
    </w:r>
    <w:r w:rsidRPr="00494F6B">
      <w:t>/</w:t>
    </w:r>
    <w:r w:rsidRPr="00494F6B">
      <w:fldChar w:fldCharType="begin"/>
    </w:r>
    <w:r>
      <w:instrText xml:space="preserve"> NUMPAGES  \* MERGEFORMAT </w:instrText>
    </w:r>
    <w:r w:rsidRPr="00494F6B">
      <w:fldChar w:fldCharType="separate"/>
    </w:r>
    <w:r w:rsidRPr="00494F6B">
      <w:rPr>
        <w:noProof/>
      </w:rPr>
      <w:t>9</w:t>
    </w:r>
    <w:r w:rsidRPr="00494F6B">
      <w:rPr>
        <w:noProof/>
      </w:rPr>
      <w:fldChar w:fldCharType="end"/>
    </w:r>
    <w:r w:rsidRPr="00494F6B">
      <w:tab/>
    </w:r>
    <w:r w:rsidRPr="00494F6B">
      <w:rPr>
        <w:rStyle w:val="HideTWBExt"/>
      </w:rPr>
      <w:t>&lt;PathFdR&gt;</w:t>
    </w:r>
    <w:r w:rsidRPr="00494F6B">
      <w:t>AD\1336107RO.docx</w:t>
    </w:r>
    <w:r w:rsidRPr="00494F6B">
      <w:rPr>
        <w:rStyle w:val="HideTWBExt"/>
      </w:rPr>
      <w:t>&lt;/PathFdR&gt;</w:t>
    </w:r>
  </w:p>
  <w:p w14:paraId="1017E8E0" w14:textId="77777777" w:rsidR="00F9352D" w:rsidRPr="00494F6B" w:rsidRDefault="0083239E" w:rsidP="006212B5">
    <w:pPr>
      <w:pStyle w:val="EPFooter2"/>
    </w:pPr>
    <w:r w:rsidRPr="00494F6B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1CF18" w14:textId="77777777" w:rsidR="006212B5" w:rsidRPr="00494F6B" w:rsidRDefault="0083239E" w:rsidP="006212B5">
    <w:pPr>
      <w:pStyle w:val="EPFooter"/>
    </w:pPr>
    <w:r w:rsidRPr="00494F6B">
      <w:rPr>
        <w:rStyle w:val="HideTWBExt"/>
      </w:rPr>
      <w:t>&lt;PathFdR&gt;</w:t>
    </w:r>
    <w:r w:rsidRPr="00494F6B">
      <w:t>AD\1336107RO.docx</w:t>
    </w:r>
    <w:r w:rsidRPr="00494F6B">
      <w:rPr>
        <w:rStyle w:val="HideTWBExt"/>
      </w:rPr>
      <w:t>&lt;/PathFdR&gt;</w:t>
    </w:r>
    <w:r w:rsidRPr="00494F6B">
      <w:tab/>
    </w:r>
    <w:r w:rsidRPr="00494F6B">
      <w:fldChar w:fldCharType="begin"/>
    </w:r>
    <w:r w:rsidRPr="00494F6B">
      <w:instrText xml:space="preserve"> PAGE  \* MERGEFORMAT </w:instrText>
    </w:r>
    <w:r w:rsidRPr="00494F6B">
      <w:fldChar w:fldCharType="separate"/>
    </w:r>
    <w:r w:rsidRPr="00494F6B">
      <w:rPr>
        <w:noProof/>
      </w:rPr>
      <w:t>5</w:t>
    </w:r>
    <w:r w:rsidRPr="00494F6B">
      <w:fldChar w:fldCharType="end"/>
    </w:r>
    <w:r w:rsidRPr="00494F6B">
      <w:t>/</w:t>
    </w:r>
    <w:r w:rsidRPr="00494F6B">
      <w:fldChar w:fldCharType="begin"/>
    </w:r>
    <w:r>
      <w:instrText xml:space="preserve"> NUMPAGES  \* MERGEFORMAT </w:instrText>
    </w:r>
    <w:r w:rsidRPr="00494F6B">
      <w:fldChar w:fldCharType="separate"/>
    </w:r>
    <w:r w:rsidRPr="00494F6B">
      <w:rPr>
        <w:noProof/>
      </w:rPr>
      <w:t>9</w:t>
    </w:r>
    <w:r w:rsidRPr="00494F6B">
      <w:rPr>
        <w:noProof/>
      </w:rPr>
      <w:fldChar w:fldCharType="end"/>
    </w:r>
    <w:r w:rsidRPr="00494F6B">
      <w:tab/>
      <w:t>PE</w:t>
    </w:r>
    <w:r w:rsidRPr="00494F6B">
      <w:rPr>
        <w:rStyle w:val="HideTWBExt"/>
      </w:rPr>
      <w:t>&lt;NoPE&gt;</w:t>
    </w:r>
    <w:r w:rsidRPr="00494F6B">
      <w:t>779.730</w:t>
    </w:r>
    <w:r w:rsidRPr="00494F6B">
      <w:rPr>
        <w:rStyle w:val="HideTWBExt"/>
      </w:rPr>
      <w:t>&lt;/NoPE&gt;&lt;Version&gt;</w:t>
    </w:r>
    <w:r w:rsidRPr="00494F6B">
      <w:t>v03-00</w:t>
    </w:r>
    <w:r w:rsidRPr="00494F6B">
      <w:rPr>
        <w:rStyle w:val="HideTWBExt"/>
      </w:rPr>
      <w:t>&lt;/Version&gt;</w:t>
    </w:r>
  </w:p>
  <w:p w14:paraId="4F32B0B9" w14:textId="77777777" w:rsidR="00F9352D" w:rsidRPr="00494F6B" w:rsidRDefault="0083239E" w:rsidP="006212B5">
    <w:pPr>
      <w:pStyle w:val="EPFooter2"/>
    </w:pPr>
    <w:r w:rsidRPr="00494F6B">
      <w:tab/>
    </w:r>
    <w:r w:rsidRPr="00494F6B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3825B" w14:textId="77777777" w:rsidR="006212B5" w:rsidRPr="00494F6B" w:rsidRDefault="0083239E" w:rsidP="006212B5">
    <w:pPr>
      <w:pStyle w:val="EPFooter"/>
    </w:pPr>
    <w:r w:rsidRPr="00494F6B">
      <w:rPr>
        <w:rStyle w:val="HideTWBExt"/>
      </w:rPr>
      <w:t>&lt;PathFdR&gt;</w:t>
    </w:r>
    <w:r w:rsidRPr="00494F6B">
      <w:t>AD\1336107RO.docx</w:t>
    </w:r>
    <w:r w:rsidRPr="00494F6B">
      <w:rPr>
        <w:rStyle w:val="HideTWBExt"/>
      </w:rPr>
      <w:t>&lt;/PathFdR&gt;</w:t>
    </w:r>
    <w:r w:rsidRPr="00494F6B">
      <w:tab/>
    </w:r>
    <w:r w:rsidRPr="00494F6B">
      <w:tab/>
      <w:t>PE</w:t>
    </w:r>
    <w:r w:rsidRPr="00494F6B">
      <w:rPr>
        <w:rStyle w:val="HideTWBExt"/>
      </w:rPr>
      <w:t>&lt;NoPE&gt;</w:t>
    </w:r>
    <w:r w:rsidRPr="00494F6B">
      <w:t>779.730</w:t>
    </w:r>
    <w:r w:rsidRPr="00494F6B">
      <w:rPr>
        <w:rStyle w:val="HideTWBExt"/>
      </w:rPr>
      <w:t>&lt;/NoPE&gt;&lt;Version&gt;</w:t>
    </w:r>
    <w:r w:rsidRPr="00494F6B">
      <w:t>v03-00</w:t>
    </w:r>
    <w:r w:rsidRPr="00494F6B">
      <w:rPr>
        <w:rStyle w:val="HideTWBExt"/>
      </w:rPr>
      <w:t>&lt;/Version&gt;</w:t>
    </w:r>
  </w:p>
  <w:p w14:paraId="532CB64C" w14:textId="77777777" w:rsidR="00F9352D" w:rsidRPr="00494F6B" w:rsidRDefault="0083239E" w:rsidP="006212B5">
    <w:pPr>
      <w:pStyle w:val="EPFooter2"/>
    </w:pPr>
    <w:r w:rsidRPr="00494F6B">
      <w:t>RO</w:t>
    </w:r>
    <w:r w:rsidRPr="00494F6B">
      <w:tab/>
    </w:r>
    <w:r w:rsidRPr="00494F6B">
      <w:rPr>
        <w:b w:val="0"/>
        <w:i/>
        <w:color w:val="C0C0C0"/>
        <w:sz w:val="22"/>
      </w:rPr>
      <w:t>Unită în diversitate</w:t>
    </w:r>
    <w:r w:rsidRPr="00494F6B">
      <w:tab/>
      <w:t>RO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0EF98" w14:textId="77777777" w:rsidR="00DF592C" w:rsidRPr="00494F6B" w:rsidRDefault="0083239E" w:rsidP="00DF592C">
    <w:pPr>
      <w:pStyle w:val="EPFooter"/>
    </w:pPr>
    <w:r w:rsidRPr="00494F6B">
      <w:rPr>
        <w:rStyle w:val="HideTWBExt"/>
      </w:rPr>
      <w:t>&lt;PathFdR&gt;</w:t>
    </w:r>
    <w:r w:rsidR="00494F6B" w:rsidRPr="00494F6B">
      <w:t>AD\1336107RO.docx</w:t>
    </w:r>
    <w:r w:rsidRPr="00494F6B">
      <w:rPr>
        <w:rStyle w:val="HideTWBExt"/>
      </w:rPr>
      <w:t>&lt;/PathFdR&gt;</w:t>
    </w:r>
    <w:r w:rsidRPr="00494F6B">
      <w:tab/>
    </w:r>
    <w:r w:rsidRPr="00494F6B">
      <w:tab/>
      <w:t>PE</w:t>
    </w:r>
    <w:r w:rsidRPr="00494F6B">
      <w:rPr>
        <w:rStyle w:val="HideTWBExt"/>
      </w:rPr>
      <w:t>&lt;NoPE&gt;</w:t>
    </w:r>
    <w:r w:rsidRPr="00494F6B">
      <w:t>779.730</w:t>
    </w:r>
    <w:r w:rsidRPr="00494F6B">
      <w:rPr>
        <w:rStyle w:val="HideTWBExt"/>
      </w:rPr>
      <w:t>&lt;/NoPE&gt;&lt;Version&gt;</w:t>
    </w:r>
    <w:r w:rsidRPr="00494F6B">
      <w:t>v03-00</w:t>
    </w:r>
    <w:r w:rsidRPr="00494F6B">
      <w:rPr>
        <w:rStyle w:val="HideTWBExt"/>
      </w:rPr>
      <w:t>&lt;/Version&gt;</w:t>
    </w:r>
  </w:p>
  <w:p w14:paraId="72248F54" w14:textId="77777777" w:rsidR="00C75378" w:rsidRPr="00494F6B" w:rsidRDefault="0083239E" w:rsidP="00DF592C">
    <w:pPr>
      <w:pStyle w:val="EPFooter2"/>
    </w:pPr>
    <w:r w:rsidRPr="00494F6B">
      <w:t>EN</w:t>
    </w:r>
    <w:r w:rsidRPr="00494F6B">
      <w:tab/>
    </w:r>
    <w:r w:rsidRPr="00494F6B">
      <w:rPr>
        <w:b w:val="0"/>
        <w:i/>
        <w:color w:val="C0C0C0"/>
        <w:sz w:val="22"/>
      </w:rPr>
      <w:t>United in diversity</w:t>
    </w:r>
    <w:r w:rsidRPr="00494F6B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BF538" w14:textId="77777777" w:rsidR="00D852C1" w:rsidRPr="00494F6B" w:rsidRDefault="0083239E">
      <w:r w:rsidRPr="00494F6B">
        <w:separator/>
      </w:r>
    </w:p>
  </w:footnote>
  <w:footnote w:type="continuationSeparator" w:id="0">
    <w:p w14:paraId="5022EE3F" w14:textId="77777777" w:rsidR="00D852C1" w:rsidRPr="00494F6B" w:rsidRDefault="0083239E">
      <w:r w:rsidRPr="00494F6B">
        <w:continuationSeparator/>
      </w:r>
    </w:p>
  </w:footnote>
  <w:footnote w:id="1">
    <w:p w14:paraId="06B78B8A" w14:textId="77D7C73B" w:rsidR="00F9352D" w:rsidRPr="00494F6B" w:rsidRDefault="0083239E" w:rsidP="00F9352D">
      <w:pPr>
        <w:pStyle w:val="FootnoteText"/>
      </w:pPr>
      <w:r>
        <w:rPr>
          <w:rStyle w:val="FootnoteReference"/>
        </w:rPr>
        <w:footnoteRef/>
      </w:r>
      <w:r>
        <w:t xml:space="preserve"> Acordul interinstituț</w:t>
      </w:r>
      <w:r>
        <w:t>ional din 20 mai 2021 dintre Parlamentul European, Consiliul Uniunii Europene ș</w:t>
      </w:r>
      <w:r>
        <w:t>i Comisia Europeană privind un registru de transparenț</w:t>
      </w:r>
      <w:r>
        <w:t xml:space="preserve">ă obligatoriu (JO L 207, 11.6.2021, p.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A1E79" w14:textId="77777777" w:rsidR="0083239E" w:rsidRDefault="008323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F00C8" w14:textId="77777777" w:rsidR="0083239E" w:rsidRDefault="008323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F00A1" w14:textId="77777777" w:rsidR="0083239E" w:rsidRDefault="0083239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EA656" w14:textId="77777777" w:rsidR="00DF592C" w:rsidRPr="00DF592C" w:rsidRDefault="00DF592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84F64" w14:textId="77777777" w:rsidR="00DF592C" w:rsidRPr="00DF592C" w:rsidRDefault="00DF592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13AD" w14:textId="77777777" w:rsidR="00DF592C" w:rsidRPr="00DF592C" w:rsidRDefault="00DF59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DE5403"/>
    <w:multiLevelType w:val="multilevel"/>
    <w:tmpl w:val="9B605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ED0BDE"/>
    <w:multiLevelType w:val="hybridMultilevel"/>
    <w:tmpl w:val="ED42BA76"/>
    <w:lvl w:ilvl="0" w:tplc="C3763ED2">
      <w:start w:val="1"/>
      <w:numFmt w:val="upperLetter"/>
      <w:lvlText w:val="%1."/>
      <w:lvlJc w:val="left"/>
      <w:pPr>
        <w:ind w:left="720" w:hanging="360"/>
      </w:pPr>
    </w:lvl>
    <w:lvl w:ilvl="1" w:tplc="864C73CC">
      <w:start w:val="1"/>
      <w:numFmt w:val="lowerLetter"/>
      <w:lvlText w:val="%2."/>
      <w:lvlJc w:val="left"/>
      <w:pPr>
        <w:ind w:left="1440" w:hanging="360"/>
      </w:pPr>
    </w:lvl>
    <w:lvl w:ilvl="2" w:tplc="FB76917A">
      <w:start w:val="1"/>
      <w:numFmt w:val="lowerRoman"/>
      <w:lvlText w:val="%3."/>
      <w:lvlJc w:val="right"/>
      <w:pPr>
        <w:ind w:left="2160" w:hanging="180"/>
      </w:pPr>
    </w:lvl>
    <w:lvl w:ilvl="3" w:tplc="8D1AB85A">
      <w:start w:val="1"/>
      <w:numFmt w:val="decimal"/>
      <w:lvlText w:val="%4."/>
      <w:lvlJc w:val="left"/>
      <w:pPr>
        <w:ind w:left="2880" w:hanging="360"/>
      </w:pPr>
    </w:lvl>
    <w:lvl w:ilvl="4" w:tplc="C43229F8">
      <w:start w:val="1"/>
      <w:numFmt w:val="lowerLetter"/>
      <w:lvlText w:val="%5."/>
      <w:lvlJc w:val="left"/>
      <w:pPr>
        <w:ind w:left="3600" w:hanging="360"/>
      </w:pPr>
    </w:lvl>
    <w:lvl w:ilvl="5" w:tplc="6B5645C4">
      <w:start w:val="1"/>
      <w:numFmt w:val="lowerRoman"/>
      <w:lvlText w:val="%6."/>
      <w:lvlJc w:val="right"/>
      <w:pPr>
        <w:ind w:left="4320" w:hanging="180"/>
      </w:pPr>
    </w:lvl>
    <w:lvl w:ilvl="6" w:tplc="D16A8486">
      <w:start w:val="1"/>
      <w:numFmt w:val="decimal"/>
      <w:lvlText w:val="%7."/>
      <w:lvlJc w:val="left"/>
      <w:pPr>
        <w:ind w:left="5040" w:hanging="360"/>
      </w:pPr>
    </w:lvl>
    <w:lvl w:ilvl="7" w:tplc="AF36606E">
      <w:start w:val="1"/>
      <w:numFmt w:val="lowerLetter"/>
      <w:lvlText w:val="%8."/>
      <w:lvlJc w:val="left"/>
      <w:pPr>
        <w:ind w:left="5760" w:hanging="360"/>
      </w:pPr>
    </w:lvl>
    <w:lvl w:ilvl="8" w:tplc="B3EAA4DC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28792">
    <w:abstractNumId w:val="9"/>
  </w:num>
  <w:num w:numId="2" w16cid:durableId="1703357930">
    <w:abstractNumId w:val="9"/>
  </w:num>
  <w:num w:numId="3" w16cid:durableId="184908520">
    <w:abstractNumId w:val="7"/>
  </w:num>
  <w:num w:numId="4" w16cid:durableId="732704666">
    <w:abstractNumId w:val="7"/>
  </w:num>
  <w:num w:numId="5" w16cid:durableId="1800680317">
    <w:abstractNumId w:val="6"/>
  </w:num>
  <w:num w:numId="6" w16cid:durableId="1166088255">
    <w:abstractNumId w:val="6"/>
  </w:num>
  <w:num w:numId="7" w16cid:durableId="708528808">
    <w:abstractNumId w:val="5"/>
  </w:num>
  <w:num w:numId="8" w16cid:durableId="1234197486">
    <w:abstractNumId w:val="5"/>
  </w:num>
  <w:num w:numId="9" w16cid:durableId="1337145658">
    <w:abstractNumId w:val="4"/>
  </w:num>
  <w:num w:numId="10" w16cid:durableId="1422601724">
    <w:abstractNumId w:val="4"/>
  </w:num>
  <w:num w:numId="11" w16cid:durableId="4866193">
    <w:abstractNumId w:val="8"/>
  </w:num>
  <w:num w:numId="12" w16cid:durableId="1418330532">
    <w:abstractNumId w:val="8"/>
  </w:num>
  <w:num w:numId="13" w16cid:durableId="1264875958">
    <w:abstractNumId w:val="3"/>
  </w:num>
  <w:num w:numId="14" w16cid:durableId="1669596750">
    <w:abstractNumId w:val="3"/>
  </w:num>
  <w:num w:numId="15" w16cid:durableId="1598052285">
    <w:abstractNumId w:val="2"/>
  </w:num>
  <w:num w:numId="16" w16cid:durableId="1129666983">
    <w:abstractNumId w:val="2"/>
  </w:num>
  <w:num w:numId="17" w16cid:durableId="38941529">
    <w:abstractNumId w:val="1"/>
  </w:num>
  <w:num w:numId="18" w16cid:durableId="1536117421">
    <w:abstractNumId w:val="1"/>
  </w:num>
  <w:num w:numId="19" w16cid:durableId="556205477">
    <w:abstractNumId w:val="0"/>
  </w:num>
  <w:num w:numId="20" w16cid:durableId="1900509979">
    <w:abstractNumId w:val="0"/>
  </w:num>
  <w:num w:numId="21" w16cid:durableId="1043752607">
    <w:abstractNumId w:val="9"/>
  </w:num>
  <w:num w:numId="22" w16cid:durableId="95640287">
    <w:abstractNumId w:val="7"/>
  </w:num>
  <w:num w:numId="23" w16cid:durableId="1076513050">
    <w:abstractNumId w:val="6"/>
  </w:num>
  <w:num w:numId="24" w16cid:durableId="794713317">
    <w:abstractNumId w:val="5"/>
  </w:num>
  <w:num w:numId="25" w16cid:durableId="281231162">
    <w:abstractNumId w:val="4"/>
  </w:num>
  <w:num w:numId="26" w16cid:durableId="1902279896">
    <w:abstractNumId w:val="8"/>
  </w:num>
  <w:num w:numId="27" w16cid:durableId="422649394">
    <w:abstractNumId w:val="3"/>
  </w:num>
  <w:num w:numId="28" w16cid:durableId="1291588655">
    <w:abstractNumId w:val="2"/>
  </w:num>
  <w:num w:numId="29" w16cid:durableId="465203317">
    <w:abstractNumId w:val="1"/>
  </w:num>
  <w:num w:numId="30" w16cid:durableId="2008317902">
    <w:abstractNumId w:val="0"/>
  </w:num>
  <w:num w:numId="31" w16cid:durableId="1791049372">
    <w:abstractNumId w:val="9"/>
  </w:num>
  <w:num w:numId="32" w16cid:durableId="1277323235">
    <w:abstractNumId w:val="7"/>
  </w:num>
  <w:num w:numId="33" w16cid:durableId="785537434">
    <w:abstractNumId w:val="6"/>
  </w:num>
  <w:num w:numId="34" w16cid:durableId="1560288038">
    <w:abstractNumId w:val="5"/>
  </w:num>
  <w:num w:numId="35" w16cid:durableId="210264513">
    <w:abstractNumId w:val="4"/>
  </w:num>
  <w:num w:numId="36" w16cid:durableId="1434327990">
    <w:abstractNumId w:val="8"/>
  </w:num>
  <w:num w:numId="37" w16cid:durableId="1341199436">
    <w:abstractNumId w:val="3"/>
  </w:num>
  <w:num w:numId="38" w16cid:durableId="1481462761">
    <w:abstractNumId w:val="2"/>
  </w:num>
  <w:num w:numId="39" w16cid:durableId="1969775517">
    <w:abstractNumId w:val="1"/>
  </w:num>
  <w:num w:numId="40" w16cid:durableId="1266695612">
    <w:abstractNumId w:val="0"/>
  </w:num>
  <w:num w:numId="41" w16cid:durableId="16889474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58408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2"/>
    <w:docVar w:name="COMKEY" w:val="FEMM"/>
    <w:docVar w:name="CONTRIBUTIONMNU" w:val=" 2"/>
    <w:docVar w:name="CopyToNetwork" w:val="-1"/>
    <w:docVar w:name="DOCDT" w:val="24/11/2025"/>
    <w:docVar w:name="FONCTIONMNU" w:val=" 1"/>
    <w:docVar w:name="LastAMInserted" w:val="18"/>
    <w:docVar w:name="LastEditedSection" w:val=" 1"/>
    <w:docVar w:name="NumberAMInserted" w:val="18"/>
    <w:docVar w:name="OTHERHEADINGMNU" w:val=" 2"/>
    <w:docVar w:name="PARTCOUNT" w:val="0"/>
    <w:docVar w:name="strDocTypeID" w:val="PA_NonLegDec"/>
    <w:docVar w:name="strSubDir" w:val="1336"/>
    <w:docVar w:name="TITLEMNU" w:val=" 3"/>
    <w:docVar w:name="TXTAUTHOR" w:val="Raquel García Hermida_x001e_Van Der Walle"/>
    <w:docVar w:name="TXTLANGUE" w:val="RO"/>
    <w:docVar w:name="TXTLANGUEMIN" w:val="ro"/>
    <w:docVar w:name="TXTNRPE" w:val="779.730"/>
    <w:docVar w:name="TXTNRPROC" w:val="2025/2145"/>
    <w:docVar w:name="TXTPEorAP" w:val="PE"/>
    <w:docVar w:name="TXTROUTE" w:val="AD\1336107RO.docx"/>
    <w:docVar w:name="TXTTITLE" w:val="European Commission: Consolidated annual accounts of the European Union - Financial year 2024 - Commission"/>
    <w:docVar w:name="TXTVERSION" w:val="03-00"/>
  </w:docVars>
  <w:rsids>
    <w:rsidRoot w:val="00D852C1"/>
    <w:rsid w:val="000048A8"/>
    <w:rsid w:val="00007A18"/>
    <w:rsid w:val="0004034F"/>
    <w:rsid w:val="00062634"/>
    <w:rsid w:val="00066D15"/>
    <w:rsid w:val="00076145"/>
    <w:rsid w:val="000A05CA"/>
    <w:rsid w:val="000B6C4B"/>
    <w:rsid w:val="000D001F"/>
    <w:rsid w:val="000D099F"/>
    <w:rsid w:val="000E6813"/>
    <w:rsid w:val="000E7460"/>
    <w:rsid w:val="000F07FE"/>
    <w:rsid w:val="00115823"/>
    <w:rsid w:val="001275F4"/>
    <w:rsid w:val="001316DA"/>
    <w:rsid w:val="0015613C"/>
    <w:rsid w:val="001A02AE"/>
    <w:rsid w:val="001A455F"/>
    <w:rsid w:val="001A58B0"/>
    <w:rsid w:val="001F2766"/>
    <w:rsid w:val="001F6ED8"/>
    <w:rsid w:val="00212D35"/>
    <w:rsid w:val="00235FD1"/>
    <w:rsid w:val="00237EAC"/>
    <w:rsid w:val="00245C7F"/>
    <w:rsid w:val="00271180"/>
    <w:rsid w:val="002A321A"/>
    <w:rsid w:val="002A4AC9"/>
    <w:rsid w:val="002B2892"/>
    <w:rsid w:val="002C0EE6"/>
    <w:rsid w:val="002C34AE"/>
    <w:rsid w:val="002E2F2E"/>
    <w:rsid w:val="00307C14"/>
    <w:rsid w:val="00313903"/>
    <w:rsid w:val="0031443D"/>
    <w:rsid w:val="003707A7"/>
    <w:rsid w:val="00385BAB"/>
    <w:rsid w:val="0039003E"/>
    <w:rsid w:val="00396FA9"/>
    <w:rsid w:val="003B0AFF"/>
    <w:rsid w:val="003B72FC"/>
    <w:rsid w:val="003D61DD"/>
    <w:rsid w:val="003D684B"/>
    <w:rsid w:val="003E06CF"/>
    <w:rsid w:val="003E35FB"/>
    <w:rsid w:val="003F3B83"/>
    <w:rsid w:val="00407185"/>
    <w:rsid w:val="00425AB9"/>
    <w:rsid w:val="00431E30"/>
    <w:rsid w:val="00436099"/>
    <w:rsid w:val="004808BF"/>
    <w:rsid w:val="004867F4"/>
    <w:rsid w:val="00487232"/>
    <w:rsid w:val="00494F6B"/>
    <w:rsid w:val="00495CA4"/>
    <w:rsid w:val="004A34E6"/>
    <w:rsid w:val="004B0D27"/>
    <w:rsid w:val="004C28FB"/>
    <w:rsid w:val="004D1282"/>
    <w:rsid w:val="004D2539"/>
    <w:rsid w:val="004E54DC"/>
    <w:rsid w:val="004F48ED"/>
    <w:rsid w:val="00514664"/>
    <w:rsid w:val="00532331"/>
    <w:rsid w:val="00544E2C"/>
    <w:rsid w:val="0055017A"/>
    <w:rsid w:val="00556722"/>
    <w:rsid w:val="00565852"/>
    <w:rsid w:val="00577018"/>
    <w:rsid w:val="005779E7"/>
    <w:rsid w:val="00594F49"/>
    <w:rsid w:val="005D0786"/>
    <w:rsid w:val="005E3670"/>
    <w:rsid w:val="00600DC9"/>
    <w:rsid w:val="006065B5"/>
    <w:rsid w:val="006212B5"/>
    <w:rsid w:val="00643F39"/>
    <w:rsid w:val="00663340"/>
    <w:rsid w:val="0066728C"/>
    <w:rsid w:val="006819E0"/>
    <w:rsid w:val="00697BB9"/>
    <w:rsid w:val="006B17FA"/>
    <w:rsid w:val="006F5586"/>
    <w:rsid w:val="006F7599"/>
    <w:rsid w:val="0071319E"/>
    <w:rsid w:val="007214E8"/>
    <w:rsid w:val="00722749"/>
    <w:rsid w:val="00772D52"/>
    <w:rsid w:val="00793A95"/>
    <w:rsid w:val="00797D14"/>
    <w:rsid w:val="007E665D"/>
    <w:rsid w:val="00806587"/>
    <w:rsid w:val="00817280"/>
    <w:rsid w:val="00827A94"/>
    <w:rsid w:val="0083239E"/>
    <w:rsid w:val="00857726"/>
    <w:rsid w:val="008818A9"/>
    <w:rsid w:val="008C6240"/>
    <w:rsid w:val="008E7494"/>
    <w:rsid w:val="008F36CD"/>
    <w:rsid w:val="008F7002"/>
    <w:rsid w:val="0090495E"/>
    <w:rsid w:val="009263E0"/>
    <w:rsid w:val="00952DEC"/>
    <w:rsid w:val="0095301E"/>
    <w:rsid w:val="0095497D"/>
    <w:rsid w:val="0096679F"/>
    <w:rsid w:val="009669A8"/>
    <w:rsid w:val="00967C5B"/>
    <w:rsid w:val="00972FD8"/>
    <w:rsid w:val="00977F76"/>
    <w:rsid w:val="0098140C"/>
    <w:rsid w:val="009A33F4"/>
    <w:rsid w:val="009A403C"/>
    <w:rsid w:val="009B5265"/>
    <w:rsid w:val="009F7C5A"/>
    <w:rsid w:val="00A2041C"/>
    <w:rsid w:val="00A24FB1"/>
    <w:rsid w:val="00A35CBB"/>
    <w:rsid w:val="00A44AC3"/>
    <w:rsid w:val="00A61DF7"/>
    <w:rsid w:val="00A722B1"/>
    <w:rsid w:val="00A8267E"/>
    <w:rsid w:val="00A93570"/>
    <w:rsid w:val="00A9617A"/>
    <w:rsid w:val="00AA1A2C"/>
    <w:rsid w:val="00AA223C"/>
    <w:rsid w:val="00AE02D2"/>
    <w:rsid w:val="00AF1087"/>
    <w:rsid w:val="00AF1117"/>
    <w:rsid w:val="00AF77DA"/>
    <w:rsid w:val="00B107A4"/>
    <w:rsid w:val="00B1441B"/>
    <w:rsid w:val="00B362F7"/>
    <w:rsid w:val="00B677B7"/>
    <w:rsid w:val="00B939B2"/>
    <w:rsid w:val="00BB2AC1"/>
    <w:rsid w:val="00BE693C"/>
    <w:rsid w:val="00BF1218"/>
    <w:rsid w:val="00C002B1"/>
    <w:rsid w:val="00C04938"/>
    <w:rsid w:val="00C04A1B"/>
    <w:rsid w:val="00C175C0"/>
    <w:rsid w:val="00C47E30"/>
    <w:rsid w:val="00C54AEF"/>
    <w:rsid w:val="00C54F53"/>
    <w:rsid w:val="00C75378"/>
    <w:rsid w:val="00C85D0F"/>
    <w:rsid w:val="00CA0D01"/>
    <w:rsid w:val="00CD4E22"/>
    <w:rsid w:val="00CE10D6"/>
    <w:rsid w:val="00CF7076"/>
    <w:rsid w:val="00D36953"/>
    <w:rsid w:val="00D4043C"/>
    <w:rsid w:val="00D41244"/>
    <w:rsid w:val="00D438D0"/>
    <w:rsid w:val="00D44697"/>
    <w:rsid w:val="00D47632"/>
    <w:rsid w:val="00D625A2"/>
    <w:rsid w:val="00D71751"/>
    <w:rsid w:val="00D759AA"/>
    <w:rsid w:val="00D852C1"/>
    <w:rsid w:val="00DA7632"/>
    <w:rsid w:val="00DB4B5A"/>
    <w:rsid w:val="00DB4D61"/>
    <w:rsid w:val="00DD51D9"/>
    <w:rsid w:val="00DF592C"/>
    <w:rsid w:val="00E01434"/>
    <w:rsid w:val="00E0465B"/>
    <w:rsid w:val="00E05697"/>
    <w:rsid w:val="00E12435"/>
    <w:rsid w:val="00E3428B"/>
    <w:rsid w:val="00E342EF"/>
    <w:rsid w:val="00E3462E"/>
    <w:rsid w:val="00E354E5"/>
    <w:rsid w:val="00E41C50"/>
    <w:rsid w:val="00E51639"/>
    <w:rsid w:val="00E729C7"/>
    <w:rsid w:val="00E83B40"/>
    <w:rsid w:val="00E9601C"/>
    <w:rsid w:val="00EA78B3"/>
    <w:rsid w:val="00EB19AA"/>
    <w:rsid w:val="00EC2C85"/>
    <w:rsid w:val="00F032A1"/>
    <w:rsid w:val="00F036E0"/>
    <w:rsid w:val="00F129D0"/>
    <w:rsid w:val="00F46E44"/>
    <w:rsid w:val="00F611FC"/>
    <w:rsid w:val="00F61E8C"/>
    <w:rsid w:val="00F707AB"/>
    <w:rsid w:val="00F83AC7"/>
    <w:rsid w:val="00F9352D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E306A"/>
  <w15:chartTrackingRefBased/>
  <w15:docId w15:val="{9A1D01FA-5936-4523-A35E-11A6B974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ListParagraph">
    <w:name w:val="List Paragraph"/>
    <w:basedOn w:val="Normal"/>
    <w:uiPriority w:val="34"/>
    <w:qFormat/>
    <w:rsid w:val="00BF1218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Footer">
    <w:name w:val="footer"/>
    <w:basedOn w:val="Normal"/>
    <w:link w:val="FooterChar"/>
    <w:semiHidden/>
    <w:rsid w:val="00BF1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F1218"/>
    <w:rPr>
      <w:sz w:val="24"/>
    </w:rPr>
  </w:style>
  <w:style w:type="paragraph" w:styleId="Revision">
    <w:name w:val="Revision"/>
    <w:hidden/>
    <w:uiPriority w:val="99"/>
    <w:semiHidden/>
    <w:rsid w:val="00CD4E22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436099"/>
    <w:rPr>
      <w:sz w:val="24"/>
    </w:rPr>
  </w:style>
  <w:style w:type="paragraph" w:customStyle="1" w:styleId="Normal24a">
    <w:name w:val="Normal24a"/>
    <w:basedOn w:val="Normal"/>
    <w:rsid w:val="00C04A1B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C04A1B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C04A1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04A1B"/>
    <w:rPr>
      <w:szCs w:val="24"/>
    </w:rPr>
  </w:style>
  <w:style w:type="paragraph" w:styleId="FootnoteText">
    <w:name w:val="footnote text"/>
    <w:basedOn w:val="Normal"/>
    <w:link w:val="FootnoteTextChar"/>
    <w:rsid w:val="00C04A1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04A1B"/>
  </w:style>
  <w:style w:type="character" w:styleId="FootnoteReference">
    <w:name w:val="footnote reference"/>
    <w:basedOn w:val="DefaultParagraphFont"/>
    <w:rsid w:val="00C04A1B"/>
    <w:rPr>
      <w:vertAlign w:val="superscript"/>
    </w:rPr>
  </w:style>
  <w:style w:type="character" w:styleId="Hyperlink">
    <w:name w:val="Hyperlink"/>
    <w:basedOn w:val="DefaultParagraphFont"/>
    <w:rsid w:val="00C04A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A1B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793A9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93A9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93A9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93A95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D884-645E-4BAB-A5C2-D45E498D2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2333</Words>
  <Characters>13700</Characters>
  <Application>Microsoft Office Word</Application>
  <DocSecurity>0</DocSecurity>
  <Lines>258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2004-10-28T10:33:00Z</cp:lastPrinted>
  <dcterms:created xsi:type="dcterms:W3CDTF">2026-02-11T14:53:00Z</dcterms:created>
  <dcterms:modified xsi:type="dcterms:W3CDTF">2026-02-11T14:53:00Z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1336107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09:44:10)</vt:lpwstr>
  </property>
  <property fmtid="{D5CDD505-2E9C-101B-9397-08002B2CF9AE}" pid="6" name="&lt;ModelTra&gt;">
    <vt:lpwstr>\\eiciBRUpr1\pdocep$\DocEP\TRANSFIL\EN\PA_NonLegDec.EN(21/01/2025 14:39:00)</vt:lpwstr>
  </property>
  <property fmtid="{D5CDD505-2E9C-101B-9397-08002B2CF9AE}" pid="7" name="&lt;Type&gt;">
    <vt:lpwstr>AD</vt:lpwstr>
  </property>
  <property fmtid="{D5CDD505-2E9C-101B-9397-08002B2CF9AE}" pid="8" name="Created with">
    <vt:lpwstr>10.2.0 Build [20251001]</vt:lpwstr>
  </property>
  <property fmtid="{D5CDD505-2E9C-101B-9397-08002B2CF9AE}" pid="9" name="FooterPath">
    <vt:lpwstr>AD\1336107RO.docx</vt:lpwstr>
  </property>
  <property fmtid="{D5CDD505-2E9C-101B-9397-08002B2CF9AE}" pid="10" name="LastEdited with">
    <vt:lpwstr>10.2.1 Build [20260110]</vt:lpwstr>
  </property>
  <property fmtid="{D5CDD505-2E9C-101B-9397-08002B2CF9AE}" pid="11" name="OriLang">
    <vt:lpwstr>EN</vt:lpwstr>
  </property>
  <property fmtid="{D5CDD505-2E9C-101B-9397-08002B2CF9AE}" pid="12" name="PE number">
    <vt:lpwstr>779.730</vt:lpwstr>
  </property>
  <property fmtid="{D5CDD505-2E9C-101B-9397-08002B2CF9AE}" pid="13" name="SDLStudio">
    <vt:lpwstr/>
  </property>
  <property fmtid="{D5CDD505-2E9C-101B-9397-08002B2CF9AE}" pid="14" name="SendToEpades">
    <vt:lpwstr>OK - 2026/01/28 19:54</vt:lpwstr>
  </property>
  <property fmtid="{D5CDD505-2E9C-101B-9397-08002B2CF9AE}" pid="15" name="Bookout">
    <vt:lpwstr>OK - 2026/02/11 15:53</vt:lpwstr>
  </property>
</Properties>
</file>