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6278B2" w14:paraId="796B837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763192" w14:textId="77777777" w:rsidR="004F48ED" w:rsidRPr="006278B2" w:rsidRDefault="00D26BDA" w:rsidP="00C85D0F">
            <w:pPr>
              <w:pStyle w:val="EPName"/>
            </w:pPr>
            <w:r>
              <w:t>Europski parlament</w:t>
            </w:r>
          </w:p>
          <w:p w14:paraId="59587B97" w14:textId="6F44221E" w:rsidR="004F48ED" w:rsidRPr="006278B2" w:rsidRDefault="000A0473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28A299F" w14:textId="77777777" w:rsidR="004F48ED" w:rsidRPr="006278B2" w:rsidRDefault="004F48ED" w:rsidP="00C85D0F">
            <w:pPr>
              <w:pStyle w:val="EPLogo"/>
            </w:pPr>
            <w:r w:rsidRPr="006278B2">
              <w:rPr>
                <w:noProof/>
                <w:lang w:eastAsia="ja-JP"/>
              </w:rPr>
              <w:drawing>
                <wp:inline distT="0" distB="0" distL="0" distR="0" wp14:anchorId="4A654560" wp14:editId="2A2362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9F49BE" w14:textId="77777777" w:rsidR="00E9601C" w:rsidRPr="006278B2" w:rsidRDefault="00E9601C" w:rsidP="00E9601C">
      <w:pPr>
        <w:pStyle w:val="LineTop"/>
      </w:pPr>
    </w:p>
    <w:p w14:paraId="75DCCBDF" w14:textId="18FB937D" w:rsidR="00E9601C" w:rsidRPr="006278B2" w:rsidRDefault="00E9601C" w:rsidP="00E9601C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{FEMM}</w:t>
      </w:r>
      <w:r>
        <w:t>Odbor za prava žena i rodnu ravnopravnost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32861FA6" w14:textId="77777777" w:rsidR="00E9601C" w:rsidRPr="006278B2" w:rsidRDefault="00E9601C" w:rsidP="00E9601C">
      <w:pPr>
        <w:pStyle w:val="LineBottom"/>
      </w:pPr>
    </w:p>
    <w:p w14:paraId="5E790409" w14:textId="22694EFE" w:rsidR="004E54DC" w:rsidRPr="006278B2" w:rsidRDefault="004E54DC" w:rsidP="004E54DC">
      <w:pPr>
        <w:pStyle w:val="CoverReference"/>
      </w:pPr>
      <w:r>
        <w:rPr>
          <w:rStyle w:val="HideTWBExt"/>
          <w:b w:val="0"/>
        </w:rPr>
        <w:t>&lt;RefProc&gt;</w:t>
      </w:r>
      <w:r>
        <w:t>2025/2146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14:paraId="639CBA37" w14:textId="637ADF7D" w:rsidR="002E2F2E" w:rsidRPr="006278B2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{27/01/2026}</w:t>
      </w:r>
      <w:r>
        <w:t>27.1.2026</w:t>
      </w:r>
      <w:r>
        <w:rPr>
          <w:rStyle w:val="HideTWBExt"/>
        </w:rPr>
        <w:t>&lt;/Date&gt;</w:t>
      </w:r>
    </w:p>
    <w:p w14:paraId="0EA0ADDE" w14:textId="5A730DC8" w:rsidR="002E2F2E" w:rsidRPr="006278B2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MIŠLJENJE</w:t>
      </w:r>
      <w:r>
        <w:rPr>
          <w:rStyle w:val="HideTWBExt"/>
          <w:b w:val="0"/>
        </w:rPr>
        <w:t>&lt;/TitreType&gt;</w:t>
      </w:r>
    </w:p>
    <w:p w14:paraId="453AE7FA" w14:textId="42EBFEFA" w:rsidR="002E2F2E" w:rsidRPr="006278B2" w:rsidRDefault="002E2F2E">
      <w:pPr>
        <w:pStyle w:val="CoverNormal24a"/>
      </w:pPr>
      <w:r>
        <w:rPr>
          <w:rStyle w:val="HideTWBExt"/>
        </w:rPr>
        <w:t>&lt;CommissionResp&gt;</w:t>
      </w:r>
      <w:r>
        <w:t>Odbora za prava žena i rodnu ravnopravnost</w:t>
      </w:r>
      <w:r>
        <w:rPr>
          <w:rStyle w:val="HideTWBExt"/>
        </w:rPr>
        <w:t>&lt;/CommissionResp&gt;</w:t>
      </w:r>
    </w:p>
    <w:p w14:paraId="7FE242D9" w14:textId="7D525299" w:rsidR="002E2F2E" w:rsidRPr="006278B2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upućeno Odboru za proračunski nadzor</w:t>
      </w:r>
      <w:r>
        <w:rPr>
          <w:rStyle w:val="HideTWBExt"/>
        </w:rPr>
        <w:t>&lt;/CommissionInt&gt;</w:t>
      </w:r>
    </w:p>
    <w:p w14:paraId="262B87A7" w14:textId="2414594F" w:rsidR="002E2F2E" w:rsidRPr="006278B2" w:rsidRDefault="002E2F2E">
      <w:pPr>
        <w:pStyle w:val="CoverNormal"/>
      </w:pPr>
      <w:r>
        <w:rPr>
          <w:rStyle w:val="HideTWBExt"/>
        </w:rPr>
        <w:t>&lt;Titre&gt;</w:t>
      </w:r>
      <w:r>
        <w:t>o razrješnici za izvršenje općeg proračuna Europske unije za financijsku godinu 2024., dio I. – Europski parlament</w:t>
      </w:r>
      <w:r>
        <w:rPr>
          <w:rStyle w:val="HideTWBExt"/>
        </w:rPr>
        <w:t>&lt;/Titre&gt;</w:t>
      </w:r>
    </w:p>
    <w:p w14:paraId="6EFFDF37" w14:textId="036BC9B4" w:rsidR="002E2F2E" w:rsidRPr="006278B2" w:rsidRDefault="002E2F2E">
      <w:pPr>
        <w:pStyle w:val="CoverNormal24a"/>
      </w:pPr>
      <w:r>
        <w:rPr>
          <w:rStyle w:val="HideTWBExt"/>
        </w:rPr>
        <w:t>&lt;DocRef&gt;</w:t>
      </w:r>
      <w:r>
        <w:t>(2025/2146(DEC))</w:t>
      </w:r>
      <w:r>
        <w:rPr>
          <w:rStyle w:val="HideTWBExt"/>
        </w:rPr>
        <w:t>&lt;/DocRef&gt;</w:t>
      </w:r>
    </w:p>
    <w:p w14:paraId="6923411B" w14:textId="32592391" w:rsidR="002E2F2E" w:rsidRPr="006278B2" w:rsidRDefault="00D26BDA">
      <w:pPr>
        <w:pStyle w:val="CoverNormal24a"/>
      </w:pPr>
      <w:r>
        <w:t xml:space="preserve">Izvjestiteljica za mišljenje </w:t>
      </w:r>
      <w:r>
        <w:rPr>
          <w:rStyle w:val="HideTWBExt"/>
        </w:rPr>
        <w:t>&lt;Depute&gt;</w:t>
      </w:r>
      <w:r>
        <w:t>Raquel García Hermida</w:t>
      </w:r>
      <w:r>
        <w:noBreakHyphen/>
        <w:t>Van Der Walle</w:t>
      </w:r>
      <w:r>
        <w:rPr>
          <w:rStyle w:val="HideTWBExt"/>
        </w:rPr>
        <w:t>&lt;/Depute&gt;</w:t>
      </w:r>
    </w:p>
    <w:p w14:paraId="08859A07" w14:textId="77777777" w:rsidR="00977F76" w:rsidRPr="006278B2" w:rsidRDefault="00977F76" w:rsidP="00977F76">
      <w:pPr>
        <w:pStyle w:val="CoverNormal"/>
      </w:pPr>
    </w:p>
    <w:p w14:paraId="0872C3A1" w14:textId="77777777" w:rsidR="002E2F2E" w:rsidRPr="006278B2" w:rsidRDefault="002E2F2E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14:paraId="35C7BD19" w14:textId="77777777" w:rsidR="003E06CF" w:rsidRPr="006278B2" w:rsidRDefault="002E2F2E" w:rsidP="003E06CF">
      <w:pPr>
        <w:pStyle w:val="PageHeadingNotTOC"/>
      </w:pPr>
      <w:r>
        <w:br w:type="page"/>
      </w:r>
      <w:r>
        <w:lastRenderedPageBreak/>
        <w:t>MIŠLJENJE</w:t>
      </w:r>
    </w:p>
    <w:p w14:paraId="4AAE381B" w14:textId="00422609" w:rsidR="003E06CF" w:rsidRPr="006278B2" w:rsidRDefault="00D26BDA" w:rsidP="003E06CF">
      <w:pPr>
        <w:pStyle w:val="Normal12a"/>
      </w:pPr>
      <w:r>
        <w:t>Odbor za prava žena i rodnu ravnopravnost poziva Odbor za proračunski nadzor da kao nadležni odbor u prijedlog rezolucije koji će usvojiti uvrsti sljedeće:</w:t>
      </w:r>
    </w:p>
    <w:p w14:paraId="7C5D5B7E" w14:textId="61125880" w:rsidR="000048A8" w:rsidRPr="006278B2" w:rsidRDefault="00E05697" w:rsidP="003E06CF">
      <w:pPr>
        <w:pStyle w:val="Normal12a"/>
        <w:rPr>
          <w:b/>
          <w:bCs/>
          <w:i/>
          <w:iCs/>
        </w:rPr>
      </w:pPr>
      <w:r>
        <w:rPr>
          <w:rStyle w:val="HideTWBExt"/>
        </w:rPr>
        <w:t>&lt;RepeatBlock-Dec&gt;</w:t>
      </w:r>
    </w:p>
    <w:p w14:paraId="030413C1" w14:textId="77777777" w:rsidR="004720F8" w:rsidRPr="000B0D99" w:rsidRDefault="005310A7" w:rsidP="004720F8">
      <w:pPr>
        <w:pStyle w:val="NormalHanging12a"/>
      </w:pPr>
      <w:r>
        <w:t>A.</w:t>
      </w:r>
      <w:r>
        <w:tab/>
        <w:t xml:space="preserve">budući da su rodna ravnopravnost i iskorjenjivanje neravnopravnosti temeljne vrijednosti EU-a, kako je utvrđeno u članku 2. Ugovora o Europskoj uniji; budući da je Unija predana promicanju rodne ravnopravnosti u svim svojim aktivnostima u skladu s člankom 8. Ugovora o funkcioniranju Europske unije, uspostavom načela rodno osviještene politike i donošenja rodno osjetljivog proračuna; </w:t>
      </w:r>
    </w:p>
    <w:p w14:paraId="4E7680BE" w14:textId="77777777" w:rsidR="004720F8" w:rsidRPr="000B0D99" w:rsidRDefault="004720F8" w:rsidP="004720F8">
      <w:pPr>
        <w:pStyle w:val="NormalHanging12a"/>
      </w:pPr>
      <w:r>
        <w:t>B.</w:t>
      </w:r>
      <w:r>
        <w:tab/>
        <w:t xml:space="preserve">budući da u skladu s člankom 249. Poslovnika Predsjedništvo usvaja akcijski plan za rodnu ravnopravnost kako bi se rodna perspektiva uključila u sve aktivnosti Parlamenta; </w:t>
      </w:r>
    </w:p>
    <w:p w14:paraId="3335EA9E" w14:textId="77777777" w:rsidR="004720F8" w:rsidRPr="000B0D99" w:rsidRDefault="004720F8" w:rsidP="004720F8">
      <w:pPr>
        <w:pStyle w:val="NormalHanging12a"/>
      </w:pPr>
      <w:r>
        <w:t>C.</w:t>
      </w:r>
      <w:r>
        <w:tab/>
        <w:t>budući da su rodna ravnopravnost te ravnopravno i smisleno sudjelovanje žena u donošenju svih politika preduvjet za funkcionalnu demokraciju; budući da su trenutačno na 39 % zastupničkih mjesta u Parlamentu žene, dok ih je u nacionalnim parlamentima diljem svijeta 27 %; budući da su žene i dalje nedovoljno zastupljene u donošenju odluka; budući da su na izborima 2024. ostvareni lošiji rezultati nego ranije jer je tada izabrano 278 žena, što je neznatno manje nego 2019., te da je riječ o prvom smanjenju udjela žena od 1979.; budući da se rodna ravnoteža znatno razlikuje među nacionalnim izaslanstvima u Parlamentu, što upućuje na postojane nejednakosti među državama članicama;</w:t>
      </w:r>
    </w:p>
    <w:p w14:paraId="367687F7" w14:textId="77777777" w:rsidR="004720F8" w:rsidRPr="000B0D99" w:rsidRDefault="004720F8" w:rsidP="004720F8">
      <w:pPr>
        <w:pStyle w:val="NormalHanging12a"/>
      </w:pPr>
      <w:r>
        <w:t>D.</w:t>
      </w:r>
      <w:r>
        <w:tab/>
        <w:t>budući da se političarke suočavaju s višim razinama mržnje, uznemiravanja i zastrašivanja od svojih muških kolega, posebno kad su mlade i zalažu se za prava žena i rodnu ravnopravnost; budući da to često uključuje rodno uvjetovano zlostavljanje i ciljane rodne dezinformacije, odnosno dezinformacije koje su namjerno usmjerene na žene, posebno na žene koje sudjeluju u javnom životu, te prijetnje njihovoj sigurnosti; budući da ti napadi stvaraju znatne prepreke ravnopravnom sudjelovanju žena u političkom životu; budući da to ometa sudjelovanje žena u politici i time oslabljuje naše demokracije jer ih čini manje reprezentativnima;</w:t>
      </w:r>
    </w:p>
    <w:p w14:paraId="7C4ADD07" w14:textId="77777777" w:rsidR="004720F8" w:rsidRPr="000B0D99" w:rsidRDefault="004720F8" w:rsidP="004720F8">
      <w:pPr>
        <w:pStyle w:val="NormalHanging12a"/>
      </w:pPr>
      <w:r>
        <w:t>E.</w:t>
      </w:r>
      <w:r>
        <w:tab/>
        <w:t>budući da su žene i dalje nedovoljno zastupljene u nekim odborima, dok su u drugima prekomjerno zastupljene; budući da su žene u Parlamentu trenutačno predsjedateljice u sedam stalnih odbora i pododbora od njih ukupno 24, među ostalim u nekim odborima u kojima tradicionalno prevladavaju muškarci; budući da od ukupno 48 izaslanstava Europskog parlamenta u samo njih 11 predsjedaju žene; budući da je od 1979. Parlamentom predsjedala 31 osoba i da su među njima bile samo tri žene; budući da je i dalje zabrinjavajuća nedovoljna zastupljenost žena na vodećim položajima na najvišoj institucijskoj razini EU-a; budući da je među 14 potpredsjednika Parlamenta sedam žena te da žene stoga čine 50 % osoba na tim višim rukovodećim položajima;</w:t>
      </w:r>
    </w:p>
    <w:p w14:paraId="5F0E4EA0" w14:textId="77777777" w:rsidR="004720F8" w:rsidRPr="000B0D99" w:rsidRDefault="004720F8" w:rsidP="004720F8">
      <w:pPr>
        <w:pStyle w:val="NormalHanging12a"/>
      </w:pPr>
      <w:r>
        <w:t>F.</w:t>
      </w:r>
      <w:r>
        <w:tab/>
        <w:t>budući da Parlament još nije uveo očinski i roditeljski dopust za zastupnike, unatoč obećavajućem koraku kojim je zastupnicama omogućio pravo glasanja putem punomoći prije i nakon poroda;</w:t>
      </w:r>
    </w:p>
    <w:p w14:paraId="42EB3E58" w14:textId="77777777" w:rsidR="004720F8" w:rsidRPr="000B0D99" w:rsidRDefault="004720F8" w:rsidP="004720F8">
      <w:pPr>
        <w:pStyle w:val="NormalHanging12a"/>
        <w:rPr>
          <w:bCs/>
          <w:iCs/>
        </w:rPr>
      </w:pPr>
      <w:r>
        <w:lastRenderedPageBreak/>
        <w:t>G.</w:t>
      </w:r>
      <w:r>
        <w:tab/>
        <w:t>budući da se standardi u pogledu rodne ravnopravnosti u Parlamentu moraju primjenjivati i na njegovo osoblje; budući da postoje nejednakosti u napredovanju u karijeri, ljestvici plaća i sigurnosti radnih mjesta za osoblje, akreditirane parlamentarne asistente i stažiste; budući da je Parlament, kao autonomna institucija i poslodavac, odgovoran za to da njegova unutarnja administracija, kadrovska politika, okvir za borbu protiv uznemiravanja i radni uvjeti učinkovito sprečavaju i rješavaju problem diskriminacije i rodno uvjetovanog nasilja te promiču rodnu ravnopravnost;</w:t>
      </w:r>
    </w:p>
    <w:p w14:paraId="55C3973A" w14:textId="77777777" w:rsidR="004720F8" w:rsidRPr="000B0D99" w:rsidRDefault="004720F8" w:rsidP="004720F8">
      <w:pPr>
        <w:pStyle w:val="NormalHanging12a"/>
        <w:rPr>
          <w:bCs/>
          <w:iCs/>
        </w:rPr>
      </w:pPr>
      <w:r>
        <w:t>H.</w:t>
      </w:r>
      <w:r>
        <w:tab/>
        <w:t>budući da bi Parlament također trebao služiti kao primjer kad je riječ o rodnoj ravnopravnosti; budući da, primjerice, sudjelovanje Parlamenta u globalnoj kampanji „Obojimo svijet u narančasto”, uključujući simbolično osvjetljenje zgrade Parlamenta i prikazivanje narančastih zastava, služi kao jedan od primjera njegove predanosti iskorjenjivanju rodno uvjetovanog nasilja i prepoznavanju važnosti podizanja javne osviještenosti te korištenju Parlamenta kao platforme protiv rodno uvjetovanog nasilja;</w:t>
      </w:r>
    </w:p>
    <w:p w14:paraId="4B8D5D11" w14:textId="77777777" w:rsidR="004720F8" w:rsidRPr="000B0D99" w:rsidRDefault="004720F8" w:rsidP="004720F8">
      <w:pPr>
        <w:pStyle w:val="NormalHanging12a"/>
      </w:pPr>
      <w:r>
        <w:t>1.</w:t>
      </w:r>
      <w:r>
        <w:tab/>
        <w:t>pozdravlja ostvareni napredak u pogledu rodno osviještene politike i izrade proračuna te donošenje akcijskog plana za rodnu ravnopravnost za 2025.; poziva na javnu objavu tog akcijskog plana te na njegovu brzu provedbu putem plana provedbe, kao i na njegovu temeljitu procjenu uz redovita izvješća o praćenju postignutog napretka; žali zbog toga što je najveći broj uključenih mjera formuliran u obliku načela, bez jasnih ciljeva i obveza; poziva na dosljedno donošenje rodno osjetljivog proračuna Parlamenta i uključivanje vodiča za rodno osviještenu politiku; pozdravlja rad Mreže za rodno osviještenu politiku u Parlamentu; nadalje, poziva na jačanje rodno osviještene politike u parlamentarnim odborima; naglašava važnost rodno osviještene politike u postupku pregovora o novom višegodišnjem financijskom okviru;</w:t>
      </w:r>
    </w:p>
    <w:p w14:paraId="09383C95" w14:textId="77777777" w:rsidR="004720F8" w:rsidRPr="000B0D99" w:rsidRDefault="004720F8" w:rsidP="004720F8">
      <w:pPr>
        <w:pStyle w:val="NormalHanging12a"/>
      </w:pPr>
      <w:r>
        <w:t>2.</w:t>
      </w:r>
      <w:r>
        <w:tab/>
        <w:t>ponavlja svoj poziv Parlamentu da zatraži reviziju kako bi se mapiralo trenutačno stanje u pogledu rodne ravnopravnosti i dale preporuke kako na političkoj tako i na administrativnoj strani aktivnosti Parlamenta; ističe da bi tom revizijom trebala biti obuhvaćena sva područja i pokazatelji razvijeni u okviru alata za „rodno osjetljive parlamente” Europskog instituta za ravnopravnost spolova te bi njome trebalo utvrditi kojim se pravilima olakšava, a kojima onemogućava rodna ravnopravnost u svakom aspektu koji se analizira, kako bi se to uzelo u obzir u nadolazećem planu za rodnu ravnopravnost;</w:t>
      </w:r>
    </w:p>
    <w:p w14:paraId="4D78C6B7" w14:textId="77777777" w:rsidR="004720F8" w:rsidRPr="000B0D99" w:rsidRDefault="004720F8" w:rsidP="004720F8">
      <w:pPr>
        <w:pStyle w:val="NormalHanging12a"/>
      </w:pPr>
      <w:r>
        <w:t>3.</w:t>
      </w:r>
      <w:r>
        <w:tab/>
        <w:t>poziva predsjednicu da ocijeni pad broja zastupnica 2024. i izdvoji sredstva za kampanje kojima se žene potiču da se uključe u politiku EU-a; potiče nacionalne stranke da donesu rodno uravnotežene mjere, kao što su naizmjenično uvrštavanje muškaraca i žena na liste (sustav „patentnog zatvarača”) i/ili rodne kvote, dok se ne postigne paritet; poziva Komisiju da ojača pravila za osiguravanje rodne ravnoteže na vodećim političkim položajima; žali zbog toga što, osim kvantitativnih i kvalitativnih podataka o broju žena na različitim položajima, ne postoji dovoljno podataka o rodno osviještenoj politici u institucijama EU-a; stoga poziva na pripremu sveobuhvatnih statističkih podataka razvrstanih po rodu; obvezuje se da će oblikovati kvalitativne pokazatelje rodne ravnopravnosti kako bi se poboljšalo prikupljanje podataka razvrstanih po rodu i nastavilo poboljšavanje rodne ravnopravnosti;</w:t>
      </w:r>
    </w:p>
    <w:p w14:paraId="2D6C493A" w14:textId="77777777" w:rsidR="004720F8" w:rsidRPr="000B0D99" w:rsidRDefault="004720F8" w:rsidP="004720F8">
      <w:pPr>
        <w:pStyle w:val="NormalHanging12a"/>
      </w:pPr>
      <w:r>
        <w:t>4.</w:t>
      </w:r>
      <w:r>
        <w:tab/>
        <w:t>traži stroža pravila za suzbijanje i sprečavanje rodno uvjetovanog govora mržnje i rodnih dezinformacija; sa žaljenjem primjećuje visoke stope uznemiravanja akreditiranih parlamentarnih asistenata, uključujući seksualno uznemiravanje; ponavlja da je politika nulte tolerancije na uznemiravanje potrebna kako bi se zaštitila dobrobit osoblja i da ona predstavlja dužnost svakog poslodavca; poziva na to da se akreditiranim parlamentarnim asistentima, osoblju, stažistima i zastupnicima koji se suoče s uznemiravanjem, zastrašivanjem i mržnjom pruži ciljana emocionalna i pravna potpora; poziva na jačanje okvira za rješavanje pritužbi i pravodobno rješavanje sporova povezanih s uznemiravanjem; poziva na uspostavu neovisnog mehanizma za borbu protiv uznemiravanja i provedbu vanjske revizije u tom pogledu; zahtijeva da Predsjedništvo Parlamenta nastavi s reformom pravila Parlamenta o uznemiravanju uključivanjem vanjskih i neovisnih stručnjaka i vanjske revizije u Savjetodavni odbor za uznemiravanje na radnome mjestu i njegovo sprečavanje te da poveća broj psihologa i mehanizama potpore kojima žrtve mogu pristupiti;</w:t>
      </w:r>
    </w:p>
    <w:p w14:paraId="2E41FB61" w14:textId="77777777" w:rsidR="004720F8" w:rsidRPr="000B0D99" w:rsidRDefault="004720F8" w:rsidP="004720F8">
      <w:pPr>
        <w:pStyle w:val="NormalHanging12a"/>
        <w:rPr>
          <w:bCs/>
          <w:iCs/>
        </w:rPr>
      </w:pPr>
      <w:r>
        <w:t>5.</w:t>
      </w:r>
      <w:r>
        <w:tab/>
        <w:t>naglašava da se zastupnice koje su rasno diskriminirane, mlade, feministkinje, pripadnice skupine LGBTIQ+ ili pripadnice manjina suočavaju s nerazmjernim razinama digitalnog i političkog nasilja te da su im potrebne ciljane zaštitne mjere;</w:t>
      </w:r>
    </w:p>
    <w:p w14:paraId="345592C1" w14:textId="77777777" w:rsidR="004720F8" w:rsidRPr="000B0D99" w:rsidRDefault="004720F8" w:rsidP="004720F8">
      <w:pPr>
        <w:pStyle w:val="NormalHanging12a"/>
      </w:pPr>
      <w:r>
        <w:t>6.</w:t>
      </w:r>
      <w:r>
        <w:tab/>
        <w:t>poziva odbore da nastoje postići bolju rodnu ravnotežu, među ostalim u sastavu rukovodećih položaja; poziva predsjednicu i Predsjedništvo da osiguraju horizontalnu zastupljenost i rodnu ravnotežu u svim plenarnim postupcima te u svim odborima i izaslanstvima; poziva klubove zastupnika da pri imenovanju koordinatora, izvjestitelja i izvjestitelja u sjeni te pri raspodjeli vremena za izlaganje uzmu u obzir i provode rodne kvote; traži da se uvedu mjere za rješavanje horizontalnih nejednakosti kako bi se osigurala rodna ravnoteža u različitim odborima; potiče uključivanje većeg broja muškaraca u odbor FEMM, uključujući one koji aktivno podupiru rodnu ravnopravnost kao saveznici, kako bi se potaknula zajednička odgovornost i preuzela uloga promicanja ravnopravnosti žena i djevojčica u praksi te okončala rodna koncentracija portfelja;</w:t>
      </w:r>
    </w:p>
    <w:p w14:paraId="51EBB9C6" w14:textId="77777777" w:rsidR="004720F8" w:rsidRPr="000B0D99" w:rsidRDefault="004720F8" w:rsidP="004720F8">
      <w:pPr>
        <w:pStyle w:val="NormalHanging12a"/>
        <w:rPr>
          <w:b/>
          <w:i/>
        </w:rPr>
      </w:pPr>
      <w:r>
        <w:t>7</w:t>
      </w:r>
      <w:r>
        <w:rPr>
          <w:b/>
          <w:i/>
        </w:rPr>
        <w:t>.</w:t>
      </w:r>
      <w:r>
        <w:rPr>
          <w:b/>
          <w:i/>
        </w:rPr>
        <w:tab/>
      </w:r>
      <w:r>
        <w:t>traži da se poduzmu koraci kako bi se osiguralo radno okruženje prilagođeno ženama promjenom androcentričnih radnih praksi i borbom protiv uznemiravanja;</w:t>
      </w:r>
    </w:p>
    <w:p w14:paraId="5B42BB97" w14:textId="77777777" w:rsidR="004720F8" w:rsidRPr="000B0D99" w:rsidRDefault="004720F8" w:rsidP="004720F8">
      <w:pPr>
        <w:pStyle w:val="NormalHanging12a"/>
        <w:tabs>
          <w:tab w:val="left" w:pos="720"/>
        </w:tabs>
      </w:pPr>
      <w:r>
        <w:t>8.</w:t>
      </w:r>
      <w:r>
        <w:tab/>
        <w:t>pozdravlja stajalište o glasanju putem punomoći za zastupnice prije i nakon poroda; poziva na proširenje mogućnosti glasanja putem punomoći na sve nove roditelje te na uspostavu jednakog i neprenosivog porodiljnog, očinskog i roditeljskog dopusta za zastupnike;</w:t>
      </w:r>
    </w:p>
    <w:p w14:paraId="2A2387D1" w14:textId="77777777" w:rsidR="004720F8" w:rsidRPr="000B0D99" w:rsidRDefault="004720F8" w:rsidP="004720F8">
      <w:pPr>
        <w:pStyle w:val="NormalHanging12a"/>
        <w:rPr>
          <w:bCs/>
          <w:iCs/>
        </w:rPr>
      </w:pPr>
      <w:r>
        <w:t>9.</w:t>
      </w:r>
      <w:r>
        <w:tab/>
        <w:t>pozdravlja predanost Parlamenta ravnopravnosti i pohvaljuje njegovu potporu ključnim političkim pitanjima, kao što je pravo glasa putem punomoći za zastupnice prije i nakon poroda; poziva na ulaganje napora za davanje prioriteta i dodatnog jačanja bolje ravnoteže između poslovnog i privatnog života za osoblje te na uspostavu mjera za provedbu prava na isključivanje;</w:t>
      </w:r>
    </w:p>
    <w:p w14:paraId="301E2F59" w14:textId="77777777" w:rsidR="004720F8" w:rsidRPr="000B0D99" w:rsidRDefault="004720F8" w:rsidP="004720F8">
      <w:pPr>
        <w:pStyle w:val="NormalHanging12a"/>
        <w:rPr>
          <w:bCs/>
          <w:iCs/>
        </w:rPr>
      </w:pPr>
      <w:r>
        <w:t>10.</w:t>
      </w:r>
      <w:r>
        <w:tab/>
        <w:t>sa žaljenjem primjećuje visoke stope uznemiravanja akreditiranih parlamentarnih asistenata, uključujući seksualno uznemiravanje; poziva na jačanje okvira za rješavanje pritužbi i pravodobno rješavanje sporova povezanih s uznemiravanjem;</w:t>
      </w:r>
    </w:p>
    <w:p w14:paraId="110B3BAE" w14:textId="77777777" w:rsidR="004720F8" w:rsidRPr="000B0D99" w:rsidRDefault="004720F8" w:rsidP="004720F8">
      <w:pPr>
        <w:pStyle w:val="NormalHanging12a"/>
        <w:spacing w:after="0"/>
        <w:rPr>
          <w:bCs/>
          <w:iCs/>
        </w:rPr>
      </w:pPr>
      <w:r>
        <w:t>11.</w:t>
      </w:r>
      <w:r>
        <w:tab/>
        <w:t>poziva Predsjedništvo i glavnog tajnika da predstave podatke razvrstane po rodu o osoblju, višim i srednjim rukovodećim položajima, vrstama ugovora, radu na daljinu i fleksibilnim radnim uvjetima, kao i mjerama protiv uznemiravanja i ishodima pritužbi u upravnim strukturama Parlamenta kako bi se utvrdile i ispravile nejednakosti; poziva na uspostavu jasnih, vremenski ograničenih ciljeva za postizanje rodne ravnoteže na svim razinama upravne strukture Parlamenta, uključujući glavne direktore i načelnike odjela;</w:t>
      </w:r>
    </w:p>
    <w:p w14:paraId="76FD4D96" w14:textId="77777777" w:rsidR="004720F8" w:rsidRPr="000B0D99" w:rsidRDefault="004720F8" w:rsidP="004720F8">
      <w:pPr>
        <w:pStyle w:val="NormalHanging12a"/>
        <w:spacing w:after="0"/>
        <w:rPr>
          <w:b/>
          <w:i/>
        </w:rPr>
      </w:pPr>
    </w:p>
    <w:p w14:paraId="6E96695A" w14:textId="77777777" w:rsidR="004720F8" w:rsidRPr="000B0D99" w:rsidRDefault="004720F8" w:rsidP="004720F8">
      <w:pPr>
        <w:pStyle w:val="NormalHanging12a"/>
        <w:rPr>
          <w:bCs/>
          <w:iCs/>
        </w:rPr>
      </w:pPr>
      <w:r>
        <w:t>12.</w:t>
      </w:r>
      <w:r>
        <w:tab/>
        <w:t>potvrđuje da Parlament služi kao platforma za izložbe i javna događanja koja se bave rodnom ravnopravnošću, primjerice pitanjima mentalnog zdravlja, te potiču dijalog, osviještenost i uključivu zastupljenost u cijeloj instituciji i u široj javnosti; u tom pogledu prima na znanje organizaciju krunidbe u čast ženama koje se bore protiv raka; poziva predsjednicu na oprez u pogledu financiranja inicijativa koje su u suprotnosti s vrijednostima Europske unije; pozdravlja upotrebu Parlamenta kao platforme za podizanje razine osviještenosti o rodno uvjetovanom nasilju i nasilju u kućanstvu; naglašava važnost misija EU-a i Parlamenta koje doprinose promicanju rodne ravnopravnosti, uključujući one koje pružaju potporu, zaštitu i osnovne usluge ženama i djevojčicama koje su žrtve seksualnog nasilja u sukobima i nakon sukoba; pozdravlja inicijative Parlamenta u pogledu Tjedna rodne ravnopravnosti i Međunarodnog dana žena;</w:t>
      </w:r>
    </w:p>
    <w:p w14:paraId="1B549743" w14:textId="295E8DBD" w:rsidR="004720F8" w:rsidRPr="000B0D99" w:rsidRDefault="004720F8" w:rsidP="004720F8">
      <w:pPr>
        <w:pStyle w:val="NormalHanging12a"/>
        <w:spacing w:after="0"/>
        <w:rPr>
          <w:bCs/>
          <w:iCs/>
        </w:rPr>
      </w:pPr>
      <w:r>
        <w:t>13.</w:t>
      </w:r>
      <w:r>
        <w:tab/>
        <w:t>naglašava važnost dostupnosti proizvoda za menstrualnu higijenu za žene kako bi se pružila potpora zastupnicama i osoblju; poziva na to da se u Parlamentu unaprijedi pristupačnost za zastupnike, osoblje i posjetitelje s invaliditetom, s posebnim naglaskom na žene i djevojčice, među ostalim u svim javnim područjima</w:t>
      </w:r>
      <w:r w:rsidR="003666F9">
        <w:t>.</w:t>
      </w:r>
    </w:p>
    <w:p w14:paraId="173B98AB" w14:textId="77777777" w:rsidR="004720F8" w:rsidRPr="000B0D99" w:rsidRDefault="004720F8" w:rsidP="004720F8">
      <w:pPr>
        <w:ind w:left="567" w:hanging="567"/>
      </w:pPr>
      <w:r>
        <w:rPr>
          <w:rStyle w:val="HideTWBExt"/>
        </w:rPr>
        <w:t>&lt;/RepeatBlock-Dec&gt;</w:t>
      </w:r>
    </w:p>
    <w:p w14:paraId="1AB95776" w14:textId="77777777" w:rsidR="004720F8" w:rsidRDefault="004720F8" w:rsidP="004720F8">
      <w:pPr>
        <w:pStyle w:val="NormalHanging12a"/>
        <w:ind w:left="720" w:hanging="360"/>
        <w:sectPr w:rsidR="004720F8" w:rsidSect="004720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1AAFFEF" w14:textId="3C1F7627" w:rsidR="004720F8" w:rsidRPr="00D7238E" w:rsidRDefault="004720F8" w:rsidP="002B2C72">
      <w:pPr>
        <w:pStyle w:val="PageHeadingNotTOC"/>
      </w:pPr>
      <w:bookmarkStart w:id="0" w:name="FootprintPageAD"/>
      <w:r>
        <w:t>PRILOG: PRIJAVA PRIMLJENIH INFORMACIJA</w:t>
      </w:r>
    </w:p>
    <w:p w14:paraId="2829680A" w14:textId="48F336AA" w:rsidR="004720F8" w:rsidRPr="0099178F" w:rsidRDefault="004720F8" w:rsidP="00037518">
      <w:pPr>
        <w:pStyle w:val="Normal24a"/>
      </w:pPr>
      <w:r>
        <w:rPr>
          <w:rStyle w:val="HideTWBExt"/>
        </w:rPr>
        <w:t>&lt;FootprintIntro&gt;</w:t>
      </w:r>
      <w:r>
        <w:t>Izvjestiteljica za mišljenje izjavljuje, pod svojom isključivom odgovornošću, da u svoje mišljenje nije uključila nikakve informacije predstavnika interesnih skupina obuhvaćenih područjem primjene Međuinstitucijskog sporazuma o obveznom registru transparentnosti</w:t>
      </w:r>
      <w:r>
        <w:rPr>
          <w:rStyle w:val="FootnoteReference"/>
        </w:rPr>
        <w:footnoteReference w:id="1"/>
      </w:r>
      <w:r>
        <w:t xml:space="preserve"> ili predstavnika javnih tijela trećih zemalja, uključujući njihove diplomatske misije i veleposlanstva, koje treba navesti u ovome Prilogu u skladu s člankom 8. Priloga I. Poslovniku.</w:t>
      </w:r>
      <w:r>
        <w:rPr>
          <w:rStyle w:val="HideTWBExt"/>
        </w:rPr>
        <w:t>&lt;/FootprintIntro&gt;</w:t>
      </w:r>
    </w:p>
    <w:p w14:paraId="21E93183" w14:textId="77777777" w:rsidR="004720F8" w:rsidRPr="004720F8" w:rsidRDefault="004720F8" w:rsidP="004720F8"/>
    <w:bookmarkEnd w:id="0"/>
    <w:p w14:paraId="0A1D224B" w14:textId="77777777" w:rsidR="004720F8" w:rsidRDefault="004720F8" w:rsidP="004720F8">
      <w:pPr>
        <w:pStyle w:val="NormalHanging12a"/>
        <w:ind w:left="720" w:hanging="360"/>
        <w:sectPr w:rsidR="004720F8" w:rsidSect="004720F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F9E3C47" w14:textId="64D8DFCD" w:rsidR="00D36788" w:rsidRPr="006278B2" w:rsidRDefault="00D36788" w:rsidP="00D36788">
      <w:pPr>
        <w:pStyle w:val="PageHeadingNotTOC"/>
      </w:pPr>
      <w:bookmarkStart w:id="1" w:name="ProcPageAD"/>
      <w:r>
        <w:t>INFORMACIJE O USVAJANJU</w:t>
      </w:r>
      <w:r>
        <w:br/>
        <w:t>U ODBORU KOJI DAJE MIŠLJENJE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36788" w:rsidRPr="006278B2" w14:paraId="1D7E9908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7B2BF5" w14:textId="77777777" w:rsidR="00D36788" w:rsidRPr="006278B2" w:rsidRDefault="00D3678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Datum usvajanja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5250BC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4F02A5E" w14:textId="77777777" w:rsidR="00D36788" w:rsidRPr="006278B2" w:rsidRDefault="00D3678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C962B78" w14:textId="77777777" w:rsidR="00D36788" w:rsidRPr="006278B2" w:rsidRDefault="00D3678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80E73D6" w14:textId="77777777" w:rsidR="00D36788" w:rsidRPr="006278B2" w:rsidRDefault="00D36788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D36788" w:rsidRPr="006278B2" w14:paraId="7CBEFCD4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CC19BE7" w14:textId="77777777" w:rsidR="00D36788" w:rsidRPr="006278B2" w:rsidRDefault="00D3678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Rezultat konačnog glasovanja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A86B825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2D534B5E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6F7F2C83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DB95D9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</w:p>
          <w:p w14:paraId="0F109434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  <w:p w14:paraId="0A1257CD" w14:textId="77777777" w:rsidR="00D36788" w:rsidRPr="006278B2" w:rsidRDefault="00D36788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</w:tbl>
    <w:p w14:paraId="45F65B68" w14:textId="77777777" w:rsidR="00D36788" w:rsidRPr="006278B2" w:rsidRDefault="00D36788"/>
    <w:bookmarkEnd w:id="1"/>
    <w:p w14:paraId="21BB46AE" w14:textId="77777777" w:rsidR="004720F8" w:rsidRDefault="004720F8" w:rsidP="004720F8">
      <w:pPr>
        <w:sectPr w:rsidR="004720F8" w:rsidSect="004720F8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259B36E4" w14:textId="289350B6" w:rsidR="004720F8" w:rsidRPr="004720F8" w:rsidRDefault="004720F8" w:rsidP="004720F8"/>
    <w:p w14:paraId="24090C0F" w14:textId="6466309E" w:rsidR="004720F8" w:rsidRPr="0099178F" w:rsidRDefault="004720F8" w:rsidP="00C36610">
      <w:pPr>
        <w:pStyle w:val="PageHeadingNotTOC"/>
      </w:pPr>
      <w:bookmarkStart w:id="2" w:name="RollCallPageAD"/>
      <w:r>
        <w:t>POIMENIČNO KONAČNO GLASOVANJE U ODBORU KOJI DAJE MIŠLJENJE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720F8" w:rsidRPr="000B0D99" w14:paraId="63F040B4" w14:textId="77777777" w:rsidTr="0006695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E024726" w14:textId="77777777" w:rsidR="004720F8" w:rsidRPr="000B0D99" w:rsidRDefault="004720F8" w:rsidP="00066953">
            <w:pPr>
              <w:pStyle w:val="RollCallVotes"/>
            </w:pPr>
            <w:r>
              <w:t>22</w:t>
            </w:r>
          </w:p>
        </w:tc>
        <w:tc>
          <w:tcPr>
            <w:tcW w:w="7371" w:type="dxa"/>
            <w:shd w:val="pct10" w:color="000000" w:fill="FFFFFF"/>
          </w:tcPr>
          <w:p w14:paraId="587036B9" w14:textId="77777777" w:rsidR="004720F8" w:rsidRPr="000B0D99" w:rsidRDefault="004720F8" w:rsidP="00066953">
            <w:pPr>
              <w:pStyle w:val="RollCallSymbols14pt"/>
            </w:pPr>
            <w:r>
              <w:t>+</w:t>
            </w:r>
          </w:p>
        </w:tc>
      </w:tr>
      <w:tr w:rsidR="004720F8" w:rsidRPr="000B0D99" w14:paraId="1E610B37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12EF3001" w14:textId="77777777" w:rsidR="004720F8" w:rsidRPr="000B0D99" w:rsidRDefault="004720F8" w:rsidP="00066953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7D115E71" w14:textId="77777777" w:rsidR="004720F8" w:rsidRPr="000B0D99" w:rsidRDefault="004720F8" w:rsidP="00066953">
            <w:pPr>
              <w:pStyle w:val="RollCallTable"/>
            </w:pPr>
            <w:r>
              <w:t>Ewa Kopacz, Verena Mertens, Mirosława Nykiel, Giusi Princi, Maria Walsh</w:t>
            </w:r>
          </w:p>
        </w:tc>
      </w:tr>
      <w:tr w:rsidR="004720F8" w:rsidRPr="000B0D99" w14:paraId="0B94DC98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0BF801B1" w14:textId="77777777" w:rsidR="004720F8" w:rsidRPr="000B0D99" w:rsidRDefault="004720F8" w:rsidP="00066953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14:paraId="4465AC6E" w14:textId="77777777" w:rsidR="004720F8" w:rsidRPr="000B0D99" w:rsidRDefault="004720F8" w:rsidP="00066953">
            <w:pPr>
              <w:pStyle w:val="RollCallTable"/>
            </w:pPr>
            <w:r>
              <w:t>Abir Al-Sahlani, Raquel García Hermida-Van Der Walle, Lucia Yar, Dainius Žalimas</w:t>
            </w:r>
          </w:p>
        </w:tc>
      </w:tr>
      <w:tr w:rsidR="004720F8" w:rsidRPr="000B0D99" w14:paraId="36E199CE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68DF6485" w14:textId="77777777" w:rsidR="004720F8" w:rsidRPr="000B0D99" w:rsidRDefault="004720F8" w:rsidP="00066953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D203016" w14:textId="77777777" w:rsidR="004720F8" w:rsidRPr="000B0D99" w:rsidRDefault="004720F8" w:rsidP="00066953">
            <w:pPr>
              <w:pStyle w:val="RollCallTable"/>
            </w:pPr>
            <w:r>
              <w:t>Gabriela Firea, Heléne Fritzon, Lina Gálvez, Maria Noichl, Joanna Scheuring-Wielgus, Cecilia Strada, Marko Vešligaj</w:t>
            </w:r>
          </w:p>
        </w:tc>
      </w:tr>
      <w:tr w:rsidR="004720F8" w:rsidRPr="000B0D99" w14:paraId="4EFF2B82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07D63733" w14:textId="77777777" w:rsidR="004720F8" w:rsidRPr="000B0D99" w:rsidRDefault="004720F8" w:rsidP="00066953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40105E51" w14:textId="77777777" w:rsidR="004720F8" w:rsidRPr="000B0D99" w:rsidRDefault="004720F8" w:rsidP="00066953">
            <w:pPr>
              <w:pStyle w:val="RollCallTable"/>
            </w:pPr>
            <w:r>
              <w:t>Hanna Gedin, Irene Montero, Carolina Morace</w:t>
            </w:r>
          </w:p>
        </w:tc>
      </w:tr>
      <w:tr w:rsidR="004720F8" w:rsidRPr="000B0D99" w14:paraId="608C823B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2E34EB27" w14:textId="77777777" w:rsidR="004720F8" w:rsidRPr="000B0D99" w:rsidRDefault="004720F8" w:rsidP="00066953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3F2DF13D" w14:textId="77777777" w:rsidR="004720F8" w:rsidRPr="000B0D99" w:rsidRDefault="004720F8" w:rsidP="00066953">
            <w:pPr>
              <w:pStyle w:val="RollCallTable"/>
            </w:pPr>
            <w:r>
              <w:t>Mélissa Camara, Alexandra Geese, Benedetta Scuderi</w:t>
            </w:r>
          </w:p>
        </w:tc>
      </w:tr>
    </w:tbl>
    <w:p w14:paraId="096CFFCE" w14:textId="77777777" w:rsidR="004720F8" w:rsidRPr="000B0D99" w:rsidRDefault="004720F8" w:rsidP="004720F8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720F8" w:rsidRPr="000B0D99" w14:paraId="577C5B86" w14:textId="77777777" w:rsidTr="0006695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59E4AAB" w14:textId="77777777" w:rsidR="004720F8" w:rsidRPr="000B0D99" w:rsidRDefault="004720F8" w:rsidP="00066953">
            <w:pPr>
              <w:pStyle w:val="RollCallVotes"/>
            </w:pPr>
            <w:r>
              <w:t>8</w:t>
            </w:r>
          </w:p>
        </w:tc>
        <w:tc>
          <w:tcPr>
            <w:tcW w:w="7371" w:type="dxa"/>
            <w:shd w:val="pct10" w:color="000000" w:fill="FFFFFF"/>
          </w:tcPr>
          <w:p w14:paraId="14A34AE1" w14:textId="77777777" w:rsidR="004720F8" w:rsidRPr="000B0D99" w:rsidRDefault="004720F8" w:rsidP="00066953">
            <w:pPr>
              <w:pStyle w:val="RollCallSymbols14pt"/>
            </w:pPr>
            <w:r>
              <w:t>-</w:t>
            </w:r>
          </w:p>
        </w:tc>
      </w:tr>
      <w:tr w:rsidR="004720F8" w:rsidRPr="000B0D99" w14:paraId="56328C67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58D00FF3" w14:textId="77777777" w:rsidR="004720F8" w:rsidRPr="000B0D99" w:rsidRDefault="004720F8" w:rsidP="00066953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4100C92D" w14:textId="77777777" w:rsidR="004720F8" w:rsidRPr="000B0D99" w:rsidRDefault="004720F8" w:rsidP="00066953">
            <w:pPr>
              <w:pStyle w:val="RollCallTable"/>
            </w:pPr>
            <w:r>
              <w:t>Beatrice Timgren</w:t>
            </w:r>
          </w:p>
        </w:tc>
      </w:tr>
      <w:tr w:rsidR="004720F8" w:rsidRPr="000B0D99" w14:paraId="7BC1A031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6C412913" w14:textId="77777777" w:rsidR="004720F8" w:rsidRPr="000B0D99" w:rsidRDefault="004720F8" w:rsidP="00066953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1AD1C00E" w14:textId="77777777" w:rsidR="004720F8" w:rsidRPr="000B0D99" w:rsidRDefault="004720F8" w:rsidP="00066953">
            <w:pPr>
              <w:pStyle w:val="RollCallTable"/>
            </w:pPr>
            <w:r>
              <w:t>Christine Anderson</w:t>
            </w:r>
          </w:p>
        </w:tc>
      </w:tr>
      <w:tr w:rsidR="004720F8" w:rsidRPr="000B0D99" w14:paraId="718F8F89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4E2B601A" w14:textId="77777777" w:rsidR="004720F8" w:rsidRPr="000B0D99" w:rsidRDefault="004720F8" w:rsidP="00066953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7112994A" w14:textId="77777777" w:rsidR="004720F8" w:rsidRPr="000B0D99" w:rsidRDefault="004720F8" w:rsidP="00066953">
            <w:pPr>
              <w:pStyle w:val="RollCallTable"/>
            </w:pPr>
            <w:r>
              <w:t>Fernand Kartheiser</w:t>
            </w:r>
          </w:p>
        </w:tc>
      </w:tr>
      <w:tr w:rsidR="004720F8" w:rsidRPr="000B0D99" w14:paraId="1E8B1E6E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2B826B17" w14:textId="77777777" w:rsidR="004720F8" w:rsidRPr="000B0D99" w:rsidRDefault="004720F8" w:rsidP="00066953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14:paraId="45530F9F" w14:textId="77777777" w:rsidR="004720F8" w:rsidRPr="000B0D99" w:rsidRDefault="004720F8" w:rsidP="00066953">
            <w:pPr>
              <w:pStyle w:val="RollCallTable"/>
            </w:pPr>
            <w:r>
              <w:t>Mathilde Androuët, Mireia Borrás Pabón, Elisabeth Dieringer, Margarita de la Pisa Carrión, Anders Vistisen</w:t>
            </w:r>
          </w:p>
        </w:tc>
      </w:tr>
    </w:tbl>
    <w:p w14:paraId="5A1B295E" w14:textId="77777777" w:rsidR="004720F8" w:rsidRPr="000B0D99" w:rsidRDefault="004720F8" w:rsidP="004720F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720F8" w:rsidRPr="000B0D99" w14:paraId="1A0F7CBA" w14:textId="77777777" w:rsidTr="00066953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F0ED8F5" w14:textId="77777777" w:rsidR="004720F8" w:rsidRPr="000B0D99" w:rsidRDefault="004720F8" w:rsidP="00066953">
            <w:pPr>
              <w:pStyle w:val="RollCallVotes"/>
            </w:pPr>
            <w:r>
              <w:t>3</w:t>
            </w:r>
          </w:p>
        </w:tc>
        <w:tc>
          <w:tcPr>
            <w:tcW w:w="7371" w:type="dxa"/>
            <w:shd w:val="pct10" w:color="000000" w:fill="FFFFFF"/>
          </w:tcPr>
          <w:p w14:paraId="57A618BA" w14:textId="77777777" w:rsidR="004720F8" w:rsidRPr="000B0D99" w:rsidRDefault="004720F8" w:rsidP="00066953">
            <w:pPr>
              <w:pStyle w:val="RollCallSymbols14pt"/>
            </w:pPr>
            <w:r>
              <w:t>0</w:t>
            </w:r>
          </w:p>
        </w:tc>
      </w:tr>
      <w:tr w:rsidR="004720F8" w:rsidRPr="000B0D99" w14:paraId="40A2C945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5F30A749" w14:textId="77777777" w:rsidR="004720F8" w:rsidRPr="000B0D99" w:rsidRDefault="004720F8" w:rsidP="00066953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688E92CE" w14:textId="77777777" w:rsidR="004720F8" w:rsidRPr="000B0D99" w:rsidRDefault="004720F8" w:rsidP="00066953">
            <w:pPr>
              <w:pStyle w:val="RollCallTable"/>
            </w:pPr>
            <w:r>
              <w:t>Chiara Gemma</w:t>
            </w:r>
          </w:p>
        </w:tc>
      </w:tr>
      <w:tr w:rsidR="004720F8" w:rsidRPr="000B0D99" w14:paraId="7444C2D2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40102D24" w14:textId="77777777" w:rsidR="004720F8" w:rsidRPr="000B0D99" w:rsidRDefault="004720F8" w:rsidP="00066953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47A08616" w14:textId="77777777" w:rsidR="004720F8" w:rsidRPr="000B0D99" w:rsidRDefault="004720F8" w:rsidP="00066953">
            <w:pPr>
              <w:pStyle w:val="RollCallTable"/>
            </w:pPr>
            <w:r>
              <w:t>Judita Laššáková</w:t>
            </w:r>
          </w:p>
        </w:tc>
      </w:tr>
      <w:tr w:rsidR="004720F8" w:rsidRPr="000B0D99" w14:paraId="08EA889B" w14:textId="77777777" w:rsidTr="00066953">
        <w:trPr>
          <w:cantSplit/>
        </w:trPr>
        <w:tc>
          <w:tcPr>
            <w:tcW w:w="1701" w:type="dxa"/>
            <w:shd w:val="clear" w:color="auto" w:fill="FFFFFF"/>
          </w:tcPr>
          <w:p w14:paraId="0CF2E169" w14:textId="77777777" w:rsidR="004720F8" w:rsidRPr="000B0D99" w:rsidRDefault="004720F8" w:rsidP="00066953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5CBE3B01" w14:textId="77777777" w:rsidR="004720F8" w:rsidRPr="000B0D99" w:rsidRDefault="004720F8" w:rsidP="00066953">
            <w:pPr>
              <w:pStyle w:val="RollCallTable"/>
            </w:pPr>
            <w:r>
              <w:t>Rosa Estaràs Ferragut</w:t>
            </w:r>
          </w:p>
        </w:tc>
      </w:tr>
    </w:tbl>
    <w:p w14:paraId="1C2088C4" w14:textId="77777777" w:rsidR="004720F8" w:rsidRDefault="004720F8" w:rsidP="00147FBF">
      <w:pPr>
        <w:pStyle w:val="Normal12a"/>
      </w:pPr>
    </w:p>
    <w:p w14:paraId="272B9701" w14:textId="76031E31" w:rsidR="004720F8" w:rsidRDefault="004720F8" w:rsidP="00B735E3">
      <w:r>
        <w:t>Korišteni znakovi:</w:t>
      </w:r>
    </w:p>
    <w:p w14:paraId="4E4CC5FF" w14:textId="4E9AD837" w:rsidR="004720F8" w:rsidRDefault="004720F8" w:rsidP="003858C5">
      <w:pPr>
        <w:pStyle w:val="RollCallTabs"/>
      </w:pPr>
      <w:r>
        <w:t>+</w:t>
      </w:r>
      <w:r>
        <w:tab/>
        <w:t>:</w:t>
      </w:r>
      <w:r>
        <w:tab/>
        <w:t>za</w:t>
      </w:r>
    </w:p>
    <w:p w14:paraId="7254B029" w14:textId="4531329D" w:rsidR="004720F8" w:rsidRDefault="004720F8" w:rsidP="003858C5">
      <w:pPr>
        <w:pStyle w:val="RollCallTabs"/>
      </w:pPr>
      <w:r>
        <w:t>-</w:t>
      </w:r>
      <w:r>
        <w:tab/>
        <w:t>:</w:t>
      </w:r>
      <w:r>
        <w:tab/>
        <w:t>protiv</w:t>
      </w:r>
    </w:p>
    <w:p w14:paraId="35F6FDA5" w14:textId="53742AEC" w:rsidR="004720F8" w:rsidRDefault="004720F8" w:rsidP="003858C5">
      <w:pPr>
        <w:pStyle w:val="RollCallTabs"/>
      </w:pPr>
      <w:r>
        <w:t>0</w:t>
      </w:r>
      <w:r>
        <w:tab/>
        <w:t>:</w:t>
      </w:r>
      <w:r>
        <w:tab/>
        <w:t>suzdržani</w:t>
      </w:r>
    </w:p>
    <w:p w14:paraId="5F6D7A62" w14:textId="77777777" w:rsidR="004720F8" w:rsidRDefault="004720F8" w:rsidP="00207509"/>
    <w:bookmarkEnd w:id="2"/>
    <w:p w14:paraId="5B1A79B0" w14:textId="77777777" w:rsidR="00D36788" w:rsidRPr="004720F8" w:rsidRDefault="00D36788" w:rsidP="00D36788"/>
    <w:sectPr w:rsidR="00D36788" w:rsidRPr="004720F8" w:rsidSect="004720F8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2F970" w14:textId="77777777" w:rsidR="00D26BDA" w:rsidRPr="006278B2" w:rsidRDefault="00D26BDA">
      <w:r w:rsidRPr="006278B2">
        <w:separator/>
      </w:r>
    </w:p>
  </w:endnote>
  <w:endnote w:type="continuationSeparator" w:id="0">
    <w:p w14:paraId="78DE011E" w14:textId="77777777" w:rsidR="00D26BDA" w:rsidRPr="006278B2" w:rsidRDefault="00D26BDA">
      <w:r w:rsidRPr="006278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0F687" w14:textId="77777777" w:rsidR="006278B2" w:rsidRPr="006278B2" w:rsidRDefault="006278B2" w:rsidP="006278B2">
    <w:pPr>
      <w:pStyle w:val="EPFooter"/>
    </w:pPr>
    <w:r w:rsidRPr="006278B2">
      <w:t>PE</w:t>
    </w:r>
    <w:r w:rsidRPr="006278B2">
      <w:rPr>
        <w:rStyle w:val="HideTWBExt"/>
      </w:rPr>
      <w:t>&lt;NoPE&gt;</w:t>
    </w:r>
    <w:r w:rsidRPr="006278B2">
      <w:t>779.773</w:t>
    </w:r>
    <w:r w:rsidRPr="006278B2">
      <w:rPr>
        <w:rStyle w:val="HideTWBExt"/>
      </w:rPr>
      <w:t>&lt;/NoPE&gt;&lt;Version&gt;</w:t>
    </w:r>
    <w:r w:rsidRPr="006278B2">
      <w:t>v03-00</w:t>
    </w:r>
    <w:r w:rsidRPr="006278B2">
      <w:rPr>
        <w:rStyle w:val="HideTWBExt"/>
      </w:rPr>
      <w:t>&lt;/Version&gt;</w:t>
    </w:r>
    <w:r w:rsidRPr="006278B2">
      <w:tab/>
    </w:r>
    <w:r w:rsidRPr="006278B2">
      <w:fldChar w:fldCharType="begin"/>
    </w:r>
    <w:r w:rsidRPr="006278B2">
      <w:instrText xml:space="preserve"> PAGE  \* MERGEFORMAT </w:instrText>
    </w:r>
    <w:r w:rsidRPr="006278B2">
      <w:fldChar w:fldCharType="separate"/>
    </w:r>
    <w:r w:rsidRPr="006278B2">
      <w:rPr>
        <w:noProof/>
      </w:rPr>
      <w:t>2</w:t>
    </w:r>
    <w:r w:rsidRPr="006278B2">
      <w:fldChar w:fldCharType="end"/>
    </w:r>
    <w:r w:rsidRPr="006278B2">
      <w:t>/</w:t>
    </w:r>
    <w:fldSimple w:instr=" NUMPAGES  \* MERGEFORMAT ">
      <w:r w:rsidRPr="006278B2">
        <w:rPr>
          <w:noProof/>
        </w:rPr>
        <w:t>4</w:t>
      </w:r>
    </w:fldSimple>
    <w:r w:rsidRPr="006278B2">
      <w:tab/>
    </w:r>
    <w:r w:rsidRPr="006278B2">
      <w:rPr>
        <w:rStyle w:val="HideTWBExt"/>
      </w:rPr>
      <w:t>&lt;PathFdR&gt;</w:t>
    </w:r>
    <w:r w:rsidRPr="006278B2">
      <w:t>AD\1337454HR.docx</w:t>
    </w:r>
    <w:r w:rsidRPr="006278B2">
      <w:rPr>
        <w:rStyle w:val="HideTWBExt"/>
      </w:rPr>
      <w:t>&lt;/PathFdR&gt;</w:t>
    </w:r>
  </w:p>
  <w:p w14:paraId="58E1BCCE" w14:textId="77CB2025" w:rsidR="00C75378" w:rsidRPr="006278B2" w:rsidRDefault="006278B2" w:rsidP="006278B2">
    <w:pPr>
      <w:pStyle w:val="EPFooter2"/>
    </w:pPr>
    <w:r w:rsidRPr="006278B2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5CF5E" w14:textId="77777777" w:rsidR="006278B2" w:rsidRPr="006278B2" w:rsidRDefault="006278B2" w:rsidP="006278B2">
    <w:pPr>
      <w:pStyle w:val="EPFooter"/>
    </w:pPr>
    <w:r w:rsidRPr="006278B2">
      <w:rPr>
        <w:rStyle w:val="HideTWBExt"/>
      </w:rPr>
      <w:t>&lt;PathFdR&gt;</w:t>
    </w:r>
    <w:r w:rsidRPr="006278B2">
      <w:t>AD\1337454HR.docx</w:t>
    </w:r>
    <w:r w:rsidRPr="006278B2">
      <w:rPr>
        <w:rStyle w:val="HideTWBExt"/>
      </w:rPr>
      <w:t>&lt;/PathFdR&gt;</w:t>
    </w:r>
    <w:r w:rsidRPr="006278B2">
      <w:tab/>
    </w:r>
    <w:r w:rsidRPr="006278B2">
      <w:fldChar w:fldCharType="begin"/>
    </w:r>
    <w:r w:rsidRPr="006278B2">
      <w:instrText xml:space="preserve"> PAGE  \* MERGEFORMAT </w:instrText>
    </w:r>
    <w:r w:rsidRPr="006278B2">
      <w:fldChar w:fldCharType="separate"/>
    </w:r>
    <w:r w:rsidRPr="006278B2">
      <w:rPr>
        <w:noProof/>
      </w:rPr>
      <w:t>3</w:t>
    </w:r>
    <w:r w:rsidRPr="006278B2">
      <w:fldChar w:fldCharType="end"/>
    </w:r>
    <w:r w:rsidRPr="006278B2">
      <w:t>/</w:t>
    </w:r>
    <w:fldSimple w:instr=" NUMPAGES  \* MERGEFORMAT ">
      <w:r w:rsidRPr="006278B2">
        <w:rPr>
          <w:noProof/>
        </w:rPr>
        <w:t>4</w:t>
      </w:r>
    </w:fldSimple>
    <w:r w:rsidRPr="006278B2">
      <w:tab/>
      <w:t>PE</w:t>
    </w:r>
    <w:r w:rsidRPr="006278B2">
      <w:rPr>
        <w:rStyle w:val="HideTWBExt"/>
      </w:rPr>
      <w:t>&lt;NoPE&gt;</w:t>
    </w:r>
    <w:r w:rsidRPr="006278B2">
      <w:t>779.773</w:t>
    </w:r>
    <w:r w:rsidRPr="006278B2">
      <w:rPr>
        <w:rStyle w:val="HideTWBExt"/>
      </w:rPr>
      <w:t>&lt;/NoPE&gt;&lt;Version&gt;</w:t>
    </w:r>
    <w:r w:rsidRPr="006278B2">
      <w:t>v03-00</w:t>
    </w:r>
    <w:r w:rsidRPr="006278B2">
      <w:rPr>
        <w:rStyle w:val="HideTWBExt"/>
      </w:rPr>
      <w:t>&lt;/Version&gt;</w:t>
    </w:r>
  </w:p>
  <w:p w14:paraId="7E1887C2" w14:textId="65845348" w:rsidR="00C75378" w:rsidRPr="006278B2" w:rsidRDefault="006278B2" w:rsidP="006278B2">
    <w:pPr>
      <w:pStyle w:val="EPFooter2"/>
    </w:pPr>
    <w:r w:rsidRPr="006278B2">
      <w:tab/>
    </w:r>
    <w:r w:rsidRPr="006278B2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4FBA" w14:textId="77777777" w:rsidR="006278B2" w:rsidRPr="006278B2" w:rsidRDefault="006278B2" w:rsidP="006278B2">
    <w:pPr>
      <w:pStyle w:val="EPFooter"/>
    </w:pPr>
    <w:r w:rsidRPr="006278B2">
      <w:rPr>
        <w:rStyle w:val="HideTWBExt"/>
      </w:rPr>
      <w:t>&lt;PathFdR&gt;</w:t>
    </w:r>
    <w:r w:rsidRPr="006278B2">
      <w:t>AD\1337454HR.docx</w:t>
    </w:r>
    <w:r w:rsidRPr="006278B2">
      <w:rPr>
        <w:rStyle w:val="HideTWBExt"/>
      </w:rPr>
      <w:t>&lt;/PathFdR&gt;</w:t>
    </w:r>
    <w:r w:rsidRPr="006278B2">
      <w:tab/>
    </w:r>
    <w:r w:rsidRPr="006278B2">
      <w:tab/>
      <w:t>PE</w:t>
    </w:r>
    <w:r w:rsidRPr="006278B2">
      <w:rPr>
        <w:rStyle w:val="HideTWBExt"/>
      </w:rPr>
      <w:t>&lt;NoPE&gt;</w:t>
    </w:r>
    <w:r w:rsidRPr="006278B2">
      <w:t>779.773</w:t>
    </w:r>
    <w:r w:rsidRPr="006278B2">
      <w:rPr>
        <w:rStyle w:val="HideTWBExt"/>
      </w:rPr>
      <w:t>&lt;/NoPE&gt;&lt;Version&gt;</w:t>
    </w:r>
    <w:r w:rsidRPr="006278B2">
      <w:t>v03-00</w:t>
    </w:r>
    <w:r w:rsidRPr="006278B2">
      <w:rPr>
        <w:rStyle w:val="HideTWBExt"/>
      </w:rPr>
      <w:t>&lt;/Version&gt;</w:t>
    </w:r>
  </w:p>
  <w:p w14:paraId="4554718C" w14:textId="6BDC9F11" w:rsidR="00C75378" w:rsidRPr="006278B2" w:rsidRDefault="006278B2" w:rsidP="006278B2">
    <w:pPr>
      <w:pStyle w:val="EPFooter2"/>
    </w:pPr>
    <w:r w:rsidRPr="006278B2">
      <w:t>HR</w:t>
    </w:r>
    <w:r w:rsidRPr="006278B2">
      <w:tab/>
    </w:r>
    <w:r w:rsidRPr="006278B2">
      <w:rPr>
        <w:b w:val="0"/>
        <w:i/>
        <w:color w:val="C0C0C0"/>
        <w:sz w:val="22"/>
      </w:rPr>
      <w:t>Ujedinjena u raznolikosti</w:t>
    </w:r>
    <w:r w:rsidRPr="006278B2">
      <w:tab/>
      <w:t>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3029A" w14:textId="77777777" w:rsidR="00D26BDA" w:rsidRPr="006278B2" w:rsidRDefault="00D26BDA">
      <w:r w:rsidRPr="006278B2">
        <w:separator/>
      </w:r>
    </w:p>
  </w:footnote>
  <w:footnote w:type="continuationSeparator" w:id="0">
    <w:p w14:paraId="0DF1E535" w14:textId="77777777" w:rsidR="00D26BDA" w:rsidRPr="006278B2" w:rsidRDefault="00D26BDA">
      <w:r w:rsidRPr="006278B2">
        <w:continuationSeparator/>
      </w:r>
    </w:p>
  </w:footnote>
  <w:footnote w:id="1">
    <w:p w14:paraId="35850694" w14:textId="18C53D97" w:rsidR="004720F8" w:rsidRPr="004720F8" w:rsidRDefault="004720F8">
      <w:pPr>
        <w:pStyle w:val="FootnoteText"/>
      </w:pPr>
      <w:r>
        <w:rPr>
          <w:rStyle w:val="FootnoteReference"/>
        </w:rPr>
        <w:footnoteRef/>
      </w:r>
      <w:r>
        <w:t xml:space="preserve"> Međuinstitucijski sporazum od 20. svibnja 2021. Europskog parlamenta, Vijeća Europske unije i Europske komisije o obveznom registru transparentnosti (SL L 207, 11.6.2021., str. 1.,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A232" w14:textId="77777777" w:rsidR="004720F8" w:rsidRDefault="00472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7DFB5" w14:textId="77777777" w:rsidR="004720F8" w:rsidRDefault="004720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0A145" w14:textId="77777777" w:rsidR="004720F8" w:rsidRDefault="004720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8334C"/>
    <w:multiLevelType w:val="hybridMultilevel"/>
    <w:tmpl w:val="2BE2C4E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A0F72"/>
    <w:multiLevelType w:val="multilevel"/>
    <w:tmpl w:val="8E58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4720171">
    <w:abstractNumId w:val="9"/>
  </w:num>
  <w:num w:numId="2" w16cid:durableId="2098552513">
    <w:abstractNumId w:val="9"/>
  </w:num>
  <w:num w:numId="3" w16cid:durableId="2097628775">
    <w:abstractNumId w:val="7"/>
  </w:num>
  <w:num w:numId="4" w16cid:durableId="2077967814">
    <w:abstractNumId w:val="7"/>
  </w:num>
  <w:num w:numId="5" w16cid:durableId="96143739">
    <w:abstractNumId w:val="6"/>
  </w:num>
  <w:num w:numId="6" w16cid:durableId="435946577">
    <w:abstractNumId w:val="6"/>
  </w:num>
  <w:num w:numId="7" w16cid:durableId="1565019903">
    <w:abstractNumId w:val="5"/>
  </w:num>
  <w:num w:numId="8" w16cid:durableId="2126609121">
    <w:abstractNumId w:val="5"/>
  </w:num>
  <w:num w:numId="9" w16cid:durableId="960496257">
    <w:abstractNumId w:val="4"/>
  </w:num>
  <w:num w:numId="10" w16cid:durableId="599340997">
    <w:abstractNumId w:val="4"/>
  </w:num>
  <w:num w:numId="11" w16cid:durableId="1267687077">
    <w:abstractNumId w:val="8"/>
  </w:num>
  <w:num w:numId="12" w16cid:durableId="1597786143">
    <w:abstractNumId w:val="8"/>
  </w:num>
  <w:num w:numId="13" w16cid:durableId="129326427">
    <w:abstractNumId w:val="3"/>
  </w:num>
  <w:num w:numId="14" w16cid:durableId="1215966408">
    <w:abstractNumId w:val="3"/>
  </w:num>
  <w:num w:numId="15" w16cid:durableId="1113288853">
    <w:abstractNumId w:val="2"/>
  </w:num>
  <w:num w:numId="16" w16cid:durableId="597908345">
    <w:abstractNumId w:val="2"/>
  </w:num>
  <w:num w:numId="17" w16cid:durableId="487015595">
    <w:abstractNumId w:val="1"/>
  </w:num>
  <w:num w:numId="18" w16cid:durableId="798956618">
    <w:abstractNumId w:val="1"/>
  </w:num>
  <w:num w:numId="19" w16cid:durableId="1683706839">
    <w:abstractNumId w:val="0"/>
  </w:num>
  <w:num w:numId="20" w16cid:durableId="1750421596">
    <w:abstractNumId w:val="0"/>
  </w:num>
  <w:num w:numId="21" w16cid:durableId="605429425">
    <w:abstractNumId w:val="9"/>
  </w:num>
  <w:num w:numId="22" w16cid:durableId="1509709880">
    <w:abstractNumId w:val="7"/>
  </w:num>
  <w:num w:numId="23" w16cid:durableId="503789320">
    <w:abstractNumId w:val="6"/>
  </w:num>
  <w:num w:numId="24" w16cid:durableId="933123982">
    <w:abstractNumId w:val="5"/>
  </w:num>
  <w:num w:numId="25" w16cid:durableId="1945259912">
    <w:abstractNumId w:val="4"/>
  </w:num>
  <w:num w:numId="26" w16cid:durableId="476193849">
    <w:abstractNumId w:val="8"/>
  </w:num>
  <w:num w:numId="27" w16cid:durableId="537278679">
    <w:abstractNumId w:val="3"/>
  </w:num>
  <w:num w:numId="28" w16cid:durableId="541863741">
    <w:abstractNumId w:val="2"/>
  </w:num>
  <w:num w:numId="29" w16cid:durableId="1037583520">
    <w:abstractNumId w:val="1"/>
  </w:num>
  <w:num w:numId="30" w16cid:durableId="276563944">
    <w:abstractNumId w:val="0"/>
  </w:num>
  <w:num w:numId="31" w16cid:durableId="1784112489">
    <w:abstractNumId w:val="9"/>
  </w:num>
  <w:num w:numId="32" w16cid:durableId="1745956343">
    <w:abstractNumId w:val="7"/>
  </w:num>
  <w:num w:numId="33" w16cid:durableId="1104230206">
    <w:abstractNumId w:val="6"/>
  </w:num>
  <w:num w:numId="34" w16cid:durableId="1143816796">
    <w:abstractNumId w:val="5"/>
  </w:num>
  <w:num w:numId="35" w16cid:durableId="1966303774">
    <w:abstractNumId w:val="4"/>
  </w:num>
  <w:num w:numId="36" w16cid:durableId="676493609">
    <w:abstractNumId w:val="8"/>
  </w:num>
  <w:num w:numId="37" w16cid:durableId="1963147275">
    <w:abstractNumId w:val="3"/>
  </w:num>
  <w:num w:numId="38" w16cid:durableId="2013943822">
    <w:abstractNumId w:val="2"/>
  </w:num>
  <w:num w:numId="39" w16cid:durableId="772940781">
    <w:abstractNumId w:val="1"/>
  </w:num>
  <w:num w:numId="40" w16cid:durableId="1306815168">
    <w:abstractNumId w:val="0"/>
  </w:num>
  <w:num w:numId="41" w16cid:durableId="9356731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352100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bMNU" w:val=" 2"/>
    <w:docVar w:name="AUTHORMFMNU" w:val=" 2"/>
    <w:docVar w:name="COMKEY" w:val="FEMM"/>
    <w:docVar w:name="CONTRIBUTIONMNU" w:val=" 2"/>
    <w:docVar w:name="DOCDT" w:val="24/11/2025"/>
    <w:docVar w:name="FONCTIONMNU" w:val=" 2"/>
    <w:docVar w:name="LastEditedSection" w:val=" 1"/>
    <w:docVar w:name="OTHERHEADINGMNU" w:val=" 2"/>
    <w:docVar w:name="PARTCOUNT" w:val="0"/>
    <w:docVar w:name="strDocTypeID" w:val="PA_NonLegDec"/>
    <w:docVar w:name="strSubDir" w:val="1337"/>
    <w:docVar w:name="TITLEMNU" w:val=" 3"/>
    <w:docVar w:name="TXTAUTHOR" w:val="Raquel García Hermida_x001e_Van Der Walle"/>
    <w:docVar w:name="TXTLANGUE" w:val="HR"/>
    <w:docVar w:name="TXTLANGUEMIN" w:val="hr"/>
    <w:docVar w:name="TXTNRPE" w:val="779.773"/>
    <w:docVar w:name="TXTNRPROC" w:val="2025/2146"/>
    <w:docVar w:name="TXTPEorAP" w:val="PE"/>
    <w:docVar w:name="TXTROUTE" w:val="AD\1337454HR.docx"/>
    <w:docVar w:name="TXTTITLE" w:val="on the discharge in respect of the implementation of the general budget of the Parliament for the financial year 2024_x000d_"/>
    <w:docVar w:name="TXTVERSION" w:val="03-00"/>
  </w:docVars>
  <w:rsids>
    <w:rsidRoot w:val="00D26BDA"/>
    <w:rsid w:val="000048A8"/>
    <w:rsid w:val="00007A18"/>
    <w:rsid w:val="00062634"/>
    <w:rsid w:val="00077EC7"/>
    <w:rsid w:val="000A0473"/>
    <w:rsid w:val="000A05CA"/>
    <w:rsid w:val="000B6C4B"/>
    <w:rsid w:val="000D001F"/>
    <w:rsid w:val="000D099F"/>
    <w:rsid w:val="000E6813"/>
    <w:rsid w:val="000F07FE"/>
    <w:rsid w:val="00114A79"/>
    <w:rsid w:val="001275F4"/>
    <w:rsid w:val="00150F07"/>
    <w:rsid w:val="00163AF4"/>
    <w:rsid w:val="00192B06"/>
    <w:rsid w:val="001975B5"/>
    <w:rsid w:val="001A455F"/>
    <w:rsid w:val="001F2766"/>
    <w:rsid w:val="001F6ED8"/>
    <w:rsid w:val="00212D35"/>
    <w:rsid w:val="00220B78"/>
    <w:rsid w:val="00245C7F"/>
    <w:rsid w:val="00271180"/>
    <w:rsid w:val="002A3C43"/>
    <w:rsid w:val="002A4AC9"/>
    <w:rsid w:val="002B2892"/>
    <w:rsid w:val="002C0EE6"/>
    <w:rsid w:val="002C34AE"/>
    <w:rsid w:val="002E2F2E"/>
    <w:rsid w:val="00307C14"/>
    <w:rsid w:val="00316282"/>
    <w:rsid w:val="003666F9"/>
    <w:rsid w:val="003707A7"/>
    <w:rsid w:val="00385BAB"/>
    <w:rsid w:val="0039003E"/>
    <w:rsid w:val="0039483A"/>
    <w:rsid w:val="00396FA9"/>
    <w:rsid w:val="003B72FC"/>
    <w:rsid w:val="003D684B"/>
    <w:rsid w:val="003E06CF"/>
    <w:rsid w:val="003E35FB"/>
    <w:rsid w:val="003F3B83"/>
    <w:rsid w:val="00431E30"/>
    <w:rsid w:val="004720F8"/>
    <w:rsid w:val="00487232"/>
    <w:rsid w:val="00495CA4"/>
    <w:rsid w:val="004A34E6"/>
    <w:rsid w:val="004C28FB"/>
    <w:rsid w:val="004E54DC"/>
    <w:rsid w:val="004F48ED"/>
    <w:rsid w:val="00514664"/>
    <w:rsid w:val="005310A7"/>
    <w:rsid w:val="0055017A"/>
    <w:rsid w:val="00577018"/>
    <w:rsid w:val="005779E7"/>
    <w:rsid w:val="005D0786"/>
    <w:rsid w:val="005E3670"/>
    <w:rsid w:val="00600DC9"/>
    <w:rsid w:val="006278B2"/>
    <w:rsid w:val="00643F39"/>
    <w:rsid w:val="0066728C"/>
    <w:rsid w:val="006819E0"/>
    <w:rsid w:val="0071319E"/>
    <w:rsid w:val="00722749"/>
    <w:rsid w:val="00764251"/>
    <w:rsid w:val="007F68F0"/>
    <w:rsid w:val="00806587"/>
    <w:rsid w:val="008818A9"/>
    <w:rsid w:val="008C07DF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A33F4"/>
    <w:rsid w:val="009A403C"/>
    <w:rsid w:val="009B5265"/>
    <w:rsid w:val="00A2041C"/>
    <w:rsid w:val="00A722B1"/>
    <w:rsid w:val="00A8267E"/>
    <w:rsid w:val="00A93570"/>
    <w:rsid w:val="00A9617A"/>
    <w:rsid w:val="00AA1A2C"/>
    <w:rsid w:val="00AA223C"/>
    <w:rsid w:val="00AF77DA"/>
    <w:rsid w:val="00B107A4"/>
    <w:rsid w:val="00B1441B"/>
    <w:rsid w:val="00B362F7"/>
    <w:rsid w:val="00BB2AC1"/>
    <w:rsid w:val="00C04938"/>
    <w:rsid w:val="00C05BFA"/>
    <w:rsid w:val="00C175C0"/>
    <w:rsid w:val="00C47E30"/>
    <w:rsid w:val="00C54F53"/>
    <w:rsid w:val="00C75378"/>
    <w:rsid w:val="00C77ACB"/>
    <w:rsid w:val="00CA0D01"/>
    <w:rsid w:val="00CA56A7"/>
    <w:rsid w:val="00CF7076"/>
    <w:rsid w:val="00D26BDA"/>
    <w:rsid w:val="00D36788"/>
    <w:rsid w:val="00D41244"/>
    <w:rsid w:val="00D438D0"/>
    <w:rsid w:val="00D44697"/>
    <w:rsid w:val="00D47632"/>
    <w:rsid w:val="00D56C0D"/>
    <w:rsid w:val="00D625A2"/>
    <w:rsid w:val="00D71751"/>
    <w:rsid w:val="00D759AA"/>
    <w:rsid w:val="00DA7632"/>
    <w:rsid w:val="00E01434"/>
    <w:rsid w:val="00E05697"/>
    <w:rsid w:val="00E12435"/>
    <w:rsid w:val="00E3462E"/>
    <w:rsid w:val="00E35CE5"/>
    <w:rsid w:val="00E471BF"/>
    <w:rsid w:val="00E729C7"/>
    <w:rsid w:val="00E83B40"/>
    <w:rsid w:val="00E9601C"/>
    <w:rsid w:val="00EA78B3"/>
    <w:rsid w:val="00EB19AA"/>
    <w:rsid w:val="00EB7ED5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C5172"/>
  <w15:chartTrackingRefBased/>
  <w15:docId w15:val="{93CAEA89-B191-4BE4-ABAF-F909424FA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Footer">
    <w:name w:val="footer"/>
    <w:basedOn w:val="Normal"/>
    <w:link w:val="FooterChar"/>
    <w:semiHidden/>
    <w:rsid w:val="005310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310A7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4720F8"/>
    <w:rPr>
      <w:sz w:val="24"/>
    </w:rPr>
  </w:style>
  <w:style w:type="paragraph" w:customStyle="1" w:styleId="Normal24a">
    <w:name w:val="Normal24a"/>
    <w:basedOn w:val="Normal"/>
    <w:rsid w:val="004720F8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4720F8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4720F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720F8"/>
    <w:rPr>
      <w:szCs w:val="24"/>
    </w:rPr>
  </w:style>
  <w:style w:type="paragraph" w:styleId="FootnoteText">
    <w:name w:val="footnote text"/>
    <w:basedOn w:val="Normal"/>
    <w:link w:val="FootnoteTextChar"/>
    <w:rsid w:val="004720F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720F8"/>
  </w:style>
  <w:style w:type="character" w:styleId="FootnoteReference">
    <w:name w:val="footnote reference"/>
    <w:basedOn w:val="DefaultParagraphFont"/>
    <w:rsid w:val="004720F8"/>
    <w:rPr>
      <w:vertAlign w:val="superscript"/>
    </w:rPr>
  </w:style>
  <w:style w:type="character" w:styleId="Hyperlink">
    <w:name w:val="Hyperlink"/>
    <w:basedOn w:val="DefaultParagraphFont"/>
    <w:rsid w:val="004720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0F8"/>
    <w:rPr>
      <w:color w:val="605E5C"/>
      <w:shd w:val="clear" w:color="auto" w:fill="E1DFDD"/>
    </w:rPr>
  </w:style>
  <w:style w:type="paragraph" w:customStyle="1" w:styleId="RollCallSymbols14pt">
    <w:name w:val="RollCallSymbols14pt"/>
    <w:basedOn w:val="Normal"/>
    <w:rsid w:val="004720F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720F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720F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720F8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1892</Words>
  <Characters>11641</Characters>
  <Application>Microsoft Office Word</Application>
  <DocSecurity>0</DocSecurity>
  <Lines>242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2026-02-17T09:45:00Z</dcterms:created>
  <dcterms:modified xsi:type="dcterms:W3CDTF">2026-02-17T09:45:00Z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Created with">
    <vt:lpwstr>10.2.0 Build [20251001]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1337454</vt:lpwstr>
  </property>
  <property fmtid="{D5CDD505-2E9C-101B-9397-08002B2CF9AE}" pid="6" name="&lt;Type&gt;">
    <vt:lpwstr>AD</vt:lpwstr>
  </property>
  <property fmtid="{D5CDD505-2E9C-101B-9397-08002B2CF9AE}" pid="7" name="&lt;ModelCod&gt;">
    <vt:lpwstr>\\eiciBRUpr1\pdocep$\DocEP\DOCS\General\PA\PA_NonLeg\PA_NonLegDec.dotx(08/11/2024 09:44:10)</vt:lpwstr>
  </property>
  <property fmtid="{D5CDD505-2E9C-101B-9397-08002B2CF9AE}" pid="8" name="&lt;ModelTra&gt;">
    <vt:lpwstr>\\eiciBRUpr1\pdocep$\DocEP\TRANSFIL\EN\PA_NonLegDec.EN(21/01/2025 14:39:00)</vt:lpwstr>
  </property>
  <property fmtid="{D5CDD505-2E9C-101B-9397-08002B2CF9AE}" pid="9" name="&lt;Model&gt;">
    <vt:lpwstr>PA_NonLegDec</vt:lpwstr>
  </property>
  <property fmtid="{D5CDD505-2E9C-101B-9397-08002B2CF9AE}" pid="10" name="FooterPath">
    <vt:lpwstr>AD\1337454HR.docx</vt:lpwstr>
  </property>
  <property fmtid="{D5CDD505-2E9C-101B-9397-08002B2CF9AE}" pid="11" name="PE number">
    <vt:lpwstr>779.773</vt:lpwstr>
  </property>
  <property fmtid="{D5CDD505-2E9C-101B-9397-08002B2CF9AE}" pid="12" name="SendToEpades">
    <vt:lpwstr>OK - 2025/11/25 09:39</vt:lpwstr>
  </property>
  <property fmtid="{D5CDD505-2E9C-101B-9397-08002B2CF9AE}" pid="13" name="SDLStudio">
    <vt:lpwstr/>
  </property>
  <property fmtid="{D5CDD505-2E9C-101B-9397-08002B2CF9AE}" pid="14" name="Bookout">
    <vt:lpwstr>OK - 2026/02/17 10:45</vt:lpwstr>
  </property>
</Properties>
</file>