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879FD" w:rsidRPr="004C3E15" w14:paraId="0EACE1BD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A224ECF" w14:textId="77777777" w:rsidR="004F48ED" w:rsidRPr="004C3E15" w:rsidRDefault="00167C65" w:rsidP="00C85D0F">
            <w:pPr>
              <w:pStyle w:val="EPName"/>
            </w:pPr>
            <w:r>
              <w:t>Parlament Ewropew</w:t>
            </w:r>
          </w:p>
          <w:p w14:paraId="51362753" w14:textId="77777777" w:rsidR="004F48ED" w:rsidRPr="004C3E15" w:rsidRDefault="00167C65" w:rsidP="00C85D0F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258F89F9" w14:textId="77777777" w:rsidR="004F48ED" w:rsidRPr="004C3E15" w:rsidRDefault="00167C65" w:rsidP="00C85D0F">
            <w:pPr>
              <w:pStyle w:val="EPLogo"/>
            </w:pPr>
            <w:r w:rsidRPr="004C3E15">
              <w:rPr>
                <w:noProof/>
                <w:lang w:eastAsia="ja-JP"/>
              </w:rPr>
              <w:drawing>
                <wp:inline distT="0" distB="0" distL="0" distR="0" wp14:anchorId="4DF1D4F8" wp14:editId="51841EA3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5CBFB1" w14:textId="77777777" w:rsidR="00E9601C" w:rsidRPr="004C3E15" w:rsidRDefault="00E9601C" w:rsidP="00E9601C">
      <w:pPr>
        <w:pStyle w:val="LineTop"/>
      </w:pPr>
    </w:p>
    <w:p w14:paraId="1632AD57" w14:textId="77777777" w:rsidR="00E9601C" w:rsidRPr="004C3E15" w:rsidRDefault="00167C65" w:rsidP="00E9601C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{FEMM}</w:t>
      </w:r>
      <w:r>
        <w:t>Kumitat għad-Drittijiet tan-Nisa u l-Ugwaljanza bejn il-Ġeneri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31309363" w14:textId="77777777" w:rsidR="00E9601C" w:rsidRPr="004C3E15" w:rsidRDefault="00E9601C" w:rsidP="00E9601C">
      <w:pPr>
        <w:pStyle w:val="LineBottom"/>
      </w:pPr>
    </w:p>
    <w:p w14:paraId="2F92F9F5" w14:textId="77777777" w:rsidR="004E54DC" w:rsidRPr="004C3E15" w:rsidRDefault="00167C65" w:rsidP="004E54DC">
      <w:pPr>
        <w:pStyle w:val="CoverReference"/>
      </w:pPr>
      <w:r>
        <w:rPr>
          <w:rStyle w:val="HideTWBExt"/>
          <w:b w:val="0"/>
        </w:rPr>
        <w:t>&lt;RefProc&gt;</w:t>
      </w:r>
      <w:r>
        <w:t>2025/2146</w:t>
      </w:r>
      <w:r>
        <w:rPr>
          <w:rStyle w:val="HideTWBExt"/>
          <w:b w:val="0"/>
        </w:rPr>
        <w:t>&lt;/RefProc&gt;&lt;RefTypeProc&gt;</w:t>
      </w:r>
      <w:r>
        <w:t>(DEC)</w:t>
      </w:r>
      <w:r>
        <w:rPr>
          <w:rStyle w:val="HideTWBExt"/>
          <w:b w:val="0"/>
        </w:rPr>
        <w:t>&lt;/RefTypeProc&gt;</w:t>
      </w:r>
    </w:p>
    <w:p w14:paraId="348C004D" w14:textId="17F50AC7" w:rsidR="002E2F2E" w:rsidRPr="004C3E15" w:rsidRDefault="00167C65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{27/01/2026}</w:t>
      </w:r>
      <w:r>
        <w:t>27.1.2026</w:t>
      </w:r>
      <w:r>
        <w:rPr>
          <w:rStyle w:val="HideTWBExt"/>
        </w:rPr>
        <w:t>&lt;/Date&gt;</w:t>
      </w:r>
    </w:p>
    <w:p w14:paraId="79F44AB5" w14:textId="7A7CFB91" w:rsidR="002E2F2E" w:rsidRPr="004C3E15" w:rsidRDefault="00167C65">
      <w:pPr>
        <w:pStyle w:val="CoverDocType24a"/>
      </w:pPr>
      <w:r>
        <w:rPr>
          <w:rStyle w:val="HideTWBExt"/>
          <w:b w:val="0"/>
        </w:rPr>
        <w:t>&lt;TitreType&gt;</w:t>
      </w:r>
      <w:r>
        <w:t>OPINJONI</w:t>
      </w:r>
      <w:r>
        <w:rPr>
          <w:rStyle w:val="HideTWBExt"/>
          <w:b w:val="0"/>
        </w:rPr>
        <w:t>&lt;/TitreType&gt;</w:t>
      </w:r>
    </w:p>
    <w:p w14:paraId="2BE2FF8F" w14:textId="77777777" w:rsidR="002E2F2E" w:rsidRPr="004C3E15" w:rsidRDefault="00167C65">
      <w:pPr>
        <w:pStyle w:val="CoverNormal24a"/>
      </w:pPr>
      <w:r>
        <w:rPr>
          <w:rStyle w:val="HideTWBExt"/>
        </w:rPr>
        <w:t>&lt;CommissionResp&gt;</w:t>
      </w:r>
      <w:r>
        <w:t>tal-Kumitat għad-Drittijiet tan-Nisa u l-Ugwaljanza bejn il-Ġeneri</w:t>
      </w:r>
      <w:r>
        <w:rPr>
          <w:rStyle w:val="HideTWBExt"/>
        </w:rPr>
        <w:t>&lt;/CommissionResp&gt;</w:t>
      </w:r>
    </w:p>
    <w:p w14:paraId="3E72E9E4" w14:textId="77777777" w:rsidR="002E2F2E" w:rsidRPr="004C3E15" w:rsidRDefault="00167C65" w:rsidP="0095497D">
      <w:pPr>
        <w:pStyle w:val="CoverNormal24a"/>
      </w:pPr>
      <w:r>
        <w:rPr>
          <w:rStyle w:val="HideTWBExt"/>
        </w:rPr>
        <w:t>&lt;CommissionInt&gt;</w:t>
      </w:r>
      <w:r>
        <w:t>għall-Kumitat għall-Kontroll tal-Baġit</w:t>
      </w:r>
      <w:r>
        <w:rPr>
          <w:rStyle w:val="HideTWBExt"/>
        </w:rPr>
        <w:t>&lt;/CommissionInt&gt;</w:t>
      </w:r>
    </w:p>
    <w:p w14:paraId="59839A9B" w14:textId="0F8340E7" w:rsidR="002E2F2E" w:rsidRPr="004C3E15" w:rsidRDefault="00167C65">
      <w:pPr>
        <w:pStyle w:val="CoverNormal"/>
      </w:pPr>
      <w:r>
        <w:rPr>
          <w:rStyle w:val="HideTWBExt"/>
        </w:rPr>
        <w:t>&lt;Titre&gt;</w:t>
      </w:r>
      <w:r>
        <w:t>dwar il-kwittanza għall-implimentazzjoni tal-baġit ġenerali tal-Unjoni Ewropea għas-sena finanzjarja 2024, Taqsima I – Il-Parlament Ewropew</w:t>
      </w:r>
      <w:r>
        <w:rPr>
          <w:rStyle w:val="HideTWBExt"/>
        </w:rPr>
        <w:t>&lt;/Titre&gt;</w:t>
      </w:r>
    </w:p>
    <w:p w14:paraId="28CF10CA" w14:textId="77777777" w:rsidR="002E2F2E" w:rsidRPr="004C3E15" w:rsidRDefault="00167C65">
      <w:pPr>
        <w:pStyle w:val="CoverNormal24a"/>
      </w:pPr>
      <w:r>
        <w:rPr>
          <w:rStyle w:val="HideTWBExt"/>
        </w:rPr>
        <w:t>&lt;DocRef&gt;</w:t>
      </w:r>
      <w:r>
        <w:t>(2025/2146(DEC))</w:t>
      </w:r>
      <w:r>
        <w:rPr>
          <w:rStyle w:val="HideTWBExt"/>
        </w:rPr>
        <w:t>&lt;/DocRef&gt;</w:t>
      </w:r>
    </w:p>
    <w:p w14:paraId="2AC3DF1D" w14:textId="77777777" w:rsidR="002E2F2E" w:rsidRPr="004C3E15" w:rsidRDefault="00167C65">
      <w:pPr>
        <w:pStyle w:val="CoverNormal24a"/>
      </w:pPr>
      <w:r>
        <w:t xml:space="preserve">Rapporteur għal opinjoni: </w:t>
      </w:r>
      <w:r>
        <w:rPr>
          <w:rStyle w:val="HideTWBExt"/>
        </w:rPr>
        <w:t>&lt;Depute&gt;</w:t>
      </w:r>
      <w:r>
        <w:t>Raquel García Hermida</w:t>
      </w:r>
      <w:r>
        <w:noBreakHyphen/>
        <w:t>Van Der Walle</w:t>
      </w:r>
      <w:r>
        <w:rPr>
          <w:rStyle w:val="HideTWBExt"/>
        </w:rPr>
        <w:t>&lt;/Depute&gt;</w:t>
      </w:r>
    </w:p>
    <w:p w14:paraId="37532B2F" w14:textId="77777777" w:rsidR="00977F76" w:rsidRPr="004C3E15" w:rsidRDefault="00977F76" w:rsidP="00977F76">
      <w:pPr>
        <w:pStyle w:val="CoverNormal"/>
      </w:pPr>
    </w:p>
    <w:p w14:paraId="0CAC8723" w14:textId="77777777" w:rsidR="002E2F2E" w:rsidRPr="004C3E15" w:rsidRDefault="00167C65" w:rsidP="00BB2AC1">
      <w:pPr>
        <w:widowControl/>
        <w:tabs>
          <w:tab w:val="center" w:pos="4677"/>
        </w:tabs>
      </w:pPr>
      <w:r>
        <w:br w:type="page"/>
      </w:r>
      <w:r>
        <w:lastRenderedPageBreak/>
        <w:t>PA_NonLegDec</w:t>
      </w:r>
    </w:p>
    <w:p w14:paraId="51C9141E" w14:textId="77777777" w:rsidR="003E06CF" w:rsidRPr="004C3E15" w:rsidRDefault="00167C65" w:rsidP="003E06CF">
      <w:pPr>
        <w:pStyle w:val="PageHeadingNotTOC"/>
      </w:pPr>
      <w:r>
        <w:br w:type="page"/>
      </w:r>
      <w:r>
        <w:lastRenderedPageBreak/>
        <w:t>OPINJONI</w:t>
      </w:r>
    </w:p>
    <w:p w14:paraId="76714F63" w14:textId="77777777" w:rsidR="00C92DEC" w:rsidRPr="000B0D99" w:rsidRDefault="00C92DEC" w:rsidP="00C92DEC">
      <w:pPr>
        <w:pStyle w:val="Normal12a"/>
      </w:pPr>
      <w:r>
        <w:t>Il-Kumitat għad-Drittijiet tan-Nisa u l-Ugwaljanza bejn il-Ġeneri jistieden lill-Kumitat għall-Kontroll tal-Baġit, bħala l-kumitat responsabbli, biex jinkorpora dan li ġej fil-mozzjoni għal riżoluzzjoni tiegħu:</w:t>
      </w:r>
    </w:p>
    <w:p w14:paraId="73FF8D83" w14:textId="77777777" w:rsidR="00C92DEC" w:rsidRPr="000B0D99" w:rsidRDefault="00C92DEC" w:rsidP="00C92DEC">
      <w:pPr>
        <w:pStyle w:val="Normal12a"/>
        <w:rPr>
          <w:b/>
          <w:bCs/>
          <w:i/>
          <w:iCs/>
        </w:rPr>
      </w:pPr>
      <w:r>
        <w:rPr>
          <w:rStyle w:val="HideTWBExt"/>
        </w:rPr>
        <w:t>&lt;RepeatBlock-Dec&gt;</w:t>
      </w:r>
    </w:p>
    <w:p w14:paraId="2DE4C0DE" w14:textId="77777777" w:rsidR="00C92DEC" w:rsidRPr="000B0D99" w:rsidRDefault="00C92DEC" w:rsidP="00C92DEC">
      <w:pPr>
        <w:pStyle w:val="NormalHanging12a"/>
      </w:pPr>
      <w:r>
        <w:t>A.</w:t>
      </w:r>
      <w:r>
        <w:tab/>
        <w:t xml:space="preserve">billi l-ugwaljanza bejn il-ġeneri u l-eliminazzjoni tal-inugwaljanzi huma valuri fundamentali tal-UE kif minquxa fl-Artikolu 2 tat-Trattat dwar l-Unjoni Ewropea; billi l-Unjoni hija impenjata li tippromwovi l-ugwaljanza bejn il-ġeneri fl-attivitajiet kollha tagħha skont l-Artikolu 8 tat-Trattat dwar il-Funzjonament tal-Unjoni Ewropea, u b’hekk tistabbilixxi l-prinċipju tal-integrazzjoni tal-perspettiva tal-ġeneri u l-ibbaġitjar sensittiv għal kwistjonijiet ta’ ġeneru; </w:t>
      </w:r>
    </w:p>
    <w:p w14:paraId="3BC7DC3D" w14:textId="77777777" w:rsidR="00C92DEC" w:rsidRPr="000B0D99" w:rsidRDefault="00C92DEC" w:rsidP="00C92DEC">
      <w:pPr>
        <w:pStyle w:val="NormalHanging12a"/>
      </w:pPr>
      <w:r>
        <w:t>B.</w:t>
      </w:r>
      <w:r>
        <w:tab/>
        <w:t xml:space="preserve">billi skont l-Artikolu 249, il-Bureau għandu jadotta pjan ta’ azzjoni dwar il-ġeneru biex jintegra perspettiva tal-ġeneru fl-attivitajiet kollha tal-Parlament; </w:t>
      </w:r>
    </w:p>
    <w:p w14:paraId="7D58F6F5" w14:textId="77777777" w:rsidR="00C92DEC" w:rsidRPr="000B0D99" w:rsidRDefault="00C92DEC" w:rsidP="00C92DEC">
      <w:pPr>
        <w:pStyle w:val="NormalHanging12a"/>
      </w:pPr>
      <w:r>
        <w:t>C.</w:t>
      </w:r>
      <w:r>
        <w:tab/>
        <w:t>billi l-ugwaljanza bejn il-ġeneri u l-parteċipazzjoni ugwali u sinifikanti tan-nisa fit-tfassil kollu tal-politika huma prekundizzjoni għall-funzjonament tajjeb ta’ demokrazija; billi n-nisa bħalissa jokkupaw 39 % tas-siġġijiet fil-Parlament, meta mqabbla ma’ 27 % fil-parlamenti nazzjonali madwar id-dinja; billi n-nisa għadhom sottorappreżentati fit-teħid tad-deċiżjonijiet; billi l-elezzjonijiet tal-2024 reġġgħu lura l-kisbiet preċedenti minħabba li ġew eletti 278 mara, li huwa ftit inqas mill-2019, kif ukoll l-ewwel darba li kien hemm tnaqqis mill-1979; billi l-bilanċ bejn il-ġeneri fost id-delegazzjonijiet nazzjonali għall-Parlament ivarja b’mod sinifikanti, u dan jindika inugwaljanzi persistenti madwar l-Istati Membri;</w:t>
      </w:r>
    </w:p>
    <w:p w14:paraId="59071D4C" w14:textId="77777777" w:rsidR="00C92DEC" w:rsidRPr="000B0D99" w:rsidRDefault="00C92DEC" w:rsidP="00C92DEC">
      <w:pPr>
        <w:pStyle w:val="NormalHanging12a"/>
      </w:pPr>
      <w:r>
        <w:t>D.</w:t>
      </w:r>
      <w:r>
        <w:tab/>
        <w:t>billi l-politiċi nisa jiffaċċjaw livelli ogħla ta’ mibegħda, fastidju u intimidazzjoni mill-kontropartijiet irġiel tagħhom, speċjalment meta jkunu żgħażagħ u meta jippromwovu d-drittijiet tan-nisa u l-ugwaljanza bejn il-ġeneri; billi dan spiss jinkludi abbuż abbażi tal-ġeneru u diżinformazzjoni mmirata dwar il-ġeneru – li hija diżinformazzjoni mmirata apposta kontra n-nisa, speċjalment dawk li huma viżibbli fil-ħajja pubblika – u theddidiet għas-sikurezza tagħhom; billi dawn l-attakki joħolqu ostakli sinifikanti għall-parteċipazzjoni ugwali tan-nisa fil-ħajja politika; billi dan ifixkel il-parteċipazzjoni tan-nisa fil-politika u b’hekk idgħajjef id-demokraziji tagħna billi jagħmilhom inqas rappreżentattivi;</w:t>
      </w:r>
    </w:p>
    <w:p w14:paraId="00FBD60A" w14:textId="77777777" w:rsidR="00C92DEC" w:rsidRPr="000B0D99" w:rsidRDefault="00C92DEC" w:rsidP="00C92DEC">
      <w:pPr>
        <w:pStyle w:val="NormalHanging12a"/>
      </w:pPr>
      <w:r>
        <w:t>E.</w:t>
      </w:r>
      <w:r>
        <w:tab/>
        <w:t>billi n-nisa għadhom sottorappreżentati f’xi kumitati u rrappreżentati żżejjed f’oħrajn; billi fil-Parlament in-nisa bħalissa jippresiedu sebgħa mill-24 kumitat u sottokumitat permanenti, inklużi xi wħud li tradizzjonalment huma ddominati mill-irġiel; billi mit-48 delegazzjoni tal-Parlament, 11 biss huma ppreseduti minn nisa; billi mill-1979 kien hemm 31 President tal-Parlament, li tlieta minnhom biss kienu nisa; billi s-sottorappreżentanza tan-nisa f’pożizzjonijiet ta’ tmexxija fl-ogħla livell istituzzjonali tal-UE għadha kwistjoni ta’ tħassib; billi sebgħa mill-14-il Viċi President tal-Parlament huma nisa, li jirrappreżenta 50 % ta’ dawn il-pożizzjonijiet ta’ tmexxija għolja;</w:t>
      </w:r>
    </w:p>
    <w:p w14:paraId="584EE08C" w14:textId="77777777" w:rsidR="00C92DEC" w:rsidRPr="000B0D99" w:rsidRDefault="00C92DEC" w:rsidP="00C92DEC">
      <w:pPr>
        <w:pStyle w:val="NormalHanging12a"/>
      </w:pPr>
      <w:r>
        <w:t>F.</w:t>
      </w:r>
      <w:r>
        <w:tab/>
        <w:t xml:space="preserve">billi l-Parlament għadu ma stabbilixxiex liv tal-paternità u liv tal-ġenituri għall-Membri, </w:t>
      </w:r>
      <w:r>
        <w:lastRenderedPageBreak/>
        <w:t>minkejja li ħa l-pass promettenti li jippermetti d-dritt tal-votazzjoni bi prokura għall-Membri nisa qabel u wara l-ħlas;</w:t>
      </w:r>
    </w:p>
    <w:p w14:paraId="65094D6D" w14:textId="77777777" w:rsidR="00C92DEC" w:rsidRPr="000B0D99" w:rsidRDefault="00C92DEC" w:rsidP="00C92DEC">
      <w:pPr>
        <w:pStyle w:val="NormalHanging12a"/>
        <w:rPr>
          <w:bCs/>
          <w:iCs/>
        </w:rPr>
      </w:pPr>
      <w:r>
        <w:t>G.</w:t>
      </w:r>
      <w:r>
        <w:tab/>
        <w:t>billi l-istandards tal-ugwaljanza bejn il-ġeneri fi ħdan il-Parlament għandhom japplikaw ukoll għall-persunal tiegħu; billi jeżistu inugwaljanzi fil-progressjoni tal-karriera, fl-iskali tas-salarji u fis-sigurtà tal-impjieg għall-persunal, għall-assistenti parlamentari akkreditati u għat-trainees; billi l-Parlament, bħala istituzzjoni awtonoma u impjegatur, għandu r-responsabbiltà li jiżgura li l-amministrazzjoni interna, il-politika tal-persunal, il-qafas kontra l-fastidju u l-kundizzjonijiet tax-xogħol tiegħu jipprevjenu u jindirizzaw b’mod effettiv id-diskriminazzjoni u l-vjolenza abbażi tal-ġeneru u jippromwovu l-ugwaljanza bejn il-ġeneri;</w:t>
      </w:r>
    </w:p>
    <w:p w14:paraId="30EC297D" w14:textId="77777777" w:rsidR="00C92DEC" w:rsidRPr="000B0D99" w:rsidRDefault="00C92DEC" w:rsidP="00C92DEC">
      <w:pPr>
        <w:pStyle w:val="NormalHanging12a"/>
        <w:rPr>
          <w:bCs/>
          <w:iCs/>
        </w:rPr>
      </w:pPr>
      <w:r>
        <w:t>H.</w:t>
      </w:r>
      <w:r>
        <w:tab/>
        <w:t>billi l-Parlament għandu wkoll imexxi bl-eżempju fir-rigward tal-ugwaljanza bejn il-ġeneri; billi, bħala eżempju, il-parteċipazzjoni tal-Parlament fil-kampanja globali “Orange the World”, inkluża l-illuminazzjoni simbolika tal-bini tal-parlament u l-wiri ta’ bnadar oranġjo, isservi bħala eżempju wieħed tal-impenn tiegħu li jtemm il-vjolenza abbażi tal-ġeneru, u li jirrikonoxxi l-importanza li titqajjem kuxjenza pubblika u li l-Parlament jintuża bħala pjattaforma kontra l-vjolenza abbażi tal-ġeneru;</w:t>
      </w:r>
    </w:p>
    <w:p w14:paraId="6F00608C" w14:textId="77777777" w:rsidR="00C92DEC" w:rsidRPr="000B0D99" w:rsidRDefault="00C92DEC" w:rsidP="00C92DEC">
      <w:pPr>
        <w:pStyle w:val="NormalHanging12a"/>
      </w:pPr>
      <w:r>
        <w:t>1.</w:t>
      </w:r>
      <w:r>
        <w:tab/>
        <w:t>Jilqa’ l-progress imwettaq fl-integrazzjoni tal-perspettiva tal-ġeneri u l-ibbaġitjar skont il-ġeneru u l-adozzjoni tal-Pjan ta’ Azzjoni dwar l-Ugwaljanza bejn il-Ġeneri tal-2025; jitlob li dan il-pjan ta’ azzjoni jsir pubbliku u jiġi implimentat malajr permezz tal-pjan direzzjonali tiegħu dwar il-ġeneru u jiġi vvalutat bir-reqqa b’rapporti regolari li jimmonitorjaw il-progress li jkun sar; jiddispjaċih li l-parti l-kbira tal-miżuri inklużi huma fformulati bħala prinċipji mingħajr miri u obbligi ċari; iħeġġeġ ibbaġitjar konsistenti skont il-ġeneru fil-baġit tal-Parlament u biex tiġi inkorporata gwida dwar l-integrazzjoni tal-perspettiva tal-ġeneri; jilqa’ l-ħidma tan-Network għall-Integrazzjoni tal-Perspettiva tal-Ġeneri fil-Parlament; jitlob ukoll li tissaħħaħ l-integrazzjoni tal-perspettiva tal-ġeneri fil-kumitati parlamentari kollha; jenfasizza l-importanza tal-integrazzjoni tal-perspettiva tal-ġeneri fil-proċess tan-negozjar tal-qafas finanzjarju pluriennali l-ġdid;</w:t>
      </w:r>
    </w:p>
    <w:p w14:paraId="7C84C747" w14:textId="77777777" w:rsidR="00C92DEC" w:rsidRPr="000B0D99" w:rsidRDefault="00C92DEC" w:rsidP="00C92DEC">
      <w:pPr>
        <w:pStyle w:val="NormalHanging12a"/>
      </w:pPr>
      <w:r>
        <w:t>2.</w:t>
      </w:r>
      <w:r>
        <w:tab/>
        <w:t>Itenni s-sejħa tiegħu biex il-Parlament jitlob awditu biex jitwettaq immappjar tas-sitwazzjoni attwali f’termini tal-ugwaljanza bejn il-ġeneri u biex isiru rakkomandazzjonijiet kemm fuq il-lat politiku kif ukoll dak amministrattiv tal-attivitajiet tal-Parlament; jenfasizza li dan l-awditu għandu jkopri l-oqsma u l-indikaturi kollha żviluppati fis-sett ta’ għodod “Parlamenti sensittivi għall-ġeneru” tal-Istitut Ewropew għall-Ugwaljanza bejn is-Sessi u jidentifika r-regoli li jiffaċilitaw jew jimblukkaw l-ugwaljanza bejn il-ġeneri f’kull aspett analizzat bil-għan li jorjenta l-pjan direzzjonali futur dwar l-ugwaljanza bejn il-ġeneri;</w:t>
      </w:r>
    </w:p>
    <w:p w14:paraId="0CDDE8B4" w14:textId="77777777" w:rsidR="00C92DEC" w:rsidRPr="000B0D99" w:rsidRDefault="00C92DEC" w:rsidP="00C92DEC">
      <w:pPr>
        <w:pStyle w:val="NormalHanging12a"/>
      </w:pPr>
      <w:r>
        <w:t>3.</w:t>
      </w:r>
      <w:r>
        <w:tab/>
        <w:t>Jistieden lill-President tevalwa t-tnaqqis fl-għadd tal-Membri nisa fl-2024 u tiffinanzja kampanji li jħeġġu lin-nisa jidħlu fil-politika tal-UE; iħeġġeġ lill-partiti nazzjonali jadottaw miżuri bbilanċjati bejn il-ġeneri, bħall-ordni alternattiva tal-irġiel u n-nisa fuq il-lista (zipping) u/jew il-kwoti tal-ġeneru, sakemm tintlaħaq il-parità; jistieden lill-Kummissjoni ssaħħaħ ir-regoli għall-iżgurar tal-bilanċ bejn il-ġeneri fir-rwoli ta’ tmexxija politika; jiddispjaċih għan-nuqqas ta’ data kwantitattiva u kwalitattiva dwar l-integrazzjoni ta’ kwistjonijiet ta’ ugwaljanza bejn il-ġeneri fi ħdan l-istituzzjonijiet tal-</w:t>
      </w:r>
      <w:r>
        <w:lastRenderedPageBreak/>
        <w:t>UE lil hinn mid-data dwar l-għadd ta’ nisa f’pożizzjonijiet differenti; jitlob, għalhekk, li tinġabar statistika komprensiva diżaggregata skont il-ġeneru; jimpenja ruħu li joħloq indikaturi kwalitattivi dwar l-ugwaljanza bejn il-ġeneri biex itejjeb il-ġbir ta’ data diżaggregata skont il-ġeneru u jkompli jtejjeb l-ugwaljanza bejn il-ġeneri;</w:t>
      </w:r>
    </w:p>
    <w:p w14:paraId="3835093F" w14:textId="77777777" w:rsidR="00C92DEC" w:rsidRPr="000B0D99" w:rsidRDefault="00C92DEC" w:rsidP="00C92DEC">
      <w:pPr>
        <w:pStyle w:val="NormalHanging12a"/>
      </w:pPr>
      <w:r>
        <w:t>4.</w:t>
      </w:r>
      <w:r>
        <w:tab/>
        <w:t>Jappella għal regoli aktar stretti biex jiġu miġġielda u evitati d-diskors ta’ mibegħda bejn il-ġeneri u d-diżinformazzjoni dwar il-ġeneru; jinnota b’dispjaċir ir-rati għoljin ta’ fastidju kontra l-assistenti parlamentari akkreditati, inkluż il-fastidju sesswali; itenni li politika ta’ tolleranza żero kontra l-fastidju hija meħtieġa biex tipproteġi l-benesseri tal-persunal u hija dmir ta’ kwalunkwe impjegatur; jitlob appoġġ emozzjonali u legali mmirat għall-assistenti parlamentari akkreditati, il-membri tal-persunal, it-trainees u l-Membri kkonfrontati b’fastidju, intimidazzjoni u mibegħda; jitlob qafas imsaħħaħ għat-tressiq tal-ilmenti u t-trattament f’waqtu tat-tilwim dwar il-fastidju; jappella għal mekkaniżmu indipendenti u awditu estern kontra l-fastidju; jitlob li l-Bureau tal-Parlament ikompli jirriforma r-regoli tal-Parlament dwar il-fastidju billi jirrikorri għal esperti esterni u indipendenti u awditu estern fil-Kumitat Konsultattiv dwar il-Fastidju u l-Prevenzjoni tiegħu fuq il-Post tax-Xogħol u jkabbar il-grupp ta’ psikologi u l-mekkaniżmi ta’ appoġġ li l-vittmi jistgħu jaċċessaw;</w:t>
      </w:r>
    </w:p>
    <w:p w14:paraId="65B09724" w14:textId="77777777" w:rsidR="00C92DEC" w:rsidRPr="000B0D99" w:rsidRDefault="00C92DEC" w:rsidP="00C92DEC">
      <w:pPr>
        <w:pStyle w:val="NormalHanging12a"/>
        <w:rPr>
          <w:bCs/>
          <w:iCs/>
        </w:rPr>
      </w:pPr>
      <w:r>
        <w:t>5.</w:t>
      </w:r>
      <w:r>
        <w:tab/>
        <w:t>Jisħaq li l-Membri nisa li huma razzjalizzati, żgħażagħ, femministi, LGBTIQ+ jew minn sfondi ta’ minoranza jiffaċċjaw livelli sproporzjonati ta’ vjolenza diġitali u politika u jirrikjedu miżuri protettivi mmirati;</w:t>
      </w:r>
    </w:p>
    <w:p w14:paraId="42A33770" w14:textId="77777777" w:rsidR="00C92DEC" w:rsidRPr="000B0D99" w:rsidRDefault="00C92DEC" w:rsidP="00C92DEC">
      <w:pPr>
        <w:pStyle w:val="NormalHanging12a"/>
      </w:pPr>
      <w:r>
        <w:t>6.</w:t>
      </w:r>
      <w:r>
        <w:tab/>
        <w:t>Jistieden lill-kumitati jistinkaw għal bilanċ aħjar bejn il-ġeneri, inkluż fil-kompożizzjoni tal-pożizzjonijiet ta’ tmexxija; jistieden lill-President u lill-Bureau jiżguraw rappreżentanza orizzontali u bilanċ bejn il-ġeneri matul il-proċedimenti plenarji kollha, fost il-kumitati u d-delegazzjonijiet; jistieden lill-gruppi jqisu l-ġeneru, u jinfurzaw il-kwoti tal-ġeneru, għall-ħatra tal-koordinaturi, tar-rapporteurs, tax-shadow rapporteurs u għad-distribuzzjoni tal-ħin għad-diskorsi; jitlob li jiġu stabbiliti miżuri biex jiġu indirizzati l-inugwaljanzi orizzontali biex jiġi żgurat bilanċ bejn il-ġeneri fil-kumitati differenti; iħeġġeġ l-inklużjoni ta’ aktar irġiel fil-Kumitat FEMM, inklużi dawk li jappoġġjaw b’mod attiv l-ugwaljanza bejn il-ġeneri bħala alleati, biex titrawwem responsabbiltà kondiviża u jissaħħaħ l-impenn tal-irġiel li jippromwovu l-ugwaljanza fil-prattika għan-nisa u l-bniet u biex tintemm il-konċentrazzjoni tal-portafolli abbażi tal-ġeneru;</w:t>
      </w:r>
    </w:p>
    <w:p w14:paraId="0A92AB18" w14:textId="77777777" w:rsidR="00C92DEC" w:rsidRPr="000B0D99" w:rsidRDefault="00C92DEC" w:rsidP="00C92DEC">
      <w:pPr>
        <w:pStyle w:val="NormalHanging12a"/>
        <w:rPr>
          <w:b/>
          <w:i/>
        </w:rPr>
      </w:pPr>
      <w:r>
        <w:t>7</w:t>
      </w:r>
      <w:r>
        <w:rPr>
          <w:b/>
          <w:i/>
        </w:rPr>
        <w:t>.</w:t>
      </w:r>
      <w:r>
        <w:rPr>
          <w:b/>
          <w:i/>
        </w:rPr>
        <w:tab/>
      </w:r>
      <w:r>
        <w:t>Jitlob li jittieħdu passi biex jiġi żgurat ambjent tax-xogħol “favorevoli għan-nisa” billi jinbidlu l-prattiki tax-xogħol androċentriċi u jiġi miġġieled il-fastidju;</w:t>
      </w:r>
    </w:p>
    <w:p w14:paraId="37BA5E4F" w14:textId="77777777" w:rsidR="00C92DEC" w:rsidRPr="000B0D99" w:rsidRDefault="00C92DEC" w:rsidP="00C92DEC">
      <w:pPr>
        <w:pStyle w:val="NormalHanging12a"/>
        <w:tabs>
          <w:tab w:val="left" w:pos="720"/>
        </w:tabs>
      </w:pPr>
      <w:r>
        <w:t>8.</w:t>
      </w:r>
      <w:r>
        <w:tab/>
        <w:t>Jilqa’ l-pożizzjoni dwar il-votazzjoni bi prokura għall-Membri nisa qabel u wara l-ħlas; jitlob li l-votazzjoni bi prokura tiġi estiża għall-ġenituri l-ġodda kollha u li jiġi stabbilit liv tal-maternità, tal-paternità u tal-ġenituri ugwali u mhux trasferibbli għall-Membri;</w:t>
      </w:r>
    </w:p>
    <w:p w14:paraId="03C0C515" w14:textId="77777777" w:rsidR="00C92DEC" w:rsidRPr="000B0D99" w:rsidRDefault="00C92DEC" w:rsidP="00C92DEC">
      <w:pPr>
        <w:pStyle w:val="NormalHanging12a"/>
        <w:rPr>
          <w:bCs/>
          <w:iCs/>
        </w:rPr>
      </w:pPr>
      <w:r>
        <w:t>9.</w:t>
      </w:r>
      <w:r>
        <w:tab/>
        <w:t>Jilqa’ l-impenn tal-Parlament għall-ugwaljanza u jfaħħar l-appoġġ tiegħu għal kwistjonijiet ta’ politika ewlenin bħad-drittijiet tal-votazzjoni bi prokura għall-Membri nisa qabel u wara l-ħlas; jitlob li l-isforzi biex jiġi żgurat bilanċ aħjar bejn ix-xogħol u l-ħajja privata għall-persunal jingħataw prijorità u jissaħħu aktar, u li jiġu stabbiliti miżuri biex jiġi implimentat id-dritt għall-iskonnessjoni;</w:t>
      </w:r>
    </w:p>
    <w:p w14:paraId="15557BF1" w14:textId="77777777" w:rsidR="00C92DEC" w:rsidRPr="000B0D99" w:rsidRDefault="00C92DEC" w:rsidP="00C92DEC">
      <w:pPr>
        <w:pStyle w:val="NormalHanging12a"/>
        <w:rPr>
          <w:bCs/>
          <w:iCs/>
        </w:rPr>
      </w:pPr>
      <w:r>
        <w:lastRenderedPageBreak/>
        <w:t>10.</w:t>
      </w:r>
      <w:r>
        <w:tab/>
        <w:t>Jinnota b’dispjaċir ir-rati għoljin ta’ fastidju fil-konfront tal-assistenti parlamentari akkreditati, inkluż il-fastidju sesswali; jitlob qafas imsaħħaħ għat-tressiq tal-ilmenti u t-trattament f’waqtu tat-tilwim dwar il-fastidju;</w:t>
      </w:r>
    </w:p>
    <w:p w14:paraId="0B8080B4" w14:textId="77777777" w:rsidR="00C92DEC" w:rsidRPr="000B0D99" w:rsidRDefault="00C92DEC" w:rsidP="00C92DEC">
      <w:pPr>
        <w:pStyle w:val="NormalHanging12a"/>
        <w:spacing w:after="0"/>
        <w:rPr>
          <w:bCs/>
          <w:iCs/>
        </w:rPr>
      </w:pPr>
      <w:r>
        <w:t>11.</w:t>
      </w:r>
      <w:r>
        <w:tab/>
        <w:t>Jistieden lill-Bureau u lis-Segretarju Ġenerali jippreżentaw data diżaggregata skont il-ġeneru dwar il-persunal, il-karigi maniġerjali superjuri u intermedji, it-tipi ta’ kuntratti, it-telexogħol u l-arranġamenti tax-xogħol flessibbli, kif ukoll miżuri kontra l-fastidju u l-eżiti tal-ilmenti fi ħdan l-amministrazzjoni tal-Parlament, bil-ħsieb li jiġu identifikati u kkoreġuti l-inugwaljanzi; jitlob li jiġu stabbiliti miri ċari u marbuta biż-żmien biex jinkiseb bilanċ bejn il-ġeneri fil-livelli maniġerjali kollha fi ħdan l-amministrazzjoni tal-Parlament, inklużi d-diretturi ġenerali u l-kapijiet tal-unità;</w:t>
      </w:r>
    </w:p>
    <w:p w14:paraId="5BD63D0D" w14:textId="77777777" w:rsidR="00C92DEC" w:rsidRPr="000B0D99" w:rsidRDefault="00C92DEC" w:rsidP="00C92DEC">
      <w:pPr>
        <w:pStyle w:val="NormalHanging12a"/>
        <w:spacing w:after="0"/>
        <w:rPr>
          <w:b/>
          <w:i/>
        </w:rPr>
      </w:pPr>
    </w:p>
    <w:p w14:paraId="44F0F663" w14:textId="77777777" w:rsidR="00C92DEC" w:rsidRPr="000B0D99" w:rsidRDefault="00C92DEC" w:rsidP="00C92DEC">
      <w:pPr>
        <w:pStyle w:val="NormalHanging12a"/>
        <w:rPr>
          <w:bCs/>
          <w:iCs/>
        </w:rPr>
      </w:pPr>
      <w:r>
        <w:t>12.</w:t>
      </w:r>
      <w:r>
        <w:tab/>
        <w:t>Jirrikonoxxi li l-Parlament iservi bħala pjattaforma għal wirjiet u avvenimenti pubbliċi li jindirizzaw l-ugwaljanza bejn il-ġeneri, bħall-kwistjonijiet ta’ saħħa mentali, irawmu d-djalogu, is-sensibilizzazzjoni, u r-rappreżentanza inklużiva fl-istituzzjoni kollha u mal-pubbliku ġenerali; jinnota f’dan ir-rigward l-organizzazzjoni ta’ ċerimonja ta’ koronazzjoni li tonora lin-nisa li jiġġieldu l-kanċer; jistieden lill-President jeżerċita kawtela dwar il-finanzjament ta’ inizjattivi li jmorru kontra l-valuri tal-Unjoni Ewropea; jilqa’ l-użu tal-Parlament bħala pjattaforma għas-sensibilizzazzjoni dwar il-vjolenza abbażi tal-ġeneru u l-vjolenza domestika; jisħaq fuq l-importanza li l-missjonijiet tal-UE u tal-Parlament jikkontribwixxu għall-promozzjoni tal-ugwaljanza bejn il-ġeneri, inklużi dawk li jipprovdu appoġġ, protezzjoni, u servizzi essenzjali lin-nisa u l-bniet li huma vittmi ta’ vjolenza sesswali f’sitwazzjonijiet ta’ kunflitt u ta’ wara kunflitt; jilqa’ l-inizjattivi tal-Parlament dwar il-Ġimgħa tal-Ugwaljanza bejn il-Ġeneri u l-Jum Internazzjonali tan-Nisa;</w:t>
      </w:r>
    </w:p>
    <w:p w14:paraId="6B29058F" w14:textId="77777777" w:rsidR="00C92DEC" w:rsidRPr="000B0D99" w:rsidRDefault="00C92DEC" w:rsidP="00C92DEC">
      <w:pPr>
        <w:pStyle w:val="NormalHanging12a"/>
        <w:spacing w:after="0"/>
        <w:rPr>
          <w:bCs/>
          <w:iCs/>
        </w:rPr>
      </w:pPr>
      <w:r>
        <w:t>13.</w:t>
      </w:r>
      <w:r>
        <w:tab/>
        <w:t>Jisħaq fuq l-importanza tad-disponibbiltà tal-prodotti mestrwali tan-nisa biex jappoġġjaw lill-Membri u lill-persunal; jappella għal aċċessibbiltà mtejba fi ħdan il-Parlament għall-Membri, il-persunal u l-viżitaturi b’diżabilità, b’attenzjoni partikolari għan-nisa u l-bniet, inkluż għaż-żoni pubbliċi kollha.</w:t>
      </w:r>
    </w:p>
    <w:p w14:paraId="64709430" w14:textId="77777777" w:rsidR="00E05697" w:rsidRPr="00D95C16" w:rsidRDefault="00167C65" w:rsidP="00D95C16">
      <w:pPr>
        <w:ind w:left="567" w:hanging="567"/>
      </w:pPr>
      <w:r>
        <w:rPr>
          <w:rStyle w:val="HideTWBExt"/>
        </w:rPr>
        <w:t>&lt;/RepeatBlock-Dec&gt;</w:t>
      </w:r>
    </w:p>
    <w:p w14:paraId="242A6BD8" w14:textId="77777777" w:rsidR="00C92DEC" w:rsidRDefault="00C92DEC" w:rsidP="00D95C16">
      <w:pPr>
        <w:sectPr w:rsidR="00C92DEC" w:rsidSect="00C92DE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07E19956" w14:textId="29020A78" w:rsidR="00C92DEC" w:rsidRPr="00D7238E" w:rsidRDefault="00C92DEC" w:rsidP="002B2C72">
      <w:pPr>
        <w:pStyle w:val="PageHeadingNotTOC"/>
      </w:pPr>
      <w:bookmarkStart w:id="0" w:name="FootprintPageAD"/>
      <w:r>
        <w:lastRenderedPageBreak/>
        <w:t>ANNESS: DIKJARAZZJONI TAL-KONTRIBUT</w:t>
      </w:r>
    </w:p>
    <w:p w14:paraId="74C41B88" w14:textId="5051D683" w:rsidR="00C92DEC" w:rsidRPr="0099178F" w:rsidRDefault="00C92DEC" w:rsidP="00037518">
      <w:pPr>
        <w:pStyle w:val="Normal24a"/>
      </w:pPr>
      <w:r>
        <w:rPr>
          <w:rStyle w:val="HideTWBExt"/>
        </w:rPr>
        <w:t>&lt;FootprintIntro&gt;</w:t>
      </w:r>
      <w:r>
        <w:t>Ir-rapporteur għal opinjoni tiddikjara, taħt ir-responsabbiltà esklużiva tagħha, li fl-opinjoni tagħha  ma inkludiet ebda kontribut mingħand rappreżentanti ta’ gruppi ta’ interess li jaqgħu fil-kamp ta’ applikazzjoni tal-Ftehim Interistituzzjonali dwar Reġistru Obbligatorju ta’ Trasparenza</w:t>
      </w:r>
      <w:r>
        <w:rPr>
          <w:rStyle w:val="FootnoteReference"/>
        </w:rPr>
        <w:footnoteReference w:id="1"/>
      </w:r>
      <w:r>
        <w:t>, jew mingħand rappreżentanti ta’ awtoritajiet pubbliċi ta’ pajjiżi terzi, inklużi l-missjonijiet diplomatiċi u l-ambaxxati tagħhom, li għandhom jiġu elenkati f’dan l-Anness f’konformità mal-Artikolu 8 tal-Anness I tar-Regoli ta’ Proċedura.</w:t>
      </w:r>
      <w:r>
        <w:rPr>
          <w:rStyle w:val="HideTWBExt"/>
        </w:rPr>
        <w:t>&lt;/FootprintIntro&gt;</w:t>
      </w:r>
    </w:p>
    <w:p w14:paraId="46E1A68F" w14:textId="77777777" w:rsidR="00C92DEC" w:rsidRPr="00C92DEC" w:rsidRDefault="00C92DEC" w:rsidP="00C92DEC"/>
    <w:bookmarkEnd w:id="0"/>
    <w:p w14:paraId="59BF8A53" w14:textId="77777777" w:rsidR="00C92DEC" w:rsidRDefault="00C92DEC" w:rsidP="00D95C16">
      <w:pPr>
        <w:sectPr w:rsidR="00C92DEC" w:rsidSect="00C92DEC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64D2A7C0" w14:textId="3709F7D0" w:rsidR="00D95C16" w:rsidRDefault="00D95C16" w:rsidP="00D95C16">
      <w:pPr>
        <w:pStyle w:val="PageHeadingNotTOC"/>
      </w:pPr>
      <w:bookmarkStart w:id="1" w:name="ProcPageAD"/>
      <w:r>
        <w:lastRenderedPageBreak/>
        <w:t>INFORMAZZJONI DWAR L-ADOZZJONI</w:t>
      </w:r>
      <w:r>
        <w:br/>
        <w:t>MILL-KUMITAT LI JINTALAB JAGĦTI OPINJONI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D95C16" w14:paraId="139B3DFB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07A4C17" w14:textId="77777777" w:rsidR="00D95C16" w:rsidRDefault="00D95C1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EC5D1F0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27.1.2026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613DE3F" w14:textId="77777777" w:rsidR="00D95C16" w:rsidRDefault="00D95C1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341F838" w14:textId="77777777" w:rsidR="00D95C16" w:rsidRDefault="00D95C1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4DC5450" w14:textId="77777777" w:rsidR="00D95C16" w:rsidRDefault="00D95C1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D95C16" w14:paraId="3BF0087A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5A59382" w14:textId="77777777" w:rsidR="00D95C16" w:rsidRDefault="00D95C1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C18CD72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+:</w:t>
            </w:r>
          </w:p>
          <w:p w14:paraId="5E8E8BD8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–:</w:t>
            </w:r>
          </w:p>
          <w:p w14:paraId="1D97BA02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0C79EB7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  <w:p w14:paraId="6520B0F7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  <w:p w14:paraId="3231CF72" w14:textId="77777777" w:rsidR="00D95C16" w:rsidRDefault="00D95C16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</w:tbl>
    <w:p w14:paraId="028215C7" w14:textId="77777777" w:rsidR="00D95C16" w:rsidRPr="00C92DEC" w:rsidRDefault="00D95C16" w:rsidP="00C92DEC"/>
    <w:bookmarkEnd w:id="1"/>
    <w:p w14:paraId="6DEC5CD0" w14:textId="77777777" w:rsidR="00C92DEC" w:rsidRDefault="00C92DEC" w:rsidP="00D95C16">
      <w:pPr>
        <w:sectPr w:rsidR="00C92DEC" w:rsidSect="00C92DEC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1FBDD591" w14:textId="5900318D" w:rsidR="00C92DEC" w:rsidRPr="0099178F" w:rsidRDefault="00C92DEC" w:rsidP="00C36610">
      <w:pPr>
        <w:pStyle w:val="PageHeadingNotTOC"/>
      </w:pPr>
      <w:bookmarkStart w:id="2" w:name="RollCallPageAD"/>
      <w:r>
        <w:lastRenderedPageBreak/>
        <w:t>VOTAZZJONI FINALI B’SEJĦA TAL-ISMIJIET MILL-KUMITAT LI JINTALAB JAGĦTI OPINJONI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C92DEC" w:rsidRPr="000B0D99" w14:paraId="0A520116" w14:textId="77777777" w:rsidTr="00025094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33DCF80E" w14:textId="77777777" w:rsidR="00C92DEC" w:rsidRPr="000B0D99" w:rsidRDefault="00C92DEC" w:rsidP="00025094">
            <w:pPr>
              <w:pStyle w:val="RollCallVotes"/>
            </w:pPr>
            <w:r>
              <w:t>22</w:t>
            </w:r>
          </w:p>
        </w:tc>
        <w:tc>
          <w:tcPr>
            <w:tcW w:w="7371" w:type="dxa"/>
            <w:shd w:val="pct10" w:color="000000" w:fill="FFFFFF"/>
          </w:tcPr>
          <w:p w14:paraId="3F250588" w14:textId="77777777" w:rsidR="00C92DEC" w:rsidRPr="000B0D99" w:rsidRDefault="00C92DEC" w:rsidP="00025094">
            <w:pPr>
              <w:pStyle w:val="RollCallSymbols14pt"/>
            </w:pPr>
            <w:r>
              <w:t>+</w:t>
            </w:r>
          </w:p>
        </w:tc>
      </w:tr>
      <w:tr w:rsidR="00C92DEC" w:rsidRPr="000B0D99" w14:paraId="43DB029E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070051D5" w14:textId="77777777" w:rsidR="00C92DEC" w:rsidRPr="000B0D99" w:rsidRDefault="00C92DEC" w:rsidP="00025094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14:paraId="32500BA2" w14:textId="77777777" w:rsidR="00C92DEC" w:rsidRPr="000B0D99" w:rsidRDefault="00C92DEC" w:rsidP="00025094">
            <w:pPr>
              <w:pStyle w:val="RollCallTable"/>
            </w:pPr>
            <w:r>
              <w:t>Ewa Kopacz, Verena Mertens, Mirosława Nykiel, Giusi Princi, Maria Walsh</w:t>
            </w:r>
          </w:p>
        </w:tc>
      </w:tr>
      <w:tr w:rsidR="00C92DEC" w:rsidRPr="000B0D99" w14:paraId="45709362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44004D27" w14:textId="77777777" w:rsidR="00C92DEC" w:rsidRPr="000B0D99" w:rsidRDefault="00C92DEC" w:rsidP="00025094">
            <w:pPr>
              <w:pStyle w:val="RollCallTable"/>
            </w:pPr>
            <w:r>
              <w:t>Renew</w:t>
            </w:r>
          </w:p>
        </w:tc>
        <w:tc>
          <w:tcPr>
            <w:tcW w:w="7371" w:type="dxa"/>
            <w:shd w:val="clear" w:color="auto" w:fill="FFFFFF"/>
          </w:tcPr>
          <w:p w14:paraId="5A9C9E45" w14:textId="77777777" w:rsidR="00C92DEC" w:rsidRPr="000B0D99" w:rsidRDefault="00C92DEC" w:rsidP="00025094">
            <w:pPr>
              <w:pStyle w:val="RollCallTable"/>
            </w:pPr>
            <w:r>
              <w:t>Abir Al-Sahlani, Raquel García Hermida-Van Der Walle, Lucia Yar, Dainius Žalimas</w:t>
            </w:r>
          </w:p>
        </w:tc>
      </w:tr>
      <w:tr w:rsidR="00C92DEC" w:rsidRPr="000B0D99" w14:paraId="4D7AB49A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0AD2FA09" w14:textId="77777777" w:rsidR="00C92DEC" w:rsidRPr="000B0D99" w:rsidRDefault="00C92DEC" w:rsidP="00025094">
            <w:pPr>
              <w:pStyle w:val="RollCallTable"/>
            </w:pPr>
            <w:r>
              <w:t>S&amp;D</w:t>
            </w:r>
          </w:p>
        </w:tc>
        <w:tc>
          <w:tcPr>
            <w:tcW w:w="7371" w:type="dxa"/>
            <w:shd w:val="clear" w:color="auto" w:fill="FFFFFF"/>
          </w:tcPr>
          <w:p w14:paraId="5ACEE02B" w14:textId="77777777" w:rsidR="00C92DEC" w:rsidRPr="000B0D99" w:rsidRDefault="00C92DEC" w:rsidP="00025094">
            <w:pPr>
              <w:pStyle w:val="RollCallTable"/>
            </w:pPr>
            <w:r>
              <w:t>Gabriela Firea, Heléne Fritzon, Lina Gálvez, Maria Noichl, Joanna Scheuring-Wielgus, Cecilia Strada, Marko Vešligaj</w:t>
            </w:r>
          </w:p>
        </w:tc>
      </w:tr>
      <w:tr w:rsidR="00C92DEC" w:rsidRPr="000B0D99" w14:paraId="1C26FDB8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776F4FC2" w14:textId="77777777" w:rsidR="00C92DEC" w:rsidRPr="000B0D99" w:rsidRDefault="00C92DEC" w:rsidP="00025094">
            <w:pPr>
              <w:pStyle w:val="RollCallTable"/>
            </w:pPr>
            <w:r>
              <w:t>The Left</w:t>
            </w:r>
          </w:p>
        </w:tc>
        <w:tc>
          <w:tcPr>
            <w:tcW w:w="7371" w:type="dxa"/>
            <w:shd w:val="clear" w:color="auto" w:fill="FFFFFF"/>
          </w:tcPr>
          <w:p w14:paraId="0453C130" w14:textId="77777777" w:rsidR="00C92DEC" w:rsidRPr="000B0D99" w:rsidRDefault="00C92DEC" w:rsidP="00025094">
            <w:pPr>
              <w:pStyle w:val="RollCallTable"/>
            </w:pPr>
            <w:r>
              <w:t>Hanna Gedin, Irene Montero, Carolina Morace</w:t>
            </w:r>
          </w:p>
        </w:tc>
      </w:tr>
      <w:tr w:rsidR="00C92DEC" w:rsidRPr="000B0D99" w14:paraId="2F9B89D1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1EE046ED" w14:textId="77777777" w:rsidR="00C92DEC" w:rsidRPr="000B0D99" w:rsidRDefault="00C92DEC" w:rsidP="00025094">
            <w:pPr>
              <w:pStyle w:val="RollCallTable"/>
            </w:pPr>
            <w:r>
              <w:t>Verts/ALE</w:t>
            </w:r>
          </w:p>
        </w:tc>
        <w:tc>
          <w:tcPr>
            <w:tcW w:w="7371" w:type="dxa"/>
            <w:shd w:val="clear" w:color="auto" w:fill="FFFFFF"/>
          </w:tcPr>
          <w:p w14:paraId="1D0DA5BA" w14:textId="77777777" w:rsidR="00C92DEC" w:rsidRPr="000B0D99" w:rsidRDefault="00C92DEC" w:rsidP="00025094">
            <w:pPr>
              <w:pStyle w:val="RollCallTable"/>
            </w:pPr>
            <w:r>
              <w:t>Mélissa Camara, Alexandra Geese, Benedetta Scuderi</w:t>
            </w:r>
          </w:p>
        </w:tc>
      </w:tr>
    </w:tbl>
    <w:p w14:paraId="7D02E812" w14:textId="77777777" w:rsidR="00C92DEC" w:rsidRPr="000B0D99" w:rsidRDefault="00C92DEC" w:rsidP="00C92DEC">
      <w:pPr>
        <w:rPr>
          <w:lang w:val="it-IT"/>
        </w:rPr>
      </w:pP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C92DEC" w:rsidRPr="000B0D99" w14:paraId="365277B9" w14:textId="77777777" w:rsidTr="00025094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738DEFE0" w14:textId="77777777" w:rsidR="00C92DEC" w:rsidRPr="000B0D99" w:rsidRDefault="00C92DEC" w:rsidP="00025094">
            <w:pPr>
              <w:pStyle w:val="RollCallVotes"/>
            </w:pPr>
            <w:r>
              <w:t>8</w:t>
            </w:r>
          </w:p>
        </w:tc>
        <w:tc>
          <w:tcPr>
            <w:tcW w:w="7371" w:type="dxa"/>
            <w:shd w:val="pct10" w:color="000000" w:fill="FFFFFF"/>
          </w:tcPr>
          <w:p w14:paraId="27384F99" w14:textId="77777777" w:rsidR="00C92DEC" w:rsidRPr="000B0D99" w:rsidRDefault="00C92DEC" w:rsidP="00025094">
            <w:pPr>
              <w:pStyle w:val="RollCallSymbols14pt"/>
            </w:pPr>
            <w:r>
              <w:t>-</w:t>
            </w:r>
          </w:p>
        </w:tc>
      </w:tr>
      <w:tr w:rsidR="00C92DEC" w:rsidRPr="000B0D99" w14:paraId="55B6B869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14C7D791" w14:textId="77777777" w:rsidR="00C92DEC" w:rsidRPr="000B0D99" w:rsidRDefault="00C92DEC" w:rsidP="00025094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14:paraId="51A5839B" w14:textId="77777777" w:rsidR="00C92DEC" w:rsidRPr="000B0D99" w:rsidRDefault="00C92DEC" w:rsidP="00025094">
            <w:pPr>
              <w:pStyle w:val="RollCallTable"/>
            </w:pPr>
            <w:r>
              <w:t>Beatrice Timgren</w:t>
            </w:r>
          </w:p>
        </w:tc>
      </w:tr>
      <w:tr w:rsidR="00C92DEC" w:rsidRPr="000B0D99" w14:paraId="5889B73B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5DCD6B96" w14:textId="77777777" w:rsidR="00C92DEC" w:rsidRPr="000B0D99" w:rsidRDefault="00C92DEC" w:rsidP="00025094">
            <w:pPr>
              <w:pStyle w:val="RollCallTable"/>
            </w:pPr>
            <w:r>
              <w:t>ESN</w:t>
            </w:r>
          </w:p>
        </w:tc>
        <w:tc>
          <w:tcPr>
            <w:tcW w:w="7371" w:type="dxa"/>
            <w:shd w:val="clear" w:color="auto" w:fill="FFFFFF"/>
          </w:tcPr>
          <w:p w14:paraId="2CA5325C" w14:textId="77777777" w:rsidR="00C92DEC" w:rsidRPr="000B0D99" w:rsidRDefault="00C92DEC" w:rsidP="00025094">
            <w:pPr>
              <w:pStyle w:val="RollCallTable"/>
            </w:pPr>
            <w:r>
              <w:t>Christine Anderson</w:t>
            </w:r>
          </w:p>
        </w:tc>
      </w:tr>
      <w:tr w:rsidR="00C92DEC" w:rsidRPr="000B0D99" w14:paraId="41CF7A4C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36473B09" w14:textId="77777777" w:rsidR="00C92DEC" w:rsidRPr="000B0D99" w:rsidRDefault="00C92DEC" w:rsidP="00025094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14:paraId="65B0919F" w14:textId="77777777" w:rsidR="00C92DEC" w:rsidRPr="000B0D99" w:rsidRDefault="00C92DEC" w:rsidP="00025094">
            <w:pPr>
              <w:pStyle w:val="RollCallTable"/>
            </w:pPr>
            <w:r>
              <w:t>Fernand Kartheiser</w:t>
            </w:r>
          </w:p>
        </w:tc>
      </w:tr>
      <w:tr w:rsidR="00C92DEC" w:rsidRPr="000B0D99" w14:paraId="7608D660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4F9380E9" w14:textId="77777777" w:rsidR="00C92DEC" w:rsidRPr="000B0D99" w:rsidRDefault="00C92DEC" w:rsidP="00025094">
            <w:pPr>
              <w:pStyle w:val="RollCallTable"/>
            </w:pPr>
            <w:r>
              <w:t>PfE</w:t>
            </w:r>
          </w:p>
        </w:tc>
        <w:tc>
          <w:tcPr>
            <w:tcW w:w="7371" w:type="dxa"/>
            <w:shd w:val="clear" w:color="auto" w:fill="FFFFFF"/>
          </w:tcPr>
          <w:p w14:paraId="68C55989" w14:textId="77777777" w:rsidR="00C92DEC" w:rsidRPr="000B0D99" w:rsidRDefault="00C92DEC" w:rsidP="00025094">
            <w:pPr>
              <w:pStyle w:val="RollCallTable"/>
            </w:pPr>
            <w:r>
              <w:t>Mathilde Androuët, Mireia Borrás Pabón, Elisabeth Dieringer, Margarita de la Pisa Carrión, Anders Vistisen</w:t>
            </w:r>
          </w:p>
        </w:tc>
      </w:tr>
    </w:tbl>
    <w:p w14:paraId="4C151982" w14:textId="77777777" w:rsidR="00C92DEC" w:rsidRPr="000B0D99" w:rsidRDefault="00C92DEC" w:rsidP="00C92DEC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C92DEC" w:rsidRPr="000B0D99" w14:paraId="175BB04C" w14:textId="77777777" w:rsidTr="00025094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60807B26" w14:textId="77777777" w:rsidR="00C92DEC" w:rsidRPr="000B0D99" w:rsidRDefault="00C92DEC" w:rsidP="00025094">
            <w:pPr>
              <w:pStyle w:val="RollCallVotes"/>
            </w:pPr>
            <w:r>
              <w:t>3</w:t>
            </w:r>
          </w:p>
        </w:tc>
        <w:tc>
          <w:tcPr>
            <w:tcW w:w="7371" w:type="dxa"/>
            <w:shd w:val="pct10" w:color="000000" w:fill="FFFFFF"/>
          </w:tcPr>
          <w:p w14:paraId="3C01425D" w14:textId="77777777" w:rsidR="00C92DEC" w:rsidRPr="000B0D99" w:rsidRDefault="00C92DEC" w:rsidP="00025094">
            <w:pPr>
              <w:pStyle w:val="RollCallSymbols14pt"/>
            </w:pPr>
            <w:r>
              <w:t>0</w:t>
            </w:r>
          </w:p>
        </w:tc>
      </w:tr>
      <w:tr w:rsidR="00C92DEC" w:rsidRPr="000B0D99" w14:paraId="65C43969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3387042A" w14:textId="77777777" w:rsidR="00C92DEC" w:rsidRPr="000B0D99" w:rsidRDefault="00C92DEC" w:rsidP="00025094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14:paraId="5DB78DB5" w14:textId="77777777" w:rsidR="00C92DEC" w:rsidRPr="000B0D99" w:rsidRDefault="00C92DEC" w:rsidP="00025094">
            <w:pPr>
              <w:pStyle w:val="RollCallTable"/>
            </w:pPr>
            <w:r>
              <w:t>Chiara Gemma</w:t>
            </w:r>
          </w:p>
        </w:tc>
      </w:tr>
      <w:tr w:rsidR="00C92DEC" w:rsidRPr="000B0D99" w14:paraId="19F17B06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33DB571F" w14:textId="77777777" w:rsidR="00C92DEC" w:rsidRPr="000B0D99" w:rsidRDefault="00C92DEC" w:rsidP="00025094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14:paraId="00AA2246" w14:textId="77777777" w:rsidR="00C92DEC" w:rsidRPr="000B0D99" w:rsidRDefault="00C92DEC" w:rsidP="00025094">
            <w:pPr>
              <w:pStyle w:val="RollCallTable"/>
            </w:pPr>
            <w:r>
              <w:t>Judita Laššáková</w:t>
            </w:r>
          </w:p>
        </w:tc>
      </w:tr>
      <w:tr w:rsidR="00C92DEC" w:rsidRPr="000B0D99" w14:paraId="30290355" w14:textId="77777777" w:rsidTr="00025094">
        <w:trPr>
          <w:cantSplit/>
        </w:trPr>
        <w:tc>
          <w:tcPr>
            <w:tcW w:w="1701" w:type="dxa"/>
            <w:shd w:val="clear" w:color="auto" w:fill="FFFFFF"/>
          </w:tcPr>
          <w:p w14:paraId="6009535F" w14:textId="77777777" w:rsidR="00C92DEC" w:rsidRPr="000B0D99" w:rsidRDefault="00C92DEC" w:rsidP="00025094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14:paraId="60D03FB6" w14:textId="77777777" w:rsidR="00C92DEC" w:rsidRPr="000B0D99" w:rsidRDefault="00C92DEC" w:rsidP="00025094">
            <w:pPr>
              <w:pStyle w:val="RollCallTable"/>
            </w:pPr>
            <w:r>
              <w:t>Rosa Estaràs Ferragut</w:t>
            </w:r>
          </w:p>
        </w:tc>
      </w:tr>
    </w:tbl>
    <w:p w14:paraId="5F4F45FB" w14:textId="77777777" w:rsidR="00C92DEC" w:rsidRDefault="00C92DEC" w:rsidP="00147FBF">
      <w:pPr>
        <w:pStyle w:val="Normal12a"/>
      </w:pPr>
    </w:p>
    <w:p w14:paraId="7F3C8AB7" w14:textId="30CF50CE" w:rsidR="00C92DEC" w:rsidRDefault="00C92DEC" w:rsidP="00B735E3">
      <w:r>
        <w:t>Tifsira tas-simboli użati:</w:t>
      </w:r>
    </w:p>
    <w:p w14:paraId="50A29B32" w14:textId="08342644" w:rsidR="00C92DEC" w:rsidRDefault="00C92DEC" w:rsidP="003858C5">
      <w:pPr>
        <w:pStyle w:val="RollCallTabs"/>
      </w:pPr>
      <w:r>
        <w:t>+</w:t>
      </w:r>
      <w:r>
        <w:tab/>
        <w:t>:</w:t>
      </w:r>
      <w:r>
        <w:tab/>
        <w:t>favur</w:t>
      </w:r>
    </w:p>
    <w:p w14:paraId="0928ABCD" w14:textId="21EEEF63" w:rsidR="00C92DEC" w:rsidRDefault="00C92DEC" w:rsidP="003858C5">
      <w:pPr>
        <w:pStyle w:val="RollCallTabs"/>
      </w:pPr>
      <w:r>
        <w:t>-</w:t>
      </w:r>
      <w:r>
        <w:tab/>
        <w:t>:</w:t>
      </w:r>
      <w:r>
        <w:tab/>
        <w:t>kontra</w:t>
      </w:r>
    </w:p>
    <w:p w14:paraId="78539AC1" w14:textId="69164EFA" w:rsidR="00C92DEC" w:rsidRDefault="00C92DEC" w:rsidP="003858C5">
      <w:pPr>
        <w:pStyle w:val="RollCallTabs"/>
      </w:pPr>
      <w:r>
        <w:t>0</w:t>
      </w:r>
      <w:r>
        <w:tab/>
        <w:t>:</w:t>
      </w:r>
      <w:r>
        <w:tab/>
        <w:t>astensjoni</w:t>
      </w:r>
    </w:p>
    <w:p w14:paraId="3A64E2A9" w14:textId="77777777" w:rsidR="00C92DEC" w:rsidRDefault="00C92DEC" w:rsidP="00207509"/>
    <w:bookmarkEnd w:id="2"/>
    <w:p w14:paraId="54179713" w14:textId="45A71CD5" w:rsidR="00D95C16" w:rsidRPr="00C92DEC" w:rsidRDefault="00D95C16" w:rsidP="00D95C16"/>
    <w:sectPr w:rsidR="00D95C16" w:rsidRPr="00C92DEC" w:rsidSect="00C92DEC">
      <w:pgSz w:w="11894" w:h="15840"/>
      <w:pgMar w:top="1700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AD748" w14:textId="77777777" w:rsidR="00167C65" w:rsidRPr="004C3E15" w:rsidRDefault="00167C65">
      <w:r w:rsidRPr="004C3E15">
        <w:separator/>
      </w:r>
    </w:p>
  </w:endnote>
  <w:endnote w:type="continuationSeparator" w:id="0">
    <w:p w14:paraId="2BE3B624" w14:textId="77777777" w:rsidR="00167C65" w:rsidRPr="004C3E15" w:rsidRDefault="00167C65">
      <w:r w:rsidRPr="004C3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2756F" w14:textId="77777777" w:rsidR="00D95C16" w:rsidRDefault="00D95C16" w:rsidP="00D95C16">
    <w:pPr>
      <w:pStyle w:val="EPFooter"/>
    </w:pPr>
    <w:r>
      <w:t>PE</w:t>
    </w:r>
    <w:r w:rsidRPr="00D95C16">
      <w:rPr>
        <w:rStyle w:val="HideTWBExt"/>
      </w:rPr>
      <w:t>&lt;NoPE&gt;</w:t>
    </w:r>
    <w:r>
      <w:t>779.773</w:t>
    </w:r>
    <w:r w:rsidRPr="00D95C16">
      <w:rPr>
        <w:rStyle w:val="HideTWBExt"/>
      </w:rPr>
      <w:t>&lt;/NoPE&gt;&lt;Version&gt;</w:t>
    </w:r>
    <w:r>
      <w:t>v02-00</w:t>
    </w:r>
    <w:r w:rsidRPr="00D95C16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 w:rsidR="008B3B9C">
      <w:fldChar w:fldCharType="begin"/>
    </w:r>
    <w:r w:rsidR="008B3B9C">
      <w:instrText xml:space="preserve"> NUMPAGES  \* MERGEFORMAT </w:instrText>
    </w:r>
    <w:r w:rsidR="008B3B9C">
      <w:fldChar w:fldCharType="separate"/>
    </w:r>
    <w:r>
      <w:rPr>
        <w:noProof/>
      </w:rPr>
      <w:t>3</w:t>
    </w:r>
    <w:r w:rsidR="008B3B9C">
      <w:rPr>
        <w:noProof/>
      </w:rPr>
      <w:fldChar w:fldCharType="end"/>
    </w:r>
    <w:r>
      <w:tab/>
    </w:r>
    <w:r w:rsidRPr="00D95C16">
      <w:rPr>
        <w:rStyle w:val="HideTWBExt"/>
      </w:rPr>
      <w:t>&lt;PathFdR&gt;</w:t>
    </w:r>
    <w:r>
      <w:t>AD\1337454MT.docx</w:t>
    </w:r>
    <w:r w:rsidRPr="00D95C16">
      <w:rPr>
        <w:rStyle w:val="HideTWBExt"/>
      </w:rPr>
      <w:t>&lt;/PathFdR&gt;</w:t>
    </w:r>
  </w:p>
  <w:p w14:paraId="3BBD9111" w14:textId="2474D79A" w:rsidR="00C75378" w:rsidRPr="004C3E15" w:rsidRDefault="00D95C16" w:rsidP="00D95C16">
    <w:pPr>
      <w:pStyle w:val="EPFooter2"/>
    </w:pPr>
    <w: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8ED41" w14:textId="77777777" w:rsidR="00D95C16" w:rsidRDefault="00D95C16" w:rsidP="00D95C16">
    <w:pPr>
      <w:pStyle w:val="EPFooter"/>
    </w:pPr>
    <w:r w:rsidRPr="00D95C16">
      <w:rPr>
        <w:rStyle w:val="HideTWBExt"/>
      </w:rPr>
      <w:t>&lt;PathFdR&gt;</w:t>
    </w:r>
    <w:r>
      <w:t>AD\1337454MT.docx</w:t>
    </w:r>
    <w:r w:rsidRPr="00D95C16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  <w:r>
      <w:t>/</w:t>
    </w:r>
    <w:r w:rsidR="008B3B9C">
      <w:fldChar w:fldCharType="begin"/>
    </w:r>
    <w:r w:rsidR="008B3B9C">
      <w:instrText xml:space="preserve"> NUMPAGES  \* MERGEFORMAT </w:instrText>
    </w:r>
    <w:r w:rsidR="008B3B9C">
      <w:fldChar w:fldCharType="separate"/>
    </w:r>
    <w:r>
      <w:rPr>
        <w:noProof/>
      </w:rPr>
      <w:t>3</w:t>
    </w:r>
    <w:r w:rsidR="008B3B9C">
      <w:rPr>
        <w:noProof/>
      </w:rPr>
      <w:fldChar w:fldCharType="end"/>
    </w:r>
    <w:r>
      <w:tab/>
      <w:t>PE</w:t>
    </w:r>
    <w:r w:rsidRPr="00D95C16">
      <w:rPr>
        <w:rStyle w:val="HideTWBExt"/>
      </w:rPr>
      <w:t>&lt;NoPE&gt;</w:t>
    </w:r>
    <w:r>
      <w:t>779.773</w:t>
    </w:r>
    <w:r w:rsidRPr="00D95C16">
      <w:rPr>
        <w:rStyle w:val="HideTWBExt"/>
      </w:rPr>
      <w:t>&lt;/NoPE&gt;&lt;Version&gt;</w:t>
    </w:r>
    <w:r>
      <w:t>v02-00</w:t>
    </w:r>
    <w:r w:rsidRPr="00D95C16">
      <w:rPr>
        <w:rStyle w:val="HideTWBExt"/>
      </w:rPr>
      <w:t>&lt;/Version&gt;</w:t>
    </w:r>
  </w:p>
  <w:p w14:paraId="7B83958F" w14:textId="34B27E3A" w:rsidR="00C75378" w:rsidRPr="004C3E15" w:rsidRDefault="00D95C16" w:rsidP="00D95C16">
    <w:pPr>
      <w:pStyle w:val="EPFooter2"/>
    </w:pPr>
    <w:r>
      <w:tab/>
    </w:r>
    <w:r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AADC" w14:textId="77777777" w:rsidR="00D95C16" w:rsidRDefault="00D95C16" w:rsidP="00D95C16">
    <w:pPr>
      <w:pStyle w:val="EPFooter"/>
    </w:pPr>
    <w:r w:rsidRPr="00D95C16">
      <w:rPr>
        <w:rStyle w:val="HideTWBExt"/>
      </w:rPr>
      <w:t>&lt;PathFdR&gt;</w:t>
    </w:r>
    <w:r>
      <w:t>AD\1337454MT.docx</w:t>
    </w:r>
    <w:r w:rsidRPr="00D95C16">
      <w:rPr>
        <w:rStyle w:val="HideTWBExt"/>
      </w:rPr>
      <w:t>&lt;/PathFdR&gt;</w:t>
    </w:r>
    <w:r>
      <w:tab/>
    </w:r>
    <w:r>
      <w:tab/>
      <w:t>PE</w:t>
    </w:r>
    <w:r w:rsidRPr="00D95C16">
      <w:rPr>
        <w:rStyle w:val="HideTWBExt"/>
      </w:rPr>
      <w:t>&lt;NoPE&gt;</w:t>
    </w:r>
    <w:r>
      <w:t>779.773</w:t>
    </w:r>
    <w:r w:rsidRPr="00D95C16">
      <w:rPr>
        <w:rStyle w:val="HideTWBExt"/>
      </w:rPr>
      <w:t>&lt;/NoPE&gt;&lt;Version&gt;</w:t>
    </w:r>
    <w:r>
      <w:t>v02-00</w:t>
    </w:r>
    <w:r w:rsidRPr="00D95C16">
      <w:rPr>
        <w:rStyle w:val="HideTWBExt"/>
      </w:rPr>
      <w:t>&lt;/Version&gt;</w:t>
    </w:r>
  </w:p>
  <w:p w14:paraId="1CE815C7" w14:textId="09391854" w:rsidR="00C75378" w:rsidRPr="004C3E15" w:rsidRDefault="00D95C16" w:rsidP="00D95C16">
    <w:pPr>
      <w:pStyle w:val="EPFooter2"/>
    </w:pPr>
    <w:r>
      <w:t>MT</w:t>
    </w:r>
    <w:r>
      <w:tab/>
    </w:r>
    <w:r w:rsidRPr="00D95C16">
      <w:rPr>
        <w:b w:val="0"/>
        <w:i/>
        <w:color w:val="C0C0C0"/>
        <w:sz w:val="22"/>
      </w:rPr>
      <w:t>Magħquda fid-diversità</w:t>
    </w:r>
    <w:r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28F65" w14:textId="77777777" w:rsidR="00167C65" w:rsidRPr="004C3E15" w:rsidRDefault="00167C65">
      <w:r w:rsidRPr="004C3E15">
        <w:separator/>
      </w:r>
    </w:p>
  </w:footnote>
  <w:footnote w:type="continuationSeparator" w:id="0">
    <w:p w14:paraId="020EDAB4" w14:textId="77777777" w:rsidR="00167C65" w:rsidRPr="004C3E15" w:rsidRDefault="00167C65">
      <w:r w:rsidRPr="004C3E15">
        <w:continuationSeparator/>
      </w:r>
    </w:p>
  </w:footnote>
  <w:footnote w:id="1">
    <w:p w14:paraId="63F56E43" w14:textId="11F58111" w:rsidR="00C92DEC" w:rsidRDefault="00C92DEC">
      <w:pPr>
        <w:pStyle w:val="FootnoteText"/>
      </w:pPr>
      <w:r>
        <w:rPr>
          <w:rStyle w:val="FootnoteReference"/>
        </w:rPr>
        <w:footnoteRef/>
      </w:r>
      <w:r>
        <w:t xml:space="preserve">   Il-Ftehim Interistituzzjonali tal-20 ta’ Mejju 2021 bejn il-Parlament Ewropew, il-Kunsill tal-Unjoni Ewropea u l-Kummissjoni Ewropea dwar Reġistru Obbligatorju ta’ Trasparenza (ĠU L 207, 11.6.2021, p. 1, ELI: </w:t>
      </w:r>
      <w:hyperlink r:id="rId1" w:history="1">
        <w:r>
          <w:rPr>
            <w:rStyle w:val="Hyperlink"/>
            <w:sz w:val="24"/>
          </w:rPr>
          <w:t>http://data.europa.eu/eli/agree_interinstit/2021/611/oj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FB73" w14:textId="77777777" w:rsidR="00C92DEC" w:rsidRDefault="00C92D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84EA" w14:textId="77777777" w:rsidR="00C92DEC" w:rsidRDefault="00C92D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FC6C8" w14:textId="77777777" w:rsidR="00C92DEC" w:rsidRDefault="00C92D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18334C"/>
    <w:multiLevelType w:val="hybridMultilevel"/>
    <w:tmpl w:val="2BE2C4E6"/>
    <w:lvl w:ilvl="0" w:tplc="DF8C9CD4">
      <w:start w:val="1"/>
      <w:numFmt w:val="upperLetter"/>
      <w:lvlText w:val="%1."/>
      <w:lvlJc w:val="left"/>
      <w:pPr>
        <w:ind w:left="720" w:hanging="360"/>
      </w:pPr>
    </w:lvl>
    <w:lvl w:ilvl="1" w:tplc="060C35AA">
      <w:start w:val="1"/>
      <w:numFmt w:val="lowerLetter"/>
      <w:lvlText w:val="%2."/>
      <w:lvlJc w:val="left"/>
      <w:pPr>
        <w:ind w:left="1440" w:hanging="360"/>
      </w:pPr>
    </w:lvl>
    <w:lvl w:ilvl="2" w:tplc="11984FCC">
      <w:start w:val="1"/>
      <w:numFmt w:val="lowerRoman"/>
      <w:lvlText w:val="%3."/>
      <w:lvlJc w:val="right"/>
      <w:pPr>
        <w:ind w:left="2160" w:hanging="180"/>
      </w:pPr>
    </w:lvl>
    <w:lvl w:ilvl="3" w:tplc="D6702CE0">
      <w:start w:val="1"/>
      <w:numFmt w:val="decimal"/>
      <w:lvlText w:val="%4."/>
      <w:lvlJc w:val="left"/>
      <w:pPr>
        <w:ind w:left="2880" w:hanging="360"/>
      </w:pPr>
    </w:lvl>
    <w:lvl w:ilvl="4" w:tplc="FE78F8AA">
      <w:start w:val="1"/>
      <w:numFmt w:val="lowerLetter"/>
      <w:lvlText w:val="%5."/>
      <w:lvlJc w:val="left"/>
      <w:pPr>
        <w:ind w:left="3600" w:hanging="360"/>
      </w:pPr>
    </w:lvl>
    <w:lvl w:ilvl="5" w:tplc="38B4BE9E">
      <w:start w:val="1"/>
      <w:numFmt w:val="lowerRoman"/>
      <w:lvlText w:val="%6."/>
      <w:lvlJc w:val="right"/>
      <w:pPr>
        <w:ind w:left="4320" w:hanging="180"/>
      </w:pPr>
    </w:lvl>
    <w:lvl w:ilvl="6" w:tplc="63FC4F5A">
      <w:start w:val="1"/>
      <w:numFmt w:val="decimal"/>
      <w:lvlText w:val="%7."/>
      <w:lvlJc w:val="left"/>
      <w:pPr>
        <w:ind w:left="5040" w:hanging="360"/>
      </w:pPr>
    </w:lvl>
    <w:lvl w:ilvl="7" w:tplc="AEE4F33C">
      <w:start w:val="1"/>
      <w:numFmt w:val="lowerLetter"/>
      <w:lvlText w:val="%8."/>
      <w:lvlJc w:val="left"/>
      <w:pPr>
        <w:ind w:left="5760" w:hanging="360"/>
      </w:pPr>
    </w:lvl>
    <w:lvl w:ilvl="8" w:tplc="EDE657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A0F72"/>
    <w:multiLevelType w:val="multilevel"/>
    <w:tmpl w:val="8E585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4720171">
    <w:abstractNumId w:val="9"/>
  </w:num>
  <w:num w:numId="2" w16cid:durableId="2098552513">
    <w:abstractNumId w:val="9"/>
  </w:num>
  <w:num w:numId="3" w16cid:durableId="2097628775">
    <w:abstractNumId w:val="7"/>
  </w:num>
  <w:num w:numId="4" w16cid:durableId="2077967814">
    <w:abstractNumId w:val="7"/>
  </w:num>
  <w:num w:numId="5" w16cid:durableId="96143739">
    <w:abstractNumId w:val="6"/>
  </w:num>
  <w:num w:numId="6" w16cid:durableId="435946577">
    <w:abstractNumId w:val="6"/>
  </w:num>
  <w:num w:numId="7" w16cid:durableId="1565019903">
    <w:abstractNumId w:val="5"/>
  </w:num>
  <w:num w:numId="8" w16cid:durableId="2126609121">
    <w:abstractNumId w:val="5"/>
  </w:num>
  <w:num w:numId="9" w16cid:durableId="960496257">
    <w:abstractNumId w:val="4"/>
  </w:num>
  <w:num w:numId="10" w16cid:durableId="599340997">
    <w:abstractNumId w:val="4"/>
  </w:num>
  <w:num w:numId="11" w16cid:durableId="1267687077">
    <w:abstractNumId w:val="8"/>
  </w:num>
  <w:num w:numId="12" w16cid:durableId="1597786143">
    <w:abstractNumId w:val="8"/>
  </w:num>
  <w:num w:numId="13" w16cid:durableId="129326427">
    <w:abstractNumId w:val="3"/>
  </w:num>
  <w:num w:numId="14" w16cid:durableId="1215966408">
    <w:abstractNumId w:val="3"/>
  </w:num>
  <w:num w:numId="15" w16cid:durableId="1113288853">
    <w:abstractNumId w:val="2"/>
  </w:num>
  <w:num w:numId="16" w16cid:durableId="597908345">
    <w:abstractNumId w:val="2"/>
  </w:num>
  <w:num w:numId="17" w16cid:durableId="487015595">
    <w:abstractNumId w:val="1"/>
  </w:num>
  <w:num w:numId="18" w16cid:durableId="798956618">
    <w:abstractNumId w:val="1"/>
  </w:num>
  <w:num w:numId="19" w16cid:durableId="1683706839">
    <w:abstractNumId w:val="0"/>
  </w:num>
  <w:num w:numId="20" w16cid:durableId="1750421596">
    <w:abstractNumId w:val="0"/>
  </w:num>
  <w:num w:numId="21" w16cid:durableId="605429425">
    <w:abstractNumId w:val="9"/>
  </w:num>
  <w:num w:numId="22" w16cid:durableId="1509709880">
    <w:abstractNumId w:val="7"/>
  </w:num>
  <w:num w:numId="23" w16cid:durableId="503789320">
    <w:abstractNumId w:val="6"/>
  </w:num>
  <w:num w:numId="24" w16cid:durableId="933123982">
    <w:abstractNumId w:val="5"/>
  </w:num>
  <w:num w:numId="25" w16cid:durableId="1945259912">
    <w:abstractNumId w:val="4"/>
  </w:num>
  <w:num w:numId="26" w16cid:durableId="476193849">
    <w:abstractNumId w:val="8"/>
  </w:num>
  <w:num w:numId="27" w16cid:durableId="537278679">
    <w:abstractNumId w:val="3"/>
  </w:num>
  <w:num w:numId="28" w16cid:durableId="541863741">
    <w:abstractNumId w:val="2"/>
  </w:num>
  <w:num w:numId="29" w16cid:durableId="1037583520">
    <w:abstractNumId w:val="1"/>
  </w:num>
  <w:num w:numId="30" w16cid:durableId="276563944">
    <w:abstractNumId w:val="0"/>
  </w:num>
  <w:num w:numId="31" w16cid:durableId="1784112489">
    <w:abstractNumId w:val="9"/>
  </w:num>
  <w:num w:numId="32" w16cid:durableId="1745956343">
    <w:abstractNumId w:val="7"/>
  </w:num>
  <w:num w:numId="33" w16cid:durableId="1104230206">
    <w:abstractNumId w:val="6"/>
  </w:num>
  <w:num w:numId="34" w16cid:durableId="1143816796">
    <w:abstractNumId w:val="5"/>
  </w:num>
  <w:num w:numId="35" w16cid:durableId="1966303774">
    <w:abstractNumId w:val="4"/>
  </w:num>
  <w:num w:numId="36" w16cid:durableId="676493609">
    <w:abstractNumId w:val="8"/>
  </w:num>
  <w:num w:numId="37" w16cid:durableId="1963147275">
    <w:abstractNumId w:val="3"/>
  </w:num>
  <w:num w:numId="38" w16cid:durableId="2013943822">
    <w:abstractNumId w:val="2"/>
  </w:num>
  <w:num w:numId="39" w16cid:durableId="772940781">
    <w:abstractNumId w:val="1"/>
  </w:num>
  <w:num w:numId="40" w16cid:durableId="1306815168">
    <w:abstractNumId w:val="0"/>
  </w:num>
  <w:num w:numId="41" w16cid:durableId="935673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5210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HORMFMNU" w:val=" 2"/>
    <w:docVar w:name="COMKEY" w:val="FEMM"/>
    <w:docVar w:name="CONTRIBUTIONMNU" w:val=" 2"/>
    <w:docVar w:name="DOCDT" w:val="24/11/2025"/>
    <w:docVar w:name="FONCTIONMNU" w:val=" 1"/>
    <w:docVar w:name="LastEditedSection" w:val=" 4"/>
    <w:docVar w:name="OTHERHEADINGMNU" w:val=" 2"/>
    <w:docVar w:name="PARTCOUNT" w:val="0"/>
    <w:docVar w:name="strDocTypeID" w:val="PA_NonLegDec"/>
    <w:docVar w:name="strSubDir" w:val="1337"/>
    <w:docVar w:name="TITLEMNU" w:val=" 3"/>
    <w:docVar w:name="TXTAUTHOR" w:val="Raquel García Hermida_x001e_Van Der Walle"/>
    <w:docVar w:name="TXTLANGUE" w:val="MT"/>
    <w:docVar w:name="TXTLANGUEMIN" w:val="mt"/>
    <w:docVar w:name="TXTNRPE" w:val="779.773"/>
    <w:docVar w:name="TXTNRPROC" w:val="2025/2146"/>
    <w:docVar w:name="TXTPEorAP" w:val="PE"/>
    <w:docVar w:name="TXTROUTE" w:val="AD\1337454MT.docx"/>
    <w:docVar w:name="TXTTITLE" w:val="on the discharge in respect of the implementation of the general budget of the Parliament for the financial year 2024_x000d_"/>
    <w:docVar w:name="TXTVERSION" w:val="02-00"/>
  </w:docVars>
  <w:rsids>
    <w:rsidRoot w:val="00D26BDA"/>
    <w:rsid w:val="000048A8"/>
    <w:rsid w:val="00007A18"/>
    <w:rsid w:val="00062634"/>
    <w:rsid w:val="00077EC7"/>
    <w:rsid w:val="000A0473"/>
    <w:rsid w:val="000A05CA"/>
    <w:rsid w:val="000B6C4B"/>
    <w:rsid w:val="000D001F"/>
    <w:rsid w:val="000D099F"/>
    <w:rsid w:val="000E6813"/>
    <w:rsid w:val="000F07FE"/>
    <w:rsid w:val="001275F4"/>
    <w:rsid w:val="00163AF4"/>
    <w:rsid w:val="00167C65"/>
    <w:rsid w:val="00192B06"/>
    <w:rsid w:val="001A455F"/>
    <w:rsid w:val="001F2766"/>
    <w:rsid w:val="001F6ED8"/>
    <w:rsid w:val="00212D35"/>
    <w:rsid w:val="00220B78"/>
    <w:rsid w:val="00245C7F"/>
    <w:rsid w:val="00271180"/>
    <w:rsid w:val="002A4AC9"/>
    <w:rsid w:val="002B2892"/>
    <w:rsid w:val="002C0EE6"/>
    <w:rsid w:val="002C34AE"/>
    <w:rsid w:val="002E2F2E"/>
    <w:rsid w:val="00307C14"/>
    <w:rsid w:val="00316282"/>
    <w:rsid w:val="003707A7"/>
    <w:rsid w:val="00385BAB"/>
    <w:rsid w:val="0039003E"/>
    <w:rsid w:val="0039483A"/>
    <w:rsid w:val="00396FA9"/>
    <w:rsid w:val="003B72FC"/>
    <w:rsid w:val="003D684B"/>
    <w:rsid w:val="003E06CF"/>
    <w:rsid w:val="003E35FB"/>
    <w:rsid w:val="003F3B83"/>
    <w:rsid w:val="00431E30"/>
    <w:rsid w:val="00487232"/>
    <w:rsid w:val="00495CA4"/>
    <w:rsid w:val="004A34E6"/>
    <w:rsid w:val="004C28FB"/>
    <w:rsid w:val="004C3E15"/>
    <w:rsid w:val="004E54DC"/>
    <w:rsid w:val="004F48ED"/>
    <w:rsid w:val="004F7327"/>
    <w:rsid w:val="00514664"/>
    <w:rsid w:val="005310A7"/>
    <w:rsid w:val="0055017A"/>
    <w:rsid w:val="00577018"/>
    <w:rsid w:val="005779E7"/>
    <w:rsid w:val="005D0786"/>
    <w:rsid w:val="005E3670"/>
    <w:rsid w:val="00600DC9"/>
    <w:rsid w:val="00643F39"/>
    <w:rsid w:val="0066728C"/>
    <w:rsid w:val="00671C7F"/>
    <w:rsid w:val="006819E0"/>
    <w:rsid w:val="0071319E"/>
    <w:rsid w:val="00722749"/>
    <w:rsid w:val="00764251"/>
    <w:rsid w:val="00806587"/>
    <w:rsid w:val="008818A9"/>
    <w:rsid w:val="008879FD"/>
    <w:rsid w:val="008B3B9C"/>
    <w:rsid w:val="008C07DF"/>
    <w:rsid w:val="008C6240"/>
    <w:rsid w:val="008E7494"/>
    <w:rsid w:val="008F36CD"/>
    <w:rsid w:val="008F7002"/>
    <w:rsid w:val="0095301E"/>
    <w:rsid w:val="0095497D"/>
    <w:rsid w:val="009669A8"/>
    <w:rsid w:val="00972FD8"/>
    <w:rsid w:val="00977F76"/>
    <w:rsid w:val="0098140C"/>
    <w:rsid w:val="009A33F4"/>
    <w:rsid w:val="009A403C"/>
    <w:rsid w:val="009B5265"/>
    <w:rsid w:val="00A2041C"/>
    <w:rsid w:val="00A722B1"/>
    <w:rsid w:val="00A8267E"/>
    <w:rsid w:val="00A93570"/>
    <w:rsid w:val="00A9617A"/>
    <w:rsid w:val="00AA1A2C"/>
    <w:rsid w:val="00AA223C"/>
    <w:rsid w:val="00AF77DA"/>
    <w:rsid w:val="00B107A4"/>
    <w:rsid w:val="00B1441B"/>
    <w:rsid w:val="00B362F7"/>
    <w:rsid w:val="00BB2AC1"/>
    <w:rsid w:val="00BD7804"/>
    <w:rsid w:val="00C04938"/>
    <w:rsid w:val="00C05BFA"/>
    <w:rsid w:val="00C175C0"/>
    <w:rsid w:val="00C47E30"/>
    <w:rsid w:val="00C54F53"/>
    <w:rsid w:val="00C75378"/>
    <w:rsid w:val="00C85D0F"/>
    <w:rsid w:val="00C92DEC"/>
    <w:rsid w:val="00CA0D01"/>
    <w:rsid w:val="00CA56A7"/>
    <w:rsid w:val="00CF7076"/>
    <w:rsid w:val="00D174A7"/>
    <w:rsid w:val="00D26BDA"/>
    <w:rsid w:val="00D41244"/>
    <w:rsid w:val="00D438D0"/>
    <w:rsid w:val="00D44697"/>
    <w:rsid w:val="00D47632"/>
    <w:rsid w:val="00D625A2"/>
    <w:rsid w:val="00D71751"/>
    <w:rsid w:val="00D759AA"/>
    <w:rsid w:val="00D95C16"/>
    <w:rsid w:val="00DA7632"/>
    <w:rsid w:val="00E01434"/>
    <w:rsid w:val="00E05697"/>
    <w:rsid w:val="00E12435"/>
    <w:rsid w:val="00E3462E"/>
    <w:rsid w:val="00E729C7"/>
    <w:rsid w:val="00E83B40"/>
    <w:rsid w:val="00E9601C"/>
    <w:rsid w:val="00EA78B3"/>
    <w:rsid w:val="00EB19AA"/>
    <w:rsid w:val="00EC2C85"/>
    <w:rsid w:val="00ED0ECB"/>
    <w:rsid w:val="00F036E0"/>
    <w:rsid w:val="00F129D0"/>
    <w:rsid w:val="00F46E44"/>
    <w:rsid w:val="00F611FC"/>
    <w:rsid w:val="00F61E8C"/>
    <w:rsid w:val="00F707AB"/>
    <w:rsid w:val="00F96D53"/>
    <w:rsid w:val="00FB459D"/>
    <w:rsid w:val="00FF00D4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E1074"/>
  <w15:chartTrackingRefBased/>
  <w15:docId w15:val="{93CAEA89-B191-4BE4-ABAF-F909424F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263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A7632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A7632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A7632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sid w:val="00DA7632"/>
    <w:rPr>
      <w:rFonts w:ascii="Arial" w:hAnsi="Arial"/>
      <w:vanish/>
      <w:color w:val="808080"/>
      <w:sz w:val="20"/>
    </w:rPr>
  </w:style>
  <w:style w:type="paragraph" w:customStyle="1" w:styleId="PageHeadingNotTOC">
    <w:name w:val="PageHeadingNotTOC"/>
    <w:basedOn w:val="Normal"/>
    <w:rsid w:val="00DA7632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DA763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A7632"/>
    <w:pPr>
      <w:spacing w:after="480"/>
      <w:ind w:left="1417"/>
    </w:pPr>
  </w:style>
  <w:style w:type="paragraph" w:customStyle="1" w:styleId="CoverNormal">
    <w:name w:val="CoverNormal"/>
    <w:basedOn w:val="Normal"/>
    <w:rsid w:val="00DA7632"/>
    <w:pPr>
      <w:ind w:left="1418"/>
    </w:pPr>
  </w:style>
  <w:style w:type="paragraph" w:styleId="Header">
    <w:name w:val="header"/>
    <w:basedOn w:val="Normal"/>
    <w:link w:val="HeaderChar"/>
    <w:semiHidden/>
    <w:rsid w:val="00FF158E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DA7632"/>
    <w:pPr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DA7632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CoverDate">
    <w:name w:val="CoverDate"/>
    <w:basedOn w:val="Normal"/>
    <w:rsid w:val="00DA7632"/>
    <w:pPr>
      <w:spacing w:before="240" w:after="1200"/>
    </w:pPr>
  </w:style>
  <w:style w:type="paragraph" w:customStyle="1" w:styleId="NormalHanging12a">
    <w:name w:val="NormalHanging12a"/>
    <w:basedOn w:val="Normal"/>
    <w:link w:val="NormalHanging12aChar"/>
    <w:rsid w:val="00DA7632"/>
    <w:pPr>
      <w:spacing w:after="240"/>
      <w:ind w:left="567" w:hanging="567"/>
    </w:pPr>
  </w:style>
  <w:style w:type="paragraph" w:customStyle="1" w:styleId="Subheading">
    <w:name w:val="Subheading"/>
    <w:basedOn w:val="Normal"/>
    <w:rsid w:val="00DA7632"/>
    <w:pPr>
      <w:spacing w:before="480" w:after="240"/>
    </w:pPr>
    <w:rPr>
      <w:b/>
      <w:i/>
      <w:szCs w:val="24"/>
    </w:rPr>
  </w:style>
  <w:style w:type="table" w:styleId="TableGrid">
    <w:name w:val="Table Grid"/>
    <w:basedOn w:val="TableNormal"/>
    <w:rsid w:val="00E9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DA7632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DA7632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DA7632"/>
    <w:pPr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</w:rPr>
  </w:style>
  <w:style w:type="paragraph" w:customStyle="1" w:styleId="EPTerm">
    <w:name w:val="EPTerm"/>
    <w:basedOn w:val="Normal"/>
    <w:next w:val="Normal"/>
    <w:rsid w:val="00DA763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DA7632"/>
    <w:pPr>
      <w:jc w:val="right"/>
    </w:pPr>
  </w:style>
  <w:style w:type="paragraph" w:customStyle="1" w:styleId="EPFooter">
    <w:name w:val="EPFooter"/>
    <w:basedOn w:val="Normal"/>
    <w:rsid w:val="00DA763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FF158E"/>
    <w:rPr>
      <w:sz w:val="24"/>
    </w:rPr>
  </w:style>
  <w:style w:type="paragraph" w:styleId="Footer">
    <w:name w:val="footer"/>
    <w:basedOn w:val="Normal"/>
    <w:link w:val="FooterChar"/>
    <w:semiHidden/>
    <w:rsid w:val="005310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310A7"/>
    <w:rPr>
      <w:sz w:val="24"/>
    </w:rPr>
  </w:style>
  <w:style w:type="character" w:customStyle="1" w:styleId="NormalHanging12aChar">
    <w:name w:val="NormalHanging12a Char"/>
    <w:basedOn w:val="DefaultParagraphFont"/>
    <w:link w:val="NormalHanging12a"/>
    <w:rsid w:val="00C92DEC"/>
    <w:rPr>
      <w:sz w:val="24"/>
    </w:rPr>
  </w:style>
  <w:style w:type="paragraph" w:customStyle="1" w:styleId="Normal24a">
    <w:name w:val="Normal24a"/>
    <w:basedOn w:val="Normal"/>
    <w:rsid w:val="00C92DEC"/>
    <w:pPr>
      <w:spacing w:after="480"/>
    </w:pPr>
    <w:rPr>
      <w:szCs w:val="24"/>
    </w:rPr>
  </w:style>
  <w:style w:type="paragraph" w:customStyle="1" w:styleId="NormalBoldCenter">
    <w:name w:val="NormalBoldCenter"/>
    <w:basedOn w:val="Normal"/>
    <w:rsid w:val="00C92DEC"/>
    <w:pPr>
      <w:jc w:val="center"/>
    </w:pPr>
    <w:rPr>
      <w:b/>
      <w:szCs w:val="24"/>
    </w:rPr>
  </w:style>
  <w:style w:type="paragraph" w:customStyle="1" w:styleId="Footprint12b">
    <w:name w:val="Footprint12b"/>
    <w:basedOn w:val="Normal"/>
    <w:rsid w:val="00C92DEC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C92DEC"/>
    <w:rPr>
      <w:szCs w:val="24"/>
    </w:rPr>
  </w:style>
  <w:style w:type="paragraph" w:styleId="FootnoteText">
    <w:name w:val="footnote text"/>
    <w:basedOn w:val="Normal"/>
    <w:link w:val="FootnoteTextChar"/>
    <w:rsid w:val="00C92DEC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92DEC"/>
  </w:style>
  <w:style w:type="character" w:styleId="FootnoteReference">
    <w:name w:val="footnote reference"/>
    <w:basedOn w:val="DefaultParagraphFont"/>
    <w:rsid w:val="00C92DEC"/>
    <w:rPr>
      <w:vertAlign w:val="superscript"/>
    </w:rPr>
  </w:style>
  <w:style w:type="character" w:styleId="Hyperlink">
    <w:name w:val="Hyperlink"/>
    <w:basedOn w:val="DefaultParagraphFont"/>
    <w:rsid w:val="00C92D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DEC"/>
    <w:rPr>
      <w:color w:val="605E5C"/>
      <w:shd w:val="clear" w:color="auto" w:fill="E1DFDD"/>
    </w:rPr>
  </w:style>
  <w:style w:type="paragraph" w:customStyle="1" w:styleId="RollCallSymbols14pt">
    <w:name w:val="RollCallSymbols14pt"/>
    <w:basedOn w:val="Normal"/>
    <w:rsid w:val="00C92DEC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C92DEC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C92DEC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C92DEC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1738</Words>
  <Characters>12983</Characters>
  <Application>Microsoft Office Word</Application>
  <DocSecurity>0</DocSecurity>
  <Lines>249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PA_NonLegDec</vt:lpstr>
    </vt:vector>
  </TitlesOfParts>
  <Company/>
  <LinksUpToDate>false</LinksUpToDate>
  <CharactersWithSpaces>14627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PA_NonLegDec</dc:title>
  <dc:creator>European Parliament</dc:creator>
  <cp:lastModifiedBy>European Parliament</cp:lastModifiedBy>
  <cp:revision>2</cp:revision>
  <cp:lastPrinted>2004-10-28T10:33:00Z</cp:lastPrinted>
  <dcterms:created xsi:type="dcterms:W3CDTF">2026-02-16T11:15:00Z</dcterms:created>
  <dcterms:modified xsi:type="dcterms:W3CDTF">2026-02-16T11:15:00Z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1337454</vt:lpwstr>
  </property>
  <property fmtid="{D5CDD505-2E9C-101B-9397-08002B2CF9AE}" pid="4" name="&lt;Model&gt;">
    <vt:lpwstr>PA_NonLegDec</vt:lpwstr>
  </property>
  <property fmtid="{D5CDD505-2E9C-101B-9397-08002B2CF9AE}" pid="5" name="&lt;ModelCod&gt;">
    <vt:lpwstr>\\eiciBRUpr1\pdocep$\DocEP\DOCS\General\PA\PA_NonLeg\PA_NonLegDec.dotx(08/11/2024 09:44:10)</vt:lpwstr>
  </property>
  <property fmtid="{D5CDD505-2E9C-101B-9397-08002B2CF9AE}" pid="6" name="&lt;ModelTra&gt;">
    <vt:lpwstr>\\eiciBRUpr1\pdocep$\DocEP\TRANSFIL\EN\PA_NonLegDec.EN(21/01/2025 14:39:00)</vt:lpwstr>
  </property>
  <property fmtid="{D5CDD505-2E9C-101B-9397-08002B2CF9AE}" pid="7" name="&lt;Type&gt;">
    <vt:lpwstr>AD</vt:lpwstr>
  </property>
  <property fmtid="{D5CDD505-2E9C-101B-9397-08002B2CF9AE}" pid="8" name="Created with">
    <vt:lpwstr>10.2.0 Build [20251001]</vt:lpwstr>
  </property>
  <property fmtid="{D5CDD505-2E9C-101B-9397-08002B2CF9AE}" pid="9" name="FooterPath">
    <vt:lpwstr>AD\1337454MT.docx</vt:lpwstr>
  </property>
  <property fmtid="{D5CDD505-2E9C-101B-9397-08002B2CF9AE}" pid="10" name="LastEdited with">
    <vt:lpwstr>10.2.1 Build [20260110]</vt:lpwstr>
  </property>
  <property fmtid="{D5CDD505-2E9C-101B-9397-08002B2CF9AE}" pid="11" name="PE number">
    <vt:lpwstr>779.773</vt:lpwstr>
  </property>
  <property fmtid="{D5CDD505-2E9C-101B-9397-08002B2CF9AE}" pid="12" name="SDLStudio">
    <vt:lpwstr/>
  </property>
  <property fmtid="{D5CDD505-2E9C-101B-9397-08002B2CF9AE}" pid="13" name="SendToEpades">
    <vt:lpwstr>OK - 2025/11/25 09:39</vt:lpwstr>
  </property>
  <property fmtid="{D5CDD505-2E9C-101B-9397-08002B2CF9AE}" pid="14" name="Bookout">
    <vt:lpwstr>OK - 2026/02/16 12:15</vt:lpwstr>
  </property>
</Properties>
</file>