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91A58" w:rsidRPr="009E5FDC" w:rsidTr="00C85D0F">
        <w:trPr>
          <w:trHeight w:hRule="exact" w:val="1418"/>
        </w:trPr>
        <w:tc>
          <w:tcPr>
            <w:tcW w:w="6804" w:type="dxa"/>
            <w:shd w:val="clear" w:color="auto" w:fill="auto"/>
            <w:vAlign w:val="center"/>
          </w:tcPr>
          <w:p w:rsidR="00854CAC" w:rsidRPr="009E5FDC" w:rsidRDefault="007C3769" w:rsidP="00C85D0F">
            <w:pPr>
              <w:pStyle w:val="EPName"/>
            </w:pPr>
            <w:r w:rsidRPr="009E5FDC">
              <w:t>Ευρωπαϊκό Κοινοβούλιο</w:t>
            </w:r>
          </w:p>
          <w:p w:rsidR="00854CAC" w:rsidRPr="009E5FDC" w:rsidRDefault="007C3769" w:rsidP="00B712EA">
            <w:pPr>
              <w:pStyle w:val="EPTerm"/>
            </w:pPr>
            <w:r w:rsidRPr="009E5FDC">
              <w:t>2019-2024</w:t>
            </w:r>
          </w:p>
        </w:tc>
        <w:tc>
          <w:tcPr>
            <w:tcW w:w="2268" w:type="dxa"/>
            <w:shd w:val="clear" w:color="auto" w:fill="auto"/>
          </w:tcPr>
          <w:p w:rsidR="00854CAC" w:rsidRPr="009E5FDC" w:rsidRDefault="007C3769" w:rsidP="00C85D0F">
            <w:pPr>
              <w:pStyle w:val="EPLogo"/>
            </w:pPr>
            <w:r w:rsidRPr="009E5FD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9E5FDC" w:rsidRDefault="001746D0" w:rsidP="001746D0">
      <w:pPr>
        <w:pStyle w:val="LineTop"/>
      </w:pPr>
    </w:p>
    <w:p w:rsidR="001746D0" w:rsidRPr="009E5FDC" w:rsidRDefault="007C3769" w:rsidP="001746D0">
      <w:pPr>
        <w:pStyle w:val="EPBody"/>
      </w:pPr>
      <w:r w:rsidRPr="009E5FDC">
        <w:rPr>
          <w:rStyle w:val="HideTWBExt"/>
        </w:rPr>
        <w:t>&lt;</w:t>
      </w:r>
      <w:r w:rsidRPr="009E5FDC">
        <w:rPr>
          <w:rStyle w:val="HideTWBExt"/>
          <w:i w:val="0"/>
        </w:rPr>
        <w:t>Commission</w:t>
      </w:r>
      <w:r w:rsidRPr="009E5FDC">
        <w:rPr>
          <w:rStyle w:val="HideTWBExt"/>
        </w:rPr>
        <w:t>&gt;</w:t>
      </w:r>
      <w:r w:rsidRPr="009E5FDC">
        <w:rPr>
          <w:rStyle w:val="HideTWBInt"/>
          <w:color w:val="auto"/>
        </w:rPr>
        <w:t>{JURI}</w:t>
      </w:r>
      <w:r w:rsidRPr="009E5FDC">
        <w:t>Επιτροπή Νομικών Θεμάτων</w:t>
      </w:r>
      <w:r w:rsidRPr="009E5FDC">
        <w:rPr>
          <w:rStyle w:val="HideTWBExt"/>
        </w:rPr>
        <w:t>&lt;/</w:t>
      </w:r>
      <w:r w:rsidRPr="009E5FDC">
        <w:rPr>
          <w:rStyle w:val="HideTWBExt"/>
          <w:i w:val="0"/>
        </w:rPr>
        <w:t>Commission</w:t>
      </w:r>
      <w:r w:rsidRPr="009E5FDC">
        <w:rPr>
          <w:rStyle w:val="HideTWBExt"/>
        </w:rPr>
        <w:t>&gt;</w:t>
      </w:r>
    </w:p>
    <w:p w:rsidR="001746D0" w:rsidRPr="009E5FDC" w:rsidRDefault="001746D0" w:rsidP="001746D0">
      <w:pPr>
        <w:pStyle w:val="LineBottom"/>
      </w:pPr>
    </w:p>
    <w:p w:rsidR="002E2F2E" w:rsidRPr="009E5FDC" w:rsidRDefault="007C3769">
      <w:pPr>
        <w:pStyle w:val="CoverReference"/>
      </w:pPr>
      <w:r w:rsidRPr="009E5FDC">
        <w:rPr>
          <w:rStyle w:val="HideTWBExt"/>
          <w:b w:val="0"/>
        </w:rPr>
        <w:t>&lt;RefProc&gt;</w:t>
      </w:r>
      <w:r w:rsidRPr="009E5FDC">
        <w:t>2023/2113</w:t>
      </w:r>
      <w:r w:rsidRPr="009E5FDC">
        <w:rPr>
          <w:rStyle w:val="HideTWBExt"/>
          <w:b w:val="0"/>
        </w:rPr>
        <w:t>&lt;/RefProc&gt;&lt;RefTypeProc&gt;</w:t>
      </w:r>
      <w:r w:rsidRPr="009E5FDC">
        <w:t>(INI)</w:t>
      </w:r>
      <w:r w:rsidRPr="009E5FDC">
        <w:rPr>
          <w:rStyle w:val="HideTWBExt"/>
          <w:b w:val="0"/>
        </w:rPr>
        <w:t>&lt;/RefTypeProc&gt;</w:t>
      </w:r>
    </w:p>
    <w:p w:rsidR="002E2F2E" w:rsidRPr="009E5FDC" w:rsidRDefault="007C3769">
      <w:pPr>
        <w:pStyle w:val="CoverDate"/>
      </w:pPr>
      <w:r w:rsidRPr="009E5FDC">
        <w:rPr>
          <w:rStyle w:val="HideTWBExt"/>
        </w:rPr>
        <w:t>&lt;Date&gt;</w:t>
      </w:r>
      <w:r w:rsidRPr="009E5FDC">
        <w:rPr>
          <w:rStyle w:val="HideTWBInt"/>
          <w:color w:val="auto"/>
        </w:rPr>
        <w:t>{29/11/2023}</w:t>
      </w:r>
      <w:r w:rsidRPr="009E5FDC">
        <w:t>29.11.2023</w:t>
      </w:r>
      <w:r w:rsidRPr="009E5FDC">
        <w:rPr>
          <w:rStyle w:val="HideTWBExt"/>
        </w:rPr>
        <w:t>&lt;/Date&gt;</w:t>
      </w:r>
    </w:p>
    <w:p w:rsidR="002E2F2E" w:rsidRPr="009E5FDC" w:rsidRDefault="007C3769">
      <w:pPr>
        <w:pStyle w:val="CoverDocType24a"/>
      </w:pPr>
      <w:r w:rsidRPr="009E5FDC">
        <w:rPr>
          <w:rStyle w:val="HideTWBExt"/>
          <w:b w:val="0"/>
        </w:rPr>
        <w:t>&lt;TitreType&gt;</w:t>
      </w:r>
      <w:r w:rsidRPr="009E5FDC">
        <w:t>ΓΝΩΜΟΔΟΤΗΣΗ</w:t>
      </w:r>
      <w:r w:rsidRPr="009E5FDC">
        <w:rPr>
          <w:rStyle w:val="HideTWBExt"/>
          <w:b w:val="0"/>
        </w:rPr>
        <w:t>&lt;/TitreType&gt;</w:t>
      </w:r>
    </w:p>
    <w:p w:rsidR="002E2F2E" w:rsidRPr="009E5FDC" w:rsidRDefault="007C3769">
      <w:pPr>
        <w:pStyle w:val="CoverNormal24a"/>
      </w:pPr>
      <w:r w:rsidRPr="009E5FDC">
        <w:rPr>
          <w:rStyle w:val="HideTWBExt"/>
        </w:rPr>
        <w:t>&lt;CommissionResp&gt;</w:t>
      </w:r>
      <w:r w:rsidRPr="009E5FDC">
        <w:t xml:space="preserve">της Επιτροπής </w:t>
      </w:r>
      <w:r w:rsidRPr="009E5FDC">
        <w:t>Νομικών Θεμάτων</w:t>
      </w:r>
      <w:r w:rsidRPr="009E5FDC">
        <w:rPr>
          <w:rStyle w:val="HideTWBExt"/>
        </w:rPr>
        <w:t>&lt;/CommissionResp&gt;</w:t>
      </w:r>
    </w:p>
    <w:p w:rsidR="002E2F2E" w:rsidRPr="009E5FDC" w:rsidRDefault="007C3769">
      <w:pPr>
        <w:pStyle w:val="CoverNormal24a"/>
      </w:pPr>
      <w:r w:rsidRPr="009E5FDC">
        <w:rPr>
          <w:rStyle w:val="HideTWBExt"/>
        </w:rPr>
        <w:t>&lt;CommissionInt&gt;</w:t>
      </w:r>
      <w:r w:rsidRPr="009E5FDC">
        <w:t>προς την Επιτροπή Πολιτικών Ελευθεριών, Δικαιοσύνης και Εσωτερικών Υποθέσεων</w:t>
      </w:r>
      <w:r w:rsidRPr="009E5FDC">
        <w:rPr>
          <w:rStyle w:val="HideTWBExt"/>
        </w:rPr>
        <w:t>&lt;/CommissionInt&gt;</w:t>
      </w:r>
    </w:p>
    <w:p w:rsidR="002E2F2E" w:rsidRPr="009E5FDC" w:rsidRDefault="007C3769">
      <w:pPr>
        <w:pStyle w:val="CoverNormal"/>
      </w:pPr>
      <w:r w:rsidRPr="009E5FDC">
        <w:rPr>
          <w:rStyle w:val="HideTWBExt"/>
        </w:rPr>
        <w:t>&lt;Titre&gt;</w:t>
      </w:r>
      <w:r w:rsidRPr="009E5FDC">
        <w:t>σχετικά με την έκθεση της Επιτροπής του 2023 για το κράτος δικαίου</w:t>
      </w:r>
      <w:r w:rsidRPr="009E5FDC">
        <w:rPr>
          <w:rStyle w:val="HideTWBExt"/>
        </w:rPr>
        <w:t>&lt;/Titre&gt;</w:t>
      </w:r>
    </w:p>
    <w:p w:rsidR="002E2F2E" w:rsidRPr="009E5FDC" w:rsidRDefault="007C3769">
      <w:pPr>
        <w:pStyle w:val="CoverNormal24a"/>
      </w:pPr>
      <w:r w:rsidRPr="009E5FDC">
        <w:rPr>
          <w:rStyle w:val="HideTWBExt"/>
        </w:rPr>
        <w:t>&lt;DocRef&gt;</w:t>
      </w:r>
      <w:r w:rsidRPr="009E5FDC">
        <w:t>(2023/2113(INI))</w:t>
      </w:r>
      <w:r w:rsidRPr="009E5FDC">
        <w:rPr>
          <w:rStyle w:val="HideTWBExt"/>
        </w:rPr>
        <w:t>&lt;/DocRef&gt;</w:t>
      </w:r>
    </w:p>
    <w:p w:rsidR="002E2F2E" w:rsidRPr="009E5FDC" w:rsidRDefault="007C3769">
      <w:pPr>
        <w:pStyle w:val="CoverNormal24a"/>
      </w:pPr>
      <w:r w:rsidRPr="009E5FDC">
        <w:t xml:space="preserve">Συντάκτης γνωμοδότησης (*): </w:t>
      </w:r>
      <w:r w:rsidRPr="009E5FDC">
        <w:rPr>
          <w:rStyle w:val="HideTWBExt"/>
        </w:rPr>
        <w:t>&lt;Depute&gt;</w:t>
      </w:r>
      <w:r w:rsidRPr="009E5FDC">
        <w:t>Adrián Vázquez Lázara</w:t>
      </w:r>
      <w:r w:rsidRPr="009E5FDC">
        <w:rPr>
          <w:rStyle w:val="HideTWBExt"/>
        </w:rPr>
        <w:t>&lt;/Depute&gt;</w:t>
      </w:r>
    </w:p>
    <w:p w:rsidR="00B712EA" w:rsidRPr="009E5FDC" w:rsidRDefault="007C3769" w:rsidP="00B712EA">
      <w:pPr>
        <w:pStyle w:val="CoverNormal24a"/>
      </w:pPr>
      <w:r w:rsidRPr="009E5FDC">
        <w:t>(*) Συνδεδεμένη επιτροπή – άρθρο 57 του Κανονισμού</w:t>
      </w:r>
    </w:p>
    <w:p w:rsidR="00A72C35" w:rsidRPr="009E5FDC" w:rsidRDefault="00A72C35" w:rsidP="00A72C35">
      <w:pPr>
        <w:pStyle w:val="CoverNormal"/>
      </w:pPr>
    </w:p>
    <w:p w:rsidR="002E2F2E" w:rsidRPr="009E5FDC" w:rsidRDefault="007C3769" w:rsidP="00E856D2">
      <w:pPr>
        <w:widowControl/>
        <w:tabs>
          <w:tab w:val="center" w:pos="4677"/>
        </w:tabs>
      </w:pPr>
      <w:r w:rsidRPr="009E5FDC">
        <w:br w:type="page"/>
      </w:r>
      <w:r w:rsidRPr="009E5FDC">
        <w:lastRenderedPageBreak/>
        <w:t>PA_NonLeg</w:t>
      </w:r>
    </w:p>
    <w:p w:rsidR="002E2F2E" w:rsidRPr="009E5FDC" w:rsidRDefault="007C3769">
      <w:pPr>
        <w:pStyle w:val="PageHeadingNotTOC"/>
      </w:pPr>
      <w:r w:rsidRPr="009E5FDC">
        <w:br w:type="page"/>
      </w:r>
      <w:r w:rsidRPr="009E5FDC">
        <w:lastRenderedPageBreak/>
        <w:t>ΠΡΟΤΑΣΕΙΣ</w:t>
      </w:r>
    </w:p>
    <w:p w:rsidR="00B712EA" w:rsidRPr="009E5FDC" w:rsidRDefault="007C3769" w:rsidP="001C6C04">
      <w:pPr>
        <w:pStyle w:val="Normal12a"/>
        <w:rPr>
          <w:szCs w:val="24"/>
        </w:rPr>
      </w:pPr>
      <w:r w:rsidRPr="009E5FDC">
        <w:t xml:space="preserve">Η Επιτροπή Νομικών Θεμάτων καλεί την Επιτροπή Πολιτικών Ελευθεριών, Δικαιοσύνης και Εσωτερικών Υποθέσεων, που </w:t>
      </w:r>
      <w:r w:rsidRPr="009E5FDC">
        <w:t>είναι αρμόδια επί της ουσίας, να συμπεριλάβει στην πρόταση ψηφίσματός της τις ακόλουθες προτάσεις:</w:t>
      </w:r>
    </w:p>
    <w:p w:rsidR="00BB0748" w:rsidRPr="009E5FDC" w:rsidRDefault="007C3769" w:rsidP="00BB0748">
      <w:pPr>
        <w:pStyle w:val="NormalHanging12a"/>
        <w:rPr>
          <w:rStyle w:val="BoldItalic"/>
        </w:rPr>
      </w:pPr>
      <w:r w:rsidRPr="009E5FDC">
        <w:rPr>
          <w:rStyle w:val="BoldItalic"/>
        </w:rPr>
        <w:t>Γενικά</w:t>
      </w:r>
    </w:p>
    <w:p w:rsidR="00BB0748" w:rsidRPr="009E5FDC" w:rsidRDefault="007C3769" w:rsidP="00BB0748">
      <w:pPr>
        <w:pStyle w:val="NormalHanging12a"/>
      </w:pPr>
      <w:r w:rsidRPr="009E5FDC">
        <w:t>1.</w:t>
      </w:r>
      <w:r w:rsidRPr="009E5FDC">
        <w:tab/>
        <w:t>υπενθυμίζει ότι η νομική δομή της Ένωσης βασίζεται στη θεμελιώδη παραδοχή ότι κάθε κράτος μέλος αποδέχεται από κοινού με τα λοιπά κράτη μέλη μια σε</w:t>
      </w:r>
      <w:r w:rsidRPr="009E5FDC">
        <w:t>ιρά κοινών αξιών επί των οποίων στηρίζεται η Ένωση, όπως διευκρινίζει το άρθρο 2 της Συνθήκης για την Ευρωπαϊκή Ένωση</w:t>
      </w:r>
      <w:r w:rsidRPr="009E5FDC">
        <w:rPr>
          <w:rStyle w:val="FootnoteReference"/>
        </w:rPr>
        <w:footnoteReference w:id="1"/>
      </w:r>
      <w:r w:rsidRPr="009E5FDC">
        <w:t>· υπενθυμίζει περαιτέρω ότι το κράτος δικαίου, όπως κατοχυρώνεται στο πρωτογενές δίκαιο της ΕΕ και ορίζεται περαιτέρω στη νομολογία του Δι</w:t>
      </w:r>
      <w:r w:rsidRPr="009E5FDC">
        <w:t>καστηρίου της Ευρωπαϊκής Ένωσης (ΔΕΕ), είναι ισοδύναμο με τη δημοκρατία και τα θεμελιώδη δικαιώματα· υπενθυμίζει ότι το κράτος δικαίου και η βασισμένη σε κανόνες διεθνής τάξη είναι καίριας σημασίας για την καταπολέμηση της εξάπλωσης αυταρχικών καθεστώτων κ</w:t>
      </w:r>
      <w:r w:rsidRPr="009E5FDC">
        <w:t>αι της παραβίασης του διεθνούς δικαίου και συμβάλλουν στην εδραίωση των δημοκρατικών δομών και στην προστασία των ανθρωπίνων δικαιωμάτων· τονίζει ότι οποιαδήποτε οπισθοδρόμηση όσον αφορά το κράτος δικαίου, το οποίο βασίζεται στην αρχή της διάκρισης και εξι</w:t>
      </w:r>
      <w:r w:rsidRPr="009E5FDC">
        <w:t>σορρόπησης των εξουσιών, σε οποιοδήποτε κράτος μέλος επηρεάζει σημαντικά τον κοινό χώρο ελευθερίας, ασφάλειας και δικαιοσύνης, καθώς και την αμοιβαία εμπιστοσύνη και την αμοιβαία αναγνώριση ως βασικές αρχές του δικαίου της ΕΕ στον τομέα αυτό</w:t>
      </w:r>
      <w:r w:rsidRPr="009E5FDC">
        <w:rPr>
          <w:rStyle w:val="FootnoteReference"/>
        </w:rPr>
        <w:footnoteReference w:id="2"/>
      </w:r>
      <w:r w:rsidRPr="009E5FDC">
        <w:t>·</w:t>
      </w:r>
    </w:p>
    <w:p w:rsidR="00BB0748" w:rsidRPr="009E5FDC" w:rsidRDefault="007C3769" w:rsidP="00BB0748">
      <w:pPr>
        <w:pStyle w:val="NormalHanging12a"/>
      </w:pPr>
      <w:r w:rsidRPr="009E5FDC">
        <w:t>2.</w:t>
      </w:r>
      <w:r w:rsidRPr="009E5FDC">
        <w:tab/>
        <w:t>επικροτεί</w:t>
      </w:r>
      <w:r w:rsidRPr="009E5FDC">
        <w:t xml:space="preserve"> την τέταρτη έκθεση της Επιτροπής για το κράτος δικαίου (στο εξής: έκθεση) και θεωρεί ότι η περιοδική επανεξέταση του κράτους δικαίου αποτελεί βασικό εργαλείο παρακολούθησης· τονίζει, στο πλαίσιο αυτό, τη σημασία της χρήσης σαφών και αντικειμενικών κριτηρί</w:t>
      </w:r>
      <w:r w:rsidRPr="009E5FDC">
        <w:t>ων από την Επιτροπή κατά την παροχή της αξιολόγησής της, αποφεύγοντας με τον τρόπο αυτό ισχυρισμούς περί ανισότητας μεταχείρισης των κρατών μελών ή χρήσης επιλεκτικών μόνο δεδομένων· επικροτεί, εν προκειμένω, την προσέγγιση της Επιτροπής να λαμβάνει τις συ</w:t>
      </w:r>
      <w:r w:rsidRPr="009E5FDC">
        <w:t>νεισφορές των κρατών μελών, προωθώντας έτσι έναν κοινό διάλογο· επικροτεί τη νέα ταξινόμηση που ενέκρινε η Επιτροπή όσον αφορά τη μέτρηση της προόδου σε σχέση με προηγούμενες συστάσεις, που βασίζεται στη διάκριση τεσσάρων κατηγοριών: α) μηδενική πρόοδος, β</w:t>
      </w:r>
      <w:r w:rsidRPr="009E5FDC">
        <w:t>) κάποια πρόοδος, γ) σημαντική πρόοδος και δ) πλήρης εφαρμογή· επισημαίνει, δεδομένων των προβλημάτων που σχετίζονται με τη συλλογή στατιστικών στοιχείων από τα κράτη μέλη, τη χρησιμότητα των εργαλείων του Συμβουλίου της Ευρώπης, όπως οι εκθέσεις της Ευρωπ</w:t>
      </w:r>
      <w:r w:rsidRPr="009E5FDC">
        <w:t>αϊκής Επιτροπής του Συμβουλίου της Ευρώπης για την Αποτελεσματικότητα της Δικαιοσύνης (CEPEJ)</w:t>
      </w:r>
      <w:r w:rsidRPr="009E5FDC">
        <w:rPr>
          <w:rStyle w:val="FootnoteReference"/>
        </w:rPr>
        <w:footnoteReference w:id="3"/>
      </w:r>
      <w:r w:rsidRPr="009E5FDC">
        <w:t>, με τα οποία επιτυγχάνεται, στο μέτρο του δυνατού, σύγκλιση μεταξύ των διαφόρων δεδομένων·</w:t>
      </w:r>
    </w:p>
    <w:p w:rsidR="00BB0748" w:rsidRPr="009E5FDC" w:rsidRDefault="007C3769" w:rsidP="00BB0748">
      <w:pPr>
        <w:pStyle w:val="NormalHanging12a"/>
      </w:pPr>
      <w:r w:rsidRPr="009E5FDC">
        <w:rPr>
          <w:rStyle w:val="BoldItalic"/>
        </w:rPr>
        <w:t>Δικαιοσύνη</w:t>
      </w:r>
      <w:bookmarkStart w:id="0" w:name="_GoBack"/>
      <w:bookmarkEnd w:id="0"/>
    </w:p>
    <w:p w:rsidR="00BB0748" w:rsidRPr="009E5FDC" w:rsidRDefault="007C3769" w:rsidP="00BB0748">
      <w:pPr>
        <w:pStyle w:val="NormalHanging12a"/>
      </w:pPr>
      <w:r w:rsidRPr="009E5FDC">
        <w:t>3.</w:t>
      </w:r>
      <w:r w:rsidRPr="009E5FDC">
        <w:tab/>
        <w:t>αναγνωρίζει τη σημασία που αποδίδεται στα συστήματα απον</w:t>
      </w:r>
      <w:r w:rsidRPr="009E5FDC">
        <w:t xml:space="preserve">ομής δικαιοσύνης από την </w:t>
      </w:r>
      <w:r w:rsidRPr="009E5FDC">
        <w:lastRenderedPageBreak/>
        <w:t>υποβολή εκθέσεων για το κράτος δικαίου, ιδίως όσον αφορά τη νομιμότητα, την ανεξαρτησία και την αμεροληψία των δικαστών και τους δικαστικούς διορισμούς, τις προαγωγές, απολύσεις και αποφάσεις· αναγνωρίζει ότι δεν υπάρχει κοινό ενωσ</w:t>
      </w:r>
      <w:r w:rsidRPr="009E5FDC">
        <w:t>ιακό σύστημα διορισμού δικαστών· υπενθυμίζει, ωστόσο, ότι όλα τα κράτη μέλη πρέπει να τηρούν τα ελάχιστα πρότυπα του Συμβουλίου της Ευρώπης</w:t>
      </w:r>
      <w:r w:rsidRPr="009E5FDC">
        <w:rPr>
          <w:rStyle w:val="FootnoteReference"/>
        </w:rPr>
        <w:footnoteReference w:id="4"/>
      </w:r>
      <w:r w:rsidRPr="009E5FDC">
        <w:t xml:space="preserve"> και του ΔΕΕ</w:t>
      </w:r>
      <w:r w:rsidRPr="009E5FDC">
        <w:rPr>
          <w:rStyle w:val="FootnoteReference"/>
        </w:rPr>
        <w:footnoteReference w:id="5"/>
      </w:r>
      <w:r w:rsidRPr="009E5FDC">
        <w:t xml:space="preserve"> · τονίζει, στο πλαίσιο αυτό, τη σημασία των ανεξάρτητων δικαστικών συμβουλίων, τα οποία πρέπει να απαρ</w:t>
      </w:r>
      <w:r w:rsidRPr="009E5FDC">
        <w:t>τίζονται από σημαντική πλειοψηφία δικαστών που εκλέγονται από τους συναδέλφους τους και διαθέτουν ευρείες εξουσίες όσον αφορά την επιλογή, την ανέλιξη και τις πειθαρχικές διαδικασίες που αφορούν δικαστές· αποδοκιμάζει έντονα το γεγονός ότι, στο πλαίσιο αυτ</w:t>
      </w:r>
      <w:r w:rsidRPr="009E5FDC">
        <w:t>ό, ορισμένα κράτη μέλη δεν έχουν εκπληρώσει πλήρως τις υποχρεώσεις τους· αποδοκιμάζει τις καταστροφικές επιπτώσεις που έχει αυτό στην ανεξαρτησία και την ακεραιότητα των δικαστικών συστημάτων τους·</w:t>
      </w:r>
    </w:p>
    <w:p w:rsidR="00BB0748" w:rsidRPr="009E5FDC" w:rsidRDefault="007C3769" w:rsidP="00BB0748">
      <w:pPr>
        <w:pStyle w:val="NormalHanging12a"/>
      </w:pPr>
      <w:r w:rsidRPr="009E5FDC">
        <w:t>4.</w:t>
      </w:r>
      <w:r w:rsidRPr="009E5FDC">
        <w:tab/>
        <w:t>αναγνωρίζει ότι σχεδόν τα δύο τρίτα των συστάσεων που ε</w:t>
      </w:r>
      <w:r w:rsidRPr="009E5FDC">
        <w:t>κδόθηκαν το 2022 σχετικά με σημαντικές μεταρρυθμίσεις έχουν εφαρμοστεί σε κάποιο βαθμό· εκφράζει, ωστόσο, την ανησυχία του για τον αριθμό των ζητημάτων που εντοπίστηκαν σε προηγούμενες εκθέσεις για το κράτος δικαίου και τα οποία δεν έχουν αντιμετωπιστεί· π</w:t>
      </w:r>
      <w:r w:rsidRPr="009E5FDC">
        <w:t>αροτρύνει την Επιτροπή να συνεχίσει την επιμελή παρακολούθηση των νομικών πλαισίων των κρατών μελών προκειμένου να αξιολογήσει την ευθυγράμμισή τους με τις προαναφερθείσες συστάσεις και την καλεί περαιτέρω να επιμείνει περισσότερο στην εφαρμογή αυτών των κ</w:t>
      </w:r>
      <w:r w:rsidRPr="009E5FDC">
        <w:t>ρίσιμων μεταρρυθμίσεων σε περιπτώσεις όπου τα συστήματα των κρατών μελών δεν πληρούν τα καθορισμένα πρότυπα· καλεί την Επιτροπή να λάβει περαιτέρω μέτρα για να ανταποκριθεί πλήρως στις συστάσεις που διατύπωσε το Κοινοβούλιο στα προηγούμενα ψηφίσματά του·</w:t>
      </w:r>
    </w:p>
    <w:p w:rsidR="00BB0748" w:rsidRPr="009E5FDC" w:rsidRDefault="007C3769" w:rsidP="00BB0748">
      <w:pPr>
        <w:pStyle w:val="NormalHanging12a"/>
      </w:pPr>
      <w:r w:rsidRPr="009E5FDC">
        <w:t>5</w:t>
      </w:r>
      <w:r w:rsidRPr="009E5FDC">
        <w:t>.</w:t>
      </w:r>
      <w:r w:rsidRPr="009E5FDC">
        <w:tab/>
        <w:t>επικροτεί τη συνεχή στήριξη που παρέχεται στα σχετικά ενδιαφερόμενα μέρη μέσω ειδικών προγραμμάτων, όπως το πρόγραμμα «Πολίτες, ισότητα, δικαιώματα και αξίες»· επικροτεί τη χρηματοδότηση μέσω του προγράμματος «Δικαιοσύνη» για τη στήριξη της δικαστικής συ</w:t>
      </w:r>
      <w:r w:rsidRPr="009E5FDC">
        <w:t>νεργασίας σε αστικές και ποινικές υποθέσεις και για τη συμβολή στην περαιτέρω ανάπτυξη της ευρωπαϊκής δικαιοσύνης, η οποία περιλαμβάνει την ενίσχυση της δημοκρατίας, του κράτους δικαίου και των θεμελιωδών δικαιωμάτων·</w:t>
      </w:r>
    </w:p>
    <w:p w:rsidR="00BB0748" w:rsidRPr="009E5FDC" w:rsidRDefault="007C3769" w:rsidP="00BB0748">
      <w:pPr>
        <w:pStyle w:val="NormalHanging12a"/>
      </w:pPr>
      <w:r w:rsidRPr="009E5FDC">
        <w:t>6.</w:t>
      </w:r>
      <w:r w:rsidRPr="009E5FDC">
        <w:tab/>
        <w:t>παροτρύνει την Επιτροπή να επενδύσε</w:t>
      </w:r>
      <w:r w:rsidRPr="009E5FDC">
        <w:t>ι περισσότερο στην ενημέρωση σχετικά με τις αξίες και τα ισχύοντα εργαλεία της Ένωσης, συμπεριλαμβανομένης της ετήσιας έκθεσης, ιδίως στις χώρες στις οποίες επικρατεί σοβαρή ανησυχία·</w:t>
      </w:r>
    </w:p>
    <w:p w:rsidR="00BB0748" w:rsidRPr="009E5FDC" w:rsidRDefault="007C3769" w:rsidP="00BB0748">
      <w:pPr>
        <w:pStyle w:val="NormalHanging12a"/>
      </w:pPr>
      <w:r w:rsidRPr="009E5FDC">
        <w:t>7.</w:t>
      </w:r>
      <w:r w:rsidRPr="009E5FDC">
        <w:tab/>
        <w:t xml:space="preserve">αναγνωρίζει ότι στην τελευταία έκθεση παρατηρείται κάποια πρόοδος σε </w:t>
      </w:r>
      <w:r w:rsidRPr="009E5FDC">
        <w:t xml:space="preserve">διάφορα κράτη μέλη όσον αφορά την ανεξαρτησία της δικαιοσύνης· εκφράζει, στο πλαίσιο αυτό, την ικανοποίησή του για την παρακράτηση κονδυλίων της ΕΕ, εάν είναι αναγκαίο, στο </w:t>
      </w:r>
      <w:r w:rsidRPr="009E5FDC">
        <w:lastRenderedPageBreak/>
        <w:t>πλαίσιο του μηχανισμού αιρεσιμότητας</w:t>
      </w:r>
      <w:r w:rsidRPr="009E5FDC">
        <w:rPr>
          <w:rStyle w:val="FootnoteReference"/>
        </w:rPr>
        <w:footnoteReference w:id="6"/>
      </w:r>
      <w:r w:rsidRPr="009E5FDC">
        <w:t>, όπως επιβεβαιώνεται από το ΔΕΕ</w:t>
      </w:r>
      <w:r w:rsidRPr="009E5FDC">
        <w:rPr>
          <w:rStyle w:val="FootnoteReference"/>
        </w:rPr>
        <w:footnoteReference w:id="7"/>
      </w:r>
      <w:r w:rsidRPr="009E5FDC">
        <w:t>, ή στο πλαίσ</w:t>
      </w:r>
      <w:r w:rsidRPr="009E5FDC">
        <w:t>ιο του Μηχανισμού Ανάκαμψης και Ανθεκτικότητας</w:t>
      </w:r>
      <w:r w:rsidRPr="009E5FDC">
        <w:rPr>
          <w:rStyle w:val="FootnoteReference"/>
        </w:rPr>
        <w:footnoteReference w:id="8"/>
      </w:r>
      <w:r w:rsidRPr="009E5FDC">
        <w:t>· επισημαίνει, ωστόσο, ότι οι παραβιάσεις της αρχής της ανεξαρτησίας της δικαιοσύνης εξακολουθούν να αποτελούν πηγή ανησυχίας σε ορισμένα κράτη μέλη, όπως οι εν εξελίξει πειθαρχικές διαδικασίες κατά δικαστών γ</w:t>
      </w:r>
      <w:r w:rsidRPr="009E5FDC">
        <w:t>ια το περιεχόμενο των αποφάσεών τους, τα προβλήματα που σχετίζονται με τη σύνθεση των δικαστικών συμβουλίων και τη σύνθεση των ανώτατων εθνικών δικαστηρίων, λαμβανομένης υπόψη της αρχής του νομίμως συσταθέντος δικαστηρίου κ.λπ.·</w:t>
      </w:r>
    </w:p>
    <w:p w:rsidR="00BB0748" w:rsidRPr="009E5FDC" w:rsidRDefault="007C3769" w:rsidP="00BB0748">
      <w:pPr>
        <w:pStyle w:val="NormalHanging12a"/>
      </w:pPr>
      <w:r w:rsidRPr="009E5FDC">
        <w:t>8.</w:t>
      </w:r>
      <w:r w:rsidRPr="009E5FDC">
        <w:tab/>
        <w:t>υπενθυμίζει ότι ένα αποτ</w:t>
      </w:r>
      <w:r w:rsidRPr="009E5FDC">
        <w:t>ελεσματικό και δίκαιο σύστημα απονομής δικαιοσύνης που θα διασφαλίζει την πρόσβαση στη δικαιοσύνη για όλους απαιτεί κατάλληλο προϋπολογισμό και χρηματοδότηση των δικαστικών οργάνων· αποδοκιμάζει το γεγονός ότι η έκθεση εξακολουθεί να αποκαλύπτει την ύπαρξη</w:t>
      </w:r>
      <w:r w:rsidRPr="009E5FDC">
        <w:t xml:space="preserve"> σοβαρών ελλείψεων στο θέμα αυτό, οι οποίες εμποδίζουν συγκεκριμένα την εκδίκαση υποθέσεων διαφθοράς υψηλού επιπέδου· τονίζει, ωστόσο, ότι πρέπει να παρέχεται επαρκής νομική αρωγή και έννομη προστασία στους πολίτες· καλεί, στο πλαίσιο αυτό, την Επιτροπή να</w:t>
      </w:r>
      <w:r w:rsidRPr="009E5FDC">
        <w:t xml:space="preserve"> συμπεριλάβει στην επόμενη έκθεση για το κράτος δικαίου αξιολογήσεις της εφαρμογής του κεκτημένου της ΕΕ σχετικά με τη δικαστική αρωγή σε αστικές και ποινικές υποθέσεις, όπως η οδηγία 2003/8/ΕΚ του Συμβουλίου, της 27ης Ιανουαρίου 2003, για βελτίωση της πρό</w:t>
      </w:r>
      <w:r w:rsidRPr="009E5FDC">
        <w:t>σβασης στη δικαιοσύνη επί διασυνοριακών διαφορών μέσω της θέσπισης στοιχειωδών κοινών κανόνων σχετικά με το ευεργέτημα πενίας στις διαφορές αυτές</w:t>
      </w:r>
      <w:r w:rsidRPr="009E5FDC">
        <w:rPr>
          <w:rStyle w:val="FootnoteReference"/>
        </w:rPr>
        <w:footnoteReference w:id="9"/>
      </w:r>
      <w:r w:rsidRPr="009E5FDC">
        <w:t>, καθώς η νομολογία του ΔΕΕ αποκαλύπτει ότι εξακολουθούν να υπάρχουν ερωτήματα σχετικά με την ερμηνεία της·</w:t>
      </w:r>
    </w:p>
    <w:p w:rsidR="00BB0748" w:rsidRPr="009E5FDC" w:rsidRDefault="007C3769" w:rsidP="00BB0748">
      <w:pPr>
        <w:pStyle w:val="NormalHanging12a"/>
      </w:pPr>
      <w:r w:rsidRPr="009E5FDC">
        <w:t>9.</w:t>
      </w:r>
      <w:r w:rsidRPr="009E5FDC">
        <w:tab/>
        <w:t xml:space="preserve">υπενθυμίζει ότι και οι εισαγγελικές αρχές, ανεξάρτητα από τη θέση τους στο εθνικό σύστημα κατανομής των εξουσιών μεταξύ των τριών κρατικών λειτουργιών πρέπει να είναι ανεξάρτητες από άσκηση αθέμιτων πολιτικών πιέσεων· σημειώνει ότι σε ορισμένα κράτη μέλη </w:t>
      </w:r>
      <w:r w:rsidRPr="009E5FDC">
        <w:t>έχει επιτευχθεί κάποια πρόοδος· αποδοκιμάζει, ωστόσο, το γεγονός ότι εξακολουθούν να υπάρχουν συστήματα στα οποία η κυβέρνηση μπορεί να εκδίδει δεσμευτικές αποφάσεις για εισαγγελείς σε συγκεκριμένες περιπτώσεις, όταν η θητεία συνδέεται με πολιτική διαδικασ</w:t>
      </w:r>
      <w:r w:rsidRPr="009E5FDC">
        <w:t>ία ή όπου συνδυάζονται τα καθήκοντα του υπουργού και του γενικού εισαγγελέα, επιτρέποντας έτσι αθέμιτη πολιτική επιρροή και δημιουργώντας προβλήματα που σχετίζονται με την αμοιβαία αναγνώριση</w:t>
      </w:r>
      <w:r w:rsidRPr="009E5FDC">
        <w:rPr>
          <w:rStyle w:val="FootnoteReference"/>
        </w:rPr>
        <w:footnoteReference w:id="10"/>
      </w:r>
      <w:r w:rsidRPr="009E5FDC">
        <w:t>·</w:t>
      </w:r>
    </w:p>
    <w:p w:rsidR="00BB0748" w:rsidRPr="009E5FDC" w:rsidRDefault="007C3769" w:rsidP="00BB0748">
      <w:pPr>
        <w:pStyle w:val="NormalHanging12a"/>
      </w:pPr>
      <w:r w:rsidRPr="009E5FDC">
        <w:t>10.</w:t>
      </w:r>
      <w:r w:rsidRPr="009E5FDC">
        <w:tab/>
        <w:t>υπογραμμίζει, ειδικότερα, ότι το ζήτημα του φαινομένου της</w:t>
      </w:r>
      <w:r w:rsidRPr="009E5FDC">
        <w:t xml:space="preserve"> «περιστρεφόμενης πόρτας» δεν περιορίζεται μόνο στις ανησυχίες σχετικά με τη μετάβαση πρώην υπουργών στον ιδιωτικό τομέα μετά τη θητεία τους σε δημόσια αξιώματα, αλλά επεκτείνεται σε καταστάσεις κατά τις οποίες τα άτομα μπορούν να αναλάβουν </w:t>
      </w:r>
      <w:r w:rsidRPr="009E5FDC">
        <w:lastRenderedPageBreak/>
        <w:t>κρίσιμους ρόλου</w:t>
      </w:r>
      <w:r w:rsidRPr="009E5FDC">
        <w:t>ς εντός του δικαστικού σώματος ή της εισαγγελίας αμέσως μετά την θητεία τους ως υπουργών ή προσχώρησής τους σε πολιτικό κόμμα·</w:t>
      </w:r>
    </w:p>
    <w:p w:rsidR="00BB0748" w:rsidRPr="009E5FDC" w:rsidRDefault="007C3769" w:rsidP="00BB0748">
      <w:pPr>
        <w:pStyle w:val="NormalHanging12a"/>
      </w:pPr>
      <w:r w:rsidRPr="009E5FDC">
        <w:t>11.</w:t>
      </w:r>
      <w:r w:rsidRPr="009E5FDC">
        <w:tab/>
        <w:t>καλεί την Επιτροπή να λάβει δεόντως υπόψη τα παραδείγματα αυτά στις επικείμενες εκθέσεις της σχετικά με το κράτος δικαίου εντ</w:t>
      </w:r>
      <w:r w:rsidRPr="009E5FDC">
        <w:t>ός της Ευρωπαϊκής Ένωσης· παροτρύνει την Επιτροπή να ζητήσει μετ’ επιτάσεως από τα κράτη μέλη να απόσχουν από αυτές τις πρακτικές, ιδίως με την εφαρμογή νομικών διατάξεων που αποτρέπουν προορατικά πρώην υπουργούς και υψηλόβαθμες πολιτικές προσωπικότητες απ</w:t>
      </w:r>
      <w:r w:rsidRPr="009E5FDC">
        <w:t>ό την ανάληψη ηγετικών θέσεων εντός των ανώτερων δικαστηρίων ή της εισαγγελίας, διασφαλίζοντας έτσι την ανεξαρτησία και την ακεραιότητα αυτών των ζωτικών θεσμών·</w:t>
      </w:r>
    </w:p>
    <w:p w:rsidR="00BB0748" w:rsidRPr="009E5FDC" w:rsidRDefault="007C3769" w:rsidP="00BB0748">
      <w:pPr>
        <w:pStyle w:val="NormalHanging12a"/>
      </w:pPr>
      <w:r w:rsidRPr="009E5FDC">
        <w:rPr>
          <w:rStyle w:val="BoldItalic"/>
        </w:rPr>
        <w:t>Καταπολέμηση της διαφθοράς</w:t>
      </w:r>
    </w:p>
    <w:p w:rsidR="00BB0748" w:rsidRPr="009E5FDC" w:rsidRDefault="007C3769" w:rsidP="00BB0748">
      <w:pPr>
        <w:pStyle w:val="NormalHanging12a"/>
      </w:pPr>
      <w:r w:rsidRPr="009E5FDC">
        <w:t>12.</w:t>
      </w:r>
      <w:r w:rsidRPr="009E5FDC">
        <w:tab/>
        <w:t>υπενθυμίζει ότι η καταπολέμηση της διαφθοράς είναι απαραίτητη γ</w:t>
      </w:r>
      <w:r w:rsidRPr="009E5FDC">
        <w:t>ια τη διατήρηση του κράτους δικαίου, αλλά και της ενίσχυσης της εμπιστοσύνης των πολιτών στους δημόσιους θεσμούς. υπενθυμίζει, επιπλέον, ότι, για να είναι αποτελεσματική, απαιτείται ένα ισχυρό νομικό και διοικητικό πλαίσιο για την καταπολέμηση της διαφθορά</w:t>
      </w:r>
      <w:r w:rsidRPr="009E5FDC">
        <w:t>ς, το οποίο θα βασίζεται στην ακεραιότητα, τη διαφάνεια και τη λογοδοσία, ιδίως στον δημόσιο βίο, τονίζοντας τη γνωστοποίηση των δηλώσεων συμφερόντων και την προστασία πληροφοριοδοτών δημοσίου συμφέροντος, κατά περίπτωση·</w:t>
      </w:r>
    </w:p>
    <w:p w:rsidR="00BB0748" w:rsidRPr="009E5FDC" w:rsidRDefault="007C3769" w:rsidP="00BB0748">
      <w:pPr>
        <w:pStyle w:val="NormalHanging12a"/>
      </w:pPr>
      <w:r w:rsidRPr="009E5FDC">
        <w:t>13.</w:t>
      </w:r>
      <w:r w:rsidRPr="009E5FDC">
        <w:tab/>
        <w:t>δηλώνει ότι η διαφθορά αποτελε</w:t>
      </w:r>
      <w:r w:rsidRPr="009E5FDC">
        <w:t>ί απειλή που μπορεί να καταστρέψει δημοκρατίες και που υπονομεύει την εμπιστοσύνη των πολιτών στους θεσμούς και πρέπει να καταπολεμηθεί σε όλες τις μορφές της· επισημαίνει ότι η διαφθορά είναι η συνηθέστερη οδός μέσω της οποίας το οργανωμένο έγκλημα διεισδ</w:t>
      </w:r>
      <w:r w:rsidRPr="009E5FDC">
        <w:t>ύει και ελέγχει την οικονομία· εκφράζει την ανησυχία του για το γεγονός ότι η τελευταία έκθεση δείχνει είτε μηδενική είτε πολύ αργή πρόοδο όσον αφορά τα μέτρα πρόληψης και καταπολέμησης της διαφθοράς σε αρκετά κράτη μέλη· εκφράζει την έντονη ανησυχία του γ</w:t>
      </w:r>
      <w:r w:rsidRPr="009E5FDC">
        <w:t>ια την απροθυμία δημιουργίας μητρώων των ομάδων συμφερόντων, μητρώων διαφάνειας και κατάλληλων συστημάτων δηλώσεων περιουσιακών στοιχείων από δημόσιους λειτουργούς και ανώτερους αξιωματούχους, καθώς και για την έλλειψη πολιτικής βούλησης για τη θέσπιση αυσ</w:t>
      </w:r>
      <w:r w:rsidRPr="009E5FDC">
        <w:t xml:space="preserve">τηρών κανόνων στο πλαίσιο των πολιτικών μεταπήδησης από τον δημόσιο στον ιδιωτικό τομέα· τονίζει, στο πλαίσιο αυτό, τη σημασία μιας διαφανούς νομοθετικής διαδικασίας με ευρεία πρόσβαση σε έγγραφα και κανόνων για τη διασφάλιση του υψηλότερου δυνατού βαθμού </w:t>
      </w:r>
      <w:r w:rsidRPr="009E5FDC">
        <w:t>διαφάνειας και λογοδοσίας στις δημόσιες διοικήσεις και στη λήψη δημόσιων αποφάσεων με σκοπό την πρόληψη της διαφθοράς</w:t>
      </w:r>
      <w:r w:rsidRPr="009E5FDC">
        <w:rPr>
          <w:rStyle w:val="FootnoteReference"/>
        </w:rPr>
        <w:footnoteReference w:id="11"/>
      </w:r>
      <w:r w:rsidRPr="009E5FDC">
        <w:t>·</w:t>
      </w:r>
    </w:p>
    <w:p w:rsidR="00BB0748" w:rsidRPr="009E5FDC" w:rsidRDefault="007C3769" w:rsidP="00BB0748">
      <w:pPr>
        <w:pStyle w:val="NormalHanging12a"/>
      </w:pPr>
      <w:r w:rsidRPr="009E5FDC">
        <w:t>14.</w:t>
      </w:r>
      <w:r w:rsidRPr="009E5FDC">
        <w:tab/>
        <w:t>καλεί, στο πλαίσιο αυτό, όλα τα θεσμικά όργανα της ΕΕ να τηρούν τα υψηλότερα δυνατά πρότυπα με σκοπό την πρόληψη της διαφθοράς, όπως</w:t>
      </w:r>
      <w:r w:rsidRPr="009E5FDC">
        <w:t>, μεταξύ άλλων, τη δημιουργία ενός αποτελεσματικού φορέα δεοντολογίας της ΕΕ, την πλήρη εφαρμογή του κανονισμού 1049/2001</w:t>
      </w:r>
      <w:r w:rsidRPr="009E5FDC">
        <w:rPr>
          <w:rStyle w:val="FootnoteReference"/>
        </w:rPr>
        <w:footnoteReference w:id="12"/>
      </w:r>
      <w:r w:rsidRPr="009E5FDC">
        <w:t xml:space="preserve"> για την πρόσβαση στα έγγραφα και την πλήρη εφαρμογή </w:t>
      </w:r>
      <w:r w:rsidRPr="009E5FDC">
        <w:lastRenderedPageBreak/>
        <w:t>της αρχής της αιρεσιμότητας όσον αφορά το Μητρώο Διαφάνειας της ΕΕ· καλεί τα κράτ</w:t>
      </w:r>
      <w:r w:rsidRPr="009E5FDC">
        <w:t>η μέλη να προσπαθήσουν να καταλήξουν το συντομότερο δυνατόν σε συμφωνία σχετικά με την προτεινόμενη οδηγία για την καταπολέμηση της διαφθοράς, με σκοπό τη θέσπιση ενός κοινού και ομοιογενούς πλαισίου κωδίκων δεοντολογίας, προτύπων για την πρόληψη των συγκρ</w:t>
      </w:r>
      <w:r w:rsidRPr="009E5FDC">
        <w:t>ούσεων συμφερόντων και κανόνων που θα διασφαλίζουν τη διαφάνεια των διαδικασιών·</w:t>
      </w:r>
    </w:p>
    <w:p w:rsidR="00BB0748" w:rsidRPr="009E5FDC" w:rsidRDefault="007C3769" w:rsidP="00BB0748">
      <w:pPr>
        <w:pStyle w:val="NormalHanging12a"/>
      </w:pPr>
      <w:r w:rsidRPr="009E5FDC">
        <w:t>15.</w:t>
      </w:r>
      <w:r w:rsidRPr="009E5FDC">
        <w:tab/>
        <w:t>αναγνωρίζει τη σημαντική αύξηση, κατά τα τελευταία έτη, της ποσοτικής σημασίας των κονδυλίων που διατίθενται από την Ευρωπαϊκή Ένωση, συμπεριλαμβανομένων των κονδυλίων του</w:t>
      </w:r>
      <w:r w:rsidRPr="009E5FDC">
        <w:t xml:space="preserve"> NextGenerationEU· αναγνωρίζει ότι, ως εκ τούτου, η ύπαρξη νομικών διατάξεων στη νομοθεσία των κρατών μελών που αποσκοπούν στην πρόληψη της κατάχρησης αυτών των κονδυλίων έχει αποκτήσει ύψιστη σημασία·</w:t>
      </w:r>
    </w:p>
    <w:p w:rsidR="00BB0748" w:rsidRPr="009E5FDC" w:rsidRDefault="007C3769" w:rsidP="00BB0748">
      <w:pPr>
        <w:pStyle w:val="NormalHanging12a"/>
      </w:pPr>
      <w:r w:rsidRPr="009E5FDC">
        <w:t>16.</w:t>
      </w:r>
      <w:r w:rsidRPr="009E5FDC">
        <w:tab/>
        <w:t xml:space="preserve">υπενθυμίζει ότι κανένας τομέας δεν εξαιρείται από </w:t>
      </w:r>
      <w:r w:rsidRPr="009E5FDC">
        <w:t xml:space="preserve">τον κίνδυνο διαφθοράς, συμπεριλαμβανομένων εκείνων που διαχειρίζονται σημαντικά δημόσια κονδύλια ή πρόσβαση σε υποδομές και υπηρεσίες ζωτικής σημασίας, όπως η υγειονομική περίθαλψη και ο κατασκευαστικός τομέας· τονίζει ότι οι ομάδες οργανωμένου εγκλήματος </w:t>
      </w:r>
      <w:r w:rsidRPr="009E5FDC">
        <w:t xml:space="preserve">διαδραματίζουν ολοένα και σημαντικότερο ρόλο σε δραστηριότητες που περιλαμβάνουν την παραποίηση/απομίμηση, την πειρατεία και τις παραβιάσεις των δικαιωμάτων διανοητικής ιδιοκτησίας, και οι οποίες έχουν εκτοξευθεί στο ψηφιακό περιβάλλον· υπενθυμίζει ότι οι </w:t>
      </w:r>
      <w:r w:rsidRPr="009E5FDC">
        <w:t>εγκληματικές ομάδες που εμπλέκονται σε αυτές τις παράνομες δραστηριότητες συχνά χρησιμοποιούν τα κέρδη για τη χρηματοδότηση άλλων παράνομων δραστηριοτήτων·</w:t>
      </w:r>
    </w:p>
    <w:p w:rsidR="00BB0748" w:rsidRPr="009E5FDC" w:rsidRDefault="007C3769" w:rsidP="00BB0748">
      <w:pPr>
        <w:pStyle w:val="NormalHanging12a"/>
      </w:pPr>
      <w:r w:rsidRPr="009E5FDC">
        <w:t>17.</w:t>
      </w:r>
      <w:r w:rsidRPr="009E5FDC">
        <w:tab/>
        <w:t>καλεί την Επιτροπή, στο πλαίσιο των επικείμενων εκθέσεών της για το κράτος δικαίου, να ενσωματώσ</w:t>
      </w:r>
      <w:r w:rsidRPr="009E5FDC">
        <w:t>ει αξιολόγηση της εξέλιξης της νομοθεσίας των κρατών μελών κατά τα τελευταία έτη όσον αφορά την εποπτεία της κατάλληλης χρήσης των δημόσιων πόρων, καθώς και τους ισχύοντες νομικούς μηχανισμούς για την αντιμετώπιση τυχόν αθέμιτης χρήσης δημόσιων πόρων·</w:t>
      </w:r>
    </w:p>
    <w:p w:rsidR="00BB0748" w:rsidRPr="009E5FDC" w:rsidRDefault="007C3769" w:rsidP="00165FEF">
      <w:pPr>
        <w:pStyle w:val="NormalHanging12a"/>
      </w:pPr>
      <w:r w:rsidRPr="009E5FDC">
        <w:t>18.</w:t>
      </w:r>
      <w:r w:rsidRPr="009E5FDC">
        <w:tab/>
      </w:r>
      <w:r w:rsidRPr="009E5FDC">
        <w:t>υπενθυμίζει ότι το Κοινοβούλιο στήριξε σθεναρά τη σύσταση της Ευρωπαϊκής Εισαγγελίας· αναγνωρίζει τον σημαντικό ρόλο της Ευρωπαϊκής Εισαγγελίας ως ανεξάρτητου φορέα της ΕΕ για τη διερεύνηση, τη δίωξη και την παραπομπή ενώπιον της δικαιοσύνης εγκλημάτων που</w:t>
      </w:r>
      <w:r w:rsidRPr="009E5FDC">
        <w:t xml:space="preserve"> θίγουν τα οικονομικά συμφέροντα της Ένωσης· επισημαίνει ότι, από την έναρξη λειτουργίας της, την 1η Ιουνίου 2021, η Ευρωπαϊκή Εισαγγελία έχει καταχωρίσει περισσότερες από 4 000καταγγελίες εγκλημάτων από συμμετέχοντα κράτη μέλη της ΕΕ και ιδιωτικούς φορείς</w:t>
      </w:r>
      <w:r w:rsidRPr="009E5FDC">
        <w:t xml:space="preserve"> και έχουν κινηθεί περισσότερες από 929 έρευνες (από τον Ιούνιο του 2022)·</w:t>
      </w:r>
    </w:p>
    <w:p w:rsidR="00BB0748" w:rsidRPr="009E5FDC" w:rsidRDefault="007C3769" w:rsidP="00BB0748">
      <w:pPr>
        <w:pStyle w:val="NormalHanging12a"/>
      </w:pPr>
      <w:r w:rsidRPr="009E5FDC">
        <w:t>19.</w:t>
      </w:r>
      <w:r w:rsidRPr="009E5FDC">
        <w:tab/>
        <w:t>παροτρύνει, επιπλέον, την Επιτροπή, σε περιπτώσεις όπου διαπιστώνεται ότι έχει μειωθεί το επίπεδο των διασφαλίσεων για τους δημόσιους πόρους, να συνεργάζεται άμεσα με το θιγόμεν</w:t>
      </w:r>
      <w:r w:rsidRPr="009E5FDC">
        <w:t>ο κράτος μέλος ή τα πληττόμενα κράτη μέλη, ζητώντας την ταχεία εφαρμογή των αναγκαίων μέτρων για την επανόρθωση αυτής της κατάστασης·</w:t>
      </w:r>
    </w:p>
    <w:p w:rsidR="00BB0748" w:rsidRPr="009E5FDC" w:rsidRDefault="007C3769" w:rsidP="00BB0748">
      <w:pPr>
        <w:pStyle w:val="NormalHanging12a"/>
        <w:ind w:left="0" w:firstLine="0"/>
        <w:rPr>
          <w:b/>
          <w:i/>
        </w:rPr>
      </w:pPr>
      <w:r w:rsidRPr="009E5FDC">
        <w:rPr>
          <w:b/>
          <w:i/>
        </w:rPr>
        <w:t>Κοινωνία των πολιτών</w:t>
      </w:r>
    </w:p>
    <w:p w:rsidR="00BB0748" w:rsidRPr="009E5FDC" w:rsidRDefault="007C3769" w:rsidP="00BB0748">
      <w:pPr>
        <w:pStyle w:val="NormalHanging12a"/>
      </w:pPr>
      <w:r w:rsidRPr="009E5FDC">
        <w:t>20.</w:t>
      </w:r>
      <w:r w:rsidRPr="009E5FDC">
        <w:tab/>
        <w:t>υπενθυμίζει το ψήφισμά του της 11ης Νοεμβρίου 2021 σχετικά με την ενίσχυση της δημοκρατίας και τη</w:t>
      </w:r>
      <w:r w:rsidRPr="009E5FDC">
        <w:t xml:space="preserve">ς ελευθερίας και πολυφωνίας των μέσων ενημέρωσης στην ΕΕ, στο </w:t>
      </w:r>
      <w:r w:rsidRPr="009E5FDC">
        <w:lastRenderedPageBreak/>
        <w:t>οποίο κάλεσε την Επιτροπή να προτείνει δέσμη μέτρων τόσο δεσμευτικού όσο και μη δεσμευτικού δικαίου για την αντιμετώπιση του αυξανόμενου αριθμού στρατηγικών αγωγών προς αποθάρρυνση της συμμετοχή</w:t>
      </w:r>
      <w:r w:rsidRPr="009E5FDC">
        <w:t>ς του κοινού ή SLAPPs· επικροτεί τη νομοθετική πρόταση και σύσταση της Επιτροπής προς τα κράτη μέλη, της 27ης Απριλίου 2022, που ανταποκρίνεται στη σύσταση που διατύπωσε το Κοινοβούλιο στο πλαίσιο αυτό· τονίζει ότι οι SLAPPs αποτελούν ιδιαίτερη μορφή παρεν</w:t>
      </w:r>
      <w:r w:rsidRPr="009E5FDC">
        <w:t xml:space="preserve">όχλησης που χρησιμοποιείται κυρίως κατά δημοσιογράφων για να τους αποτρέψουν ή να τους τιμωρήσουν επειδή μιλούν για θέματα δημόσιου συμφέροντος, υποβάλλοντάς τους σε χρονοβόρες, επαχθείς και δαπανηρές αγωγές· καλεί τα κράτη μέλη να τηρήσουν τις φιλοδοξίες </w:t>
      </w:r>
      <w:r w:rsidRPr="009E5FDC">
        <w:t>των προτεινόμενων μέτρων και να εντείνουν τις προσπάθειες για τη βελτίωση της ασφάλειας και της προστασίας των δημοσιογράφων·</w:t>
      </w:r>
    </w:p>
    <w:p w:rsidR="00BB0748" w:rsidRPr="009E5FDC" w:rsidRDefault="007C3769" w:rsidP="00BB0748">
      <w:pPr>
        <w:pStyle w:val="NormalHanging12a"/>
      </w:pPr>
      <w:r w:rsidRPr="009E5FDC">
        <w:t>21.</w:t>
      </w:r>
      <w:r w:rsidRPr="009E5FDC">
        <w:tab/>
        <w:t>σημειώνει με βαθιά ανησυχία σε ορισμένα κράτη μέλη τη συνολική συρρίκνωση του χώρου της κοινωνίας των πολιτών, η οποία αποτελε</w:t>
      </w:r>
      <w:r w:rsidRPr="009E5FDC">
        <w:t xml:space="preserve">ί σοβαρή απειλή για το κράτος δικαίου, τη δημοκρατία, τα θεμελιώδη δικαιώματα και άλλες αξίες της ΕΕ· καλεί την Επιτροπή να παρακολουθεί τις προκλήσεις και τις επιθέσεις που αντιμετωπίζει η κοινωνία των πολιτών στο πλαίσιο των ετήσιων εργασιών της για την </w:t>
      </w:r>
      <w:r w:rsidRPr="009E5FDC">
        <w:t>αξιολόγηση και την υποβολή εκθέσεων σχετικά με το κράτος δικαίου και να συμπεριλάβει στην έκθεσή της συμπεράσματα και στοχευμένες συστάσεις· επαναλαμβάνει, στο πλαίσιο αυτό, την έκκλησή του για χωριστό κεφάλαιο αφιερωμένο στην κατάσταση της κοινωνίας των π</w:t>
      </w:r>
      <w:r w:rsidRPr="009E5FDC">
        <w:t>ολιτών στα κράτη μέλη·</w:t>
      </w:r>
    </w:p>
    <w:p w:rsidR="00BB0748" w:rsidRPr="009E5FDC" w:rsidRDefault="007C3769" w:rsidP="00BB0748">
      <w:pPr>
        <w:pStyle w:val="NormalHanging12a"/>
      </w:pPr>
      <w:r w:rsidRPr="009E5FDC">
        <w:t>22.</w:t>
      </w:r>
      <w:r w:rsidRPr="009E5FDC">
        <w:tab/>
        <w:t>τονίζει ότι το ισχύον νομικό πλαίσιο σε ενωσιακό και εθνικό επίπεδο δεν επαρκεί για να εγκαθιδρύσει και να στηρίξει μια ισχυρή πανευρωπαϊκή κοινωνία των πολιτών, η ύπαρξη της οποίας είναι απαραίτητη για τη δημοκρατία· πιστεύει, ε</w:t>
      </w:r>
      <w:r w:rsidRPr="009E5FDC">
        <w:t>πομένως, ότι ένα καταστατικό για τα διασυνοριακά σωματεία και τις μη κερδοσκοπικές οργανώσεις της ΕΕ θα παράσχει ένα επιπλέον επίπεδο προστασίας στις οργανώσεις της κοινωνίας των πολιτών που αντιμετωπίζουν αδικαιολόγητα εμπόδια στη σύσταση και τη λειτουργί</w:t>
      </w:r>
      <w:r w:rsidRPr="009E5FDC">
        <w:t>α τους</w:t>
      </w:r>
      <w:r w:rsidRPr="009E5FDC">
        <w:rPr>
          <w:rStyle w:val="FootnoteReference"/>
        </w:rPr>
        <w:footnoteReference w:id="13"/>
      </w:r>
      <w:r w:rsidRPr="009E5FDC">
        <w:t>.</w:t>
      </w:r>
    </w:p>
    <w:p w:rsidR="00BB0748" w:rsidRPr="009E5FDC" w:rsidRDefault="00BB0748" w:rsidP="00BB0748"/>
    <w:p w:rsidR="00BB0748" w:rsidRPr="009E5FDC" w:rsidRDefault="00BB0748" w:rsidP="00BB0748">
      <w:pPr>
        <w:pStyle w:val="NormalHanging12a"/>
        <w:ind w:left="0" w:firstLine="0"/>
        <w:sectPr w:rsidR="00BB0748" w:rsidRPr="009E5FDC" w:rsidSect="009E5FD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EB0868" w:rsidRPr="009E5FDC" w:rsidRDefault="007C3769" w:rsidP="00EB0868">
      <w:pPr>
        <w:pStyle w:val="PageHeadingNotTOC"/>
        <w:rPr>
          <w:rFonts w:eastAsia="Calibri"/>
          <w:szCs w:val="24"/>
        </w:rPr>
      </w:pPr>
      <w:r w:rsidRPr="009E5FDC">
        <w:lastRenderedPageBreak/>
        <w:t>ΠΑΡΑΡΤΗΜΑ ΚΑΤΑΛΟΓΟΣ ΟΝΤΟΤΗΤΩΝ Ή ΠΡΟΣΩΠΩΝ ΠΟΥ ΚΑΤΕΘΕΣΑΝ ΤΙΣ ΕΙΣΗΓΗΣΕΙΣ ΤΟΥΣ ΣΤΟΝ ΣΥΝΤΑΚΤΗ ΤΗΣ ΓΝΩΜΟΔΟΤΗΣΗΣ</w:t>
      </w:r>
      <w:bookmarkStart w:id="1" w:name="ProcPageAD"/>
    </w:p>
    <w:p w:rsidR="00BC7719" w:rsidRPr="009E5FDC" w:rsidRDefault="00BC7719" w:rsidP="00BC7719">
      <w:pPr>
        <w:spacing w:line="200" w:lineRule="exact"/>
        <w:rPr>
          <w:sz w:val="22"/>
          <w:szCs w:val="22"/>
        </w:rPr>
      </w:pPr>
    </w:p>
    <w:p w:rsidR="00BC7719" w:rsidRPr="009E5FDC" w:rsidRDefault="00BC7719" w:rsidP="00BC7719">
      <w:pPr>
        <w:spacing w:line="200" w:lineRule="exact"/>
        <w:rPr>
          <w:sz w:val="22"/>
          <w:szCs w:val="22"/>
        </w:rPr>
      </w:pPr>
    </w:p>
    <w:p w:rsidR="00BC7719" w:rsidRPr="009E5FDC" w:rsidRDefault="007C3769" w:rsidP="00BC7719">
      <w:pPr>
        <w:spacing w:line="360" w:lineRule="auto"/>
        <w:rPr>
          <w:iCs/>
          <w:sz w:val="22"/>
          <w:szCs w:val="22"/>
        </w:rPr>
      </w:pPr>
      <w:r w:rsidRPr="009E5FDC">
        <w:rPr>
          <w:sz w:val="22"/>
        </w:rPr>
        <w:t xml:space="preserve">Ο συντάκτης της γνωμοδότησης δηλώνει, υπό την αποκλειστική του ευθύνη, ότι δεν έλαβε απόψεις από καμία οντότητα ή </w:t>
      </w:r>
      <w:r w:rsidRPr="009E5FDC">
        <w:rPr>
          <w:sz w:val="22"/>
        </w:rPr>
        <w:t>πρόσωπο που πρέπει να αναφερθεί στο παρόν παράρτημα σύμφωνα με το άρθρο 8 του παραρτήματος Ι του Κανονισμού.</w:t>
      </w:r>
    </w:p>
    <w:p w:rsidR="00BC7719" w:rsidRPr="009E5FDC" w:rsidRDefault="00BC7719" w:rsidP="00BC7719">
      <w:pPr>
        <w:spacing w:line="360" w:lineRule="auto"/>
        <w:rPr>
          <w:iCs/>
          <w:sz w:val="22"/>
          <w:szCs w:val="22"/>
        </w:rPr>
      </w:pPr>
    </w:p>
    <w:p w:rsidR="00BC7719" w:rsidRPr="009E5FDC" w:rsidRDefault="00BC7719" w:rsidP="00BC7719"/>
    <w:p w:rsidR="00BC7719" w:rsidRPr="009E5FDC" w:rsidRDefault="00BC7719" w:rsidP="00BC7719"/>
    <w:p w:rsidR="00BC7719" w:rsidRPr="009E5FDC" w:rsidRDefault="00BC7719" w:rsidP="00BC7719"/>
    <w:p w:rsidR="00BC7719" w:rsidRPr="009E5FDC" w:rsidRDefault="00BC7719" w:rsidP="00BC7719"/>
    <w:p w:rsidR="00BC7719" w:rsidRPr="009E5FDC" w:rsidRDefault="00BC7719" w:rsidP="00BC7719"/>
    <w:p w:rsidR="00BC7719" w:rsidRPr="009E5FDC" w:rsidRDefault="00BC7719" w:rsidP="00BC7719"/>
    <w:p w:rsidR="00BC7719" w:rsidRPr="009E5FDC" w:rsidRDefault="00BC7719" w:rsidP="00BC7719"/>
    <w:p w:rsidR="00BC7719" w:rsidRPr="009E5FDC" w:rsidRDefault="00BC7719" w:rsidP="00BC7719"/>
    <w:p w:rsidR="00BC7719" w:rsidRPr="009E5FDC" w:rsidRDefault="00BC7719" w:rsidP="00BC7719"/>
    <w:p w:rsidR="00BC7719" w:rsidRPr="009E5FDC" w:rsidRDefault="00BC7719">
      <w:pPr>
        <w:widowControl/>
      </w:pPr>
    </w:p>
    <w:p w:rsidR="00BC7719" w:rsidRPr="009E5FDC" w:rsidRDefault="007C3769">
      <w:pPr>
        <w:widowControl/>
        <w:rPr>
          <w:rFonts w:ascii="Arial" w:hAnsi="Arial" w:cs="Arial"/>
          <w:b/>
        </w:rPr>
      </w:pPr>
      <w:r w:rsidRPr="009E5FDC">
        <w:br w:type="page"/>
      </w:r>
    </w:p>
    <w:p w:rsidR="00AB0C34" w:rsidRPr="009E5FDC" w:rsidRDefault="007C3769" w:rsidP="00AB0C34">
      <w:pPr>
        <w:pStyle w:val="PageHeadingNotTOC"/>
      </w:pPr>
      <w:r w:rsidRPr="009E5FDC">
        <w:lastRenderedPageBreak/>
        <w:t>ΠΛΗΡΟΦΟΡΙΕΣ ΓΙΑ ΤΗΝ ΕΓΚΡΙΣΗ ΣΤΗ ΓΝΩΜΟΔΟΤΙΚΗ ΕΠΙΤΡΟΠΗ</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91A58" w:rsidRPr="009E5FD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0C34" w:rsidRPr="009E5FDC" w:rsidRDefault="007C3769">
            <w:pPr>
              <w:autoSpaceDE w:val="0"/>
              <w:autoSpaceDN w:val="0"/>
              <w:adjustRightInd w:val="0"/>
              <w:rPr>
                <w:b/>
                <w:bCs/>
                <w:color w:val="000000"/>
                <w:sz w:val="20"/>
              </w:rPr>
            </w:pPr>
            <w:r w:rsidRPr="009E5FDC">
              <w:rPr>
                <w:b/>
                <w:color w:val="000000"/>
                <w:sz w:val="20"/>
              </w:rPr>
              <w:t>Ημερομηνία έγκρισης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B0C34" w:rsidRPr="009E5FDC" w:rsidRDefault="007C3769">
            <w:pPr>
              <w:autoSpaceDE w:val="0"/>
              <w:autoSpaceDN w:val="0"/>
              <w:adjustRightInd w:val="0"/>
              <w:rPr>
                <w:color w:val="000000"/>
                <w:sz w:val="20"/>
              </w:rPr>
            </w:pPr>
            <w:r w:rsidRPr="009E5FDC">
              <w:rPr>
                <w:color w:val="000000"/>
                <w:sz w:val="20"/>
              </w:rPr>
              <w:t>29.11.2023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B0C34" w:rsidRPr="009E5FDC" w:rsidRDefault="00AB0C3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B0C34" w:rsidRPr="009E5FDC" w:rsidRDefault="00AB0C3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0C34" w:rsidRPr="009E5FDC" w:rsidRDefault="00AB0C34">
            <w:pPr>
              <w:autoSpaceDE w:val="0"/>
              <w:autoSpaceDN w:val="0"/>
              <w:adjustRightInd w:val="0"/>
              <w:rPr>
                <w:rFonts w:ascii="sans-serif" w:hAnsi="sans-serif" w:cs="sans-serif"/>
                <w:color w:val="000000"/>
                <w:szCs w:val="24"/>
              </w:rPr>
            </w:pPr>
          </w:p>
        </w:tc>
      </w:tr>
      <w:tr w:rsidR="00491A58" w:rsidRPr="009E5FD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0C34" w:rsidRPr="009E5FDC" w:rsidRDefault="007C3769">
            <w:pPr>
              <w:autoSpaceDE w:val="0"/>
              <w:autoSpaceDN w:val="0"/>
              <w:adjustRightInd w:val="0"/>
              <w:rPr>
                <w:b/>
                <w:bCs/>
                <w:color w:val="000000"/>
                <w:sz w:val="20"/>
              </w:rPr>
            </w:pPr>
            <w:r w:rsidRPr="009E5FDC">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B0C34" w:rsidRPr="009E5FDC" w:rsidRDefault="007C3769">
            <w:pPr>
              <w:autoSpaceDE w:val="0"/>
              <w:autoSpaceDN w:val="0"/>
              <w:adjustRightInd w:val="0"/>
              <w:rPr>
                <w:color w:val="000000"/>
                <w:sz w:val="20"/>
              </w:rPr>
            </w:pPr>
            <w:r w:rsidRPr="009E5FDC">
              <w:rPr>
                <w:color w:val="000000"/>
                <w:sz w:val="20"/>
              </w:rPr>
              <w:t>+:</w:t>
            </w:r>
          </w:p>
          <w:p w:rsidR="00AB0C34" w:rsidRPr="009E5FDC" w:rsidRDefault="007C3769">
            <w:pPr>
              <w:autoSpaceDE w:val="0"/>
              <w:autoSpaceDN w:val="0"/>
              <w:adjustRightInd w:val="0"/>
              <w:rPr>
                <w:color w:val="000000"/>
                <w:sz w:val="20"/>
              </w:rPr>
            </w:pPr>
            <w:r w:rsidRPr="009E5FDC">
              <w:rPr>
                <w:color w:val="000000"/>
                <w:sz w:val="20"/>
              </w:rPr>
              <w:t>–:</w:t>
            </w:r>
          </w:p>
          <w:p w:rsidR="00AB0C34" w:rsidRPr="009E5FDC" w:rsidRDefault="007C3769">
            <w:pPr>
              <w:autoSpaceDE w:val="0"/>
              <w:autoSpaceDN w:val="0"/>
              <w:adjustRightInd w:val="0"/>
              <w:rPr>
                <w:color w:val="000000"/>
                <w:sz w:val="20"/>
              </w:rPr>
            </w:pPr>
            <w:r w:rsidRPr="009E5FD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0C34" w:rsidRPr="009E5FDC" w:rsidRDefault="007C3769">
            <w:pPr>
              <w:autoSpaceDE w:val="0"/>
              <w:autoSpaceDN w:val="0"/>
              <w:adjustRightInd w:val="0"/>
              <w:rPr>
                <w:color w:val="000000"/>
                <w:sz w:val="20"/>
              </w:rPr>
            </w:pPr>
            <w:r w:rsidRPr="009E5FDC">
              <w:rPr>
                <w:color w:val="000000"/>
                <w:sz w:val="20"/>
              </w:rPr>
              <w:t>20</w:t>
            </w:r>
          </w:p>
          <w:p w:rsidR="00AB0C34" w:rsidRPr="009E5FDC" w:rsidRDefault="007C3769">
            <w:pPr>
              <w:autoSpaceDE w:val="0"/>
              <w:autoSpaceDN w:val="0"/>
              <w:adjustRightInd w:val="0"/>
              <w:rPr>
                <w:color w:val="000000"/>
                <w:sz w:val="20"/>
              </w:rPr>
            </w:pPr>
            <w:r w:rsidRPr="009E5FDC">
              <w:rPr>
                <w:color w:val="000000"/>
                <w:sz w:val="20"/>
              </w:rPr>
              <w:t>2</w:t>
            </w:r>
          </w:p>
          <w:p w:rsidR="00AB0C34" w:rsidRPr="009E5FDC" w:rsidRDefault="007C3769">
            <w:pPr>
              <w:autoSpaceDE w:val="0"/>
              <w:autoSpaceDN w:val="0"/>
              <w:adjustRightInd w:val="0"/>
              <w:rPr>
                <w:color w:val="000000"/>
                <w:sz w:val="20"/>
              </w:rPr>
            </w:pPr>
            <w:r w:rsidRPr="009E5FDC">
              <w:rPr>
                <w:color w:val="000000"/>
                <w:sz w:val="20"/>
              </w:rPr>
              <w:t>0</w:t>
            </w:r>
          </w:p>
        </w:tc>
      </w:tr>
      <w:tr w:rsidR="00491A58" w:rsidRPr="009E5FD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0C34" w:rsidRPr="009E5FDC" w:rsidRDefault="007C3769">
            <w:pPr>
              <w:autoSpaceDE w:val="0"/>
              <w:autoSpaceDN w:val="0"/>
              <w:adjustRightInd w:val="0"/>
              <w:rPr>
                <w:b/>
                <w:bCs/>
                <w:color w:val="000000"/>
                <w:sz w:val="20"/>
              </w:rPr>
            </w:pPr>
            <w:r w:rsidRPr="009E5FDC">
              <w:rPr>
                <w:b/>
                <w:color w:val="000000"/>
                <w:sz w:val="20"/>
              </w:rPr>
              <w:t>Βουλευτές παρόντες κατά την τελική ψηφοφορία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0C34" w:rsidRPr="009E5FDC" w:rsidRDefault="007C3769">
            <w:pPr>
              <w:autoSpaceDE w:val="0"/>
              <w:autoSpaceDN w:val="0"/>
              <w:adjustRightInd w:val="0"/>
              <w:rPr>
                <w:color w:val="000000"/>
                <w:sz w:val="20"/>
              </w:rPr>
            </w:pPr>
            <w:r w:rsidRPr="009E5FDC">
              <w:rPr>
                <w:color w:val="000000"/>
                <w:sz w:val="20"/>
              </w:rPr>
              <w:t xml:space="preserve">Pascal Arimont, Ilana Cicurel, Geoffroy Didier, Ibán García Del Blanco, Virginie Joron, Pierre Karleskind, Sergey Lagodinsky, Gilles Lebreton, Karen Melchior, Sabrina Pignedoli, Jiří Pospíšil, Raffaele </w:t>
            </w:r>
            <w:r w:rsidRPr="009E5FDC">
              <w:rPr>
                <w:color w:val="000000"/>
                <w:sz w:val="20"/>
              </w:rPr>
              <w:t>Stancanelli, Adrián Vázquez Lázara, Axel Voss, Marion Walsmann, Tiemo Wölken, Javier Zarzalejos</w:t>
            </w:r>
          </w:p>
        </w:tc>
      </w:tr>
      <w:tr w:rsidR="00491A58" w:rsidRPr="009E5FD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B0C34" w:rsidRPr="009E5FDC" w:rsidRDefault="007C3769">
            <w:pPr>
              <w:autoSpaceDE w:val="0"/>
              <w:autoSpaceDN w:val="0"/>
              <w:adjustRightInd w:val="0"/>
              <w:rPr>
                <w:b/>
                <w:bCs/>
                <w:color w:val="000000"/>
                <w:sz w:val="20"/>
              </w:rPr>
            </w:pPr>
            <w:r w:rsidRPr="009E5FDC">
              <w:rPr>
                <w:b/>
                <w:color w:val="000000"/>
                <w:sz w:val="20"/>
              </w:rPr>
              <w:t>Αναπληρωτές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B0C34" w:rsidRPr="009E5FDC" w:rsidRDefault="007C3769">
            <w:pPr>
              <w:autoSpaceDE w:val="0"/>
              <w:autoSpaceDN w:val="0"/>
              <w:adjustRightInd w:val="0"/>
              <w:rPr>
                <w:color w:val="000000"/>
                <w:sz w:val="20"/>
              </w:rPr>
            </w:pPr>
            <w:r w:rsidRPr="009E5FDC">
              <w:rPr>
                <w:color w:val="000000"/>
                <w:sz w:val="20"/>
              </w:rPr>
              <w:t>Daniel Buda, Pascal Durand, Heidi Hautala</w:t>
            </w:r>
          </w:p>
        </w:tc>
      </w:tr>
      <w:tr w:rsidR="00491A58" w:rsidRPr="007C376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B0C34" w:rsidRPr="009E5FDC" w:rsidRDefault="007C3769">
            <w:pPr>
              <w:autoSpaceDE w:val="0"/>
              <w:autoSpaceDN w:val="0"/>
              <w:adjustRightInd w:val="0"/>
              <w:rPr>
                <w:b/>
                <w:bCs/>
                <w:color w:val="000000"/>
                <w:sz w:val="20"/>
              </w:rPr>
            </w:pPr>
            <w:r w:rsidRPr="009E5FDC">
              <w:rPr>
                <w:b/>
                <w:color w:val="000000"/>
                <w:sz w:val="20"/>
              </w:rPr>
              <w:t>Αναπληρωτές (άρθρο 209 παρ. 7)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B0C34" w:rsidRPr="007C3769" w:rsidRDefault="007C3769">
            <w:pPr>
              <w:autoSpaceDE w:val="0"/>
              <w:autoSpaceDN w:val="0"/>
              <w:adjustRightInd w:val="0"/>
              <w:rPr>
                <w:color w:val="000000"/>
                <w:sz w:val="20"/>
                <w:lang w:val="fr-FR"/>
              </w:rPr>
            </w:pPr>
            <w:r w:rsidRPr="007C3769">
              <w:rPr>
                <w:color w:val="000000"/>
                <w:sz w:val="20"/>
                <w:lang w:val="fr-FR"/>
              </w:rPr>
              <w:t>Sylvie Guillaume, Pedro Marques, Anne-Sophie Pelletier</w:t>
            </w:r>
          </w:p>
        </w:tc>
      </w:tr>
    </w:tbl>
    <w:p w:rsidR="00AB0C34" w:rsidRPr="007C3769" w:rsidRDefault="00AB0C34" w:rsidP="00AB0C34">
      <w:pPr>
        <w:rPr>
          <w:lang w:val="fr-FR"/>
        </w:rPr>
      </w:pPr>
    </w:p>
    <w:bookmarkEnd w:id="1"/>
    <w:p w:rsidR="00AB0C34" w:rsidRPr="007C3769" w:rsidRDefault="00AB0C34" w:rsidP="00AB0C34">
      <w:pPr>
        <w:rPr>
          <w:lang w:val="fr-FR"/>
        </w:rPr>
        <w:sectPr w:rsidR="00AB0C34" w:rsidRPr="007C3769" w:rsidSect="00AB0C3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B0C34" w:rsidRPr="009E5FDC" w:rsidRDefault="007C3769" w:rsidP="00C36610">
      <w:pPr>
        <w:pStyle w:val="PageHeadingNotTOC"/>
      </w:pPr>
      <w:bookmarkStart w:id="2" w:name="RollCallPageAD"/>
      <w:r w:rsidRPr="009E5FDC">
        <w:t>ΤΕΛΙΚΗ ΨΗΦΟΦΟΡΙΑ ΜΕ ΟΝΟΜΑΣΤΙΚΗ ΚΛΗΣΗ 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91A58" w:rsidRPr="009E5FDC" w:rsidTr="008920AC">
        <w:trPr>
          <w:cantSplit/>
        </w:trPr>
        <w:tc>
          <w:tcPr>
            <w:tcW w:w="1701" w:type="dxa"/>
            <w:shd w:val="pct10" w:color="000000" w:fill="FFFFFF"/>
            <w:vAlign w:val="center"/>
          </w:tcPr>
          <w:p w:rsidR="00AB0C34" w:rsidRPr="009E5FDC" w:rsidRDefault="007C3769" w:rsidP="003858C5">
            <w:pPr>
              <w:pStyle w:val="RollCallVotes"/>
            </w:pPr>
            <w:r w:rsidRPr="009E5FDC">
              <w:t>20</w:t>
            </w:r>
          </w:p>
        </w:tc>
        <w:tc>
          <w:tcPr>
            <w:tcW w:w="7371" w:type="dxa"/>
            <w:shd w:val="pct10" w:color="000000" w:fill="FFFFFF"/>
          </w:tcPr>
          <w:p w:rsidR="00AB0C34" w:rsidRPr="009E5FDC" w:rsidRDefault="007C3769" w:rsidP="003858C5">
            <w:pPr>
              <w:pStyle w:val="RollCallSymbols14pt"/>
            </w:pPr>
            <w:r w:rsidRPr="009E5FDC">
              <w:t>+</w:t>
            </w:r>
          </w:p>
        </w:tc>
      </w:tr>
      <w:tr w:rsidR="00491A58" w:rsidRPr="009E5FDC" w:rsidTr="008920AC">
        <w:trPr>
          <w:cantSplit/>
        </w:trPr>
        <w:tc>
          <w:tcPr>
            <w:tcW w:w="1701" w:type="dxa"/>
            <w:shd w:val="clear" w:color="auto" w:fill="FFFFFF"/>
          </w:tcPr>
          <w:p w:rsidR="00AB0C34" w:rsidRPr="009E5FDC" w:rsidRDefault="007C3769" w:rsidP="003858C5">
            <w:pPr>
              <w:pStyle w:val="RollCallTable"/>
            </w:pPr>
            <w:r w:rsidRPr="009E5FDC">
              <w:t>NI</w:t>
            </w:r>
          </w:p>
        </w:tc>
        <w:tc>
          <w:tcPr>
            <w:tcW w:w="7371" w:type="dxa"/>
            <w:shd w:val="clear" w:color="auto" w:fill="FFFFFF"/>
          </w:tcPr>
          <w:p w:rsidR="00AB0C34" w:rsidRPr="009E5FDC" w:rsidRDefault="007C3769" w:rsidP="003858C5">
            <w:pPr>
              <w:pStyle w:val="RollCallTable"/>
            </w:pPr>
            <w:r w:rsidRPr="009E5FDC">
              <w:t>Sabrina Pignedoli</w:t>
            </w:r>
          </w:p>
        </w:tc>
      </w:tr>
      <w:tr w:rsidR="00491A58" w:rsidRPr="009E5FDC" w:rsidTr="008920AC">
        <w:trPr>
          <w:cantSplit/>
        </w:trPr>
        <w:tc>
          <w:tcPr>
            <w:tcW w:w="1701" w:type="dxa"/>
            <w:shd w:val="clear" w:color="auto" w:fill="FFFFFF"/>
          </w:tcPr>
          <w:p w:rsidR="00AB0C34" w:rsidRPr="009E5FDC" w:rsidRDefault="007C3769" w:rsidP="003858C5">
            <w:pPr>
              <w:pStyle w:val="RollCallTable"/>
            </w:pPr>
            <w:r w:rsidRPr="009E5FDC">
              <w:t>PPE</w:t>
            </w:r>
          </w:p>
        </w:tc>
        <w:tc>
          <w:tcPr>
            <w:tcW w:w="7371" w:type="dxa"/>
            <w:shd w:val="clear" w:color="auto" w:fill="FFFFFF"/>
          </w:tcPr>
          <w:p w:rsidR="00AB0C34" w:rsidRPr="009E5FDC" w:rsidRDefault="007C3769" w:rsidP="003858C5">
            <w:pPr>
              <w:pStyle w:val="RollCallTable"/>
            </w:pPr>
            <w:r w:rsidRPr="009E5FDC">
              <w:t xml:space="preserve">Pascal Arimont, Daniel Buda, Geoffroy Didier, Jiří Pospíšil, Axel Voss, </w:t>
            </w:r>
            <w:r w:rsidRPr="009E5FDC">
              <w:t>Marion Walsmann, Javier Zarzalejos</w:t>
            </w:r>
          </w:p>
        </w:tc>
      </w:tr>
      <w:tr w:rsidR="00491A58" w:rsidRPr="009E5FDC" w:rsidTr="008920AC">
        <w:trPr>
          <w:cantSplit/>
        </w:trPr>
        <w:tc>
          <w:tcPr>
            <w:tcW w:w="1701" w:type="dxa"/>
            <w:shd w:val="clear" w:color="auto" w:fill="FFFFFF"/>
          </w:tcPr>
          <w:p w:rsidR="00AB0C34" w:rsidRPr="009E5FDC" w:rsidRDefault="007C3769" w:rsidP="003858C5">
            <w:pPr>
              <w:pStyle w:val="RollCallTable"/>
            </w:pPr>
            <w:r w:rsidRPr="009E5FDC">
              <w:t>Renew</w:t>
            </w:r>
          </w:p>
        </w:tc>
        <w:tc>
          <w:tcPr>
            <w:tcW w:w="7371" w:type="dxa"/>
            <w:shd w:val="clear" w:color="auto" w:fill="FFFFFF"/>
          </w:tcPr>
          <w:p w:rsidR="00AB0C34" w:rsidRPr="009E5FDC" w:rsidRDefault="007C3769" w:rsidP="003858C5">
            <w:pPr>
              <w:pStyle w:val="RollCallTable"/>
            </w:pPr>
            <w:r w:rsidRPr="009E5FDC">
              <w:t>Ilana Cicurel, Pierre Karleskind, Karen Melchior, Adrián Vázquez Lázara</w:t>
            </w:r>
          </w:p>
        </w:tc>
      </w:tr>
      <w:tr w:rsidR="00491A58" w:rsidRPr="009E5FDC" w:rsidTr="008920AC">
        <w:trPr>
          <w:cantSplit/>
        </w:trPr>
        <w:tc>
          <w:tcPr>
            <w:tcW w:w="1701" w:type="dxa"/>
            <w:shd w:val="clear" w:color="auto" w:fill="FFFFFF"/>
          </w:tcPr>
          <w:p w:rsidR="00AB0C34" w:rsidRPr="009E5FDC" w:rsidRDefault="007C3769" w:rsidP="003858C5">
            <w:pPr>
              <w:pStyle w:val="RollCallTable"/>
            </w:pPr>
            <w:r w:rsidRPr="009E5FDC">
              <w:t>S&amp;D</w:t>
            </w:r>
          </w:p>
        </w:tc>
        <w:tc>
          <w:tcPr>
            <w:tcW w:w="7371" w:type="dxa"/>
            <w:shd w:val="clear" w:color="auto" w:fill="FFFFFF"/>
          </w:tcPr>
          <w:p w:rsidR="00AB0C34" w:rsidRPr="009E5FDC" w:rsidRDefault="007C3769" w:rsidP="003858C5">
            <w:pPr>
              <w:pStyle w:val="RollCallTable"/>
            </w:pPr>
            <w:r w:rsidRPr="009E5FDC">
              <w:t>Pascal Durand, Ibán García Del Blanco, Sylvie Guillaume, Pedro Marques, Tiemo Wölken</w:t>
            </w:r>
          </w:p>
        </w:tc>
      </w:tr>
      <w:tr w:rsidR="00491A58" w:rsidRPr="009E5FDC" w:rsidTr="008920AC">
        <w:trPr>
          <w:cantSplit/>
        </w:trPr>
        <w:tc>
          <w:tcPr>
            <w:tcW w:w="1701" w:type="dxa"/>
            <w:shd w:val="clear" w:color="auto" w:fill="FFFFFF"/>
          </w:tcPr>
          <w:p w:rsidR="00AB0C34" w:rsidRPr="009E5FDC" w:rsidRDefault="007C3769" w:rsidP="003858C5">
            <w:pPr>
              <w:pStyle w:val="RollCallTable"/>
            </w:pPr>
            <w:r w:rsidRPr="009E5FDC">
              <w:t>The Left</w:t>
            </w:r>
          </w:p>
        </w:tc>
        <w:tc>
          <w:tcPr>
            <w:tcW w:w="7371" w:type="dxa"/>
            <w:shd w:val="clear" w:color="auto" w:fill="FFFFFF"/>
          </w:tcPr>
          <w:p w:rsidR="00AB0C34" w:rsidRPr="009E5FDC" w:rsidRDefault="007C3769" w:rsidP="003858C5">
            <w:pPr>
              <w:pStyle w:val="RollCallTable"/>
            </w:pPr>
            <w:r w:rsidRPr="009E5FDC">
              <w:t>Anne-Sophie Pelletier</w:t>
            </w:r>
          </w:p>
        </w:tc>
      </w:tr>
      <w:tr w:rsidR="00491A58" w:rsidRPr="009E5FDC" w:rsidTr="008920AC">
        <w:trPr>
          <w:cantSplit/>
        </w:trPr>
        <w:tc>
          <w:tcPr>
            <w:tcW w:w="1701" w:type="dxa"/>
            <w:shd w:val="clear" w:color="auto" w:fill="FFFFFF"/>
          </w:tcPr>
          <w:p w:rsidR="00AB0C34" w:rsidRPr="009E5FDC" w:rsidRDefault="007C3769" w:rsidP="003858C5">
            <w:pPr>
              <w:pStyle w:val="RollCallTable"/>
            </w:pPr>
            <w:r w:rsidRPr="009E5FDC">
              <w:t>Verts/ALE</w:t>
            </w:r>
          </w:p>
        </w:tc>
        <w:tc>
          <w:tcPr>
            <w:tcW w:w="7371" w:type="dxa"/>
            <w:shd w:val="clear" w:color="auto" w:fill="FFFFFF"/>
          </w:tcPr>
          <w:p w:rsidR="00AB0C34" w:rsidRPr="009E5FDC" w:rsidRDefault="007C3769" w:rsidP="003858C5">
            <w:pPr>
              <w:pStyle w:val="RollCallTable"/>
            </w:pPr>
            <w:r w:rsidRPr="009E5FDC">
              <w:t xml:space="preserve">Heidi </w:t>
            </w:r>
            <w:r w:rsidRPr="009E5FDC">
              <w:t>Hautala, Sergey Lagodinsky</w:t>
            </w:r>
          </w:p>
        </w:tc>
      </w:tr>
    </w:tbl>
    <w:p w:rsidR="00AB0C34" w:rsidRPr="009E5FDC" w:rsidRDefault="00AB0C34"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91A58" w:rsidRPr="009E5FDC" w:rsidTr="008920AC">
        <w:trPr>
          <w:cantSplit/>
        </w:trPr>
        <w:tc>
          <w:tcPr>
            <w:tcW w:w="1701" w:type="dxa"/>
            <w:shd w:val="pct10" w:color="000000" w:fill="FFFFFF"/>
            <w:vAlign w:val="center"/>
          </w:tcPr>
          <w:p w:rsidR="00AB0C34" w:rsidRPr="009E5FDC" w:rsidRDefault="007C3769" w:rsidP="003858C5">
            <w:pPr>
              <w:pStyle w:val="RollCallVotes"/>
            </w:pPr>
            <w:r w:rsidRPr="009E5FDC">
              <w:t>2</w:t>
            </w:r>
          </w:p>
        </w:tc>
        <w:tc>
          <w:tcPr>
            <w:tcW w:w="7371" w:type="dxa"/>
            <w:shd w:val="pct10" w:color="000000" w:fill="FFFFFF"/>
          </w:tcPr>
          <w:p w:rsidR="00AB0C34" w:rsidRPr="009E5FDC" w:rsidRDefault="007C3769" w:rsidP="003858C5">
            <w:pPr>
              <w:pStyle w:val="RollCallSymbols14pt"/>
            </w:pPr>
            <w:r w:rsidRPr="009E5FDC">
              <w:t>-</w:t>
            </w:r>
          </w:p>
        </w:tc>
      </w:tr>
      <w:tr w:rsidR="00491A58" w:rsidRPr="009E5FDC" w:rsidTr="008920AC">
        <w:trPr>
          <w:cantSplit/>
        </w:trPr>
        <w:tc>
          <w:tcPr>
            <w:tcW w:w="1701" w:type="dxa"/>
            <w:shd w:val="clear" w:color="auto" w:fill="FFFFFF"/>
          </w:tcPr>
          <w:p w:rsidR="00AB0C34" w:rsidRPr="009E5FDC" w:rsidRDefault="007C3769" w:rsidP="003858C5">
            <w:pPr>
              <w:pStyle w:val="RollCallTable"/>
            </w:pPr>
            <w:r w:rsidRPr="009E5FDC">
              <w:t>ID</w:t>
            </w:r>
          </w:p>
        </w:tc>
        <w:tc>
          <w:tcPr>
            <w:tcW w:w="7371" w:type="dxa"/>
            <w:shd w:val="clear" w:color="auto" w:fill="FFFFFF"/>
          </w:tcPr>
          <w:p w:rsidR="00AB0C34" w:rsidRPr="009E5FDC" w:rsidRDefault="007C3769" w:rsidP="003858C5">
            <w:pPr>
              <w:pStyle w:val="RollCallTable"/>
            </w:pPr>
            <w:r w:rsidRPr="009E5FDC">
              <w:t>Virginie Joron, Gilles Lebreton</w:t>
            </w:r>
          </w:p>
        </w:tc>
      </w:tr>
    </w:tbl>
    <w:p w:rsidR="00AB0C34" w:rsidRPr="009E5FDC" w:rsidRDefault="00AB0C34"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91A58" w:rsidRPr="009E5FDC" w:rsidTr="008920AC">
        <w:trPr>
          <w:cantSplit/>
        </w:trPr>
        <w:tc>
          <w:tcPr>
            <w:tcW w:w="1701" w:type="dxa"/>
            <w:shd w:val="pct10" w:color="000000" w:fill="FFFFFF"/>
            <w:vAlign w:val="center"/>
          </w:tcPr>
          <w:p w:rsidR="00AB0C34" w:rsidRPr="009E5FDC" w:rsidRDefault="007C3769" w:rsidP="003858C5">
            <w:pPr>
              <w:pStyle w:val="RollCallVotes"/>
            </w:pPr>
            <w:r w:rsidRPr="009E5FDC">
              <w:t>0</w:t>
            </w:r>
          </w:p>
        </w:tc>
        <w:tc>
          <w:tcPr>
            <w:tcW w:w="7371" w:type="dxa"/>
            <w:shd w:val="pct10" w:color="000000" w:fill="FFFFFF"/>
          </w:tcPr>
          <w:p w:rsidR="00AB0C34" w:rsidRPr="009E5FDC" w:rsidRDefault="007C3769" w:rsidP="003858C5">
            <w:pPr>
              <w:pStyle w:val="RollCallSymbols14pt"/>
            </w:pPr>
            <w:r w:rsidRPr="009E5FDC">
              <w:t>0</w:t>
            </w:r>
          </w:p>
        </w:tc>
      </w:tr>
      <w:tr w:rsidR="00491A58" w:rsidRPr="009E5FDC" w:rsidTr="008920AC">
        <w:trPr>
          <w:cantSplit/>
        </w:trPr>
        <w:tc>
          <w:tcPr>
            <w:tcW w:w="1701" w:type="dxa"/>
            <w:shd w:val="clear" w:color="auto" w:fill="FFFFFF"/>
          </w:tcPr>
          <w:p w:rsidR="00AB0C34" w:rsidRPr="009E5FDC" w:rsidRDefault="00AB0C34" w:rsidP="003858C5">
            <w:pPr>
              <w:pStyle w:val="RollCallTable"/>
            </w:pPr>
          </w:p>
        </w:tc>
        <w:tc>
          <w:tcPr>
            <w:tcW w:w="7371" w:type="dxa"/>
            <w:shd w:val="clear" w:color="auto" w:fill="FFFFFF"/>
          </w:tcPr>
          <w:p w:rsidR="00AB0C34" w:rsidRPr="009E5FDC" w:rsidRDefault="00AB0C34" w:rsidP="003858C5">
            <w:pPr>
              <w:pStyle w:val="RollCallTable"/>
            </w:pPr>
          </w:p>
        </w:tc>
      </w:tr>
    </w:tbl>
    <w:p w:rsidR="00AB0C34" w:rsidRPr="009E5FDC" w:rsidRDefault="00AB0C34" w:rsidP="00147FBF">
      <w:pPr>
        <w:pStyle w:val="Normal12a"/>
      </w:pPr>
    </w:p>
    <w:p w:rsidR="00AB0C34" w:rsidRPr="009E5FDC" w:rsidRDefault="007C3769" w:rsidP="00B735E3">
      <w:r w:rsidRPr="009E5FDC">
        <w:t>Υπόμνημα των χρησιμοποιούμενων συμβόλων:</w:t>
      </w:r>
    </w:p>
    <w:p w:rsidR="00AB0C34" w:rsidRPr="009E5FDC" w:rsidRDefault="007C3769" w:rsidP="003858C5">
      <w:pPr>
        <w:pStyle w:val="RollCallTabs"/>
      </w:pPr>
      <w:r w:rsidRPr="009E5FDC">
        <w:t>+</w:t>
      </w:r>
      <w:r w:rsidRPr="009E5FDC">
        <w:tab/>
        <w:t>:</w:t>
      </w:r>
      <w:r w:rsidRPr="009E5FDC">
        <w:tab/>
        <w:t>υπέρ</w:t>
      </w:r>
    </w:p>
    <w:p w:rsidR="00AB0C34" w:rsidRPr="009E5FDC" w:rsidRDefault="007C3769" w:rsidP="003858C5">
      <w:pPr>
        <w:pStyle w:val="RollCallTabs"/>
      </w:pPr>
      <w:r w:rsidRPr="009E5FDC">
        <w:t>-</w:t>
      </w:r>
      <w:r w:rsidRPr="009E5FDC">
        <w:tab/>
        <w:t>:</w:t>
      </w:r>
      <w:r w:rsidRPr="009E5FDC">
        <w:tab/>
        <w:t>κατά</w:t>
      </w:r>
    </w:p>
    <w:p w:rsidR="00AB0C34" w:rsidRPr="009E5FDC" w:rsidRDefault="007C3769" w:rsidP="003858C5">
      <w:pPr>
        <w:pStyle w:val="RollCallTabs"/>
      </w:pPr>
      <w:r w:rsidRPr="009E5FDC">
        <w:t>0</w:t>
      </w:r>
      <w:r w:rsidRPr="009E5FDC">
        <w:tab/>
        <w:t>:</w:t>
      </w:r>
      <w:r w:rsidRPr="009E5FDC">
        <w:tab/>
        <w:t>αποχή</w:t>
      </w:r>
    </w:p>
    <w:p w:rsidR="00AB0C34" w:rsidRPr="009E5FDC" w:rsidRDefault="00AB0C34" w:rsidP="00207509"/>
    <w:bookmarkEnd w:id="2"/>
    <w:p w:rsidR="00AB0C34" w:rsidRPr="009E5FDC" w:rsidRDefault="00AB0C34" w:rsidP="00AB0C34"/>
    <w:sectPr w:rsidR="00AB0C34" w:rsidRPr="009E5FDC" w:rsidSect="00AB0C3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E5FDC" w:rsidRDefault="007C3769">
      <w:r w:rsidRPr="009E5FDC">
        <w:separator/>
      </w:r>
    </w:p>
  </w:endnote>
  <w:endnote w:type="continuationSeparator" w:id="0">
    <w:p w:rsidR="00000000" w:rsidRPr="009E5FDC" w:rsidRDefault="007C3769">
      <w:r w:rsidRPr="009E5F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FDC" w:rsidRPr="009E5FDC" w:rsidRDefault="009E5FDC" w:rsidP="009E5FDC">
    <w:pPr>
      <w:pStyle w:val="EPFooter"/>
    </w:pPr>
    <w:r w:rsidRPr="009E5FDC">
      <w:t>PE</w:t>
    </w:r>
    <w:r w:rsidRPr="009E5FDC">
      <w:rPr>
        <w:rStyle w:val="HideTWBExt"/>
      </w:rPr>
      <w:t>&lt;NoPE&gt;</w:t>
    </w:r>
    <w:r w:rsidRPr="009E5FDC">
      <w:t>754.755</w:t>
    </w:r>
    <w:r w:rsidRPr="009E5FDC">
      <w:rPr>
        <w:rStyle w:val="HideTWBExt"/>
      </w:rPr>
      <w:t>&lt;/NoPE&gt;&lt;Version&gt;</w:t>
    </w:r>
    <w:r w:rsidRPr="009E5FDC">
      <w:t>v02-00</w:t>
    </w:r>
    <w:r w:rsidRPr="009E5FDC">
      <w:rPr>
        <w:rStyle w:val="HideTWBExt"/>
      </w:rPr>
      <w:t>&lt;/Version&gt;</w:t>
    </w:r>
    <w:r w:rsidRPr="009E5FDC">
      <w:tab/>
    </w:r>
    <w:r w:rsidRPr="009E5FDC">
      <w:fldChar w:fldCharType="begin"/>
    </w:r>
    <w:r w:rsidRPr="009E5FDC">
      <w:instrText xml:space="preserve"> PAGE  \* MERGEFORMAT </w:instrText>
    </w:r>
    <w:r w:rsidRPr="009E5FDC">
      <w:fldChar w:fldCharType="separate"/>
    </w:r>
    <w:r w:rsidR="007C3769">
      <w:rPr>
        <w:noProof/>
      </w:rPr>
      <w:t>4</w:t>
    </w:r>
    <w:r w:rsidRPr="009E5FDC">
      <w:fldChar w:fldCharType="end"/>
    </w:r>
    <w:r w:rsidRPr="009E5FDC">
      <w:t>/</w:t>
    </w:r>
    <w:fldSimple w:instr=" NUMPAGES  \* MERGEFORMAT ">
      <w:r w:rsidR="007C3769">
        <w:rPr>
          <w:noProof/>
        </w:rPr>
        <w:t>11</w:t>
      </w:r>
    </w:fldSimple>
    <w:r w:rsidRPr="009E5FDC">
      <w:tab/>
    </w:r>
    <w:r w:rsidRPr="009E5FDC">
      <w:rPr>
        <w:rStyle w:val="HideTWBExt"/>
      </w:rPr>
      <w:t>&lt;PathFdR&gt;</w:t>
    </w:r>
    <w:r w:rsidRPr="009E5FDC">
      <w:t>AD\1291636EL.docx</w:t>
    </w:r>
    <w:r w:rsidRPr="009E5FDC">
      <w:rPr>
        <w:rStyle w:val="HideTWBExt"/>
      </w:rPr>
      <w:t>&lt;/PathFdR&gt;</w:t>
    </w:r>
  </w:p>
  <w:p w:rsidR="002E2F2E" w:rsidRPr="009E5FDC" w:rsidRDefault="009E5FDC" w:rsidP="009E5FDC">
    <w:pPr>
      <w:pStyle w:val="EPFooter2"/>
    </w:pPr>
    <w:r w:rsidRPr="009E5FDC">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FDC" w:rsidRPr="009E5FDC" w:rsidRDefault="009E5FDC" w:rsidP="009E5FDC">
    <w:pPr>
      <w:pStyle w:val="EPFooter"/>
    </w:pPr>
    <w:r w:rsidRPr="009E5FDC">
      <w:rPr>
        <w:rStyle w:val="HideTWBExt"/>
      </w:rPr>
      <w:t>&lt;PathFdR&gt;</w:t>
    </w:r>
    <w:r w:rsidRPr="009E5FDC">
      <w:t>AD\1291636EL.docx</w:t>
    </w:r>
    <w:r w:rsidRPr="009E5FDC">
      <w:rPr>
        <w:rStyle w:val="HideTWBExt"/>
      </w:rPr>
      <w:t>&lt;/PathFdR&gt;</w:t>
    </w:r>
    <w:r w:rsidRPr="009E5FDC">
      <w:tab/>
    </w:r>
    <w:r w:rsidRPr="009E5FDC">
      <w:fldChar w:fldCharType="begin"/>
    </w:r>
    <w:r w:rsidRPr="009E5FDC">
      <w:instrText xml:space="preserve"> PAGE  \* MERGEFORMAT </w:instrText>
    </w:r>
    <w:r w:rsidRPr="009E5FDC">
      <w:fldChar w:fldCharType="separate"/>
    </w:r>
    <w:r w:rsidR="007C3769">
      <w:rPr>
        <w:noProof/>
      </w:rPr>
      <w:t>3</w:t>
    </w:r>
    <w:r w:rsidRPr="009E5FDC">
      <w:fldChar w:fldCharType="end"/>
    </w:r>
    <w:r w:rsidRPr="009E5FDC">
      <w:t>/</w:t>
    </w:r>
    <w:fldSimple w:instr=" NUMPAGES  \* MERGEFORMAT ">
      <w:r w:rsidR="007C3769">
        <w:rPr>
          <w:noProof/>
        </w:rPr>
        <w:t>11</w:t>
      </w:r>
    </w:fldSimple>
    <w:r w:rsidRPr="009E5FDC">
      <w:tab/>
      <w:t>PE</w:t>
    </w:r>
    <w:r w:rsidRPr="009E5FDC">
      <w:rPr>
        <w:rStyle w:val="HideTWBExt"/>
      </w:rPr>
      <w:t>&lt;NoPE&gt;</w:t>
    </w:r>
    <w:r w:rsidRPr="009E5FDC">
      <w:t>754.755</w:t>
    </w:r>
    <w:r w:rsidRPr="009E5FDC">
      <w:rPr>
        <w:rStyle w:val="HideTWBExt"/>
      </w:rPr>
      <w:t>&lt;/NoPE&gt;&lt;Version&gt;</w:t>
    </w:r>
    <w:r w:rsidRPr="009E5FDC">
      <w:t>v02-00</w:t>
    </w:r>
    <w:r w:rsidRPr="009E5FDC">
      <w:rPr>
        <w:rStyle w:val="HideTWBExt"/>
      </w:rPr>
      <w:t>&lt;/Version&gt;</w:t>
    </w:r>
  </w:p>
  <w:p w:rsidR="002E2F2E" w:rsidRPr="009E5FDC" w:rsidRDefault="009E5FDC" w:rsidP="009E5FDC">
    <w:pPr>
      <w:pStyle w:val="EPFooter2"/>
    </w:pPr>
    <w:r w:rsidRPr="009E5FDC">
      <w:tab/>
    </w:r>
    <w:r w:rsidRPr="009E5FDC">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FDC" w:rsidRPr="009E5FDC" w:rsidRDefault="009E5FDC" w:rsidP="009E5FDC">
    <w:pPr>
      <w:pStyle w:val="EPFooter"/>
    </w:pPr>
    <w:r w:rsidRPr="009E5FDC">
      <w:rPr>
        <w:rStyle w:val="HideTWBExt"/>
      </w:rPr>
      <w:t>&lt;PathFdR&gt;</w:t>
    </w:r>
    <w:r w:rsidRPr="009E5FDC">
      <w:t>AD\1291636EL.docx</w:t>
    </w:r>
    <w:r w:rsidRPr="009E5FDC">
      <w:rPr>
        <w:rStyle w:val="HideTWBExt"/>
      </w:rPr>
      <w:t>&lt;/PathFdR&gt;</w:t>
    </w:r>
    <w:r w:rsidRPr="009E5FDC">
      <w:tab/>
    </w:r>
    <w:r w:rsidRPr="009E5FDC">
      <w:tab/>
      <w:t>PE</w:t>
    </w:r>
    <w:r w:rsidRPr="009E5FDC">
      <w:rPr>
        <w:rStyle w:val="HideTWBExt"/>
      </w:rPr>
      <w:t>&lt;NoPE&gt;</w:t>
    </w:r>
    <w:r w:rsidRPr="009E5FDC">
      <w:t>754.755</w:t>
    </w:r>
    <w:r w:rsidRPr="009E5FDC">
      <w:rPr>
        <w:rStyle w:val="HideTWBExt"/>
      </w:rPr>
      <w:t>&lt;/NoPE&gt;&lt;Version&gt;</w:t>
    </w:r>
    <w:r w:rsidRPr="009E5FDC">
      <w:t>v02-00</w:t>
    </w:r>
    <w:r w:rsidRPr="009E5FDC">
      <w:rPr>
        <w:rStyle w:val="HideTWBExt"/>
      </w:rPr>
      <w:t>&lt;/Version&gt;</w:t>
    </w:r>
  </w:p>
  <w:p w:rsidR="002E2F2E" w:rsidRPr="009E5FDC" w:rsidRDefault="009E5FDC" w:rsidP="009E5FDC">
    <w:pPr>
      <w:pStyle w:val="EPFooter2"/>
    </w:pPr>
    <w:r w:rsidRPr="009E5FDC">
      <w:t>EL</w:t>
    </w:r>
    <w:r w:rsidRPr="009E5FDC">
      <w:tab/>
    </w:r>
    <w:r w:rsidRPr="009E5FDC">
      <w:rPr>
        <w:b w:val="0"/>
        <w:i/>
        <w:color w:val="C0C0C0"/>
        <w:sz w:val="22"/>
      </w:rPr>
      <w:t>Ενωμένη στην πολυμορφία</w:t>
    </w:r>
    <w:r w:rsidRPr="009E5FDC">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57D" w:rsidRPr="009E5FDC" w:rsidRDefault="007C3769">
      <w:r w:rsidRPr="009E5FDC">
        <w:separator/>
      </w:r>
    </w:p>
  </w:footnote>
  <w:footnote w:type="continuationSeparator" w:id="0">
    <w:p w:rsidR="0007657D" w:rsidRPr="009E5FDC" w:rsidRDefault="007C3769">
      <w:r w:rsidRPr="009E5FDC">
        <w:continuationSeparator/>
      </w:r>
    </w:p>
  </w:footnote>
  <w:footnote w:id="1">
    <w:p w:rsidR="00BB0748" w:rsidRPr="009E5FDC" w:rsidRDefault="007C3769" w:rsidP="00BB0748">
      <w:pPr>
        <w:pStyle w:val="FootnoteText"/>
      </w:pPr>
      <w:r w:rsidRPr="009E5FDC">
        <w:rPr>
          <w:rStyle w:val="FootnoteReference"/>
        </w:rPr>
        <w:footnoteRef/>
      </w:r>
      <w:r w:rsidRPr="009E5FDC">
        <w:t xml:space="preserve"> Βλ. γνωμοδότηση 2/2013 του Δικαστηρίου της Ευρωπαϊκής Ένωσης (ολομέλεια) της 18ης Δεκεμβρίου 2014, ECLI:EU:C:2014:2454, σκέψη 168.</w:t>
      </w:r>
    </w:p>
  </w:footnote>
  <w:footnote w:id="2">
    <w:p w:rsidR="00BB0748" w:rsidRPr="009E5FDC" w:rsidRDefault="007C3769" w:rsidP="00BB0748">
      <w:pPr>
        <w:pStyle w:val="FootnoteText"/>
      </w:pPr>
      <w:r w:rsidRPr="009E5FDC">
        <w:rPr>
          <w:rStyle w:val="FootnoteReference"/>
        </w:rPr>
        <w:footnoteRef/>
      </w:r>
      <w:r w:rsidRPr="009E5FDC">
        <w:t xml:space="preserve"> Ό.π., σκέψη 191.</w:t>
      </w:r>
    </w:p>
  </w:footnote>
  <w:footnote w:id="3">
    <w:p w:rsidR="00BB0748" w:rsidRPr="009E5FDC" w:rsidRDefault="007C3769" w:rsidP="00BB0748">
      <w:pPr>
        <w:pStyle w:val="FootnoteText"/>
      </w:pPr>
      <w:r w:rsidRPr="009E5FDC">
        <w:rPr>
          <w:rStyle w:val="FootnoteReference"/>
        </w:rPr>
        <w:footnoteRef/>
      </w:r>
      <w:r w:rsidRPr="009E5FDC">
        <w:t xml:space="preserve"> Κύκλοι αξιολόγησης της CEPEJ.</w:t>
      </w:r>
    </w:p>
  </w:footnote>
  <w:footnote w:id="4">
    <w:p w:rsidR="00BB0748" w:rsidRPr="009E5FDC" w:rsidRDefault="007C3769" w:rsidP="00BB0748">
      <w:pPr>
        <w:pStyle w:val="FootnoteText"/>
      </w:pPr>
      <w:r w:rsidRPr="009E5FDC">
        <w:rPr>
          <w:rStyle w:val="FootnoteReference"/>
        </w:rPr>
        <w:footnoteRef/>
      </w:r>
      <w:r w:rsidRPr="009E5FDC">
        <w:t xml:space="preserve"> Ενημερωτικό σημείωμα της 25ης Μαΐου 2021 — «Council of Europe standards</w:t>
      </w:r>
      <w:r w:rsidRPr="009E5FDC">
        <w:t xml:space="preserve"> on judicial independence» (Πρότυπα του Συμβουλίου της Ευρώπης για την ανεξαρτησία της δικαιοσύνης), Ευρωπαϊκό Κοινοβούλιο, Γενική Διεύθυνση Υπηρεσιών Κοινοβουλευτικής Έρευνας.</w:t>
      </w:r>
    </w:p>
  </w:footnote>
  <w:footnote w:id="5">
    <w:p w:rsidR="00BB0748" w:rsidRPr="009E5FDC" w:rsidRDefault="007C3769" w:rsidP="00BB0748">
      <w:pPr>
        <w:pStyle w:val="FootnoteText"/>
      </w:pPr>
      <w:r w:rsidRPr="009E5FDC">
        <w:rPr>
          <w:rStyle w:val="FootnoteReference"/>
        </w:rPr>
        <w:footnoteRef/>
      </w:r>
      <w:r w:rsidRPr="009E5FDC">
        <w:t xml:space="preserve"> Για παράδειγμα, Απόφαση του Δικαστηρίου (τμήμα μείζονος συνθέσεως) της 27ης Φ</w:t>
      </w:r>
      <w:r w:rsidRPr="009E5FDC">
        <w:t>εβρουαρίου 2018 στην υπόθεση C-64/16, Associação Sindical dos Juízes Portugueses κατά Tribunal de Contas, ECLI:EU:C:2018:117, ή απόφαση του Δικαστηρίου (τμήμα μείζονος συνθέσεως) της 19ης Νοεμβρίου 2019, στις συνεκδικασθείσες υποθέσεις C-585/18, C-624/18 κ</w:t>
      </w:r>
      <w:r w:rsidRPr="009E5FDC">
        <w:t xml:space="preserve">αι C-625/18, Α.Κ. κατά Krajowa Rada Sądownictwa, ECLI:EU:C:2019:982. Βλ. επίσης Ενημερωτικό σημείωμα της 19ης Ιουλίου 2021 — «European Court of Justice case law on judicial independence» (νομολογία του Ευρωπαϊκού Δικαστηρίου σχετικά με την ανεξαρτησία της </w:t>
      </w:r>
      <w:r w:rsidRPr="009E5FDC">
        <w:t>δικαιοσύνης), Ευρωπαϊκό Κοινοβούλιο, Γενική Διεύθυνση Υπηρεσιών Κοινοβουλευτικής Έρευνας.</w:t>
      </w:r>
    </w:p>
  </w:footnote>
  <w:footnote w:id="6">
    <w:p w:rsidR="00BB0748" w:rsidRPr="009E5FDC" w:rsidRDefault="007C3769" w:rsidP="00BB0748">
      <w:pPr>
        <w:pStyle w:val="FootnoteText"/>
      </w:pPr>
      <w:r w:rsidRPr="009E5FDC">
        <w:rPr>
          <w:rStyle w:val="FootnoteReference"/>
        </w:rPr>
        <w:footnoteRef/>
      </w:r>
      <w:r w:rsidRPr="009E5FDC">
        <w:t xml:space="preserve"> Κανονισμός (ΕΕ, Ευρατόμ) 2020/2092 του Ευρωπαϊκού Κοινοβουλίου και του Συμβουλίου, της 16ης Δεκεμβρίου 2020, περί γενικού καθεστώτος αιρεσιμότητας για την προστασία</w:t>
      </w:r>
      <w:r w:rsidRPr="009E5FDC">
        <w:t xml:space="preserve"> του προϋπολογισμού της Ένωσης, (ΕΕ L 433 I της 22.12.2020, σ. 1).</w:t>
      </w:r>
    </w:p>
  </w:footnote>
  <w:footnote w:id="7">
    <w:p w:rsidR="00BB0748" w:rsidRPr="009E5FDC" w:rsidRDefault="007C3769" w:rsidP="00BB0748">
      <w:pPr>
        <w:pStyle w:val="FootnoteText"/>
      </w:pPr>
      <w:r w:rsidRPr="009E5FDC">
        <w:rPr>
          <w:rStyle w:val="FootnoteReference"/>
        </w:rPr>
        <w:footnoteRef/>
      </w:r>
      <w:r w:rsidRPr="009E5FDC">
        <w:t xml:space="preserve"> Απόφαση του Δικαστηρίου (ολομέλεια) της 16ης Φεβρουαρίου 2022, στην υπόθεση C-156/21, Ουγγαρία κατά Ευρωπαϊκού Κοινοβουλίου και του Συμβουλίου της Ευρωπαϊκής Ένωσης, ECLI:EU:C:2022:97 και</w:t>
      </w:r>
      <w:r w:rsidRPr="009E5FDC">
        <w:t xml:space="preserve"> απόφαση του Δικαστηρίου (ολομέλεια) της 16ης Φεβρουαρίου 2022, στην υπόθεση C-157/21, Πολωνία κατά Ευρωπαϊκού Κοινοβουλίου και Συμβουλίου της Ευρωπαϊκής Ένωσης, ECLI:EU:C:2022:98.</w:t>
      </w:r>
    </w:p>
  </w:footnote>
  <w:footnote w:id="8">
    <w:p w:rsidR="00BB0748" w:rsidRPr="009E5FDC" w:rsidRDefault="007C3769" w:rsidP="00BB0748">
      <w:pPr>
        <w:pStyle w:val="FootnoteText"/>
      </w:pPr>
      <w:r w:rsidRPr="009E5FDC">
        <w:rPr>
          <w:rStyle w:val="FootnoteReference"/>
        </w:rPr>
        <w:footnoteRef/>
      </w:r>
      <w:r w:rsidRPr="009E5FDC">
        <w:t xml:space="preserve"> Κανονισμός (ΕΕ) 2021/241 του Ευρωπαϊκού Κοινοβουλίου και του Συμβουλίου, </w:t>
      </w:r>
      <w:r w:rsidRPr="009E5FDC">
        <w:t>της 12ης Φεβρουαρίου 2021, για τη θέσπιση του μηχανισμού ανάκαμψης και ανθεκτικότητας (ΕΕ L 57 της 18.2.2021, σ. 17).</w:t>
      </w:r>
    </w:p>
  </w:footnote>
  <w:footnote w:id="9">
    <w:p w:rsidR="00BB0748" w:rsidRPr="009E5FDC" w:rsidRDefault="007C3769" w:rsidP="00BB0748">
      <w:pPr>
        <w:pStyle w:val="FootnoteText"/>
      </w:pPr>
      <w:r w:rsidRPr="009E5FDC">
        <w:rPr>
          <w:rStyle w:val="FootnoteReference"/>
        </w:rPr>
        <w:footnoteRef/>
      </w:r>
      <w:r w:rsidRPr="009E5FDC">
        <w:t xml:space="preserve"> ΕΕ L 26, 31.1.2003, σ. 41 και το διορθωτικό της (ΕΕ L 32, 7.2.2003, σ. 15).</w:t>
      </w:r>
    </w:p>
  </w:footnote>
  <w:footnote w:id="10">
    <w:p w:rsidR="00BB0748" w:rsidRPr="009E5FDC" w:rsidRDefault="007C3769" w:rsidP="00BB0748">
      <w:pPr>
        <w:pStyle w:val="FootnoteText"/>
      </w:pPr>
      <w:r w:rsidRPr="009E5FDC">
        <w:rPr>
          <w:rStyle w:val="FootnoteReference"/>
        </w:rPr>
        <w:footnoteRef/>
      </w:r>
      <w:r w:rsidRPr="009E5FDC">
        <w:t xml:space="preserve"> Για παράδειγμα, γνωμοδότηση αριθ. 9 της 17ης Δεκεμβρίου 2014 του Συμβουλευτικού Συμβουλίου Ευρωπαίων Εισαγγελέων σχετικά με τους ευρωπαϊκούς κανόνες και τις αρχές που αφορούν τους εισαγγελείς.</w:t>
      </w:r>
    </w:p>
  </w:footnote>
  <w:footnote w:id="11">
    <w:p w:rsidR="00BB0748" w:rsidRPr="009E5FDC" w:rsidRDefault="007C3769" w:rsidP="00BB0748">
      <w:pPr>
        <w:pStyle w:val="FootnoteText"/>
      </w:pPr>
      <w:r w:rsidRPr="009E5FDC">
        <w:rPr>
          <w:rStyle w:val="FootnoteReference"/>
        </w:rPr>
        <w:footnoteRef/>
      </w:r>
      <w:r w:rsidRPr="009E5FDC">
        <w:t xml:space="preserve"> Βλ., στο πλαίσιο αυτό, το άρθρο 3 της πρότασης οδηγίας του Ε</w:t>
      </w:r>
      <w:r w:rsidRPr="009E5FDC">
        <w:t>υρωπαϊκού Κοινοβουλίου και του Συμβουλίου, της 3ης Μαΐου 2023, για την καταπολέμηση της διαφθοράς, την αντικατάσταση της απόφασης-πλαισίου αριθ. 2003/568/ΔΕΥ του Συμβουλίου και της σύμβασης περί της καταπολέμησης της δωροδοκίας στην οποία ενέχονται υπάλληλ</w:t>
      </w:r>
      <w:r w:rsidRPr="009E5FDC">
        <w:t>οι των Ευρωπαϊκών Κοινοτήτων ή των κρατών μελών της Ευρωπαϊκής Ένωσης και για την τροποποίηση της οδηγίας (ΕΕ) 2017/1371 του Ευρωπαϊκού Κοινοβουλίου και του Συμβουλίου (COM(2023)0234).</w:t>
      </w:r>
    </w:p>
  </w:footnote>
  <w:footnote w:id="12">
    <w:p w:rsidR="00BB0748" w:rsidRPr="009E5FDC" w:rsidRDefault="007C3769" w:rsidP="00BB0748">
      <w:pPr>
        <w:pStyle w:val="FootnoteText"/>
      </w:pPr>
      <w:r w:rsidRPr="009E5FDC">
        <w:rPr>
          <w:rStyle w:val="FootnoteReference"/>
        </w:rPr>
        <w:footnoteRef/>
      </w:r>
      <w:r w:rsidRPr="009E5FDC">
        <w:t xml:space="preserve"> Κανονισμός (ΕΚ) αριθ. 1049/2001 του Ευρωπαϊκού Κοινοβουλίου και του Σ</w:t>
      </w:r>
      <w:r w:rsidRPr="009E5FDC">
        <w:t>υμβουλίου, της 30ής Μαΐου 2001, για την πρόσβαση του κοινού στα έγγραφα του Ευρωπαϊκού Κοινοβουλίου, του Συμβουλίου και της Επιτροπής (EE L 145 της 31.5.2001, σ. 43).</w:t>
      </w:r>
    </w:p>
  </w:footnote>
  <w:footnote w:id="13">
    <w:p w:rsidR="00BB0748" w:rsidRPr="009E5FDC" w:rsidRDefault="007C3769" w:rsidP="00BB0748">
      <w:pPr>
        <w:pStyle w:val="FootnoteText"/>
      </w:pPr>
      <w:r w:rsidRPr="009E5FDC">
        <w:rPr>
          <w:rStyle w:val="FootnoteReference"/>
        </w:rPr>
        <w:footnoteRef/>
      </w:r>
      <w:r w:rsidRPr="009E5FDC">
        <w:t xml:space="preserve"> Βλ. σχετικά το ψήφισμα του Ευρωπαϊκού Κοινοβουλίου της 17ης Φεβρουαρίου 2022 που περιέχ</w:t>
      </w:r>
      <w:r w:rsidRPr="009E5FDC">
        <w:t>ει συστάσεις προς την Επιτροπή σχετικά με ένα καταστατικό για τα ευρωπαϊκά διασυνοριακά σωματεία και τις μη κερδοσκοπικές οργανώσεις (342/6,9(INL))· 225).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769" w:rsidRDefault="007C37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769" w:rsidRDefault="007C37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769" w:rsidRDefault="007C37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CJMNU" w:val="1"/>
    <w:docVar w:name="CODEMNU" w:val=" 1"/>
    <w:docVar w:name="COM2KEY" w:val="LIBE"/>
    <w:docVar w:name="COMKEY" w:val="JURI"/>
    <w:docVar w:name="DOCREFINI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425836 HideTWBInt;}{_x000d__x000a_\s18\ql \fi-567\li567\ri0\sa240\nowidctlpar\wrapdefault\aspalpha\aspnum\faauto\adjustright\rin0\lin567\itap0 \rtlch\fcs1 \af0\afs20\alang1025 \ltrch\fcs0 \fs24\lang2057\langfe2057\cgrid\langnp2057\langfenp2057 _x000d__x000a_\sbasedon0 \snext18 \spriority0 \styrsid2425836 NormalHanging12a;}}{\*\rsidtbl \rsid24658\rsid223860\rsid735077\rsid1718133\rsid2425836\rsid2892074\rsid3565327\rsid4666813\rsid5074274\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PALCAU Mihaela}{\operator PALCAU Mihaela}{\creatim\yr2023\mo11\dy29\hr11\min37}{\revtim\yr2023\mo11\dy29\hr11\min37}{\version1}{\edmins0}{\nofpages1}{\nofwords2}{\nofchars11}{\nofcharsws12}{\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2425836\newtblstyruls\nogrowautofit\usenormstyforlist\noindnmbrts\felnbrelev\nocxsptable\indrlsweleven\noafcnsttbl\afelev\utinl\hwelev\spltpgpar\notcvasp\notbrkcnstfrctbl\notvatxbx\krnprsnet\cachedcolbal _x000d__x000a_\nouicompat \fet0{\*\wgrffmtfilter 013f}\nofeaturethrottle1\ilfomacatclnup0{\*\template C:\\Users\\mpalcau\\AppData\\Local\\Temp\\Blank1.dotx}{\*\ftnsep \ltrpar \pard\plain \ltrpar_x000d__x000a_\ql \li0\ri0\widctlpar\wrapdefault\aspalpha\aspnum\faauto\adjustright\rin0\lin0\itap0 \rtlch\fcs1 \af0\afs20\alang1025 \ltrch\fcs0 \fs24\lang2057\langfe2057\cgrid\langnp2057\langfenp2057 {\rtlch\fcs1 \af0 \ltrch\fcs0 \insrsid5074274 \chftnsep _x000d__x000a_\par }}{\*\ftnsepc \ltrpar \pard\plain \ltrpar\ql \li0\ri0\widctlpar\wrapdefault\aspalpha\aspnum\faauto\adjustright\rin0\lin0\itap0 \rtlch\fcs1 \af0\afs20\alang1025 \ltrch\fcs0 \fs24\lang2057\langfe2057\cgrid\langnp2057\langfenp2057 {\rtlch\fcs1 \af0 _x000d__x000a_\ltrch\fcs0 \insrsid5074274 \chftnsepc _x000d__x000a_\par }}{\*\aftnsep \ltrpar \pard\plain \ltrpar\ql \li0\ri0\widctlpar\wrapdefault\aspalpha\aspnum\faauto\adjustright\rin0\lin0\itap0 \rtlch\fcs1 \af0\afs20\alang1025 \ltrch\fcs0 \fs24\lang2057\langfe2057\cgrid\langnp2057\langfenp2057 {\rtlch\fcs1 \af0 _x000d__x000a_\ltrch\fcs0 \insrsid5074274 \chftnsep _x000d__x000a_\par }}{\*\aftnsepc \ltrpar \pard\plain \ltrpar\ql \li0\ri0\widctlpar\wrapdefault\aspalpha\aspnum\faauto\adjustright\rin0\lin0\itap0 \rtlch\fcs1 \af0\afs20\alang1025 \ltrch\fcs0 \fs24\lang2057\langfe2057\cgrid\langnp2057\langfenp2057 {\rtlch\fcs1 \af0 _x000d__x000a_\ltrch\fcs0 \insrsid50742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2425836 \rtlch\fcs1 \af0\afs20\alang1025 \ltrch\fcs0 \fs24\lang2057\langfe2057\cgrid\langnp2057\langfenp2057 {\rtlch\fcs1 \af0 _x000d__x000a_\ltrch\fcs0 \insrsid2425836\charrsid7021133 {\*\bkmkstart restart}#}{\rtlch\fcs1 \af1 \ltrch\fcs0 \cs17\v\f1\fs20\cf15\insrsid2425836\charrsid7021133 NRMSG}{\rtlch\fcs1 \af0 \ltrch\fcs0 \insrsid2425836\charrsid7021133 #.\tab ##}{\rtlch\fcs1 \af0 _x000d__x000a_\ltrch\fcs0 \insrsid242583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6_x000d__x000a_ce1cb0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7953631 NormalHanging12a;}}{\*\rsidtbl \rsid24658\rsid223860\rsid735077\rsid1718133\rsid2892074\rsid3565327\rsid4666813\rsid6641733\rsid6711582\rsid7823322_x000d__x000a_\rsid7953631\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PALCAU Mihaela}{\operator PALCAU Mihaela}{\creatim\yr2023\mo11\dy29\hr11\min37}{\revtim\yr2023\mo11\dy29\hr11\min37}{\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7953631\newtblstyruls\nogrowautofit\usenormstyforlist\noindnmbrts\felnbrelev\nocxsptable\indrlsweleven\noafcnsttbl\afelev\utinl\hwelev\spltpgpar\notcvasp\notbrkcnstfrctbl\notvatxbx\krnprsnet\cachedcolbal _x000d__x000a_\nouicompat \fet0{\*\wgrffmtfilter 013f}\nofeaturethrottle1\ilfomacatclnup0{\*\template C:\\Users\\mpalcau\\AppData\\Local\\Temp\\Blank1.dotx}{\*\ftnsep \ltrpar \pard\plain \ltrpar_x000d__x000a_\ql \li0\ri0\widctlpar\wrapdefault\aspalpha\aspnum\faauto\adjustright\rin0\lin0\itap0 \rtlch\fcs1 \af0\afs20\alang1025 \ltrch\fcs0 \fs24\lang2057\langfe2057\cgrid\langnp2057\langfenp2057 {\rtlch\fcs1 \af0 \ltrch\fcs0 \insrsid6711582 \chftnsep _x000d__x000a_\par }}{\*\ftnsepc \ltrpar \pard\plain \ltrpar\ql \li0\ri0\widctlpar\wrapdefault\aspalpha\aspnum\faauto\adjustright\rin0\lin0\itap0 \rtlch\fcs1 \af0\afs20\alang1025 \ltrch\fcs0 \fs24\lang2057\langfe2057\cgrid\langnp2057\langfenp2057 {\rtlch\fcs1 \af0 _x000d__x000a_\ltrch\fcs0 \insrsid6711582 \chftnsepc _x000d__x000a_\par }}{\*\aftnsep \ltrpar \pard\plain \ltrpar\ql \li0\ri0\widctlpar\wrapdefault\aspalpha\aspnum\faauto\adjustright\rin0\lin0\itap0 \rtlch\fcs1 \af0\afs20\alang1025 \ltrch\fcs0 \fs24\lang2057\langfe2057\cgrid\langnp2057\langfenp2057 {\rtlch\fcs1 \af0 _x000d__x000a_\ltrch\fcs0 \insrsid6711582 \chftnsep _x000d__x000a_\par }}{\*\aftnsepc \ltrpar \pard\plain \ltrpar\ql \li0\ri0\widctlpar\wrapdefault\aspalpha\aspnum\faauto\adjustright\rin0\lin0\itap0 \rtlch\fcs1 \af0\afs20\alang1025 \ltrch\fcs0 \fs24\lang2057\langfe2057\cgrid\langnp2057\langfenp2057 {\rtlch\fcs1 \af0 _x000d__x000a_\ltrch\fcs0 \insrsid67115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7953631 \rtlch\fcs1 \af0\afs20\alang1025 \ltrch\fcs0 \fs24\lang2057\langfe2057\cgrid\langnp2057\langfenp2057 {\rtlch\fcs1 \af0 _x000d__x000a_\ltrch\fcs0 \insrsid7953631\charrsid1525456 {\*\bkmkstart restart}[ZSUGGESTIONNR]\tab [ZSUGGESTIONTEXT]}{\rtlch\fcs1 \af0 \ltrch\fcs0 \insrsid7953631\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f_x000d__x000a_7c1fb0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1"/>
    <w:docVar w:name="TITLEMNU" w:val=" 1"/>
    <w:docVar w:name="TXTLANGUE" w:val="EN"/>
    <w:docVar w:name="TXTLANGUEMIN" w:val="en"/>
    <w:docVar w:name="TXTNRPE" w:val="754.755"/>
    <w:docVar w:name="TXTNRPROC" w:val="2023/2113"/>
    <w:docVar w:name="TXTPEorAP" w:val="PE"/>
    <w:docVar w:name="TXTROUTE" w:val="AD\1291636EN.docx"/>
    <w:docVar w:name="TXTTITLE" w:val="xxx"/>
    <w:docVar w:name="TXTVERSION" w:val="02-00"/>
  </w:docVars>
  <w:rsids>
    <w:rsidRoot w:val="0007657D"/>
    <w:rsid w:val="0007657D"/>
    <w:rsid w:val="000800B3"/>
    <w:rsid w:val="000E0507"/>
    <w:rsid w:val="000E7EBF"/>
    <w:rsid w:val="00101877"/>
    <w:rsid w:val="0011784F"/>
    <w:rsid w:val="00124F60"/>
    <w:rsid w:val="00135121"/>
    <w:rsid w:val="00140BE6"/>
    <w:rsid w:val="00140DFD"/>
    <w:rsid w:val="00140FE5"/>
    <w:rsid w:val="00147F4E"/>
    <w:rsid w:val="00147FBF"/>
    <w:rsid w:val="00157DFE"/>
    <w:rsid w:val="00165FEF"/>
    <w:rsid w:val="0016635E"/>
    <w:rsid w:val="001746D0"/>
    <w:rsid w:val="001B7393"/>
    <w:rsid w:val="001C52D7"/>
    <w:rsid w:val="001C6C04"/>
    <w:rsid w:val="001D2ED9"/>
    <w:rsid w:val="001E30DD"/>
    <w:rsid w:val="001F21C1"/>
    <w:rsid w:val="00207509"/>
    <w:rsid w:val="00283435"/>
    <w:rsid w:val="002B6C3C"/>
    <w:rsid w:val="002D28A7"/>
    <w:rsid w:val="002E2F2E"/>
    <w:rsid w:val="002E6F98"/>
    <w:rsid w:val="00325BCB"/>
    <w:rsid w:val="00331944"/>
    <w:rsid w:val="00332AD9"/>
    <w:rsid w:val="00347D2C"/>
    <w:rsid w:val="0037356F"/>
    <w:rsid w:val="003858C5"/>
    <w:rsid w:val="00390EB2"/>
    <w:rsid w:val="00396A0E"/>
    <w:rsid w:val="003E2402"/>
    <w:rsid w:val="00440DC6"/>
    <w:rsid w:val="004764CF"/>
    <w:rsid w:val="00491A58"/>
    <w:rsid w:val="004B1EAD"/>
    <w:rsid w:val="004C28FB"/>
    <w:rsid w:val="004C44C0"/>
    <w:rsid w:val="004F315C"/>
    <w:rsid w:val="004F4B98"/>
    <w:rsid w:val="004F5F73"/>
    <w:rsid w:val="0052544E"/>
    <w:rsid w:val="00542DFA"/>
    <w:rsid w:val="005940C3"/>
    <w:rsid w:val="00594C48"/>
    <w:rsid w:val="005B2F11"/>
    <w:rsid w:val="005C0BDF"/>
    <w:rsid w:val="005D60C6"/>
    <w:rsid w:val="006102E7"/>
    <w:rsid w:val="006116EA"/>
    <w:rsid w:val="00640C1B"/>
    <w:rsid w:val="00657AFB"/>
    <w:rsid w:val="0066742A"/>
    <w:rsid w:val="006906BB"/>
    <w:rsid w:val="006D5BF7"/>
    <w:rsid w:val="00746FB4"/>
    <w:rsid w:val="007A637C"/>
    <w:rsid w:val="007C3769"/>
    <w:rsid w:val="008313E7"/>
    <w:rsid w:val="00854CAC"/>
    <w:rsid w:val="00885FB1"/>
    <w:rsid w:val="008A32C5"/>
    <w:rsid w:val="008C6203"/>
    <w:rsid w:val="008D61E7"/>
    <w:rsid w:val="008F7002"/>
    <w:rsid w:val="009173BB"/>
    <w:rsid w:val="0098190D"/>
    <w:rsid w:val="0099493F"/>
    <w:rsid w:val="009E5FDC"/>
    <w:rsid w:val="00A1045C"/>
    <w:rsid w:val="00A16BEA"/>
    <w:rsid w:val="00A312B3"/>
    <w:rsid w:val="00A72C35"/>
    <w:rsid w:val="00A93D90"/>
    <w:rsid w:val="00AB0C34"/>
    <w:rsid w:val="00AB17DB"/>
    <w:rsid w:val="00AB4D11"/>
    <w:rsid w:val="00AE180F"/>
    <w:rsid w:val="00B1226B"/>
    <w:rsid w:val="00B329CC"/>
    <w:rsid w:val="00B362F7"/>
    <w:rsid w:val="00B40C21"/>
    <w:rsid w:val="00B5456B"/>
    <w:rsid w:val="00B712EA"/>
    <w:rsid w:val="00B730E0"/>
    <w:rsid w:val="00B735E3"/>
    <w:rsid w:val="00B74B53"/>
    <w:rsid w:val="00BB0748"/>
    <w:rsid w:val="00BC26E4"/>
    <w:rsid w:val="00BC7719"/>
    <w:rsid w:val="00BC7DBC"/>
    <w:rsid w:val="00BD1EAA"/>
    <w:rsid w:val="00C36610"/>
    <w:rsid w:val="00C52739"/>
    <w:rsid w:val="00C67F26"/>
    <w:rsid w:val="00C827FF"/>
    <w:rsid w:val="00C85D0F"/>
    <w:rsid w:val="00CD34AC"/>
    <w:rsid w:val="00CE5015"/>
    <w:rsid w:val="00D7712D"/>
    <w:rsid w:val="00DE19FF"/>
    <w:rsid w:val="00E6632E"/>
    <w:rsid w:val="00E81BA6"/>
    <w:rsid w:val="00E856D2"/>
    <w:rsid w:val="00E90EC3"/>
    <w:rsid w:val="00E929A7"/>
    <w:rsid w:val="00EA7582"/>
    <w:rsid w:val="00EB0868"/>
    <w:rsid w:val="00EC5E1F"/>
    <w:rsid w:val="00ED375F"/>
    <w:rsid w:val="00EF1E40"/>
    <w:rsid w:val="00F42799"/>
    <w:rsid w:val="00FB4670"/>
    <w:rsid w:val="00FC6460"/>
    <w:rsid w:val="00FC73C7"/>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47286E4-81AE-4324-88E1-9835149D1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unhideWhenUsed/>
    <w:rsid w:val="00B712EA"/>
    <w:rPr>
      <w:sz w:val="20"/>
    </w:rPr>
  </w:style>
  <w:style w:type="character" w:customStyle="1" w:styleId="FootnoteTextChar">
    <w:name w:val="Footnote Text Char"/>
    <w:basedOn w:val="DefaultParagraphFont"/>
    <w:link w:val="FootnoteText"/>
    <w:rsid w:val="00B712EA"/>
  </w:style>
  <w:style w:type="character" w:styleId="FootnoteReference">
    <w:name w:val="footnote reference"/>
    <w:basedOn w:val="DefaultParagraphFont"/>
    <w:unhideWhenUsed/>
    <w:rsid w:val="00B712EA"/>
    <w:rPr>
      <w:vertAlign w:val="superscript"/>
    </w:rPr>
  </w:style>
  <w:style w:type="character" w:customStyle="1" w:styleId="BoldItalic">
    <w:name w:val="BoldItalic"/>
    <w:uiPriority w:val="1"/>
    <w:rsid w:val="00B712EA"/>
    <w:rPr>
      <w:b/>
      <w:bCs w:val="0"/>
      <w:i/>
      <w:iCs w:val="0"/>
      <w:strike w:val="0"/>
      <w:dstrike w:val="0"/>
      <w:u w:val="none"/>
      <w:effect w:val="none"/>
    </w:rPr>
  </w:style>
  <w:style w:type="paragraph" w:styleId="Footer">
    <w:name w:val="footer"/>
    <w:basedOn w:val="Normal"/>
    <w:link w:val="FooterChar"/>
    <w:semiHidden/>
    <w:rsid w:val="00B712EA"/>
    <w:pPr>
      <w:tabs>
        <w:tab w:val="center" w:pos="4513"/>
        <w:tab w:val="right" w:pos="9026"/>
      </w:tabs>
    </w:pPr>
  </w:style>
  <w:style w:type="character" w:customStyle="1" w:styleId="FooterChar">
    <w:name w:val="Footer Char"/>
    <w:basedOn w:val="DefaultParagraphFont"/>
    <w:link w:val="Footer"/>
    <w:semiHidden/>
    <w:rsid w:val="00B712EA"/>
    <w:rPr>
      <w:sz w:val="24"/>
    </w:rPr>
  </w:style>
  <w:style w:type="paragraph" w:styleId="BalloonText">
    <w:name w:val="Balloon Text"/>
    <w:basedOn w:val="Normal"/>
    <w:link w:val="BalloonTextChar"/>
    <w:semiHidden/>
    <w:unhideWhenUsed/>
    <w:rsid w:val="000800B3"/>
    <w:rPr>
      <w:rFonts w:ascii="Segoe UI" w:hAnsi="Segoe UI" w:cs="Segoe UI"/>
      <w:sz w:val="18"/>
      <w:szCs w:val="18"/>
    </w:rPr>
  </w:style>
  <w:style w:type="character" w:customStyle="1" w:styleId="BalloonTextChar">
    <w:name w:val="Balloon Text Char"/>
    <w:basedOn w:val="DefaultParagraphFont"/>
    <w:link w:val="BalloonText"/>
    <w:semiHidden/>
    <w:rsid w:val="000800B3"/>
    <w:rPr>
      <w:rFonts w:ascii="Segoe UI" w:hAnsi="Segoe UI" w:cs="Segoe UI"/>
      <w:sz w:val="18"/>
      <w:szCs w:val="18"/>
    </w:rPr>
  </w:style>
  <w:style w:type="character" w:styleId="CommentReference">
    <w:name w:val="annotation reference"/>
    <w:basedOn w:val="DefaultParagraphFont"/>
    <w:rsid w:val="00440DC6"/>
    <w:rPr>
      <w:sz w:val="16"/>
      <w:szCs w:val="16"/>
    </w:rPr>
  </w:style>
  <w:style w:type="paragraph" w:styleId="CommentText">
    <w:name w:val="annotation text"/>
    <w:basedOn w:val="Normal"/>
    <w:link w:val="CommentTextChar"/>
    <w:rsid w:val="00440DC6"/>
    <w:rPr>
      <w:sz w:val="20"/>
    </w:rPr>
  </w:style>
  <w:style w:type="character" w:customStyle="1" w:styleId="CommentTextChar">
    <w:name w:val="Comment Text Char"/>
    <w:basedOn w:val="DefaultParagraphFont"/>
    <w:link w:val="CommentText"/>
    <w:rsid w:val="00440DC6"/>
  </w:style>
  <w:style w:type="paragraph" w:styleId="CommentSubject">
    <w:name w:val="annotation subject"/>
    <w:basedOn w:val="CommentText"/>
    <w:next w:val="CommentText"/>
    <w:link w:val="CommentSubjectChar"/>
    <w:semiHidden/>
    <w:unhideWhenUsed/>
    <w:rsid w:val="00440DC6"/>
    <w:rPr>
      <w:b/>
      <w:bCs/>
    </w:rPr>
  </w:style>
  <w:style w:type="character" w:customStyle="1" w:styleId="CommentSubjectChar">
    <w:name w:val="Comment Subject Char"/>
    <w:basedOn w:val="CommentTextChar"/>
    <w:link w:val="CommentSubject"/>
    <w:semiHidden/>
    <w:rsid w:val="00440DC6"/>
    <w:rPr>
      <w:b/>
      <w:bCs/>
    </w:rPr>
  </w:style>
  <w:style w:type="paragraph" w:styleId="Revision">
    <w:name w:val="Revision"/>
    <w:hidden/>
    <w:uiPriority w:val="99"/>
    <w:semiHidden/>
    <w:rsid w:val="004B1EAD"/>
    <w:rPr>
      <w:sz w:val="24"/>
    </w:rPr>
  </w:style>
  <w:style w:type="paragraph" w:customStyle="1" w:styleId="RollCallSymbols14pt">
    <w:name w:val="RollCallSymbols14pt"/>
    <w:basedOn w:val="Normal"/>
    <w:rsid w:val="00AB0C3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B0C34"/>
    <w:pPr>
      <w:tabs>
        <w:tab w:val="center" w:pos="284"/>
        <w:tab w:val="left" w:pos="426"/>
      </w:tabs>
    </w:pPr>
    <w:rPr>
      <w:snapToGrid w:val="0"/>
      <w:lang w:eastAsia="en-US"/>
    </w:rPr>
  </w:style>
  <w:style w:type="paragraph" w:customStyle="1" w:styleId="RollCallVotes">
    <w:name w:val="RollCallVotes"/>
    <w:basedOn w:val="Normal"/>
    <w:rsid w:val="00AB0C34"/>
    <w:pPr>
      <w:spacing w:before="120" w:after="120"/>
      <w:jc w:val="center"/>
    </w:pPr>
    <w:rPr>
      <w:b/>
      <w:bCs/>
      <w:snapToGrid w:val="0"/>
      <w:sz w:val="16"/>
      <w:lang w:eastAsia="en-US"/>
    </w:rPr>
  </w:style>
  <w:style w:type="paragraph" w:customStyle="1" w:styleId="RollCallTable">
    <w:name w:val="RollCallTable"/>
    <w:basedOn w:val="Normal"/>
    <w:rsid w:val="00AB0C34"/>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E3410-C660-4B8F-B2B2-DA9F6CE7D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2524</Words>
  <Characters>15195</Characters>
  <Application>Microsoft Office Word</Application>
  <DocSecurity>0</DocSecurity>
  <Lines>314</Lines>
  <Paragraphs>84</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2023-12-04T07:53:00Z</cp:lastPrinted>
  <dcterms:created xsi:type="dcterms:W3CDTF">2024-01-10T13:20:00Z</dcterms:created>
  <dcterms:modified xsi:type="dcterms:W3CDTF">2024-01-10T13:20:00Z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1291636</vt:lpwstr>
  </property>
  <property fmtid="{D5CDD505-2E9C-101B-9397-08002B2CF9AE}" pid="4" name="&lt;Model&gt;">
    <vt:lpwstr>PA_NonLeg</vt:lpwstr>
  </property>
  <property fmtid="{D5CDD505-2E9C-101B-9397-08002B2CF9AE}" pid="5" name="&lt;ModelCod&gt;">
    <vt:lpwstr>\\eiciBRUpr1\pdocep$\DocEP\DOCS\General\PA\PA_NonLeg\PA_NonLeg.dotx(18/09/2023 11:25:02)</vt:lpwstr>
  </property>
  <property fmtid="{D5CDD505-2E9C-101B-9397-08002B2CF9AE}" pid="6" name="&lt;ModelTra&gt;">
    <vt:lpwstr>\\eiciBRUpr1\pdocep$\DocEP\TRANSFIL\EN\PA_NonLeg.EN(18/09/2023 11:08:01)</vt:lpwstr>
  </property>
  <property fmtid="{D5CDD505-2E9C-101B-9397-08002B2CF9AE}" pid="7" name="&lt;Type&gt;">
    <vt:lpwstr>AD</vt:lpwstr>
  </property>
  <property fmtid="{D5CDD505-2E9C-101B-9397-08002B2CF9AE}" pid="8" name="Bookout">
    <vt:lpwstr>OK - 2024/01/10 14:20</vt:lpwstr>
  </property>
  <property fmtid="{D5CDD505-2E9C-101B-9397-08002B2CF9AE}" pid="9" name="Created with">
    <vt:lpwstr>9.16.1 Build [20230915]</vt:lpwstr>
  </property>
  <property fmtid="{D5CDD505-2E9C-101B-9397-08002B2CF9AE}" pid="10" name="FooterPath">
    <vt:lpwstr>AD\1291636EL.docx</vt:lpwstr>
  </property>
  <property fmtid="{D5CDD505-2E9C-101B-9397-08002B2CF9AE}" pid="11" name="LastEdited with">
    <vt:lpwstr>9.17.0 Build [20231101]</vt:lpwstr>
  </property>
  <property fmtid="{D5CDD505-2E9C-101B-9397-08002B2CF9AE}" pid="12" name="PE number">
    <vt:lpwstr>754.755</vt:lpwstr>
  </property>
  <property fmtid="{D5CDD505-2E9C-101B-9397-08002B2CF9AE}" pid="13" name="SDLStudio">
    <vt:lpwstr/>
  </property>
  <property fmtid="{D5CDD505-2E9C-101B-9397-08002B2CF9AE}" pid="14" name="SendToEpades">
    <vt:lpwstr>OK - 2023/12/01 09:53</vt:lpwstr>
  </property>
</Properties>
</file>