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54CAC" w:rsidRPr="00303053" w14:paraId="67AE1F15" w14:textId="77777777" w:rsidTr="00C85D0F">
        <w:trPr>
          <w:trHeight w:hRule="exact" w:val="1418"/>
        </w:trPr>
        <w:tc>
          <w:tcPr>
            <w:tcW w:w="6804" w:type="dxa"/>
            <w:shd w:val="clear" w:color="auto" w:fill="auto"/>
            <w:vAlign w:val="center"/>
          </w:tcPr>
          <w:p w14:paraId="1681D6D5" w14:textId="77777777" w:rsidR="00854CAC" w:rsidRPr="00303053" w:rsidRDefault="0007657D" w:rsidP="00214E5F">
            <w:pPr>
              <w:pStyle w:val="EPName"/>
              <w:widowControl/>
            </w:pPr>
            <w:r w:rsidRPr="00303053">
              <w:t>Euroopan parlamentti</w:t>
            </w:r>
          </w:p>
          <w:p w14:paraId="0E1B7609" w14:textId="77777777" w:rsidR="00854CAC" w:rsidRPr="00303053" w:rsidRDefault="00B712EA" w:rsidP="00214E5F">
            <w:pPr>
              <w:pStyle w:val="EPTerm"/>
              <w:widowControl/>
            </w:pPr>
            <w:r w:rsidRPr="00303053">
              <w:t>2019-2024</w:t>
            </w:r>
          </w:p>
        </w:tc>
        <w:tc>
          <w:tcPr>
            <w:tcW w:w="2268" w:type="dxa"/>
            <w:shd w:val="clear" w:color="auto" w:fill="auto"/>
          </w:tcPr>
          <w:p w14:paraId="4E8BE3C7" w14:textId="77777777" w:rsidR="00854CAC" w:rsidRPr="00303053" w:rsidRDefault="00854CAC" w:rsidP="00214E5F">
            <w:pPr>
              <w:pStyle w:val="EPLogo"/>
              <w:widowControl/>
            </w:pPr>
            <w:r w:rsidRPr="00303053">
              <w:rPr>
                <w:noProof/>
                <w:lang w:eastAsia="fi-FI"/>
              </w:rPr>
              <w:drawing>
                <wp:inline distT="0" distB="0" distL="0" distR="0" wp14:anchorId="69055615" wp14:editId="0CC455A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1DEB6802" w14:textId="77777777" w:rsidR="001746D0" w:rsidRPr="00303053" w:rsidRDefault="001746D0" w:rsidP="00214E5F">
      <w:pPr>
        <w:pStyle w:val="LineTop"/>
        <w:widowControl/>
      </w:pPr>
    </w:p>
    <w:p w14:paraId="6B01E679" w14:textId="77777777" w:rsidR="001746D0" w:rsidRPr="00303053" w:rsidRDefault="001746D0" w:rsidP="00214E5F">
      <w:pPr>
        <w:pStyle w:val="EPBody"/>
        <w:widowControl/>
      </w:pPr>
      <w:r w:rsidRPr="00303053">
        <w:rPr>
          <w:rStyle w:val="HideTWBExt"/>
        </w:rPr>
        <w:t>&lt;</w:t>
      </w:r>
      <w:r w:rsidRPr="00303053">
        <w:rPr>
          <w:rStyle w:val="HideTWBExt"/>
          <w:i w:val="0"/>
        </w:rPr>
        <w:t>Commission</w:t>
      </w:r>
      <w:r w:rsidRPr="00303053">
        <w:rPr>
          <w:rStyle w:val="HideTWBExt"/>
        </w:rPr>
        <w:t>&gt;</w:t>
      </w:r>
      <w:r w:rsidRPr="00303053">
        <w:rPr>
          <w:rStyle w:val="HideTWBInt"/>
        </w:rPr>
        <w:t>{JURI}</w:t>
      </w:r>
      <w:r w:rsidRPr="00303053">
        <w:t>Oikeudellisten asioiden valiokunta</w:t>
      </w:r>
      <w:r w:rsidRPr="00303053">
        <w:rPr>
          <w:rStyle w:val="HideTWBExt"/>
        </w:rPr>
        <w:t>&lt;/</w:t>
      </w:r>
      <w:r w:rsidRPr="00303053">
        <w:rPr>
          <w:rStyle w:val="HideTWBExt"/>
          <w:i w:val="0"/>
        </w:rPr>
        <w:t>Commission</w:t>
      </w:r>
      <w:r w:rsidRPr="00303053">
        <w:rPr>
          <w:rStyle w:val="HideTWBExt"/>
        </w:rPr>
        <w:t>&gt;</w:t>
      </w:r>
    </w:p>
    <w:p w14:paraId="42F39051" w14:textId="77777777" w:rsidR="001746D0" w:rsidRPr="00303053" w:rsidRDefault="001746D0" w:rsidP="00214E5F">
      <w:pPr>
        <w:pStyle w:val="LineBottom"/>
        <w:widowControl/>
      </w:pPr>
    </w:p>
    <w:p w14:paraId="14F43DAF" w14:textId="77777777" w:rsidR="002E2F2E" w:rsidRPr="00303053" w:rsidRDefault="002E2F2E" w:rsidP="00214E5F">
      <w:pPr>
        <w:pStyle w:val="CoverReference"/>
        <w:widowControl/>
      </w:pPr>
      <w:r w:rsidRPr="00303053">
        <w:rPr>
          <w:rStyle w:val="HideTWBExt"/>
          <w:b w:val="0"/>
        </w:rPr>
        <w:t>&lt;RefProc&gt;</w:t>
      </w:r>
      <w:r w:rsidRPr="00303053">
        <w:t>2023/2113</w:t>
      </w:r>
      <w:r w:rsidRPr="00303053">
        <w:rPr>
          <w:rStyle w:val="HideTWBExt"/>
          <w:b w:val="0"/>
        </w:rPr>
        <w:t>&lt;/RefProc&gt;&lt;RefTypeProc&gt;</w:t>
      </w:r>
      <w:r w:rsidRPr="00303053">
        <w:t>(INI)</w:t>
      </w:r>
      <w:r w:rsidRPr="00303053">
        <w:rPr>
          <w:rStyle w:val="HideTWBExt"/>
          <w:b w:val="0"/>
        </w:rPr>
        <w:t>&lt;/RefTypeProc&gt;</w:t>
      </w:r>
    </w:p>
    <w:p w14:paraId="78EF1646" w14:textId="56C4A6AE" w:rsidR="002E2F2E" w:rsidRPr="00214E5F" w:rsidRDefault="002E2F2E" w:rsidP="00214E5F">
      <w:pPr>
        <w:pStyle w:val="CoverDate"/>
        <w:widowControl/>
        <w:rPr>
          <w:lang w:val="fr-FR"/>
        </w:rPr>
      </w:pPr>
      <w:r w:rsidRPr="00214E5F">
        <w:rPr>
          <w:rStyle w:val="HideTWBExt"/>
          <w:lang w:val="fr-FR"/>
        </w:rPr>
        <w:t>&lt;Date&gt;</w:t>
      </w:r>
      <w:r w:rsidRPr="00214E5F">
        <w:rPr>
          <w:rStyle w:val="HideTWBInt"/>
          <w:lang w:val="fr-FR"/>
        </w:rPr>
        <w:t>{29/11/2023}</w:t>
      </w:r>
      <w:r w:rsidRPr="00214E5F">
        <w:rPr>
          <w:lang w:val="fr-FR"/>
        </w:rPr>
        <w:t>29.11.2023</w:t>
      </w:r>
      <w:r w:rsidRPr="00214E5F">
        <w:rPr>
          <w:rStyle w:val="HideTWBExt"/>
          <w:lang w:val="fr-FR"/>
        </w:rPr>
        <w:t>&lt;/Date&gt;</w:t>
      </w:r>
    </w:p>
    <w:p w14:paraId="07366203" w14:textId="6791BC30" w:rsidR="002E2F2E" w:rsidRPr="00214E5F" w:rsidRDefault="002E2F2E" w:rsidP="00214E5F">
      <w:pPr>
        <w:pStyle w:val="CoverDocType24a"/>
        <w:widowControl/>
        <w:rPr>
          <w:lang w:val="fr-FR"/>
        </w:rPr>
      </w:pPr>
      <w:r w:rsidRPr="00214E5F">
        <w:rPr>
          <w:rStyle w:val="HideTWBExt"/>
          <w:b w:val="0"/>
          <w:lang w:val="fr-FR"/>
        </w:rPr>
        <w:t>&lt;TitreType&gt;</w:t>
      </w:r>
      <w:r w:rsidRPr="00214E5F">
        <w:rPr>
          <w:lang w:val="fr-FR"/>
        </w:rPr>
        <w:t>LAUSUNTO</w:t>
      </w:r>
      <w:r w:rsidRPr="00214E5F">
        <w:rPr>
          <w:rStyle w:val="HideTWBExt"/>
          <w:b w:val="0"/>
          <w:lang w:val="fr-FR"/>
        </w:rPr>
        <w:t>&lt;/TitreType&gt;</w:t>
      </w:r>
    </w:p>
    <w:p w14:paraId="4C5AB3D4" w14:textId="77777777" w:rsidR="002E2F2E" w:rsidRPr="00303053" w:rsidRDefault="002E2F2E" w:rsidP="00214E5F">
      <w:pPr>
        <w:pStyle w:val="CoverNormal24a"/>
        <w:widowControl/>
      </w:pPr>
      <w:r w:rsidRPr="00303053">
        <w:rPr>
          <w:rStyle w:val="HideTWBExt"/>
        </w:rPr>
        <w:t>&lt;CommissionResp&gt;</w:t>
      </w:r>
      <w:r w:rsidRPr="00303053">
        <w:t>oikeudellisten asioiden valiokunnalta</w:t>
      </w:r>
      <w:r w:rsidRPr="00303053">
        <w:rPr>
          <w:rStyle w:val="HideTWBExt"/>
        </w:rPr>
        <w:t>&lt;/CommissionResp&gt;</w:t>
      </w:r>
    </w:p>
    <w:p w14:paraId="4EB1A255" w14:textId="77777777" w:rsidR="002E2F2E" w:rsidRPr="00303053" w:rsidRDefault="002E2F2E" w:rsidP="00214E5F">
      <w:pPr>
        <w:pStyle w:val="CoverNormal24a"/>
        <w:widowControl/>
      </w:pPr>
      <w:r w:rsidRPr="00303053">
        <w:rPr>
          <w:rStyle w:val="HideTWBExt"/>
        </w:rPr>
        <w:t>&lt;CommissionInt&gt;</w:t>
      </w:r>
      <w:r w:rsidRPr="00303053">
        <w:t>kansalaisvapauksien sekä oikeus- ja sisäasioiden valiokunnalle</w:t>
      </w:r>
      <w:r w:rsidRPr="00303053">
        <w:rPr>
          <w:rStyle w:val="HideTWBExt"/>
        </w:rPr>
        <w:t>&lt;/CommissionInt&gt;</w:t>
      </w:r>
    </w:p>
    <w:p w14:paraId="0FAD7A50" w14:textId="2D942CA3" w:rsidR="002E2F2E" w:rsidRPr="00303053" w:rsidRDefault="002E2F2E" w:rsidP="00214E5F">
      <w:pPr>
        <w:pStyle w:val="CoverNormal"/>
        <w:widowControl/>
      </w:pPr>
      <w:r w:rsidRPr="00303053">
        <w:rPr>
          <w:rStyle w:val="HideTWBExt"/>
        </w:rPr>
        <w:t>&lt;Titre&gt;</w:t>
      </w:r>
      <w:r w:rsidRPr="00303053">
        <w:t>komission vuoden 2023 oikeusvaltiota koskevasta vuosikertomuksesta</w:t>
      </w:r>
      <w:r w:rsidRPr="00303053">
        <w:rPr>
          <w:rStyle w:val="HideTWBExt"/>
        </w:rPr>
        <w:t>&lt;/Titre&gt;</w:t>
      </w:r>
    </w:p>
    <w:p w14:paraId="0D3A03F7" w14:textId="77777777" w:rsidR="002E2F2E" w:rsidRPr="00303053" w:rsidRDefault="002E2F2E" w:rsidP="00214E5F">
      <w:pPr>
        <w:pStyle w:val="CoverNormal24a"/>
        <w:widowControl/>
      </w:pPr>
      <w:r w:rsidRPr="00303053">
        <w:rPr>
          <w:rStyle w:val="HideTWBExt"/>
        </w:rPr>
        <w:t>&lt;DocRef&gt;</w:t>
      </w:r>
      <w:r w:rsidRPr="00303053">
        <w:t>(2023/2113(INI))</w:t>
      </w:r>
      <w:r w:rsidRPr="00303053">
        <w:rPr>
          <w:rStyle w:val="HideTWBExt"/>
        </w:rPr>
        <w:t>&lt;/DocRef&gt;</w:t>
      </w:r>
    </w:p>
    <w:p w14:paraId="05B6D75A" w14:textId="77777777" w:rsidR="002E2F2E" w:rsidRPr="00303053" w:rsidRDefault="0007657D" w:rsidP="00214E5F">
      <w:pPr>
        <w:pStyle w:val="CoverNormal24a"/>
        <w:widowControl/>
      </w:pPr>
      <w:r w:rsidRPr="00303053">
        <w:t xml:space="preserve">Valmistelija (*): </w:t>
      </w:r>
      <w:r w:rsidRPr="00303053">
        <w:rPr>
          <w:rStyle w:val="HideTWBExt"/>
        </w:rPr>
        <w:t>&lt;Depute&gt;</w:t>
      </w:r>
      <w:r w:rsidRPr="00303053">
        <w:t>Adrián Vázquez Lázara</w:t>
      </w:r>
      <w:r w:rsidRPr="00303053">
        <w:rPr>
          <w:rStyle w:val="HideTWBExt"/>
        </w:rPr>
        <w:t>&lt;/Depute&gt;</w:t>
      </w:r>
    </w:p>
    <w:p w14:paraId="52704926" w14:textId="503C751A" w:rsidR="00B712EA" w:rsidRPr="00303053" w:rsidRDefault="00B712EA" w:rsidP="00214E5F">
      <w:pPr>
        <w:pStyle w:val="CoverNormal24a"/>
        <w:widowControl/>
      </w:pPr>
      <w:r w:rsidRPr="00303053">
        <w:t>(*) Valiokuntien yhteistyömenettely – työjärjestyksen 57 artikla</w:t>
      </w:r>
    </w:p>
    <w:p w14:paraId="38B30C26" w14:textId="77777777" w:rsidR="00A72C35" w:rsidRPr="00303053" w:rsidRDefault="00A72C35" w:rsidP="00214E5F">
      <w:pPr>
        <w:pStyle w:val="CoverNormal"/>
        <w:widowControl/>
      </w:pPr>
    </w:p>
    <w:p w14:paraId="47E5E35F" w14:textId="77777777" w:rsidR="002E2F2E" w:rsidRPr="00303053" w:rsidRDefault="002E2F2E" w:rsidP="00214E5F">
      <w:pPr>
        <w:widowControl/>
        <w:tabs>
          <w:tab w:val="center" w:pos="4677"/>
        </w:tabs>
      </w:pPr>
      <w:r w:rsidRPr="00303053">
        <w:br w:type="page"/>
      </w:r>
      <w:r w:rsidRPr="00303053">
        <w:lastRenderedPageBreak/>
        <w:t>PA_NonLeg</w:t>
      </w:r>
    </w:p>
    <w:p w14:paraId="59509DFC" w14:textId="77777777" w:rsidR="002E2F2E" w:rsidRPr="00303053" w:rsidRDefault="002E2F2E" w:rsidP="00214E5F">
      <w:pPr>
        <w:pStyle w:val="PageHeadingNotTOC"/>
        <w:widowControl/>
      </w:pPr>
      <w:r w:rsidRPr="00303053">
        <w:br w:type="page"/>
      </w:r>
      <w:r w:rsidRPr="00303053">
        <w:lastRenderedPageBreak/>
        <w:t>EHDOTUKSET</w:t>
      </w:r>
    </w:p>
    <w:p w14:paraId="04C9AAA9" w14:textId="77777777" w:rsidR="00B712EA" w:rsidRPr="00303053" w:rsidRDefault="00B712EA" w:rsidP="00214E5F">
      <w:pPr>
        <w:pStyle w:val="Normal12a"/>
        <w:widowControl/>
        <w:rPr>
          <w:szCs w:val="24"/>
        </w:rPr>
      </w:pPr>
      <w:r w:rsidRPr="00303053">
        <w:t>Oikeudellisten asioiden valiokunta pyytää asiasta vastaavaa kansalaisvapauksien sekä oikeus- ja sisäasioiden valiokuntaa sisällyttämään seuraavat ehdotukset päätöslauselmaesitykseen, jonka se myöhemmin hyväksyy:</w:t>
      </w:r>
    </w:p>
    <w:p w14:paraId="002364EA" w14:textId="2F342AFF" w:rsidR="00BB0748" w:rsidRPr="00303053" w:rsidRDefault="00B712EA" w:rsidP="00214E5F">
      <w:pPr>
        <w:pStyle w:val="NormalHanging12a"/>
        <w:widowControl/>
        <w:rPr>
          <w:rStyle w:val="BoldItalic"/>
        </w:rPr>
      </w:pPr>
      <w:r w:rsidRPr="00303053">
        <w:rPr>
          <w:rStyle w:val="BoldItalic"/>
        </w:rPr>
        <w:t>Yleistä</w:t>
      </w:r>
    </w:p>
    <w:p w14:paraId="199EBC5B" w14:textId="302C36EE" w:rsidR="00BB0748" w:rsidRPr="00303053" w:rsidRDefault="00BB0748" w:rsidP="00214E5F">
      <w:pPr>
        <w:pStyle w:val="NormalHanging12a"/>
        <w:widowControl/>
      </w:pPr>
      <w:r w:rsidRPr="00303053">
        <w:t>1.</w:t>
      </w:r>
      <w:r w:rsidRPr="00303053">
        <w:tab/>
        <w:t>muistuttaa, että unionin oikeudellinen rakenne nojautuu siihen perustavanlaatuiseen lähtökohtaan, että kukin jäsenvaltio jakaa kaikkien muiden jäsenvaltioiden kanssa tietyt unionin perustana olevat yhteiset arvot, kuten Euroopan unionista tehdyn sopimuksen 2</w:t>
      </w:r>
      <w:r w:rsidR="00214E5F">
        <w:t> </w:t>
      </w:r>
      <w:r w:rsidRPr="00303053">
        <w:t>artiklassa täsmennetään</w:t>
      </w:r>
      <w:r w:rsidRPr="00303053">
        <w:rPr>
          <w:rStyle w:val="FootnoteReference"/>
        </w:rPr>
        <w:footnoteReference w:id="1"/>
      </w:r>
      <w:r w:rsidRPr="00303053">
        <w:t>; muistuttaa lisäksi, että oikeusvaltioperiaate, sellaisena kuin se on vahvistettu EU:n primaarioikeudessa ja määritelty tarkemmin Euroopan unionin tuomioistuimen oikeuskäytännössä, liittyy läheisesti demokratiaan ja perusoikeuksiin; palauttaa mieliin, että oikeusvaltioperiaate ja sääntöihin perustuva kansainvälinen järjestys ovat avainasemassa, jotta voidaan torjua autoritaaristen hallintojen leviämistä ja kansainvälisen oikeuden rikkomista, ja ne auttavat lujittamaan demokraattisia rakenteita ja suojelemaan ihmisoikeuksia; painottaa, että vallanjakoon ja vallan tasapainoon perustuvan oikeusvaltioperiaatteen taantuminen missä tahansa jäsenvaltiossa vaikuttaa merkittävästi yhteiseen vapauden, turvallisuuden ja oikeuden alueeseen sekä keskinäiseen luottamukseen ja vastavuoroiseen tunnustamiseen unionin oikeuden johtavina periaatteina tällä alueella</w:t>
      </w:r>
      <w:r w:rsidRPr="00303053">
        <w:rPr>
          <w:rStyle w:val="FootnoteReference"/>
        </w:rPr>
        <w:footnoteReference w:id="2"/>
      </w:r>
      <w:r w:rsidRPr="00303053">
        <w:t>;</w:t>
      </w:r>
    </w:p>
    <w:p w14:paraId="79ACBE68" w14:textId="4DDC2165" w:rsidR="00BB0748" w:rsidRPr="00303053" w:rsidRDefault="00BB0748" w:rsidP="00214E5F">
      <w:pPr>
        <w:pStyle w:val="NormalHanging12a"/>
        <w:widowControl/>
      </w:pPr>
      <w:r w:rsidRPr="00303053">
        <w:t>2.</w:t>
      </w:r>
      <w:r w:rsidRPr="00303053">
        <w:tab/>
        <w:t>suhtautuu myönteisesti komission neljänteen oikeusvaltiota koskevaan vuosikertomukseen (jäljempänä ’vuosikertomus’) ja pitää oikeusvaltioperiaatteen säännöllistä uudelleentarkastelua keskeisenä seurantavälineenä; painottaa tässä yhteydessä, että komission on tärkeää tehdä arvionsa selkeiden ja puolueettomien kriteerien pohjalta, jotta vältytään syytöksiltä jäsenvaltioiden epätasa-arvoisesta kohtelusta tai pelkästään valikoitujen tietojen käyttämisestä; suhtautuu tässä suhteessa myönteisesti komission lähestymistapaan, jossa se ottaa vastaan jäsenvaltioiden panoksen ja siten edistää yhteistä vuoropuhelua; suhtautuu myönteisesti uuteen luokitukseen, jonka komissio on käyttöön ottanut aiempien suositusten osalta tapahtuneen edistymisen mittaamisessa ja jossa on neljä kategoriaa: a) ei edistymistä, b) jonkin verran edistymistä c) merkittävää edistymistä ja d) kaikilta osin noudatettu; huomauttaa jäsenvaltioiden tilastotietojen keräämiseen liittyvät ongelmat huomioon ottaen Euroopan neuvoston työkalujen, kuten oikeuslaitoksen toimivuutta tarkastelevan Euroopan neuvoston pysyvän komitean (CEPEJ) kertomusten</w:t>
      </w:r>
      <w:r w:rsidRPr="00303053">
        <w:rPr>
          <w:rStyle w:val="FootnoteReference"/>
        </w:rPr>
        <w:footnoteReference w:id="3"/>
      </w:r>
      <w:r w:rsidRPr="00303053">
        <w:t>, hyödyllisyydestä erilaisten syöttötietojen yhdenmukaistamisessa niin pitkälti kuin mahdollista;</w:t>
      </w:r>
    </w:p>
    <w:p w14:paraId="73118354" w14:textId="77777777" w:rsidR="00BB0748" w:rsidRPr="00303053" w:rsidRDefault="00BB0748" w:rsidP="00214E5F">
      <w:pPr>
        <w:pStyle w:val="NormalHanging12a"/>
        <w:widowControl/>
      </w:pPr>
      <w:r w:rsidRPr="00303053">
        <w:rPr>
          <w:rStyle w:val="BoldItalic"/>
        </w:rPr>
        <w:t>Oikeusasiat</w:t>
      </w:r>
    </w:p>
    <w:p w14:paraId="01E82EEC" w14:textId="77777777" w:rsidR="00BB0748" w:rsidRPr="00303053" w:rsidRDefault="00BB0748" w:rsidP="00214E5F">
      <w:pPr>
        <w:pStyle w:val="NormalHanging12a"/>
        <w:widowControl/>
      </w:pPr>
      <w:r w:rsidRPr="00303053">
        <w:t>3.</w:t>
      </w:r>
      <w:r w:rsidRPr="00303053">
        <w:tab/>
        <w:t>panee merkille oikeusjärjestelmille oikeusvaltiota koskevassa raportoinnissa annetun suuren merkityksen etenkin tuomarien ja tuomarien nimitysten, ylennysten, erottamisen ja päätösten laillisuuden, riippumattomuuden ja puolueettomuuden osalta; panee merkille, ettei ole olemassa EU:n yhteistä järjestelmää tuomarien nimittämiseen; muistuttaa kuitenkin, että kaikkien jäsenvaltioiden on noudatettava Euroopan neuvoston</w:t>
      </w:r>
      <w:r w:rsidRPr="00303053">
        <w:rPr>
          <w:rStyle w:val="FootnoteReference"/>
        </w:rPr>
        <w:footnoteReference w:id="4"/>
      </w:r>
      <w:r w:rsidRPr="00303053">
        <w:t xml:space="preserve"> ja unionin tuomioistuimen</w:t>
      </w:r>
      <w:r w:rsidRPr="00303053">
        <w:rPr>
          <w:rStyle w:val="FootnoteReference"/>
        </w:rPr>
        <w:footnoteReference w:id="5"/>
      </w:r>
      <w:r w:rsidRPr="00303053">
        <w:t xml:space="preserve"> vähimmäisvaatimuksia; painottaa tässä yhteydessä sitä, miten tärkeitä ovat riippumattomat tuomarineuvostot, joiden on koostuttava enimmäkseen tuomarien keskuudestaan valitsemista tuomareista ja joille on annettu huomattavaa vaikutusvaltaa tuomarien valintaan, ylenemiseen ja kurinpitomenettelyihin; pitää erittäin valitettavana, etteivät kaikki jäsenvaltiot ole tässä suhteessa täysin täyttäneet velvoitteitaan; pitää valitettavana tämän tuhoisaa vaikutusta niiden oikeusjärjestelmien riippumattomuuteen ja lahjomattomuuteen;</w:t>
      </w:r>
    </w:p>
    <w:p w14:paraId="435CBB85" w14:textId="4CC95742" w:rsidR="00BB0748" w:rsidRPr="00303053" w:rsidRDefault="00BB0748" w:rsidP="00214E5F">
      <w:pPr>
        <w:pStyle w:val="NormalHanging12a"/>
        <w:widowControl/>
      </w:pPr>
      <w:r w:rsidRPr="00303053">
        <w:t>4.</w:t>
      </w:r>
      <w:r w:rsidRPr="00303053">
        <w:tab/>
        <w:t>panee merkille, että vuonna 2022 annetuista tärkeisiin uudistuksiin liittyvistä suosituksista lähes kahdesta kolmasosasta on toteutettu ainakin joitakin jatkotoimia; on kuitenkin huolissaan sellaisten ongelmien määrästä, jotka on havaittu aiemmissa oikeusvaltiota koskevissa vuosikertomuksissa ja joihin ei ole puututtu; kehottaa komissiota seuraamaan edelleen huolellisesti jäsenvaltioiden oikeudellisia kehyksiä arvioidakseen, ovatko ne edellä mainittujen suositusten mukaisia, ja pyytää lisäksi komissiota vaatimaan jatkossa painokkaammin näiden tärkeiden uudistusten toteuttamista tapauksissa, joissa jäsenvaltioiden järjestelmät eivät täytä asetettuja vaatimuksia; kehottaa komissiota toteuttamaan lisätoimia, jotta se voi käsitellä kattavasti kaikkia suosituksia, jotka parlamentti on esittänyt aiemmissa päätöslauselmissaan;</w:t>
      </w:r>
    </w:p>
    <w:p w14:paraId="5792C877" w14:textId="70DDFE29" w:rsidR="00BB0748" w:rsidRPr="00303053" w:rsidRDefault="00BB0748" w:rsidP="00214E5F">
      <w:pPr>
        <w:pStyle w:val="NormalHanging12a"/>
        <w:widowControl/>
      </w:pPr>
      <w:r w:rsidRPr="00303053">
        <w:t>5.</w:t>
      </w:r>
      <w:r w:rsidRPr="00303053">
        <w:tab/>
        <w:t>panee tyytyväisenä merkille jatkuvan tuen, jota asiaankuuluville sidosryhmille annetaan asiaa koskevien ohjelmien, kuten kansalaisten, tasa-arvon, perusoikeuksien ja arvojen ohjelman, kautta; pitää myönteisenä oikeusalan ohjelman kautta myönnettävää rahoitusta, jolla tuetaan oikeudellista yhteistyötä siviili- ja rikosoikeuden alalla ja edistetään unionin oikeuden kehittämistä edelleen, mihin sisältyy demokratian, oikeusvaltion ja perusoikeuksien vahvistaminen;</w:t>
      </w:r>
    </w:p>
    <w:p w14:paraId="35216455" w14:textId="29268E9C" w:rsidR="00BB0748" w:rsidRPr="00303053" w:rsidRDefault="00BB0748" w:rsidP="00214E5F">
      <w:pPr>
        <w:pStyle w:val="NormalHanging12a"/>
        <w:widowControl/>
      </w:pPr>
      <w:r w:rsidRPr="00303053">
        <w:t>6.</w:t>
      </w:r>
      <w:r w:rsidRPr="00303053">
        <w:tab/>
        <w:t>kehottaa komissiota investoimaan enemmän unionin arvoja ja sovellettavia välineitä, kuten vuotuista kertomusta, koskevan tietoisuuden lisäämiseen erityisesti maissa, joihin liittyy vakavia huolenaiheita;</w:t>
      </w:r>
    </w:p>
    <w:p w14:paraId="5D12E852" w14:textId="77D2E824" w:rsidR="00BB0748" w:rsidRPr="00303053" w:rsidRDefault="00BB0748" w:rsidP="00214E5F">
      <w:pPr>
        <w:pStyle w:val="NormalHanging12a"/>
        <w:widowControl/>
      </w:pPr>
      <w:r w:rsidRPr="00303053">
        <w:t>7.</w:t>
      </w:r>
      <w:r w:rsidRPr="00303053">
        <w:tab/>
        <w:t>panee merkille, että viime vuosikertomuksessa monissa jäsenvaltioissa on nähtävissä jonkin verran edistymistä oikeuslaitoksen riippumattomuuden osalta; suhtautuu tässä suhteessa myönteisesti EU-varojen pidättämiseen tarvittaessa ehdollisuusjärjestelmän</w:t>
      </w:r>
      <w:r w:rsidRPr="00303053">
        <w:rPr>
          <w:rStyle w:val="FootnoteReference"/>
        </w:rPr>
        <w:footnoteReference w:id="6"/>
      </w:r>
      <w:r w:rsidRPr="00303053">
        <w:t xml:space="preserve"> puitteissa, siten kuin Euroopan unionin tuomioistuin</w:t>
      </w:r>
      <w:r w:rsidRPr="00303053">
        <w:rPr>
          <w:rStyle w:val="FootnoteReference"/>
        </w:rPr>
        <w:footnoteReference w:id="7"/>
      </w:r>
      <w:r w:rsidRPr="00303053">
        <w:t xml:space="preserve"> on vahvistanut, tai elpymis- ja palautumistukivälineen</w:t>
      </w:r>
      <w:r w:rsidRPr="00303053">
        <w:rPr>
          <w:rStyle w:val="FootnoteReference"/>
        </w:rPr>
        <w:footnoteReference w:id="8"/>
      </w:r>
      <w:r w:rsidRPr="00303053">
        <w:t xml:space="preserve"> puitteissa; huomauttaa kuitenkin, että joissakin jäsenvaltioissa huolta aiheuttavat edelleen oikeuslaitoksen riippumattomuuden rikkomiset, kuten käynnissä olevat tuomareiden kurinpitomenettelyt heidän ratkaisujensa sisällön johdosta ja tuomarineuvostojen kokoonpanoon ja korkeimpien kansallisten tuomioistuinten kokoonpanoon liittyvät ongelmat laillisesti perustetun tuomioistuimen periaate huomioon ottaen;</w:t>
      </w:r>
    </w:p>
    <w:p w14:paraId="39676AA8" w14:textId="284000A5" w:rsidR="00BB0748" w:rsidRPr="00303053" w:rsidRDefault="00BB0748" w:rsidP="00214E5F">
      <w:pPr>
        <w:pStyle w:val="NormalHanging12a"/>
        <w:widowControl/>
      </w:pPr>
      <w:r w:rsidRPr="00303053">
        <w:t>8.</w:t>
      </w:r>
      <w:r w:rsidRPr="00303053">
        <w:tab/>
        <w:t>muistuttaa, että kaikille oikeussuojan saatavuuden varmistava, tehokas ja oikeudenmukainen oikeuslaitos edellyttää oikeuselinten määrärahojen ja rahoituksen asianmukaisuutta; pitää valitettavana, että vuosikertomus paljastaa tässä suhteessa edelleen vakavia puutteita, jotka vaikuttaisivat hankaloittavan erityisesti korkean tason korruptiotapausten ratkaisemista; painottaa kuitenkin, että myös kansalaisilla on oltava käytettävissään riittävästi oikeusapua ja oikeussuojakeinoja; kehottaa komissiota tässä yhteydessä sisällyttämään seuraavaan oikeusvaltiota koskevaan vuosikertomukseen arviot unionin siviili- ja rikosasioissa annettavaa oikeusapua koskevasta säännöstöstä, kuten oikeussuojakeinojen parantamisesta rajat ylittävissä riita-asioissa vahvistamalla oikeusapuun kyseisissä riita-asioissa liittyvät yhteiset vähimmäisvaatimukset 27.</w:t>
      </w:r>
      <w:r w:rsidR="00214E5F">
        <w:t> </w:t>
      </w:r>
      <w:r w:rsidRPr="00303053">
        <w:t>tammikuuta 2003 annetusta neuvoston direktiivistä 2002/8/EY</w:t>
      </w:r>
      <w:r w:rsidRPr="00303053">
        <w:rPr>
          <w:rStyle w:val="FootnoteReference"/>
        </w:rPr>
        <w:footnoteReference w:id="9"/>
      </w:r>
      <w:r w:rsidRPr="00303053">
        <w:t>, sillä Euroopan unionin tuomioistuimen oikeuskäytännöstä käy ilmi, että sen tulkintaan liittyy edelleen epäselvyyksiä;</w:t>
      </w:r>
    </w:p>
    <w:p w14:paraId="4F7372D7" w14:textId="0E456DAA" w:rsidR="00BB0748" w:rsidRPr="00303053" w:rsidRDefault="00BB0748" w:rsidP="00214E5F">
      <w:pPr>
        <w:pStyle w:val="NormalHanging12a"/>
        <w:widowControl/>
      </w:pPr>
      <w:r w:rsidRPr="00303053">
        <w:t>9.</w:t>
      </w:r>
      <w:r w:rsidRPr="00303053">
        <w:tab/>
        <w:t>muistuttaa, että riippumatta asemastaan kansallisessa vallan kolmijaossa myös syyttäjälaitoksen on oltava riippumaton aiheettomasta poliittisesta painostuksesta; toteaa, että joissakin jäsenvaltioissa on saavutettu jonkin verran edistystä; pitää kuitenkin valitettavana, että on edelleen olemassa järjestelmiä, joissa hallitus voi tehdä syyttäjiä sitovia päätöksiä erityistapauksissa, joissa toimikausi on sidottu poliittiseen prosessiin tai joissa ministerin ja valtakunnansyyttäjän tehtävät on yhdistetty, mikä mahdollistaa asiattoman poliittisen vaikuttamisen ja aiheuttaa vastavuoroisen tunnustamisen ongelmia</w:t>
      </w:r>
      <w:r w:rsidRPr="00303053">
        <w:rPr>
          <w:rStyle w:val="FootnoteReference"/>
        </w:rPr>
        <w:footnoteReference w:id="10"/>
      </w:r>
      <w:r w:rsidRPr="00303053">
        <w:t>;</w:t>
      </w:r>
    </w:p>
    <w:p w14:paraId="1B098AB5" w14:textId="49E8AA01" w:rsidR="00BB0748" w:rsidRPr="00303053" w:rsidRDefault="00BB0748" w:rsidP="00214E5F">
      <w:pPr>
        <w:pStyle w:val="NormalHanging12a"/>
        <w:widowControl/>
      </w:pPr>
      <w:r w:rsidRPr="00303053">
        <w:t>10.</w:t>
      </w:r>
      <w:r w:rsidRPr="00303053">
        <w:tab/>
        <w:t>korostaa erityisesti ”pyöröovi-ilmiön” ongelmallisuutta paitsi entisten ministereiden siirtyessä yksityiselle sektorille julkisen virkansa jälkeen myös tilanteissa, joissa yksityishenkilöt pääsevät merkittävään asemaan oikeuslaitoksessa tai syyttäjänvirastossa heti toimittuaan ministerinä tai kuuluttuaan johonkin poliittiseen puolueeseen;</w:t>
      </w:r>
    </w:p>
    <w:p w14:paraId="581B0B1C" w14:textId="002834A0" w:rsidR="00BB0748" w:rsidRPr="00303053" w:rsidRDefault="00BB0748" w:rsidP="00214E5F">
      <w:pPr>
        <w:pStyle w:val="NormalHanging12a"/>
        <w:widowControl/>
      </w:pPr>
      <w:r w:rsidRPr="00303053">
        <w:t>11.</w:t>
      </w:r>
      <w:r w:rsidRPr="00303053">
        <w:tab/>
        <w:t>kehottaa komissiota ottamaan kyseisenlaiset esimerkit asianmukaisesti huomioon tulevissa oikeusvaltioperiaatetta Euroopan unionissa käsittelevissä kertomuksissaan; kehottaa komissiota pyytämään painokkaasti jäsenvaltioita pidättäytymään tällaisista käytännöistä erityisesti panemalla täytäntöön säännöksiä, joilla torjutaan ennakoivasti sitä, että entiset ministerit ja korkea-arvoiset poliittiset vaikuttajat ottaisivat vastaan korkeimpien oikeuksien ja syyttäjänviraston johtotehtäviä, millä turvataan näiden keskeisten instituutioiden riippumattomuus ja lahjomattomuus;</w:t>
      </w:r>
    </w:p>
    <w:p w14:paraId="20860458" w14:textId="77777777" w:rsidR="00BB0748" w:rsidRPr="00303053" w:rsidRDefault="00BB0748" w:rsidP="00214E5F">
      <w:pPr>
        <w:pStyle w:val="NormalHanging12a"/>
        <w:widowControl/>
      </w:pPr>
      <w:r w:rsidRPr="00303053">
        <w:rPr>
          <w:rStyle w:val="BoldItalic"/>
        </w:rPr>
        <w:t>Korruption torjunta</w:t>
      </w:r>
    </w:p>
    <w:p w14:paraId="50616F45" w14:textId="05473989" w:rsidR="00BB0748" w:rsidRPr="00303053" w:rsidRDefault="00BB0748" w:rsidP="00214E5F">
      <w:pPr>
        <w:pStyle w:val="NormalHanging12a"/>
        <w:widowControl/>
      </w:pPr>
      <w:r w:rsidRPr="00303053">
        <w:t>12.</w:t>
      </w:r>
      <w:r w:rsidRPr="00303053">
        <w:tab/>
        <w:t>palauttaa mieliin, korruption torjunta on olennaisen tärkeää, jotta voidaan vaalia oikeusvaltioperiaatetta ja säilyttää kansalaisten luottamus julkisiin instituutioihin ja edistää sitä; palauttaa lisäksi mieliin, että korruption tehokas torjunta edellyttää lujaa oikeudellista ja hallinnollista korruptiontorjuntakehystä, joka perustuu lahjomattomuuteen, avoimuuteen ja vastuuvelvollisuuteen erityisesti julkisessa elämässä ja jossa korostetaan sidonnaisuuksia koskevien ilmoitusten antamista ja tarvittaessa väärinkäytösten paljastajien suojelua;</w:t>
      </w:r>
    </w:p>
    <w:p w14:paraId="44F698F6" w14:textId="232E121E" w:rsidR="00BB0748" w:rsidRPr="00303053" w:rsidRDefault="00BB0748" w:rsidP="00214E5F">
      <w:pPr>
        <w:pStyle w:val="NormalHanging12a"/>
        <w:widowControl/>
      </w:pPr>
      <w:r w:rsidRPr="00303053">
        <w:t>13.</w:t>
      </w:r>
      <w:r w:rsidRPr="00303053">
        <w:tab/>
        <w:t>toteaa, että korruptio on uhka, joka voi tuhota demokratioita ja heikentää kansalaisten luottamusta instituutioihin ja jota on torjuttava kaikissa sen muodoissa; huomauttaa, että korruptio on yleisin keino, jonka kautta järjestäytynyt rikollisuus soluttautuu talouteen ja hallitsee sitä; pitää huolestuttavana, että viime vuosikertomuksen mukaan monissa jäsenvaltioissa ei ole edistytty lainkaan tai on edistytty vain hyvin hitaasti korruptiota ennalta ehkäisevien toimien suhteen; on erittäin huolissaan haluttomuudesta perustaa lobbausrekistereitä, avoimuusrekistereitä ja kunnollisia viranhaltijoiden ja korkeiden virkamiesten varallisuusilmoituksia koskevia järjestelmiä sekä puuttuvasta poliittisesta tahdosta ottaa pyöröovi-ilmiötä koskevissa toimintaperiaatteissa käyttöön tiukkoja sääntöjä; korostaa tässä yhteydessä, miten tärkeää on lainsäädäntömenettelyn avoimuus, johon liittyy laaja asiakirjajulkisuus ja säännöt, joilla varmistetaan julkishallinnon ja julkisen päätöksenteon mahdollisimman suuri avoimuus ja vastuuvelvollisuus, jotta voidaan ehkäistä korruptiota</w:t>
      </w:r>
      <w:r w:rsidRPr="00303053">
        <w:rPr>
          <w:rStyle w:val="FootnoteReference"/>
        </w:rPr>
        <w:footnoteReference w:id="11"/>
      </w:r>
      <w:r w:rsidRPr="00303053">
        <w:t>;</w:t>
      </w:r>
    </w:p>
    <w:p w14:paraId="4356E89D" w14:textId="06B4A423" w:rsidR="00BB0748" w:rsidRPr="00303053" w:rsidRDefault="00BB0748" w:rsidP="00214E5F">
      <w:pPr>
        <w:pStyle w:val="NormalHanging12a"/>
        <w:widowControl/>
      </w:pPr>
      <w:r w:rsidRPr="00303053">
        <w:t>14.</w:t>
      </w:r>
      <w:r w:rsidRPr="00303053">
        <w:tab/>
        <w:t>kehottaa tässä yhteydessä myös kaikkia EU:n toimielimiä noudattamaan mahdollisimman tiukkoja vaatimuksia korruption torjumiseksi ja toteaa, että tähän liittyy muun muassa toimielinten välisen vaikuttavan eettisen elimen perustaminen, asiakirjojen saamisesta tutustuttaviksi annetun asetuksen (EY) N:o 1049/2001</w:t>
      </w:r>
      <w:r w:rsidRPr="00303053">
        <w:rPr>
          <w:rStyle w:val="FootnoteReference"/>
        </w:rPr>
        <w:footnoteReference w:id="12"/>
      </w:r>
      <w:r w:rsidRPr="00303053">
        <w:t xml:space="preserve"> täysimääräinen soveltaminen ja ehdollisuusperiaatteen täysimääräinen soveltaminen avoimuusrekisterin osalta; kehottaa jäsenvaltioita pyrkimään mahdollisimman pian pääsemään sopimukseen korruption torjuntaa koskevasta direktiiviehdotuksesta, jotta saadaan yhdenmukainen ja yhteinen kehys menettelysäännöille, eturistiriitojen ennaltaehkäisyä koskeville vaatimuksille ja menettelyjen avoimuuden takaamista koskeville säännöille;</w:t>
      </w:r>
    </w:p>
    <w:p w14:paraId="7826A14E" w14:textId="0F61B35C" w:rsidR="00BB0748" w:rsidRPr="00303053" w:rsidRDefault="00BB0748" w:rsidP="00214E5F">
      <w:pPr>
        <w:pStyle w:val="NormalHanging12a"/>
        <w:widowControl/>
      </w:pPr>
      <w:r w:rsidRPr="00303053">
        <w:t>15.</w:t>
      </w:r>
      <w:r w:rsidRPr="00303053">
        <w:tab/>
        <w:t>panee merkille, että Euroopan unionin myöntämien varojen – NextGenerationEU-välineen varat mukaan lukien – määrällinen merkittävyys on viime vuosina huomattavasti kasvanut; toteaa, että tästä syystä on tullut erittäin tärkeäksi, että jäsenvaltioiden lainsäädännössä on säännöksiä, joiden tarkoituksena on ehkäistä kyseisten varojen väärinkäyttöä;</w:t>
      </w:r>
    </w:p>
    <w:p w14:paraId="7D07181B" w14:textId="1AC6B916" w:rsidR="00BB0748" w:rsidRPr="00303053" w:rsidRDefault="00BB0748" w:rsidP="00214E5F">
      <w:pPr>
        <w:pStyle w:val="NormalHanging12a"/>
        <w:widowControl/>
      </w:pPr>
      <w:r w:rsidRPr="00303053">
        <w:t>16.</w:t>
      </w:r>
      <w:r w:rsidRPr="00303053">
        <w:tab/>
        <w:t>muistuttaa, että mikään ala ei ole turvassa korruption vaaralta ja että tämä koskee myös aloja, joilla hallinnoidaan merkittäviä julkisia varoja tai pääsyä kriittisiin infrastruktuureihin ja palveluihin, kuten terveydenhuolto tai rakennusala; painottaa, että järjestäytyneillä rikollisryhmillä on yhä tärkeämpi rooli näissä toimissa, kuten väärennösrikoksissa, piratismissa ja teollis- ja tekijänoikeuksien loukkauksissa, jotka ovat lisääntyneet voimakkaasti digitaalisessa ympäristössä; muistuttaa, että tällaiseen laittomaan toimintaan osallistuvat rikollisryhmät käyttävät usein voitot muun laittoman toiminnan rahoittamiseen;</w:t>
      </w:r>
    </w:p>
    <w:p w14:paraId="1434BDDF" w14:textId="2440DE29" w:rsidR="00BB0748" w:rsidRPr="00303053" w:rsidRDefault="00BB0748" w:rsidP="00214E5F">
      <w:pPr>
        <w:pStyle w:val="NormalHanging12a"/>
        <w:widowControl/>
      </w:pPr>
      <w:r w:rsidRPr="00303053">
        <w:t>17.</w:t>
      </w:r>
      <w:r w:rsidRPr="00303053">
        <w:tab/>
        <w:t>kehottaa komissiota sisällyttämään tuleviin oikeusvaltiota koskeviin vuosikertomuksiinsa arvion jäsenvaltioiden julkisten varojen asianmukaisen hyödyntämisen valvontaa koskevan lainsäädännön kehityksestä viime vuosina sekä käytettävissä olevista oikeusmekanismeista, joilla julkisten varojen väärinkäyttöön voidaan puuttua;</w:t>
      </w:r>
    </w:p>
    <w:p w14:paraId="4664C371" w14:textId="6265FDB6" w:rsidR="00BB0748" w:rsidRPr="00303053" w:rsidRDefault="00BB0748" w:rsidP="00214E5F">
      <w:pPr>
        <w:pStyle w:val="NormalHanging12a"/>
        <w:widowControl/>
      </w:pPr>
      <w:r w:rsidRPr="00303053">
        <w:t>18.</w:t>
      </w:r>
      <w:r w:rsidRPr="00303053">
        <w:tab/>
        <w:t>palauttaa mieliin parlamentin vahvan tuen Euroopan syyttäjänviraston (EPPO) perustamiselle; toteaa, että EPPOlla on tärkeä rooli riippumattomana EU:n elimenä, joka tutkii unionin taloudellisia etuja vahingoittavia rikoksia sekä asettaa niiden tekijät syytteeseen ja tuomittaviksi; korostaa, että sen jälkeen, kun EPPO aloitti toimintansa 1.</w:t>
      </w:r>
      <w:r w:rsidR="00214E5F">
        <w:t> </w:t>
      </w:r>
      <w:r w:rsidRPr="00303053">
        <w:t>kesäkuuta 2021, se on rekisteröinyt yli 4 000 rikosilmoitusta osallistuvilta EU:n jäsenvaltioilta ja yksityisiltä osapuolilta ja käynnistänyt yli 929 tutkintaa (tiedot kesäkuulta 2022);</w:t>
      </w:r>
    </w:p>
    <w:p w14:paraId="22AA9F11" w14:textId="6835CF67" w:rsidR="00BB0748" w:rsidRPr="00303053" w:rsidRDefault="00BB0748" w:rsidP="00214E5F">
      <w:pPr>
        <w:pStyle w:val="NormalHanging12a"/>
        <w:widowControl/>
      </w:pPr>
      <w:r w:rsidRPr="00303053">
        <w:t>19.</w:t>
      </w:r>
      <w:r w:rsidRPr="00303053">
        <w:tab/>
        <w:t>kehottaa komissiota lisäksi painokkaasti tapauksissa, joissa julkisten varojen suojatoimien tason on havaittu laskeneen, keskustelemaan viipymättä asianosaisen jäsenvaltion tai asianosaisten jäsenvaltioiden kanssa ja pyytämään niitä panemaan tilanteen korjaamiseksi tarvittavat toimet pikaisesti täytäntöön;</w:t>
      </w:r>
    </w:p>
    <w:p w14:paraId="06A520ED" w14:textId="5D433CB0" w:rsidR="00BB0748" w:rsidRPr="00303053" w:rsidRDefault="00BB0748" w:rsidP="00214E5F">
      <w:pPr>
        <w:pStyle w:val="NormalHanging12a"/>
        <w:widowControl/>
        <w:ind w:left="0" w:firstLine="0"/>
        <w:rPr>
          <w:b/>
          <w:i/>
        </w:rPr>
      </w:pPr>
      <w:r w:rsidRPr="00303053">
        <w:rPr>
          <w:b/>
          <w:i/>
        </w:rPr>
        <w:t>Kansalaisyhteiskunta</w:t>
      </w:r>
    </w:p>
    <w:p w14:paraId="07ECDE19" w14:textId="101BC80C" w:rsidR="00BB0748" w:rsidRPr="00303053" w:rsidRDefault="00BB0748" w:rsidP="00214E5F">
      <w:pPr>
        <w:pStyle w:val="NormalHanging12a"/>
        <w:widowControl/>
      </w:pPr>
      <w:r w:rsidRPr="00303053">
        <w:t>20.</w:t>
      </w:r>
      <w:r w:rsidRPr="00303053">
        <w:tab/>
        <w:t>palauttaa mieliin demokratian, tiedotusvälineiden vapauden ja moniarvoisuuden vahvistamisesta EU:ssa 11. marraskuuta 2021 antamansa päätöslauselman, jossa se kehotti komissiota ehdottamaan sekä ei-sitovien että sitovien säädösten pakettia, jotta voidaan puuttua strategisten häirintätarkoituksessa nostettujen kanteiden eli SLAPP-kanteiden yhä suurempaan määrään; panee tyytyväisenä merkille, että 27. huhtikuuta 2022 komissio antoi lainsäädäntöehdotuksen ja suosituksen jäsenvaltioille ja siten noudatti parlamentin asiaa koskevaa kehotusta; painottaa, että SLAPP-kanteet ovat erityinen häirinnän muoto, jota käytetään ensisijaisesti toimittajia vastaan ja jonka tavoitteena on estää heitä käsittelemästä yleistä etua koskevia asioita tai rangaista heitä tällaisten asioiden käsittelemisestä pakottamalla heidät käymään läpi pitkiä, raskaita ja kalliita oikeusjuttuja; kehottaa jäsenvaltioita pysymään ehdotettujen toimenpiteiden tavoitteiden tasolla ja tehostamaan toimiaan toimittajien turvallisuuden ja suojelun parantamiseksi;</w:t>
      </w:r>
    </w:p>
    <w:p w14:paraId="251108D3" w14:textId="3080D38B" w:rsidR="00BB0748" w:rsidRPr="00303053" w:rsidRDefault="00BB0748" w:rsidP="00214E5F">
      <w:pPr>
        <w:pStyle w:val="NormalHanging12a"/>
        <w:widowControl/>
      </w:pPr>
      <w:r w:rsidRPr="00303053">
        <w:t>21.</w:t>
      </w:r>
      <w:r w:rsidRPr="00303053">
        <w:tab/>
        <w:t>panee erittäin huolestuneena merkille kansalaisyhteiskunnan toimintamahdollisuuksien yleisen kaventumisen eräissä jäsenvaltioissa ja katsoo tämän olevan vakava uhka oikeusvaltioperiaatteelle, demokratialle, perusoikeuksille ja muille EU:n arvoille; kehottaa komissiota seuraamaan kansalaisyhteiskunnan kohtaamia haasteita ja siihen kohdistettuja hyökkäyksiä osana vuotuista oikeusvaltioperiaatteen arviointi- ja raportointityötään ja sisällyttämään kertomukseensa päätelmiä ja kohdennettuja suosituksia; kehottaa tässä yhteydessä jälleen laatimaan erillisen luvun kansalaisyhteiskunnan tilasta jäsenvaltioissa;</w:t>
      </w:r>
    </w:p>
    <w:p w14:paraId="198C52C8" w14:textId="76D5F0F3" w:rsidR="00BB0748" w:rsidRPr="00303053" w:rsidRDefault="00BB0748" w:rsidP="00214E5F">
      <w:pPr>
        <w:pStyle w:val="NormalHanging12a"/>
        <w:widowControl/>
      </w:pPr>
      <w:r w:rsidRPr="00303053">
        <w:t>22.</w:t>
      </w:r>
      <w:r w:rsidRPr="00303053">
        <w:tab/>
        <w:t>korostaa, että unionin ja jäsenvaltioiden nykyinen oikeudellinen kehys ei riitä perustamaan ja kannattelemaan vahvaa yleiseurooppalaista kansalaisyhteiskuntaa, jonka olemassaolo on demokratian kanna</w:t>
      </w:r>
      <w:bookmarkStart w:id="0" w:name="_GoBack"/>
      <w:bookmarkEnd w:id="0"/>
      <w:r w:rsidRPr="00303053">
        <w:t>lta välttämätöntä; katsoo sen vuoksi, että EU:n rajatylittävien yhdistysten ja voittoa tavoittelemattomien järjestöjen säännöt tarjoavat ylimääräisen suojan kansalaisjärjestöille, joiden perustamiseen ja toimintaan kohdistuu kohtuuttomia esteitä</w:t>
      </w:r>
      <w:r w:rsidRPr="00303053">
        <w:rPr>
          <w:rStyle w:val="FootnoteReference"/>
        </w:rPr>
        <w:footnoteReference w:id="13"/>
      </w:r>
      <w:r w:rsidR="00214E5F">
        <w:t>.</w:t>
      </w:r>
    </w:p>
    <w:p w14:paraId="37508B1D" w14:textId="77777777" w:rsidR="00BB0748" w:rsidRPr="00303053" w:rsidRDefault="00BB0748" w:rsidP="00214E5F">
      <w:pPr>
        <w:widowControl/>
      </w:pPr>
    </w:p>
    <w:p w14:paraId="7570F3AE" w14:textId="77777777" w:rsidR="00BB0748" w:rsidRPr="00303053" w:rsidRDefault="00BB0748" w:rsidP="00214E5F">
      <w:pPr>
        <w:pStyle w:val="NormalHanging12a"/>
        <w:widowControl/>
        <w:ind w:left="0" w:firstLine="0"/>
        <w:sectPr w:rsidR="00BB0748" w:rsidRPr="00303053" w:rsidSect="0030305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21758F85" w14:textId="44ABC76E" w:rsidR="00EB0868" w:rsidRPr="00303053" w:rsidRDefault="00AB0C34" w:rsidP="00214E5F">
      <w:pPr>
        <w:pStyle w:val="PageHeadingNotTOC"/>
        <w:widowControl/>
        <w:rPr>
          <w:rFonts w:eastAsia="Calibri"/>
          <w:szCs w:val="24"/>
        </w:rPr>
      </w:pPr>
      <w:r w:rsidRPr="00303053">
        <w:t>LIITE: YHTEISÖT TAI HENKILÖT,</w:t>
      </w:r>
      <w:r w:rsidRPr="00303053">
        <w:br/>
        <w:t>JOILTA VALMISTELIJA ON SAANUT TIETOJA</w:t>
      </w:r>
      <w:bookmarkStart w:id="1" w:name="ProcPageAD"/>
    </w:p>
    <w:p w14:paraId="2E2B9F7B" w14:textId="77777777" w:rsidR="00BC7719" w:rsidRPr="00303053" w:rsidRDefault="00BC7719" w:rsidP="00214E5F">
      <w:pPr>
        <w:widowControl/>
        <w:spacing w:line="200" w:lineRule="exact"/>
        <w:rPr>
          <w:sz w:val="22"/>
          <w:szCs w:val="22"/>
        </w:rPr>
      </w:pPr>
    </w:p>
    <w:p w14:paraId="5A91F724" w14:textId="77777777" w:rsidR="00BC7719" w:rsidRPr="00303053" w:rsidRDefault="00BC7719" w:rsidP="00214E5F">
      <w:pPr>
        <w:widowControl/>
        <w:spacing w:line="200" w:lineRule="exact"/>
        <w:rPr>
          <w:sz w:val="22"/>
          <w:szCs w:val="22"/>
        </w:rPr>
      </w:pPr>
    </w:p>
    <w:p w14:paraId="2CC30888" w14:textId="7B0DF5D3" w:rsidR="00BC7719" w:rsidRPr="00303053" w:rsidRDefault="00BC7719" w:rsidP="00214E5F">
      <w:pPr>
        <w:widowControl/>
        <w:spacing w:line="360" w:lineRule="auto"/>
        <w:rPr>
          <w:iCs/>
          <w:sz w:val="22"/>
          <w:szCs w:val="22"/>
        </w:rPr>
      </w:pPr>
      <w:r w:rsidRPr="00303053">
        <w:rPr>
          <w:sz w:val="22"/>
        </w:rPr>
        <w:t>Valmistelija ilmoittaa yksinomaisella vastuullaan, ettei hän ole saanut tietoja miltään yhteisöltä tai henkilöltä, joka olisi mainittava tässä liitteessä työjärjestyksen liitteessä I olevan 8 artiklan mukaisesti.</w:t>
      </w:r>
    </w:p>
    <w:p w14:paraId="512B04D3" w14:textId="77777777" w:rsidR="00BC7719" w:rsidRPr="00303053" w:rsidRDefault="00BC7719" w:rsidP="00214E5F">
      <w:pPr>
        <w:widowControl/>
        <w:spacing w:line="360" w:lineRule="auto"/>
        <w:rPr>
          <w:iCs/>
          <w:sz w:val="22"/>
          <w:szCs w:val="22"/>
        </w:rPr>
      </w:pPr>
    </w:p>
    <w:p w14:paraId="7A64EE10" w14:textId="77777777" w:rsidR="00BC7719" w:rsidRPr="00303053" w:rsidRDefault="00BC7719" w:rsidP="00214E5F">
      <w:pPr>
        <w:widowControl/>
      </w:pPr>
    </w:p>
    <w:p w14:paraId="0D0DCCBC" w14:textId="77777777" w:rsidR="00BC7719" w:rsidRPr="00303053" w:rsidRDefault="00BC7719" w:rsidP="00214E5F">
      <w:pPr>
        <w:widowControl/>
      </w:pPr>
    </w:p>
    <w:p w14:paraId="6573F195" w14:textId="77777777" w:rsidR="00BC7719" w:rsidRPr="00303053" w:rsidRDefault="00BC7719" w:rsidP="00214E5F">
      <w:pPr>
        <w:widowControl/>
      </w:pPr>
    </w:p>
    <w:p w14:paraId="2C07BE31" w14:textId="77777777" w:rsidR="00BC7719" w:rsidRPr="00303053" w:rsidRDefault="00BC7719" w:rsidP="00214E5F">
      <w:pPr>
        <w:widowControl/>
      </w:pPr>
    </w:p>
    <w:p w14:paraId="40182834" w14:textId="77777777" w:rsidR="00BC7719" w:rsidRPr="00303053" w:rsidRDefault="00BC7719" w:rsidP="00214E5F">
      <w:pPr>
        <w:widowControl/>
      </w:pPr>
    </w:p>
    <w:p w14:paraId="79CB3AE3" w14:textId="77777777" w:rsidR="00BC7719" w:rsidRPr="00303053" w:rsidRDefault="00BC7719" w:rsidP="00214E5F">
      <w:pPr>
        <w:widowControl/>
      </w:pPr>
    </w:p>
    <w:p w14:paraId="049F1B2B" w14:textId="77777777" w:rsidR="00BC7719" w:rsidRPr="00303053" w:rsidRDefault="00BC7719" w:rsidP="00214E5F">
      <w:pPr>
        <w:widowControl/>
      </w:pPr>
    </w:p>
    <w:p w14:paraId="66E1E81B" w14:textId="77777777" w:rsidR="00BC7719" w:rsidRPr="00303053" w:rsidRDefault="00BC7719" w:rsidP="00214E5F">
      <w:pPr>
        <w:widowControl/>
      </w:pPr>
    </w:p>
    <w:p w14:paraId="03924973" w14:textId="77777777" w:rsidR="00BC7719" w:rsidRPr="00303053" w:rsidRDefault="00BC7719" w:rsidP="00214E5F">
      <w:pPr>
        <w:widowControl/>
      </w:pPr>
    </w:p>
    <w:p w14:paraId="09870AC6" w14:textId="77777777" w:rsidR="00BC7719" w:rsidRPr="00303053" w:rsidRDefault="00BC7719" w:rsidP="00214E5F">
      <w:pPr>
        <w:widowControl/>
      </w:pPr>
    </w:p>
    <w:p w14:paraId="4B3374FF" w14:textId="35293946" w:rsidR="00BC7719" w:rsidRPr="00303053" w:rsidRDefault="00BC7719" w:rsidP="00214E5F">
      <w:pPr>
        <w:widowControl/>
        <w:rPr>
          <w:rFonts w:ascii="Arial" w:hAnsi="Arial" w:cs="Arial"/>
          <w:b/>
        </w:rPr>
      </w:pPr>
      <w:r w:rsidRPr="00303053">
        <w:br w:type="page"/>
      </w:r>
    </w:p>
    <w:p w14:paraId="01DC83CE" w14:textId="0815E65F" w:rsidR="00AB0C34" w:rsidRPr="00303053" w:rsidRDefault="00AB0C34" w:rsidP="00214E5F">
      <w:pPr>
        <w:pStyle w:val="PageHeadingNotTOC"/>
        <w:widowControl/>
      </w:pPr>
      <w:r w:rsidRPr="00303053">
        <w:t>TIEDOT HYVÄKSYMISESTÄ</w:t>
      </w:r>
      <w:r w:rsidRPr="00303053">
        <w:br/>
        <w:t>LAUSUNNON ANTAVASSA VALIOKUNNASSA</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AB0C34" w:rsidRPr="00303053" w14:paraId="30284431"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3B92E43" w14:textId="77777777" w:rsidR="00AB0C34" w:rsidRPr="00303053" w:rsidRDefault="00AB0C34" w:rsidP="00214E5F">
            <w:pPr>
              <w:widowControl/>
              <w:autoSpaceDE w:val="0"/>
              <w:autoSpaceDN w:val="0"/>
              <w:adjustRightInd w:val="0"/>
              <w:rPr>
                <w:b/>
                <w:bCs/>
                <w:color w:val="000000"/>
                <w:sz w:val="20"/>
              </w:rPr>
            </w:pPr>
            <w:r w:rsidRPr="00303053">
              <w:rPr>
                <w:b/>
                <w:color w:val="000000"/>
                <w:sz w:val="20"/>
              </w:rPr>
              <w:t>Hyväksytty (pvä)</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2306B33" w14:textId="77777777" w:rsidR="00AB0C34" w:rsidRPr="00303053" w:rsidRDefault="00AB0C34" w:rsidP="00214E5F">
            <w:pPr>
              <w:widowControl/>
              <w:autoSpaceDE w:val="0"/>
              <w:autoSpaceDN w:val="0"/>
              <w:adjustRightInd w:val="0"/>
              <w:rPr>
                <w:color w:val="000000"/>
                <w:sz w:val="20"/>
              </w:rPr>
            </w:pPr>
            <w:r w:rsidRPr="00303053">
              <w:rPr>
                <w:color w:val="000000"/>
                <w:sz w:val="20"/>
              </w:rPr>
              <w:t>29.11.2023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68D7077" w14:textId="77777777" w:rsidR="00AB0C34" w:rsidRPr="00303053" w:rsidRDefault="00AB0C34" w:rsidP="00214E5F">
            <w:pPr>
              <w:widowControl/>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B2053FB" w14:textId="77777777" w:rsidR="00AB0C34" w:rsidRPr="00303053" w:rsidRDefault="00AB0C34" w:rsidP="00214E5F">
            <w:pPr>
              <w:widowControl/>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2429A59" w14:textId="77777777" w:rsidR="00AB0C34" w:rsidRPr="00303053" w:rsidRDefault="00AB0C34" w:rsidP="00214E5F">
            <w:pPr>
              <w:widowControl/>
              <w:autoSpaceDE w:val="0"/>
              <w:autoSpaceDN w:val="0"/>
              <w:adjustRightInd w:val="0"/>
              <w:rPr>
                <w:rFonts w:ascii="sans-serif" w:hAnsi="sans-serif" w:cs="sans-serif"/>
                <w:color w:val="000000"/>
                <w:szCs w:val="24"/>
              </w:rPr>
            </w:pPr>
          </w:p>
        </w:tc>
      </w:tr>
      <w:tr w:rsidR="00AB0C34" w:rsidRPr="00303053" w14:paraId="7E28EA4F"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3CCC8F2" w14:textId="77777777" w:rsidR="00AB0C34" w:rsidRPr="00303053" w:rsidRDefault="00AB0C34" w:rsidP="00214E5F">
            <w:pPr>
              <w:widowControl/>
              <w:autoSpaceDE w:val="0"/>
              <w:autoSpaceDN w:val="0"/>
              <w:adjustRightInd w:val="0"/>
              <w:rPr>
                <w:b/>
                <w:bCs/>
                <w:color w:val="000000"/>
                <w:sz w:val="20"/>
              </w:rPr>
            </w:pPr>
            <w:r w:rsidRPr="00303053">
              <w:rPr>
                <w:b/>
                <w:color w:val="000000"/>
                <w:sz w:val="20"/>
              </w:rPr>
              <w:t>Lopullisen äänestyksen tulos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245A7C8" w14:textId="77777777" w:rsidR="00AB0C34" w:rsidRPr="00303053" w:rsidRDefault="00AB0C34" w:rsidP="00214E5F">
            <w:pPr>
              <w:widowControl/>
              <w:autoSpaceDE w:val="0"/>
              <w:autoSpaceDN w:val="0"/>
              <w:adjustRightInd w:val="0"/>
              <w:rPr>
                <w:color w:val="000000"/>
                <w:sz w:val="20"/>
              </w:rPr>
            </w:pPr>
            <w:r w:rsidRPr="00303053">
              <w:rPr>
                <w:color w:val="000000"/>
                <w:sz w:val="20"/>
              </w:rPr>
              <w:t>+:</w:t>
            </w:r>
          </w:p>
          <w:p w14:paraId="35428284" w14:textId="77777777" w:rsidR="00AB0C34" w:rsidRPr="00303053" w:rsidRDefault="00AB0C34" w:rsidP="00214E5F">
            <w:pPr>
              <w:widowControl/>
              <w:autoSpaceDE w:val="0"/>
              <w:autoSpaceDN w:val="0"/>
              <w:adjustRightInd w:val="0"/>
              <w:rPr>
                <w:color w:val="000000"/>
                <w:sz w:val="20"/>
              </w:rPr>
            </w:pPr>
            <w:r w:rsidRPr="00303053">
              <w:rPr>
                <w:color w:val="000000"/>
                <w:sz w:val="20"/>
              </w:rPr>
              <w:t>–:</w:t>
            </w:r>
          </w:p>
          <w:p w14:paraId="5395DA25" w14:textId="77777777" w:rsidR="00AB0C34" w:rsidRPr="00303053" w:rsidRDefault="00AB0C34" w:rsidP="00214E5F">
            <w:pPr>
              <w:widowControl/>
              <w:autoSpaceDE w:val="0"/>
              <w:autoSpaceDN w:val="0"/>
              <w:adjustRightInd w:val="0"/>
              <w:rPr>
                <w:color w:val="000000"/>
                <w:sz w:val="20"/>
              </w:rPr>
            </w:pPr>
            <w:r w:rsidRPr="00303053">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6DE8F44" w14:textId="77777777" w:rsidR="00AB0C34" w:rsidRPr="00303053" w:rsidRDefault="00AB0C34" w:rsidP="00214E5F">
            <w:pPr>
              <w:widowControl/>
              <w:autoSpaceDE w:val="0"/>
              <w:autoSpaceDN w:val="0"/>
              <w:adjustRightInd w:val="0"/>
              <w:rPr>
                <w:color w:val="000000"/>
                <w:sz w:val="20"/>
              </w:rPr>
            </w:pPr>
            <w:r w:rsidRPr="00303053">
              <w:rPr>
                <w:color w:val="000000"/>
                <w:sz w:val="20"/>
              </w:rPr>
              <w:t>20</w:t>
            </w:r>
          </w:p>
          <w:p w14:paraId="132AE4AB" w14:textId="77777777" w:rsidR="00AB0C34" w:rsidRPr="00303053" w:rsidRDefault="00AB0C34" w:rsidP="00214E5F">
            <w:pPr>
              <w:widowControl/>
              <w:autoSpaceDE w:val="0"/>
              <w:autoSpaceDN w:val="0"/>
              <w:adjustRightInd w:val="0"/>
              <w:rPr>
                <w:color w:val="000000"/>
                <w:sz w:val="20"/>
              </w:rPr>
            </w:pPr>
            <w:r w:rsidRPr="00303053">
              <w:rPr>
                <w:color w:val="000000"/>
                <w:sz w:val="20"/>
              </w:rPr>
              <w:t>2</w:t>
            </w:r>
          </w:p>
          <w:p w14:paraId="6F933A1A" w14:textId="77777777" w:rsidR="00AB0C34" w:rsidRPr="00303053" w:rsidRDefault="00AB0C34" w:rsidP="00214E5F">
            <w:pPr>
              <w:widowControl/>
              <w:autoSpaceDE w:val="0"/>
              <w:autoSpaceDN w:val="0"/>
              <w:adjustRightInd w:val="0"/>
              <w:rPr>
                <w:color w:val="000000"/>
                <w:sz w:val="20"/>
              </w:rPr>
            </w:pPr>
            <w:r w:rsidRPr="00303053">
              <w:rPr>
                <w:color w:val="000000"/>
                <w:sz w:val="20"/>
              </w:rPr>
              <w:t>0</w:t>
            </w:r>
          </w:p>
        </w:tc>
      </w:tr>
      <w:tr w:rsidR="00AB0C34" w:rsidRPr="00303053" w14:paraId="577F4783"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2B1C413" w14:textId="77777777" w:rsidR="00AB0C34" w:rsidRPr="00303053" w:rsidRDefault="00AB0C34" w:rsidP="00214E5F">
            <w:pPr>
              <w:widowControl/>
              <w:autoSpaceDE w:val="0"/>
              <w:autoSpaceDN w:val="0"/>
              <w:adjustRightInd w:val="0"/>
              <w:rPr>
                <w:b/>
                <w:bCs/>
                <w:color w:val="000000"/>
                <w:sz w:val="20"/>
              </w:rPr>
            </w:pPr>
            <w:r w:rsidRPr="00303053">
              <w:rPr>
                <w:b/>
                <w:color w:val="000000"/>
                <w:sz w:val="20"/>
              </w:rPr>
              <w:t>Lopullisessa äänestyksessä läsnä olleet jäsenet</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8BBCB9D" w14:textId="77777777" w:rsidR="00AB0C34" w:rsidRPr="00303053" w:rsidRDefault="00AB0C34" w:rsidP="00214E5F">
            <w:pPr>
              <w:widowControl/>
              <w:autoSpaceDE w:val="0"/>
              <w:autoSpaceDN w:val="0"/>
              <w:adjustRightInd w:val="0"/>
              <w:rPr>
                <w:color w:val="000000"/>
                <w:sz w:val="20"/>
              </w:rPr>
            </w:pPr>
            <w:r w:rsidRPr="00303053">
              <w:rPr>
                <w:color w:val="000000"/>
                <w:sz w:val="20"/>
              </w:rPr>
              <w:t>Pascal Arimont, Ilana Cicurel, Geoffroy Didier, Ibán García Del Blanco, Virginie Joron, Pierre Karleskind, Sergey Lagodinsky, Gilles Lebreton, Karen Melchior, Sabrina Pignedoli, Jiří Pospíšil, Raffaele Stancanelli, Adrián Vázquez Lázara, Axel Voss, Marion Walsmann, Tiemo Wölken, Javier Zarzalejos</w:t>
            </w:r>
          </w:p>
        </w:tc>
      </w:tr>
      <w:tr w:rsidR="00AB0C34" w:rsidRPr="00303053" w14:paraId="1F98FC91"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8E758B6" w14:textId="77777777" w:rsidR="00AB0C34" w:rsidRPr="00303053" w:rsidRDefault="00AB0C34" w:rsidP="00214E5F">
            <w:pPr>
              <w:widowControl/>
              <w:autoSpaceDE w:val="0"/>
              <w:autoSpaceDN w:val="0"/>
              <w:adjustRightInd w:val="0"/>
              <w:rPr>
                <w:b/>
                <w:bCs/>
                <w:color w:val="000000"/>
                <w:sz w:val="20"/>
              </w:rPr>
            </w:pPr>
            <w:r w:rsidRPr="00303053">
              <w:rPr>
                <w:b/>
                <w:color w:val="000000"/>
                <w:sz w:val="20"/>
              </w:rPr>
              <w:t>Lopullisessa äänestyksessä läsnä olleet varajäsenet</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E431C13" w14:textId="77777777" w:rsidR="00AB0C34" w:rsidRPr="00303053" w:rsidRDefault="00AB0C34" w:rsidP="00214E5F">
            <w:pPr>
              <w:widowControl/>
              <w:autoSpaceDE w:val="0"/>
              <w:autoSpaceDN w:val="0"/>
              <w:adjustRightInd w:val="0"/>
              <w:rPr>
                <w:color w:val="000000"/>
                <w:sz w:val="20"/>
              </w:rPr>
            </w:pPr>
            <w:r w:rsidRPr="00303053">
              <w:rPr>
                <w:color w:val="000000"/>
                <w:sz w:val="20"/>
              </w:rPr>
              <w:t>Daniel Buda, Pascal Durand, Heidi Hautala</w:t>
            </w:r>
          </w:p>
        </w:tc>
      </w:tr>
      <w:tr w:rsidR="00AB0C34" w:rsidRPr="00214E5F" w14:paraId="6FB31FE6"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B1DFD4C" w14:textId="77777777" w:rsidR="00AB0C34" w:rsidRPr="00303053" w:rsidRDefault="00AB0C34" w:rsidP="00214E5F">
            <w:pPr>
              <w:widowControl/>
              <w:autoSpaceDE w:val="0"/>
              <w:autoSpaceDN w:val="0"/>
              <w:adjustRightInd w:val="0"/>
              <w:rPr>
                <w:b/>
                <w:bCs/>
                <w:color w:val="000000"/>
                <w:sz w:val="20"/>
              </w:rPr>
            </w:pPr>
            <w:r w:rsidRPr="00303053">
              <w:rPr>
                <w:b/>
                <w:color w:val="000000"/>
                <w:sz w:val="20"/>
              </w:rPr>
              <w:t>Lopullisessa äänestyksessä läsnä olleet sijaiset (209 art. 7 kohta)</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588B3668" w14:textId="77777777" w:rsidR="00AB0C34" w:rsidRPr="00214E5F" w:rsidRDefault="00AB0C34" w:rsidP="00214E5F">
            <w:pPr>
              <w:widowControl/>
              <w:autoSpaceDE w:val="0"/>
              <w:autoSpaceDN w:val="0"/>
              <w:adjustRightInd w:val="0"/>
              <w:rPr>
                <w:color w:val="000000"/>
                <w:sz w:val="20"/>
                <w:lang w:val="fr-FR"/>
              </w:rPr>
            </w:pPr>
            <w:r w:rsidRPr="00214E5F">
              <w:rPr>
                <w:color w:val="000000"/>
                <w:sz w:val="20"/>
                <w:lang w:val="fr-FR"/>
              </w:rPr>
              <w:t>Sylvie Guillaume, Pedro Marques, Anne-Sophie Pelletier</w:t>
            </w:r>
          </w:p>
        </w:tc>
      </w:tr>
    </w:tbl>
    <w:p w14:paraId="45DBBEE1" w14:textId="77777777" w:rsidR="00AB0C34" w:rsidRPr="00214E5F" w:rsidRDefault="00AB0C34" w:rsidP="00214E5F">
      <w:pPr>
        <w:widowControl/>
        <w:rPr>
          <w:lang w:val="fr-FR"/>
        </w:rPr>
      </w:pPr>
    </w:p>
    <w:bookmarkEnd w:id="1"/>
    <w:p w14:paraId="285ACBCD" w14:textId="77777777" w:rsidR="00AB0C34" w:rsidRPr="00214E5F" w:rsidRDefault="00AB0C34" w:rsidP="00214E5F">
      <w:pPr>
        <w:widowControl/>
        <w:rPr>
          <w:lang w:val="fr-FR"/>
        </w:rPr>
        <w:sectPr w:rsidR="00AB0C34" w:rsidRPr="00214E5F" w:rsidSect="00AB0C34">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5F2008A4" w14:textId="57D43A54" w:rsidR="00AB0C34" w:rsidRPr="00303053" w:rsidRDefault="00AB0C34" w:rsidP="00214E5F">
      <w:pPr>
        <w:pStyle w:val="PageHeadingNotTOC"/>
        <w:widowControl/>
      </w:pPr>
      <w:bookmarkStart w:id="2" w:name="RollCallPageAD"/>
      <w:r w:rsidRPr="00303053">
        <w:t>LOPULLINEN ÄÄNESTYS NIMENHUUTOÄÄNESTYKSENÄ</w:t>
      </w:r>
      <w:r w:rsidRPr="00303053">
        <w:br/>
        <w:t>LAUSUNNON ANTAVASSA VALIOKUNNASSA</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B0C34" w:rsidRPr="00303053" w14:paraId="10DEA3CE" w14:textId="77777777" w:rsidTr="008920AC">
        <w:trPr>
          <w:cantSplit/>
        </w:trPr>
        <w:tc>
          <w:tcPr>
            <w:tcW w:w="1701" w:type="dxa"/>
            <w:shd w:val="pct10" w:color="000000" w:fill="FFFFFF"/>
            <w:vAlign w:val="center"/>
          </w:tcPr>
          <w:p w14:paraId="6AF86959" w14:textId="1D4DC945" w:rsidR="00AB0C34" w:rsidRPr="00303053" w:rsidRDefault="00AB0C34" w:rsidP="00214E5F">
            <w:pPr>
              <w:pStyle w:val="RollCallVotes"/>
              <w:widowControl/>
            </w:pPr>
            <w:r w:rsidRPr="00303053">
              <w:t>20</w:t>
            </w:r>
          </w:p>
        </w:tc>
        <w:tc>
          <w:tcPr>
            <w:tcW w:w="7371" w:type="dxa"/>
            <w:shd w:val="pct10" w:color="000000" w:fill="FFFFFF"/>
          </w:tcPr>
          <w:p w14:paraId="56EE5924" w14:textId="77777777" w:rsidR="00AB0C34" w:rsidRPr="00303053" w:rsidRDefault="00AB0C34" w:rsidP="00214E5F">
            <w:pPr>
              <w:pStyle w:val="RollCallSymbols14pt"/>
              <w:widowControl/>
            </w:pPr>
            <w:r w:rsidRPr="00303053">
              <w:t>+</w:t>
            </w:r>
          </w:p>
        </w:tc>
      </w:tr>
      <w:tr w:rsidR="00AB0C34" w:rsidRPr="00303053" w14:paraId="37F9222D" w14:textId="77777777" w:rsidTr="008920AC">
        <w:trPr>
          <w:cantSplit/>
        </w:trPr>
        <w:tc>
          <w:tcPr>
            <w:tcW w:w="1701" w:type="dxa"/>
            <w:shd w:val="clear" w:color="auto" w:fill="FFFFFF"/>
          </w:tcPr>
          <w:p w14:paraId="483ED4A0" w14:textId="74D20361" w:rsidR="00AB0C34" w:rsidRPr="00303053" w:rsidRDefault="00AB0C34" w:rsidP="00214E5F">
            <w:pPr>
              <w:pStyle w:val="RollCallTable"/>
              <w:widowControl/>
            </w:pPr>
            <w:r w:rsidRPr="00303053">
              <w:t>NI</w:t>
            </w:r>
          </w:p>
        </w:tc>
        <w:tc>
          <w:tcPr>
            <w:tcW w:w="7371" w:type="dxa"/>
            <w:shd w:val="clear" w:color="auto" w:fill="FFFFFF"/>
          </w:tcPr>
          <w:p w14:paraId="2D6FE035" w14:textId="447A20EE" w:rsidR="00AB0C34" w:rsidRPr="00303053" w:rsidRDefault="00AB0C34" w:rsidP="00214E5F">
            <w:pPr>
              <w:pStyle w:val="RollCallTable"/>
              <w:widowControl/>
            </w:pPr>
            <w:r w:rsidRPr="00303053">
              <w:t>Sabrina Pignedoli</w:t>
            </w:r>
          </w:p>
        </w:tc>
      </w:tr>
      <w:tr w:rsidR="00AB0C34" w:rsidRPr="00303053" w14:paraId="7B8C3EB0" w14:textId="77777777" w:rsidTr="008920AC">
        <w:trPr>
          <w:cantSplit/>
        </w:trPr>
        <w:tc>
          <w:tcPr>
            <w:tcW w:w="1701" w:type="dxa"/>
            <w:shd w:val="clear" w:color="auto" w:fill="FFFFFF"/>
          </w:tcPr>
          <w:p w14:paraId="2024371D" w14:textId="3D3A95CD" w:rsidR="00AB0C34" w:rsidRPr="00303053" w:rsidRDefault="00AB0C34" w:rsidP="00214E5F">
            <w:pPr>
              <w:pStyle w:val="RollCallTable"/>
              <w:widowControl/>
            </w:pPr>
            <w:r w:rsidRPr="00303053">
              <w:t>PPE</w:t>
            </w:r>
          </w:p>
        </w:tc>
        <w:tc>
          <w:tcPr>
            <w:tcW w:w="7371" w:type="dxa"/>
            <w:shd w:val="clear" w:color="auto" w:fill="FFFFFF"/>
          </w:tcPr>
          <w:p w14:paraId="286310E7" w14:textId="2A80B8A5" w:rsidR="00AB0C34" w:rsidRPr="00303053" w:rsidRDefault="00AB0C34" w:rsidP="00214E5F">
            <w:pPr>
              <w:pStyle w:val="RollCallTable"/>
              <w:widowControl/>
            </w:pPr>
            <w:r w:rsidRPr="00303053">
              <w:t>Pascal Arimont, Daniel Buda, Geoffroy Didier, Jiří Pospíšil, Axel Voss, Marion Walsmann, Javier Zarzalejos</w:t>
            </w:r>
          </w:p>
        </w:tc>
      </w:tr>
      <w:tr w:rsidR="00AB0C34" w:rsidRPr="00303053" w14:paraId="11B989D8" w14:textId="77777777" w:rsidTr="008920AC">
        <w:trPr>
          <w:cantSplit/>
        </w:trPr>
        <w:tc>
          <w:tcPr>
            <w:tcW w:w="1701" w:type="dxa"/>
            <w:shd w:val="clear" w:color="auto" w:fill="FFFFFF"/>
          </w:tcPr>
          <w:p w14:paraId="04A0C7C6" w14:textId="156125C0" w:rsidR="00AB0C34" w:rsidRPr="00303053" w:rsidRDefault="00AB0C34" w:rsidP="00214E5F">
            <w:pPr>
              <w:pStyle w:val="RollCallTable"/>
              <w:widowControl/>
            </w:pPr>
            <w:r w:rsidRPr="00303053">
              <w:t>Renew</w:t>
            </w:r>
          </w:p>
        </w:tc>
        <w:tc>
          <w:tcPr>
            <w:tcW w:w="7371" w:type="dxa"/>
            <w:shd w:val="clear" w:color="auto" w:fill="FFFFFF"/>
          </w:tcPr>
          <w:p w14:paraId="271CAA2F" w14:textId="1C8CCC62" w:rsidR="00AB0C34" w:rsidRPr="00303053" w:rsidRDefault="00AB0C34" w:rsidP="00214E5F">
            <w:pPr>
              <w:pStyle w:val="RollCallTable"/>
              <w:widowControl/>
            </w:pPr>
            <w:r w:rsidRPr="00303053">
              <w:t>Ilana Cicurel, Pierre Karleskind, Karen Melchior, Adrián Vázquez Lázara</w:t>
            </w:r>
          </w:p>
        </w:tc>
      </w:tr>
      <w:tr w:rsidR="00AB0C34" w:rsidRPr="00303053" w14:paraId="5CA77198" w14:textId="77777777" w:rsidTr="008920AC">
        <w:trPr>
          <w:cantSplit/>
        </w:trPr>
        <w:tc>
          <w:tcPr>
            <w:tcW w:w="1701" w:type="dxa"/>
            <w:shd w:val="clear" w:color="auto" w:fill="FFFFFF"/>
          </w:tcPr>
          <w:p w14:paraId="5D9A5212" w14:textId="1F1860CE" w:rsidR="00AB0C34" w:rsidRPr="00303053" w:rsidRDefault="00AB0C34" w:rsidP="00214E5F">
            <w:pPr>
              <w:pStyle w:val="RollCallTable"/>
              <w:widowControl/>
            </w:pPr>
            <w:r w:rsidRPr="00303053">
              <w:t>S&amp;D</w:t>
            </w:r>
          </w:p>
        </w:tc>
        <w:tc>
          <w:tcPr>
            <w:tcW w:w="7371" w:type="dxa"/>
            <w:shd w:val="clear" w:color="auto" w:fill="FFFFFF"/>
          </w:tcPr>
          <w:p w14:paraId="044B6D29" w14:textId="231B3D43" w:rsidR="00AB0C34" w:rsidRPr="00303053" w:rsidRDefault="00AB0C34" w:rsidP="00214E5F">
            <w:pPr>
              <w:pStyle w:val="RollCallTable"/>
              <w:widowControl/>
            </w:pPr>
            <w:r w:rsidRPr="00303053">
              <w:t>Pascal Durand, Ibán García Del Blanco, Sylvie Guillaume, Pedro Marques, Tiemo Wölken</w:t>
            </w:r>
          </w:p>
        </w:tc>
      </w:tr>
      <w:tr w:rsidR="00AB0C34" w:rsidRPr="00303053" w14:paraId="27FF5AB7" w14:textId="77777777" w:rsidTr="008920AC">
        <w:trPr>
          <w:cantSplit/>
        </w:trPr>
        <w:tc>
          <w:tcPr>
            <w:tcW w:w="1701" w:type="dxa"/>
            <w:shd w:val="clear" w:color="auto" w:fill="FFFFFF"/>
          </w:tcPr>
          <w:p w14:paraId="2A6FD5C9" w14:textId="75C96841" w:rsidR="00AB0C34" w:rsidRPr="00303053" w:rsidRDefault="00AB0C34" w:rsidP="00214E5F">
            <w:pPr>
              <w:pStyle w:val="RollCallTable"/>
              <w:widowControl/>
            </w:pPr>
            <w:r w:rsidRPr="00303053">
              <w:t>The Left</w:t>
            </w:r>
          </w:p>
        </w:tc>
        <w:tc>
          <w:tcPr>
            <w:tcW w:w="7371" w:type="dxa"/>
            <w:shd w:val="clear" w:color="auto" w:fill="FFFFFF"/>
          </w:tcPr>
          <w:p w14:paraId="1F695C1C" w14:textId="1D7809BE" w:rsidR="00AB0C34" w:rsidRPr="00303053" w:rsidRDefault="00AB0C34" w:rsidP="00214E5F">
            <w:pPr>
              <w:pStyle w:val="RollCallTable"/>
              <w:widowControl/>
            </w:pPr>
            <w:r w:rsidRPr="00303053">
              <w:t>Anne-Sophie Pelletier</w:t>
            </w:r>
          </w:p>
        </w:tc>
      </w:tr>
      <w:tr w:rsidR="00AB0C34" w:rsidRPr="00303053" w14:paraId="24E542E3" w14:textId="77777777" w:rsidTr="008920AC">
        <w:trPr>
          <w:cantSplit/>
        </w:trPr>
        <w:tc>
          <w:tcPr>
            <w:tcW w:w="1701" w:type="dxa"/>
            <w:shd w:val="clear" w:color="auto" w:fill="FFFFFF"/>
          </w:tcPr>
          <w:p w14:paraId="3B7F3211" w14:textId="3A5B093C" w:rsidR="00AB0C34" w:rsidRPr="00303053" w:rsidRDefault="00AB0C34" w:rsidP="00214E5F">
            <w:pPr>
              <w:pStyle w:val="RollCallTable"/>
              <w:widowControl/>
            </w:pPr>
            <w:r w:rsidRPr="00303053">
              <w:t>Verts/ALE</w:t>
            </w:r>
          </w:p>
        </w:tc>
        <w:tc>
          <w:tcPr>
            <w:tcW w:w="7371" w:type="dxa"/>
            <w:shd w:val="clear" w:color="auto" w:fill="FFFFFF"/>
          </w:tcPr>
          <w:p w14:paraId="19B08B86" w14:textId="76F8E2A7" w:rsidR="00AB0C34" w:rsidRPr="00303053" w:rsidRDefault="00AB0C34" w:rsidP="00214E5F">
            <w:pPr>
              <w:pStyle w:val="RollCallTable"/>
              <w:widowControl/>
            </w:pPr>
            <w:r w:rsidRPr="00303053">
              <w:t>Heidi Hautala, Sergey Lagodinsky</w:t>
            </w:r>
          </w:p>
        </w:tc>
      </w:tr>
    </w:tbl>
    <w:p w14:paraId="6BA0F8C7" w14:textId="77777777" w:rsidR="00AB0C34" w:rsidRPr="00303053" w:rsidRDefault="00AB0C34" w:rsidP="00214E5F">
      <w:pPr>
        <w:widowControl/>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B0C34" w:rsidRPr="00303053" w14:paraId="2D58C820" w14:textId="77777777" w:rsidTr="008920AC">
        <w:trPr>
          <w:cantSplit/>
        </w:trPr>
        <w:tc>
          <w:tcPr>
            <w:tcW w:w="1701" w:type="dxa"/>
            <w:shd w:val="pct10" w:color="000000" w:fill="FFFFFF"/>
            <w:vAlign w:val="center"/>
          </w:tcPr>
          <w:p w14:paraId="1974E1BB" w14:textId="6D08AD27" w:rsidR="00AB0C34" w:rsidRPr="00303053" w:rsidRDefault="00AB0C34" w:rsidP="00214E5F">
            <w:pPr>
              <w:pStyle w:val="RollCallVotes"/>
              <w:widowControl/>
            </w:pPr>
            <w:r w:rsidRPr="00303053">
              <w:t>2</w:t>
            </w:r>
          </w:p>
        </w:tc>
        <w:tc>
          <w:tcPr>
            <w:tcW w:w="7371" w:type="dxa"/>
            <w:shd w:val="pct10" w:color="000000" w:fill="FFFFFF"/>
          </w:tcPr>
          <w:p w14:paraId="34048B17" w14:textId="77777777" w:rsidR="00AB0C34" w:rsidRPr="00303053" w:rsidRDefault="00AB0C34" w:rsidP="00214E5F">
            <w:pPr>
              <w:pStyle w:val="RollCallSymbols14pt"/>
              <w:widowControl/>
            </w:pPr>
            <w:r w:rsidRPr="00303053">
              <w:t>-</w:t>
            </w:r>
          </w:p>
        </w:tc>
      </w:tr>
      <w:tr w:rsidR="00AB0C34" w:rsidRPr="00303053" w14:paraId="62A56B43" w14:textId="77777777" w:rsidTr="008920AC">
        <w:trPr>
          <w:cantSplit/>
        </w:trPr>
        <w:tc>
          <w:tcPr>
            <w:tcW w:w="1701" w:type="dxa"/>
            <w:shd w:val="clear" w:color="auto" w:fill="FFFFFF"/>
          </w:tcPr>
          <w:p w14:paraId="42023423" w14:textId="160930DD" w:rsidR="00AB0C34" w:rsidRPr="00303053" w:rsidRDefault="00AB0C34" w:rsidP="00214E5F">
            <w:pPr>
              <w:pStyle w:val="RollCallTable"/>
              <w:widowControl/>
            </w:pPr>
            <w:r w:rsidRPr="00303053">
              <w:t>ID</w:t>
            </w:r>
          </w:p>
        </w:tc>
        <w:tc>
          <w:tcPr>
            <w:tcW w:w="7371" w:type="dxa"/>
            <w:shd w:val="clear" w:color="auto" w:fill="FFFFFF"/>
          </w:tcPr>
          <w:p w14:paraId="69970B9D" w14:textId="22890F59" w:rsidR="00AB0C34" w:rsidRPr="00303053" w:rsidRDefault="00AB0C34" w:rsidP="00214E5F">
            <w:pPr>
              <w:pStyle w:val="RollCallTable"/>
              <w:widowControl/>
            </w:pPr>
            <w:r w:rsidRPr="00303053">
              <w:t>Virginie Joron, Gilles Lebreton</w:t>
            </w:r>
          </w:p>
        </w:tc>
      </w:tr>
    </w:tbl>
    <w:p w14:paraId="7F10D263" w14:textId="77777777" w:rsidR="00AB0C34" w:rsidRPr="00303053" w:rsidRDefault="00AB0C34" w:rsidP="00214E5F">
      <w:pPr>
        <w:widowControl/>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B0C34" w:rsidRPr="00303053" w14:paraId="0E6D7489" w14:textId="77777777" w:rsidTr="008920AC">
        <w:trPr>
          <w:cantSplit/>
        </w:trPr>
        <w:tc>
          <w:tcPr>
            <w:tcW w:w="1701" w:type="dxa"/>
            <w:shd w:val="pct10" w:color="000000" w:fill="FFFFFF"/>
            <w:vAlign w:val="center"/>
          </w:tcPr>
          <w:p w14:paraId="43641321" w14:textId="58CD420F" w:rsidR="00AB0C34" w:rsidRPr="00303053" w:rsidRDefault="00AB0C34" w:rsidP="00214E5F">
            <w:pPr>
              <w:pStyle w:val="RollCallVotes"/>
              <w:widowControl/>
            </w:pPr>
            <w:r w:rsidRPr="00303053">
              <w:t>0</w:t>
            </w:r>
          </w:p>
        </w:tc>
        <w:tc>
          <w:tcPr>
            <w:tcW w:w="7371" w:type="dxa"/>
            <w:shd w:val="pct10" w:color="000000" w:fill="FFFFFF"/>
          </w:tcPr>
          <w:p w14:paraId="713EB9DE" w14:textId="77777777" w:rsidR="00AB0C34" w:rsidRPr="00303053" w:rsidRDefault="00AB0C34" w:rsidP="00214E5F">
            <w:pPr>
              <w:pStyle w:val="RollCallSymbols14pt"/>
              <w:widowControl/>
            </w:pPr>
            <w:r w:rsidRPr="00303053">
              <w:t>0</w:t>
            </w:r>
          </w:p>
        </w:tc>
      </w:tr>
      <w:tr w:rsidR="00AB0C34" w:rsidRPr="00303053" w14:paraId="6206AE76" w14:textId="77777777" w:rsidTr="008920AC">
        <w:trPr>
          <w:cantSplit/>
        </w:trPr>
        <w:tc>
          <w:tcPr>
            <w:tcW w:w="1701" w:type="dxa"/>
            <w:shd w:val="clear" w:color="auto" w:fill="FFFFFF"/>
          </w:tcPr>
          <w:p w14:paraId="181C5B0D" w14:textId="1D86127B" w:rsidR="00AB0C34" w:rsidRPr="00303053" w:rsidRDefault="00AB0C34" w:rsidP="00214E5F">
            <w:pPr>
              <w:pStyle w:val="RollCallTable"/>
              <w:widowControl/>
            </w:pPr>
          </w:p>
        </w:tc>
        <w:tc>
          <w:tcPr>
            <w:tcW w:w="7371" w:type="dxa"/>
            <w:shd w:val="clear" w:color="auto" w:fill="FFFFFF"/>
          </w:tcPr>
          <w:p w14:paraId="12DDCCCE" w14:textId="136FFB12" w:rsidR="00AB0C34" w:rsidRPr="00303053" w:rsidRDefault="00AB0C34" w:rsidP="00214E5F">
            <w:pPr>
              <w:pStyle w:val="RollCallTable"/>
              <w:widowControl/>
            </w:pPr>
          </w:p>
        </w:tc>
      </w:tr>
    </w:tbl>
    <w:p w14:paraId="355FC47A" w14:textId="77777777" w:rsidR="00AB0C34" w:rsidRPr="00303053" w:rsidRDefault="00AB0C34" w:rsidP="00214E5F">
      <w:pPr>
        <w:pStyle w:val="Normal12a"/>
        <w:widowControl/>
      </w:pPr>
    </w:p>
    <w:p w14:paraId="36014D78" w14:textId="67C7D427" w:rsidR="00AB0C34" w:rsidRPr="00303053" w:rsidRDefault="00AB0C34" w:rsidP="00214E5F">
      <w:pPr>
        <w:widowControl/>
      </w:pPr>
      <w:r w:rsidRPr="00303053">
        <w:t>Symbolien selitys:</w:t>
      </w:r>
    </w:p>
    <w:p w14:paraId="6B05C391" w14:textId="2BA75C45" w:rsidR="00AB0C34" w:rsidRPr="00303053" w:rsidRDefault="00AB0C34" w:rsidP="00214E5F">
      <w:pPr>
        <w:pStyle w:val="RollCallTabs"/>
        <w:widowControl/>
      </w:pPr>
      <w:r w:rsidRPr="00303053">
        <w:t>+</w:t>
      </w:r>
      <w:r w:rsidRPr="00303053">
        <w:tab/>
        <w:t>:</w:t>
      </w:r>
      <w:r w:rsidRPr="00303053">
        <w:tab/>
        <w:t>puolesta</w:t>
      </w:r>
    </w:p>
    <w:p w14:paraId="572C7CBF" w14:textId="6518A155" w:rsidR="00AB0C34" w:rsidRPr="00303053" w:rsidRDefault="00AB0C34" w:rsidP="00214E5F">
      <w:pPr>
        <w:pStyle w:val="RollCallTabs"/>
        <w:widowControl/>
      </w:pPr>
      <w:r w:rsidRPr="00303053">
        <w:t>-</w:t>
      </w:r>
      <w:r w:rsidRPr="00303053">
        <w:tab/>
        <w:t>:</w:t>
      </w:r>
      <w:r w:rsidRPr="00303053">
        <w:tab/>
        <w:t>vastaan</w:t>
      </w:r>
    </w:p>
    <w:p w14:paraId="60BA9AF4" w14:textId="26C6AFAA" w:rsidR="00AB0C34" w:rsidRPr="00303053" w:rsidRDefault="00AB0C34" w:rsidP="00214E5F">
      <w:pPr>
        <w:pStyle w:val="RollCallTabs"/>
        <w:widowControl/>
      </w:pPr>
      <w:r w:rsidRPr="00303053">
        <w:t>0</w:t>
      </w:r>
      <w:r w:rsidRPr="00303053">
        <w:tab/>
        <w:t>:</w:t>
      </w:r>
      <w:r w:rsidRPr="00303053">
        <w:tab/>
        <w:t>tyhjää</w:t>
      </w:r>
    </w:p>
    <w:p w14:paraId="71D76E3C" w14:textId="77777777" w:rsidR="00AB0C34" w:rsidRPr="00303053" w:rsidRDefault="00AB0C34" w:rsidP="00214E5F">
      <w:pPr>
        <w:widowControl/>
      </w:pPr>
    </w:p>
    <w:bookmarkEnd w:id="2"/>
    <w:p w14:paraId="40FCCF03" w14:textId="2A50A232" w:rsidR="00AB0C34" w:rsidRPr="00303053" w:rsidRDefault="00AB0C34" w:rsidP="00214E5F">
      <w:pPr>
        <w:widowControl/>
      </w:pPr>
    </w:p>
    <w:sectPr w:rsidR="00AB0C34" w:rsidRPr="00303053" w:rsidSect="00AB0C3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561EFE" w14:textId="77777777" w:rsidR="0007657D" w:rsidRPr="00303053" w:rsidRDefault="0007657D">
      <w:r w:rsidRPr="00303053">
        <w:separator/>
      </w:r>
    </w:p>
  </w:endnote>
  <w:endnote w:type="continuationSeparator" w:id="0">
    <w:p w14:paraId="158AD21E" w14:textId="77777777" w:rsidR="0007657D" w:rsidRPr="00303053" w:rsidRDefault="0007657D">
      <w:r w:rsidRPr="003030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D2ECF" w14:textId="0CC57AF9" w:rsidR="00303053" w:rsidRPr="00303053" w:rsidRDefault="00303053" w:rsidP="00303053">
    <w:pPr>
      <w:pStyle w:val="EPFooter"/>
    </w:pPr>
    <w:r w:rsidRPr="00303053">
      <w:t>PE</w:t>
    </w:r>
    <w:r w:rsidRPr="00303053">
      <w:rPr>
        <w:rStyle w:val="HideTWBExt"/>
      </w:rPr>
      <w:t>&lt;NoPE&gt;</w:t>
    </w:r>
    <w:r w:rsidRPr="00303053">
      <w:t>754.755</w:t>
    </w:r>
    <w:r w:rsidRPr="00303053">
      <w:rPr>
        <w:rStyle w:val="HideTWBExt"/>
      </w:rPr>
      <w:t>&lt;/NoPE&gt;&lt;Version&gt;</w:t>
    </w:r>
    <w:r w:rsidRPr="00303053">
      <w:t>v02-00</w:t>
    </w:r>
    <w:r w:rsidRPr="00303053">
      <w:rPr>
        <w:rStyle w:val="HideTWBExt"/>
      </w:rPr>
      <w:t>&lt;/Version&gt;</w:t>
    </w:r>
    <w:r w:rsidRPr="00303053">
      <w:tab/>
    </w:r>
    <w:r w:rsidRPr="00303053">
      <w:fldChar w:fldCharType="begin"/>
    </w:r>
    <w:r w:rsidRPr="00303053">
      <w:instrText xml:space="preserve"> PAGE  \* MERGEFORMAT </w:instrText>
    </w:r>
    <w:r w:rsidRPr="00303053">
      <w:fldChar w:fldCharType="separate"/>
    </w:r>
    <w:r w:rsidR="00214E5F">
      <w:rPr>
        <w:noProof/>
      </w:rPr>
      <w:t>8</w:t>
    </w:r>
    <w:r w:rsidRPr="00303053">
      <w:fldChar w:fldCharType="end"/>
    </w:r>
    <w:r w:rsidRPr="00303053">
      <w:t>/</w:t>
    </w:r>
    <w:fldSimple w:instr=" NUMPAGES  \* MERGEFORMAT ">
      <w:r w:rsidR="00214E5F">
        <w:rPr>
          <w:noProof/>
        </w:rPr>
        <w:t>11</w:t>
      </w:r>
    </w:fldSimple>
    <w:r w:rsidRPr="00303053">
      <w:tab/>
    </w:r>
    <w:r w:rsidRPr="00303053">
      <w:rPr>
        <w:rStyle w:val="HideTWBExt"/>
      </w:rPr>
      <w:t>&lt;PathFdR&gt;</w:t>
    </w:r>
    <w:r w:rsidRPr="00303053">
      <w:t>AD\1291636FI.docx</w:t>
    </w:r>
    <w:r w:rsidRPr="00303053">
      <w:rPr>
        <w:rStyle w:val="HideTWBExt"/>
      </w:rPr>
      <w:t>&lt;/PathFdR&gt;</w:t>
    </w:r>
  </w:p>
  <w:p w14:paraId="4D0863FD" w14:textId="60FBA91A" w:rsidR="002E2F2E" w:rsidRPr="00303053" w:rsidRDefault="00303053" w:rsidP="00303053">
    <w:pPr>
      <w:pStyle w:val="EPFooter2"/>
    </w:pPr>
    <w:r w:rsidRPr="00303053">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90591" w14:textId="6E89B95B" w:rsidR="00303053" w:rsidRPr="00303053" w:rsidRDefault="00303053" w:rsidP="00303053">
    <w:pPr>
      <w:pStyle w:val="EPFooter"/>
    </w:pPr>
    <w:r w:rsidRPr="00303053">
      <w:rPr>
        <w:rStyle w:val="HideTWBExt"/>
      </w:rPr>
      <w:t>&lt;PathFdR&gt;</w:t>
    </w:r>
    <w:r w:rsidRPr="00303053">
      <w:t>AD\1291636FI.docx</w:t>
    </w:r>
    <w:r w:rsidRPr="00303053">
      <w:rPr>
        <w:rStyle w:val="HideTWBExt"/>
      </w:rPr>
      <w:t>&lt;/PathFdR&gt;</w:t>
    </w:r>
    <w:r w:rsidRPr="00303053">
      <w:tab/>
    </w:r>
    <w:r w:rsidRPr="00303053">
      <w:fldChar w:fldCharType="begin"/>
    </w:r>
    <w:r w:rsidRPr="00303053">
      <w:instrText xml:space="preserve"> PAGE  \* MERGEFORMAT </w:instrText>
    </w:r>
    <w:r w:rsidRPr="00303053">
      <w:fldChar w:fldCharType="separate"/>
    </w:r>
    <w:r w:rsidR="00214E5F">
      <w:rPr>
        <w:noProof/>
      </w:rPr>
      <w:t>9</w:t>
    </w:r>
    <w:r w:rsidRPr="00303053">
      <w:fldChar w:fldCharType="end"/>
    </w:r>
    <w:r w:rsidRPr="00303053">
      <w:t>/</w:t>
    </w:r>
    <w:fldSimple w:instr=" NUMPAGES  \* MERGEFORMAT ">
      <w:r w:rsidR="00214E5F">
        <w:rPr>
          <w:noProof/>
        </w:rPr>
        <w:t>11</w:t>
      </w:r>
    </w:fldSimple>
    <w:r w:rsidRPr="00303053">
      <w:tab/>
      <w:t>PE</w:t>
    </w:r>
    <w:r w:rsidRPr="00303053">
      <w:rPr>
        <w:rStyle w:val="HideTWBExt"/>
      </w:rPr>
      <w:t>&lt;NoPE&gt;</w:t>
    </w:r>
    <w:r w:rsidRPr="00303053">
      <w:t>754.755</w:t>
    </w:r>
    <w:r w:rsidRPr="00303053">
      <w:rPr>
        <w:rStyle w:val="HideTWBExt"/>
      </w:rPr>
      <w:t>&lt;/NoPE&gt;&lt;Version&gt;</w:t>
    </w:r>
    <w:r w:rsidRPr="00303053">
      <w:t>v02-00</w:t>
    </w:r>
    <w:r w:rsidRPr="00303053">
      <w:rPr>
        <w:rStyle w:val="HideTWBExt"/>
      </w:rPr>
      <w:t>&lt;/Version&gt;</w:t>
    </w:r>
  </w:p>
  <w:p w14:paraId="070C36E6" w14:textId="3B7358DB" w:rsidR="002E2F2E" w:rsidRPr="00303053" w:rsidRDefault="00303053" w:rsidP="00303053">
    <w:pPr>
      <w:pStyle w:val="EPFooter2"/>
    </w:pPr>
    <w:r w:rsidRPr="00303053">
      <w:tab/>
    </w:r>
    <w:r w:rsidRPr="00303053">
      <w:tab/>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D9A36" w14:textId="77777777" w:rsidR="00303053" w:rsidRPr="00303053" w:rsidRDefault="00303053" w:rsidP="00303053">
    <w:pPr>
      <w:pStyle w:val="EPFooter"/>
    </w:pPr>
    <w:r w:rsidRPr="00303053">
      <w:rPr>
        <w:rStyle w:val="HideTWBExt"/>
      </w:rPr>
      <w:t>&lt;PathFdR&gt;</w:t>
    </w:r>
    <w:r w:rsidRPr="00303053">
      <w:t>AD\1291636FI.docx</w:t>
    </w:r>
    <w:r w:rsidRPr="00303053">
      <w:rPr>
        <w:rStyle w:val="HideTWBExt"/>
      </w:rPr>
      <w:t>&lt;/PathFdR&gt;</w:t>
    </w:r>
    <w:r w:rsidRPr="00303053">
      <w:tab/>
    </w:r>
    <w:r w:rsidRPr="00303053">
      <w:tab/>
      <w:t>PE</w:t>
    </w:r>
    <w:r w:rsidRPr="00303053">
      <w:rPr>
        <w:rStyle w:val="HideTWBExt"/>
      </w:rPr>
      <w:t>&lt;NoPE&gt;</w:t>
    </w:r>
    <w:r w:rsidRPr="00303053">
      <w:t>754.755</w:t>
    </w:r>
    <w:r w:rsidRPr="00303053">
      <w:rPr>
        <w:rStyle w:val="HideTWBExt"/>
      </w:rPr>
      <w:t>&lt;/NoPE&gt;&lt;Version&gt;</w:t>
    </w:r>
    <w:r w:rsidRPr="00303053">
      <w:t>v02-00</w:t>
    </w:r>
    <w:r w:rsidRPr="00303053">
      <w:rPr>
        <w:rStyle w:val="HideTWBExt"/>
      </w:rPr>
      <w:t>&lt;/Version&gt;</w:t>
    </w:r>
  </w:p>
  <w:p w14:paraId="2CAF1864" w14:textId="40A5E556" w:rsidR="002E2F2E" w:rsidRPr="00303053" w:rsidRDefault="00303053" w:rsidP="00303053">
    <w:pPr>
      <w:pStyle w:val="EPFooter2"/>
    </w:pPr>
    <w:r w:rsidRPr="00303053">
      <w:t>FI</w:t>
    </w:r>
    <w:r w:rsidRPr="00303053">
      <w:tab/>
    </w:r>
    <w:r w:rsidRPr="00303053">
      <w:rPr>
        <w:b w:val="0"/>
        <w:i/>
        <w:color w:val="C0C0C0"/>
        <w:sz w:val="22"/>
      </w:rPr>
      <w:t>Moninaisuudessaan yhtenäinen</w:t>
    </w:r>
    <w:r w:rsidRPr="00303053">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4DF05" w14:textId="77777777" w:rsidR="0007657D" w:rsidRPr="00303053" w:rsidRDefault="0007657D">
      <w:r w:rsidRPr="00303053">
        <w:separator/>
      </w:r>
    </w:p>
  </w:footnote>
  <w:footnote w:type="continuationSeparator" w:id="0">
    <w:p w14:paraId="3CD1ABF2" w14:textId="77777777" w:rsidR="0007657D" w:rsidRPr="00303053" w:rsidRDefault="0007657D">
      <w:r w:rsidRPr="00303053">
        <w:continuationSeparator/>
      </w:r>
    </w:p>
  </w:footnote>
  <w:footnote w:id="1">
    <w:p w14:paraId="27F5A3D0" w14:textId="77777777" w:rsidR="00BB0748" w:rsidRPr="00303053" w:rsidRDefault="00BB0748" w:rsidP="00BB0748">
      <w:pPr>
        <w:pStyle w:val="FootnoteText"/>
      </w:pPr>
      <w:r w:rsidRPr="00303053">
        <w:rPr>
          <w:rStyle w:val="FootnoteReference"/>
        </w:rPr>
        <w:footnoteRef/>
      </w:r>
      <w:r w:rsidRPr="00303053">
        <w:t xml:space="preserve"> Katso Euroopan unionin tuomioistuimen (täysistunto) 18. joulukuuta 2014 antama lausunto 2/13, ECLI:EU:C:2014:2454, 168 kohta.</w:t>
      </w:r>
    </w:p>
  </w:footnote>
  <w:footnote w:id="2">
    <w:p w14:paraId="159A38F5" w14:textId="77777777" w:rsidR="00BB0748" w:rsidRPr="00303053" w:rsidRDefault="00BB0748" w:rsidP="00BB0748">
      <w:pPr>
        <w:pStyle w:val="FootnoteText"/>
      </w:pPr>
      <w:r w:rsidRPr="00303053">
        <w:rPr>
          <w:rStyle w:val="FootnoteReference"/>
        </w:rPr>
        <w:footnoteRef/>
      </w:r>
      <w:r w:rsidRPr="00303053">
        <w:t xml:space="preserve"> Sama kuin edellä, 191 kohta.</w:t>
      </w:r>
    </w:p>
  </w:footnote>
  <w:footnote w:id="3">
    <w:p w14:paraId="5887D30A" w14:textId="77777777" w:rsidR="00BB0748" w:rsidRPr="00303053" w:rsidRDefault="00BB0748" w:rsidP="00BB0748">
      <w:pPr>
        <w:pStyle w:val="FootnoteText"/>
      </w:pPr>
      <w:r w:rsidRPr="00303053">
        <w:rPr>
          <w:rStyle w:val="FootnoteReference"/>
        </w:rPr>
        <w:footnoteRef/>
      </w:r>
      <w:r w:rsidRPr="00303053">
        <w:t xml:space="preserve"> CEPEJn arviointisyklit.</w:t>
      </w:r>
    </w:p>
  </w:footnote>
  <w:footnote w:id="4">
    <w:p w14:paraId="6DB7FDC6" w14:textId="66F0AABE" w:rsidR="00BB0748" w:rsidRPr="00303053" w:rsidRDefault="00BB0748" w:rsidP="00BB0748">
      <w:pPr>
        <w:pStyle w:val="FootnoteText"/>
      </w:pPr>
      <w:r w:rsidRPr="00303053">
        <w:rPr>
          <w:rStyle w:val="FootnoteReference"/>
        </w:rPr>
        <w:footnoteRef/>
      </w:r>
      <w:r w:rsidRPr="00303053">
        <w:t xml:space="preserve"> Katsaus – ”Council of Europe standards on judicial independence”, Euroopan parlamentti, parlamentin tutkimuspalvelujen pääosasto, 25. toukokuuta 2021.</w:t>
      </w:r>
    </w:p>
  </w:footnote>
  <w:footnote w:id="5">
    <w:p w14:paraId="468F7849" w14:textId="26469EAF" w:rsidR="00BB0748" w:rsidRPr="00303053" w:rsidRDefault="00BB0748" w:rsidP="00BB0748">
      <w:pPr>
        <w:pStyle w:val="FootnoteText"/>
      </w:pPr>
      <w:r w:rsidRPr="00303053">
        <w:rPr>
          <w:rStyle w:val="FootnoteReference"/>
        </w:rPr>
        <w:footnoteRef/>
      </w:r>
      <w:r w:rsidRPr="00303053">
        <w:t xml:space="preserve"> Esimerkiksi unionin tuomioistuimen tuomio (suuri jaosto) 27.2.2018 asiassa C-64/16, Associação Sindical dos Juízes Portugueses vastaan Tribunal de Contas, ECLI:EU:C:2018:117, tai unionin tuomioistuimen tuomio (suuri jaosto) 19.11.2019, A. K. vastaan Krajowa Rada Sądownictwa, yhdistetyt asiat C-585/18, C-624/18 ja C-625/18, ECLI:EU:C:2019:982. Katso myös katsaus – ”European Court of Justice case law on judicial independence”, Euroopan parlamentti, parlamentin tutkimuspalvelujen pääosasto, 19. heinäkuuta 2021.</w:t>
      </w:r>
    </w:p>
  </w:footnote>
  <w:footnote w:id="6">
    <w:p w14:paraId="09065CF8" w14:textId="77777777" w:rsidR="00BB0748" w:rsidRPr="00303053" w:rsidRDefault="00BB0748" w:rsidP="00BB0748">
      <w:pPr>
        <w:pStyle w:val="FootnoteText"/>
      </w:pPr>
      <w:r w:rsidRPr="00303053">
        <w:rPr>
          <w:rStyle w:val="FootnoteReference"/>
        </w:rPr>
        <w:footnoteRef/>
      </w:r>
      <w:r w:rsidRPr="00303053">
        <w:t xml:space="preserve"> Euroopan parlamentin ja neuvoston asetus (EU, Euratom) 2020/2092, annettu 16. joulukuuta 2020, yleisestä ehdollisuusjärjestelmästä unionin talousarvion suojaamiseksi (EUVL L 433 I, 22.12.2020, s. 1).</w:t>
      </w:r>
    </w:p>
  </w:footnote>
  <w:footnote w:id="7">
    <w:p w14:paraId="54293E67" w14:textId="12C62657" w:rsidR="00BB0748" w:rsidRPr="00303053" w:rsidRDefault="00BB0748" w:rsidP="00BB0748">
      <w:pPr>
        <w:pStyle w:val="FootnoteText"/>
      </w:pPr>
      <w:r w:rsidRPr="00303053">
        <w:rPr>
          <w:rStyle w:val="FootnoteReference"/>
        </w:rPr>
        <w:footnoteRef/>
      </w:r>
      <w:r w:rsidRPr="00303053">
        <w:t xml:space="preserve"> Katso Euroopan unionin tuomioistuimen tuomio (täysistunto) 16.2.2022, Unkari vastaan Euroopan parlamentti ja Euroopan unionin neuvosto, C-156/21, ECLI:EU:C:2022:97, ja Euroopan unionin tuomioistuimen tuomio (täysistunto) 16.2.2022, Puola vastaan Euroopan parlamentti ja Euroopan unionin neuvosto, C-157/21, ECLI:EU:C:2022:98.</w:t>
      </w:r>
    </w:p>
  </w:footnote>
  <w:footnote w:id="8">
    <w:p w14:paraId="4D4BEAFB" w14:textId="77777777" w:rsidR="00BB0748" w:rsidRPr="00303053" w:rsidRDefault="00BB0748" w:rsidP="00BB0748">
      <w:pPr>
        <w:pStyle w:val="FootnoteText"/>
      </w:pPr>
      <w:r w:rsidRPr="00303053">
        <w:rPr>
          <w:rStyle w:val="FootnoteReference"/>
        </w:rPr>
        <w:footnoteRef/>
      </w:r>
      <w:r w:rsidRPr="00303053">
        <w:t xml:space="preserve"> Euroopan parlamentin ja neuvoston asetus (EU) 2021/241, annettu 12. helmikuuta 2021, elpymis- ja palautumistukivälineen perustamisesta (EUVL L 57, 18.2.2021, s. 17).</w:t>
      </w:r>
    </w:p>
  </w:footnote>
  <w:footnote w:id="9">
    <w:p w14:paraId="748278CC" w14:textId="77777777" w:rsidR="00BB0748" w:rsidRPr="00303053" w:rsidRDefault="00BB0748" w:rsidP="00BB0748">
      <w:pPr>
        <w:pStyle w:val="FootnoteText"/>
      </w:pPr>
      <w:r w:rsidRPr="00303053">
        <w:rPr>
          <w:rStyle w:val="FootnoteReference"/>
        </w:rPr>
        <w:footnoteRef/>
      </w:r>
      <w:r w:rsidRPr="00303053">
        <w:t xml:space="preserve"> EYVL L 26, 31.1.2003, s. 41, ja siihen tehty oikaisu (EUVL L 32, 7.2.2003, s. 15).</w:t>
      </w:r>
    </w:p>
  </w:footnote>
  <w:footnote w:id="10">
    <w:p w14:paraId="4C610D3D" w14:textId="77777777" w:rsidR="00BB0748" w:rsidRPr="00303053" w:rsidRDefault="00BB0748" w:rsidP="00BB0748">
      <w:pPr>
        <w:pStyle w:val="FootnoteText"/>
      </w:pPr>
      <w:r w:rsidRPr="00303053">
        <w:rPr>
          <w:rStyle w:val="FootnoteReference"/>
        </w:rPr>
        <w:footnoteRef/>
      </w:r>
      <w:r w:rsidRPr="00303053">
        <w:t xml:space="preserve"> Esimerkiksi eurooppalaisten syyttäjien konsultatiivisen neuvoston 17. joulukuuta 2014 antama lausunto nro 9, ”European norms and principles concerning prosecutors”.</w:t>
      </w:r>
    </w:p>
  </w:footnote>
  <w:footnote w:id="11">
    <w:p w14:paraId="4245C2FD" w14:textId="77777777" w:rsidR="00BB0748" w:rsidRPr="00303053" w:rsidRDefault="00BB0748" w:rsidP="00BB0748">
      <w:pPr>
        <w:pStyle w:val="FootnoteText"/>
      </w:pPr>
      <w:r w:rsidRPr="00303053">
        <w:rPr>
          <w:rStyle w:val="FootnoteReference"/>
        </w:rPr>
        <w:footnoteRef/>
      </w:r>
      <w:r w:rsidRPr="00303053">
        <w:t xml:space="preserve"> Katso tässä yhteydessä 3. toukokuuta 2023 annettu ehdotus Euroopan parlamentin ja neuvoston direktiiviksi korruption torjunnasta sekä neuvoston puitepäätöksen 2003/568/YOS ja sellaisen lahjonnan torjumisesta, jossa on osallisina Euroopan yhteisöjen virkamiehiä tai Euroopan unionin jäsenvaltioiden virkamiehiä, tehdyn yleissopimuksen korvaamisesta sekä Euroopan parlamentin ja neuvoston direktiivin (EU) 2017/1371 muuttamisesta (COM(2023)0234), 3 artikla.</w:t>
      </w:r>
    </w:p>
  </w:footnote>
  <w:footnote w:id="12">
    <w:p w14:paraId="095637FC" w14:textId="77777777" w:rsidR="00BB0748" w:rsidRPr="00303053" w:rsidRDefault="00BB0748" w:rsidP="00BB0748">
      <w:pPr>
        <w:pStyle w:val="FootnoteText"/>
      </w:pPr>
      <w:r w:rsidRPr="00303053">
        <w:rPr>
          <w:rStyle w:val="FootnoteReference"/>
        </w:rPr>
        <w:footnoteRef/>
      </w:r>
      <w:r w:rsidRPr="00303053">
        <w:t xml:space="preserve"> Euroopan parlamentin ja neuvoston asetus (EY) N:o 1049/2001, annettu 30. toukokuuta 2001, Euroopan parlamentin, neuvoston ja komission asiakirjojen saamisesta yleisön tutustuttavaksi (EYVL L 145, 31.5.2001, s. 43).</w:t>
      </w:r>
    </w:p>
  </w:footnote>
  <w:footnote w:id="13">
    <w:p w14:paraId="4BAE6A61" w14:textId="3BBBEC22" w:rsidR="00BB0748" w:rsidRPr="00303053" w:rsidRDefault="00BB0748" w:rsidP="00BB0748">
      <w:pPr>
        <w:pStyle w:val="FootnoteText"/>
      </w:pPr>
      <w:r w:rsidRPr="00303053">
        <w:rPr>
          <w:rStyle w:val="FootnoteReference"/>
        </w:rPr>
        <w:footnoteRef/>
      </w:r>
      <w:r w:rsidRPr="00303053">
        <w:t xml:space="preserve"> Katso asiaan liittyen parlamentin 17. helmikuuta 2022 antama päätöslauselma suosituksista komissiolle eurooppalaisten rajatylittävien yhdistysten ja voittoa tavoittelemattomien järjestöjen säännöistä (EUVL C 342, 6.9.2022, s. 225).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204F2" w14:textId="77777777" w:rsidR="00214E5F" w:rsidRDefault="00214E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BDBD7" w14:textId="77777777" w:rsidR="00214E5F" w:rsidRDefault="00214E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B95FA" w14:textId="77777777" w:rsidR="00214E5F" w:rsidRDefault="00214E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662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CJMNU" w:val="1"/>
    <w:docVar w:name="CODEMNU" w:val=" 1"/>
    <w:docVar w:name="COM2KEY" w:val="LIBE"/>
    <w:docVar w:name="COMKEY" w:val="JURI"/>
    <w:docVar w:name="DOCREFINI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425836 HideTWBInt;}{_x000d__x000a_\s18\ql \fi-567\li567\ri0\sa240\nowidctlpar\wrapdefault\aspalpha\aspnum\faauto\adjustright\rin0\lin567\itap0 \rtlch\fcs1 \af0\afs20\alang1025 \ltrch\fcs0 \fs24\lang2057\langfe2057\cgrid\langnp2057\langfenp2057 _x000d__x000a_\sbasedon0 \snext18 \spriority0 \styrsid2425836 NormalHanging12a;}}{\*\rsidtbl \rsid24658\rsid223860\rsid735077\rsid1718133\rsid2425836\rsid2892074\rsid3565327\rsid4666813\rsid5074274\rsid6641733\rsid7823322\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PALCAU Mihaela}{\operator PALCAU Mihaela}{\creatim\yr2023\mo11\dy29\hr11\min37}{\revtim\yr2023\mo11\dy29\hr11\min37}{\version1}{\edmins0}{\nofpages1}{\nofwords2}{\nofchars11}{\nofcharsws12}{\vern109}}{\*\xmlnstbl {\xmlns1 http://schemas.microsoft_x000d__x000a_.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2425836\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5074274 \chftnsep _x000d__x000a_\par }}{\*\ftnsepc \ltrpar \pard\plain \ltrpar\ql \li0\ri0\widctlpar\wrapdefault\aspalpha\aspnum\faauto\adjustright\rin0\lin0\itap0 \rtlch\fcs1 \af0\afs20\alang1025 \ltrch\fcs0 \fs24\lang2057\langfe2057\cgrid\langnp2057\langfenp2057 {\rtlch\fcs1 \af0 _x000d__x000a_\ltrch\fcs0 \insrsid5074274 \chftnsepc _x000d__x000a_\par }}{\*\aftnsep \ltrpar \pard\plain \ltrpar\ql \li0\ri0\widctlpar\wrapdefault\aspalpha\aspnum\faauto\adjustright\rin0\lin0\itap0 \rtlch\fcs1 \af0\afs20\alang1025 \ltrch\fcs0 \fs24\lang2057\langfe2057\cgrid\langnp2057\langfenp2057 {\rtlch\fcs1 \af0 _x000d__x000a_\ltrch\fcs0 \insrsid5074274 \chftnsep _x000d__x000a_\par }}{\*\aftnsepc \ltrpar \pard\plain \ltrpar\ql \li0\ri0\widctlpar\wrapdefault\aspalpha\aspnum\faauto\adjustright\rin0\lin0\itap0 \rtlch\fcs1 \af0\afs20\alang1025 \ltrch\fcs0 \fs24\lang2057\langfe2057\cgrid\langnp2057\langfenp2057 {\rtlch\fcs1 \af0 _x000d__x000a_\ltrch\fcs0 \insrsid50742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2425836 \rtlch\fcs1 \af0\afs20\alang1025 \ltrch\fcs0 \fs24\lang2057\langfe2057\cgrid\langnp2057\langfenp2057 {\rtlch\fcs1 \af0 _x000d__x000a_\ltrch\fcs0 \insrsid2425836\charrsid7021133 {\*\bkmkstart restart}#}{\rtlch\fcs1 \af1 \ltrch\fcs0 \cs17\v\f1\fs20\cf15\insrsid2425836\charrsid7021133 NRMSG}{\rtlch\fcs1 \af0 \ltrch\fcs0 \insrsid2425836\charrsid7021133 #.\tab ##}{\rtlch\fcs1 \af0 _x000d__x000a_\ltrch\fcs0 \insrsid2425836\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6_x000d__x000a_ce1c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7953631 NormalHanging12a;}}{\*\rsidtbl \rsid24658\rsid223860\rsid735077\rsid1718133\rsid2892074\rsid3565327\rsid4666813\rsid6641733\rsid6711582\rsid7823322_x000d__x000a_\rsid7953631\rsid9636012\rsid10377208\rsid11215221\rsid11549030\rsid12154954\rsid14382809\rsid14424199\rsid15204470\rsid15285974\rsid15950462\rsid16324206\rsid16662270}{\mmathPr\mmathFont34\mbrkBin0\mbrkBinSub0\msmallFrac0\mdispDef1\mlMargin0\mrMargin0_x000d__x000a_\mdefJc1\mwrapIndent1440\mintLim0\mnaryLim1}{\info{\author PALCAU Mihaela}{\operator PALCAU Mihaela}{\creatim\yr2023\mo11\dy29\hr11\min37}{\revtim\yr2023\mo11\dy29\hr11\min37}{\version1}{\edmins0}{\nofpages1}{\nofwords5}{\nofchars30}{\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7953631\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6711582 \chftnsep _x000d__x000a_\par }}{\*\ftnsepc \ltrpar \pard\plain \ltrpar\ql \li0\ri0\widctlpar\wrapdefault\aspalpha\aspnum\faauto\adjustright\rin0\lin0\itap0 \rtlch\fcs1 \af0\afs20\alang1025 \ltrch\fcs0 \fs24\lang2057\langfe2057\cgrid\langnp2057\langfenp2057 {\rtlch\fcs1 \af0 _x000d__x000a_\ltrch\fcs0 \insrsid6711582 \chftnsepc _x000d__x000a_\par }}{\*\aftnsep \ltrpar \pard\plain \ltrpar\ql \li0\ri0\widctlpar\wrapdefault\aspalpha\aspnum\faauto\adjustright\rin0\lin0\itap0 \rtlch\fcs1 \af0\afs20\alang1025 \ltrch\fcs0 \fs24\lang2057\langfe2057\cgrid\langnp2057\langfenp2057 {\rtlch\fcs1 \af0 _x000d__x000a_\ltrch\fcs0 \insrsid6711582 \chftnsep _x000d__x000a_\par }}{\*\aftnsepc \ltrpar \pard\plain \ltrpar\ql \li0\ri0\widctlpar\wrapdefault\aspalpha\aspnum\faauto\adjustright\rin0\lin0\itap0 \rtlch\fcs1 \af0\afs20\alang1025 \ltrch\fcs0 \fs24\lang2057\langfe2057\cgrid\langnp2057\langfenp2057 {\rtlch\fcs1 \af0 _x000d__x000a_\ltrch\fcs0 \insrsid67115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7953631 \rtlch\fcs1 \af0\afs20\alang1025 \ltrch\fcs0 \fs24\lang2057\langfe2057\cgrid\langnp2057\langfenp2057 {\rtlch\fcs1 \af0 _x000d__x000a_\ltrch\fcs0 \insrsid7953631\charrsid1525456 {\*\bkmkstart restart}[ZSUGGESTIONNR]\tab [ZSUGGESTIONTEXT]}{\rtlch\fcs1 \af0 \ltrch\fcs0 \insrsid7953631\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f_x000d__x000a_7c1f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1"/>
    <w:docVar w:name="TITLEMNU" w:val=" 1"/>
    <w:docVar w:name="TXTLANGUE" w:val="EN"/>
    <w:docVar w:name="TXTLANGUEMIN" w:val="en"/>
    <w:docVar w:name="TXTNRPE" w:val="754.755"/>
    <w:docVar w:name="TXTNRPROC" w:val="2023/2113"/>
    <w:docVar w:name="TXTPEorAP" w:val="PE"/>
    <w:docVar w:name="TXTROUTE" w:val="AD\1291636EN.docx"/>
    <w:docVar w:name="TXTTITLE" w:val="xxx"/>
    <w:docVar w:name="TXTVERSION" w:val="02-00"/>
  </w:docVars>
  <w:rsids>
    <w:rsidRoot w:val="0007657D"/>
    <w:rsid w:val="0007657D"/>
    <w:rsid w:val="000800B3"/>
    <w:rsid w:val="000E0507"/>
    <w:rsid w:val="000E7EBF"/>
    <w:rsid w:val="00101877"/>
    <w:rsid w:val="0011784F"/>
    <w:rsid w:val="00124F60"/>
    <w:rsid w:val="00135121"/>
    <w:rsid w:val="00140BE6"/>
    <w:rsid w:val="00140DFD"/>
    <w:rsid w:val="00140FE5"/>
    <w:rsid w:val="00147F4E"/>
    <w:rsid w:val="00157DFE"/>
    <w:rsid w:val="00165FEF"/>
    <w:rsid w:val="0016635E"/>
    <w:rsid w:val="001746D0"/>
    <w:rsid w:val="001B7393"/>
    <w:rsid w:val="001C52D7"/>
    <w:rsid w:val="001C6C04"/>
    <w:rsid w:val="001D2ED9"/>
    <w:rsid w:val="001E30DD"/>
    <w:rsid w:val="001F21C1"/>
    <w:rsid w:val="00214E5F"/>
    <w:rsid w:val="00283435"/>
    <w:rsid w:val="002B6C3C"/>
    <w:rsid w:val="002D28A7"/>
    <w:rsid w:val="002E2F2E"/>
    <w:rsid w:val="002E6F98"/>
    <w:rsid w:val="00303053"/>
    <w:rsid w:val="00325BCB"/>
    <w:rsid w:val="00331944"/>
    <w:rsid w:val="00332AD9"/>
    <w:rsid w:val="00347D2C"/>
    <w:rsid w:val="0037356F"/>
    <w:rsid w:val="00390EB2"/>
    <w:rsid w:val="00396A0E"/>
    <w:rsid w:val="003E2402"/>
    <w:rsid w:val="00440DC6"/>
    <w:rsid w:val="004764CF"/>
    <w:rsid w:val="004B1EAD"/>
    <w:rsid w:val="004C28FB"/>
    <w:rsid w:val="004C44C0"/>
    <w:rsid w:val="004F315C"/>
    <w:rsid w:val="004F4B98"/>
    <w:rsid w:val="004F5F73"/>
    <w:rsid w:val="0052544E"/>
    <w:rsid w:val="00542DFA"/>
    <w:rsid w:val="005940C3"/>
    <w:rsid w:val="00594C48"/>
    <w:rsid w:val="005B2F11"/>
    <w:rsid w:val="005C0BDF"/>
    <w:rsid w:val="005D60C6"/>
    <w:rsid w:val="006102E7"/>
    <w:rsid w:val="006116EA"/>
    <w:rsid w:val="00640C1B"/>
    <w:rsid w:val="00657AFB"/>
    <w:rsid w:val="0066742A"/>
    <w:rsid w:val="006906BB"/>
    <w:rsid w:val="006D5BF7"/>
    <w:rsid w:val="00746FB4"/>
    <w:rsid w:val="007A637C"/>
    <w:rsid w:val="008313E7"/>
    <w:rsid w:val="00854CAC"/>
    <w:rsid w:val="00885FB1"/>
    <w:rsid w:val="008A32C5"/>
    <w:rsid w:val="008C6203"/>
    <w:rsid w:val="008D61E7"/>
    <w:rsid w:val="008F7002"/>
    <w:rsid w:val="009173BB"/>
    <w:rsid w:val="0098190D"/>
    <w:rsid w:val="0099493F"/>
    <w:rsid w:val="00A1045C"/>
    <w:rsid w:val="00A16BEA"/>
    <w:rsid w:val="00A312B3"/>
    <w:rsid w:val="00A72C35"/>
    <w:rsid w:val="00A93D90"/>
    <w:rsid w:val="00AB0C34"/>
    <w:rsid w:val="00AB17DB"/>
    <w:rsid w:val="00AB4D11"/>
    <w:rsid w:val="00AE180F"/>
    <w:rsid w:val="00B1226B"/>
    <w:rsid w:val="00B329CC"/>
    <w:rsid w:val="00B362F7"/>
    <w:rsid w:val="00B40C21"/>
    <w:rsid w:val="00B5456B"/>
    <w:rsid w:val="00B712EA"/>
    <w:rsid w:val="00B730E0"/>
    <w:rsid w:val="00B74B53"/>
    <w:rsid w:val="00BB0748"/>
    <w:rsid w:val="00BC26E4"/>
    <w:rsid w:val="00BC7719"/>
    <w:rsid w:val="00BC7DBC"/>
    <w:rsid w:val="00BD1EAA"/>
    <w:rsid w:val="00C52739"/>
    <w:rsid w:val="00C67F26"/>
    <w:rsid w:val="00C827FF"/>
    <w:rsid w:val="00CD34AC"/>
    <w:rsid w:val="00CE5015"/>
    <w:rsid w:val="00D7712D"/>
    <w:rsid w:val="00DE19FF"/>
    <w:rsid w:val="00E6632E"/>
    <w:rsid w:val="00E81BA6"/>
    <w:rsid w:val="00E856D2"/>
    <w:rsid w:val="00E90EC3"/>
    <w:rsid w:val="00E929A7"/>
    <w:rsid w:val="00EA7582"/>
    <w:rsid w:val="00EB0868"/>
    <w:rsid w:val="00EC5E1F"/>
    <w:rsid w:val="00ED375F"/>
    <w:rsid w:val="00EF1E40"/>
    <w:rsid w:val="00F42799"/>
    <w:rsid w:val="00FB4670"/>
    <w:rsid w:val="00FC6460"/>
    <w:rsid w:val="00FC73C7"/>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A9C6BB2"/>
  <w15:chartTrackingRefBased/>
  <w15:docId w15:val="{B47286E4-81AE-4324-88E1-9835149D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noteText">
    <w:name w:val="footnote text"/>
    <w:basedOn w:val="Normal"/>
    <w:link w:val="FootnoteTextChar"/>
    <w:unhideWhenUsed/>
    <w:rsid w:val="00B712EA"/>
    <w:rPr>
      <w:sz w:val="20"/>
    </w:rPr>
  </w:style>
  <w:style w:type="character" w:customStyle="1" w:styleId="FootnoteTextChar">
    <w:name w:val="Footnote Text Char"/>
    <w:basedOn w:val="DefaultParagraphFont"/>
    <w:link w:val="FootnoteText"/>
    <w:rsid w:val="00B712EA"/>
  </w:style>
  <w:style w:type="character" w:styleId="FootnoteReference">
    <w:name w:val="footnote reference"/>
    <w:basedOn w:val="DefaultParagraphFont"/>
    <w:unhideWhenUsed/>
    <w:rsid w:val="00B712EA"/>
    <w:rPr>
      <w:vertAlign w:val="superscript"/>
    </w:rPr>
  </w:style>
  <w:style w:type="character" w:customStyle="1" w:styleId="BoldItalic">
    <w:name w:val="BoldItalic"/>
    <w:uiPriority w:val="1"/>
    <w:rsid w:val="00B712EA"/>
    <w:rPr>
      <w:b/>
      <w:bCs w:val="0"/>
      <w:i/>
      <w:iCs w:val="0"/>
      <w:strike w:val="0"/>
      <w:dstrike w:val="0"/>
      <w:u w:val="none"/>
      <w:effect w:val="none"/>
    </w:rPr>
  </w:style>
  <w:style w:type="paragraph" w:styleId="Footer">
    <w:name w:val="footer"/>
    <w:basedOn w:val="Normal"/>
    <w:link w:val="FooterChar"/>
    <w:semiHidden/>
    <w:rsid w:val="00B712EA"/>
    <w:pPr>
      <w:tabs>
        <w:tab w:val="center" w:pos="4513"/>
        <w:tab w:val="right" w:pos="9026"/>
      </w:tabs>
    </w:pPr>
  </w:style>
  <w:style w:type="character" w:customStyle="1" w:styleId="FooterChar">
    <w:name w:val="Footer Char"/>
    <w:basedOn w:val="DefaultParagraphFont"/>
    <w:link w:val="Footer"/>
    <w:semiHidden/>
    <w:rsid w:val="00B712EA"/>
    <w:rPr>
      <w:sz w:val="24"/>
    </w:rPr>
  </w:style>
  <w:style w:type="paragraph" w:styleId="BalloonText">
    <w:name w:val="Balloon Text"/>
    <w:basedOn w:val="Normal"/>
    <w:link w:val="BalloonTextChar"/>
    <w:semiHidden/>
    <w:unhideWhenUsed/>
    <w:rsid w:val="000800B3"/>
    <w:rPr>
      <w:rFonts w:ascii="Segoe UI" w:hAnsi="Segoe UI" w:cs="Segoe UI"/>
      <w:sz w:val="18"/>
      <w:szCs w:val="18"/>
    </w:rPr>
  </w:style>
  <w:style w:type="character" w:customStyle="1" w:styleId="BalloonTextChar">
    <w:name w:val="Balloon Text Char"/>
    <w:basedOn w:val="DefaultParagraphFont"/>
    <w:link w:val="BalloonText"/>
    <w:semiHidden/>
    <w:rsid w:val="000800B3"/>
    <w:rPr>
      <w:rFonts w:ascii="Segoe UI" w:hAnsi="Segoe UI" w:cs="Segoe UI"/>
      <w:sz w:val="18"/>
      <w:szCs w:val="18"/>
    </w:rPr>
  </w:style>
  <w:style w:type="character" w:styleId="CommentReference">
    <w:name w:val="annotation reference"/>
    <w:basedOn w:val="DefaultParagraphFont"/>
    <w:rsid w:val="00440DC6"/>
    <w:rPr>
      <w:sz w:val="16"/>
      <w:szCs w:val="16"/>
    </w:rPr>
  </w:style>
  <w:style w:type="paragraph" w:styleId="CommentText">
    <w:name w:val="annotation text"/>
    <w:basedOn w:val="Normal"/>
    <w:link w:val="CommentTextChar"/>
    <w:rsid w:val="00440DC6"/>
    <w:rPr>
      <w:sz w:val="20"/>
    </w:rPr>
  </w:style>
  <w:style w:type="character" w:customStyle="1" w:styleId="CommentTextChar">
    <w:name w:val="Comment Text Char"/>
    <w:basedOn w:val="DefaultParagraphFont"/>
    <w:link w:val="CommentText"/>
    <w:rsid w:val="00440DC6"/>
  </w:style>
  <w:style w:type="paragraph" w:styleId="CommentSubject">
    <w:name w:val="annotation subject"/>
    <w:basedOn w:val="CommentText"/>
    <w:next w:val="CommentText"/>
    <w:link w:val="CommentSubjectChar"/>
    <w:semiHidden/>
    <w:unhideWhenUsed/>
    <w:rsid w:val="00440DC6"/>
    <w:rPr>
      <w:b/>
      <w:bCs/>
    </w:rPr>
  </w:style>
  <w:style w:type="character" w:customStyle="1" w:styleId="CommentSubjectChar">
    <w:name w:val="Comment Subject Char"/>
    <w:basedOn w:val="CommentTextChar"/>
    <w:link w:val="CommentSubject"/>
    <w:semiHidden/>
    <w:rsid w:val="00440DC6"/>
    <w:rPr>
      <w:b/>
      <w:bCs/>
    </w:rPr>
  </w:style>
  <w:style w:type="paragraph" w:styleId="Revision">
    <w:name w:val="Revision"/>
    <w:hidden/>
    <w:uiPriority w:val="99"/>
    <w:semiHidden/>
    <w:rsid w:val="004B1EAD"/>
    <w:rPr>
      <w:sz w:val="24"/>
    </w:rPr>
  </w:style>
  <w:style w:type="paragraph" w:customStyle="1" w:styleId="RollCallSymbols14pt">
    <w:name w:val="RollCallSymbols14pt"/>
    <w:basedOn w:val="Normal"/>
    <w:rsid w:val="00AB0C34"/>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B0C34"/>
    <w:pPr>
      <w:tabs>
        <w:tab w:val="center" w:pos="284"/>
        <w:tab w:val="left" w:pos="426"/>
      </w:tabs>
    </w:pPr>
    <w:rPr>
      <w:snapToGrid w:val="0"/>
      <w:lang w:eastAsia="en-US"/>
    </w:rPr>
  </w:style>
  <w:style w:type="paragraph" w:customStyle="1" w:styleId="RollCallVotes">
    <w:name w:val="RollCallVotes"/>
    <w:basedOn w:val="Normal"/>
    <w:rsid w:val="00AB0C34"/>
    <w:pPr>
      <w:spacing w:before="120" w:after="120"/>
      <w:jc w:val="center"/>
    </w:pPr>
    <w:rPr>
      <w:b/>
      <w:bCs/>
      <w:snapToGrid w:val="0"/>
      <w:sz w:val="16"/>
      <w:lang w:eastAsia="en-US"/>
    </w:rPr>
  </w:style>
  <w:style w:type="paragraph" w:customStyle="1" w:styleId="RollCallTable">
    <w:name w:val="RollCallTable"/>
    <w:basedOn w:val="Normal"/>
    <w:rsid w:val="00AB0C34"/>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13992">
      <w:bodyDiv w:val="1"/>
      <w:marLeft w:val="0"/>
      <w:marRight w:val="0"/>
      <w:marTop w:val="0"/>
      <w:marBottom w:val="0"/>
      <w:divBdr>
        <w:top w:val="none" w:sz="0" w:space="0" w:color="auto"/>
        <w:left w:val="none" w:sz="0" w:space="0" w:color="auto"/>
        <w:bottom w:val="none" w:sz="0" w:space="0" w:color="auto"/>
        <w:right w:val="none" w:sz="0" w:space="0" w:color="auto"/>
      </w:divBdr>
    </w:div>
    <w:div w:id="955067256">
      <w:bodyDiv w:val="1"/>
      <w:marLeft w:val="0"/>
      <w:marRight w:val="0"/>
      <w:marTop w:val="0"/>
      <w:marBottom w:val="0"/>
      <w:divBdr>
        <w:top w:val="none" w:sz="0" w:space="0" w:color="auto"/>
        <w:left w:val="none" w:sz="0" w:space="0" w:color="auto"/>
        <w:bottom w:val="none" w:sz="0" w:space="0" w:color="auto"/>
        <w:right w:val="none" w:sz="0" w:space="0" w:color="auto"/>
      </w:divBdr>
    </w:div>
    <w:div w:id="1103187318">
      <w:bodyDiv w:val="1"/>
      <w:marLeft w:val="0"/>
      <w:marRight w:val="0"/>
      <w:marTop w:val="0"/>
      <w:marBottom w:val="0"/>
      <w:divBdr>
        <w:top w:val="none" w:sz="0" w:space="0" w:color="auto"/>
        <w:left w:val="none" w:sz="0" w:space="0" w:color="auto"/>
        <w:bottom w:val="none" w:sz="0" w:space="0" w:color="auto"/>
        <w:right w:val="none" w:sz="0" w:space="0" w:color="auto"/>
      </w:divBdr>
    </w:div>
    <w:div w:id="1726369506">
      <w:bodyDiv w:val="1"/>
      <w:marLeft w:val="0"/>
      <w:marRight w:val="0"/>
      <w:marTop w:val="0"/>
      <w:marBottom w:val="0"/>
      <w:divBdr>
        <w:top w:val="none" w:sz="0" w:space="0" w:color="auto"/>
        <w:left w:val="none" w:sz="0" w:space="0" w:color="auto"/>
        <w:bottom w:val="none" w:sz="0" w:space="0" w:color="auto"/>
        <w:right w:val="none" w:sz="0" w:space="0" w:color="auto"/>
      </w:divBdr>
    </w:div>
    <w:div w:id="200272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5AC66-7724-4748-8361-784F571E7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1774</Words>
  <Characters>15274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subject/>
  <dc:creator>European Parliament</dc:creator>
  <cp:keywords/>
  <dc:description/>
  <cp:lastModifiedBy>European Parliament</cp:lastModifiedBy>
  <cp:revision>2</cp:revision>
  <cp:lastPrinted>2023-12-04T07:53:00Z</cp:lastPrinted>
  <dcterms:created xsi:type="dcterms:W3CDTF">2024-01-09T08:14:00Z</dcterms:created>
  <dcterms:modified xsi:type="dcterms:W3CDTF">2024-01-09T08:14:00Z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Created with">
    <vt:lpwstr>9.16.1 Build [20230915]</vt:lpwstr>
  </property>
  <property fmtid="{D5CDD505-2E9C-101B-9397-08002B2CF9AE}" pid="4" name="LastEdited with">
    <vt:lpwstr>9.17.0 Build [20231101]</vt:lpwstr>
  </property>
  <property fmtid="{D5CDD505-2E9C-101B-9397-08002B2CF9AE}" pid="5" name="&lt;FdR&gt;">
    <vt:lpwstr>1291636</vt:lpwstr>
  </property>
  <property fmtid="{D5CDD505-2E9C-101B-9397-08002B2CF9AE}" pid="6" name="&lt;Type&gt;">
    <vt:lpwstr>AD</vt:lpwstr>
  </property>
  <property fmtid="{D5CDD505-2E9C-101B-9397-08002B2CF9AE}" pid="7" name="&lt;ModelCod&gt;">
    <vt:lpwstr>\\eiciBRUpr1\pdocep$\DocEP\DOCS\General\PA\PA_NonLeg\PA_NonLeg.dotx(18/09/2023 11:25:02)</vt:lpwstr>
  </property>
  <property fmtid="{D5CDD505-2E9C-101B-9397-08002B2CF9AE}" pid="8" name="&lt;ModelTra&gt;">
    <vt:lpwstr>\\eiciBRUpr1\pdocep$\DocEP\TRANSFIL\EN\PA_NonLeg.EN(18/09/2023 11:08:01)</vt:lpwstr>
  </property>
  <property fmtid="{D5CDD505-2E9C-101B-9397-08002B2CF9AE}" pid="9" name="&lt;Model&gt;">
    <vt:lpwstr>PA_NonLeg</vt:lpwstr>
  </property>
  <property fmtid="{D5CDD505-2E9C-101B-9397-08002B2CF9AE}" pid="10" name="FooterPath">
    <vt:lpwstr>AD\1291636FI.docx</vt:lpwstr>
  </property>
  <property fmtid="{D5CDD505-2E9C-101B-9397-08002B2CF9AE}" pid="11" name="PE number">
    <vt:lpwstr>754.755</vt:lpwstr>
  </property>
  <property fmtid="{D5CDD505-2E9C-101B-9397-08002B2CF9AE}" pid="12" name="SendToEpades">
    <vt:lpwstr>OK - 2023/12/01 09:53</vt:lpwstr>
  </property>
  <property fmtid="{D5CDD505-2E9C-101B-9397-08002B2CF9AE}" pid="13" name="Bookout">
    <vt:lpwstr>OK - 2024/01/09 09:14</vt:lpwstr>
  </property>
  <property fmtid="{D5CDD505-2E9C-101B-9397-08002B2CF9AE}" pid="14" name="SDLStudio">
    <vt:lpwstr/>
  </property>
</Properties>
</file>