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DD4B97" w:rsidRPr="00900AD4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854CAC" w:rsidRPr="00900AD4" w:rsidRDefault="00740114" w:rsidP="00C85D0F">
            <w:pPr>
              <w:pStyle w:val="EPName"/>
            </w:pPr>
            <w:r w:rsidRPr="00900AD4">
              <w:t>Európai Parlament</w:t>
            </w:r>
          </w:p>
          <w:p w:rsidR="00854CAC" w:rsidRPr="00900AD4" w:rsidRDefault="00740114" w:rsidP="00B712EA">
            <w:pPr>
              <w:pStyle w:val="EPTerm"/>
            </w:pPr>
            <w:r w:rsidRPr="00900AD4">
              <w:t>2019–2024</w:t>
            </w:r>
          </w:p>
        </w:tc>
        <w:tc>
          <w:tcPr>
            <w:tcW w:w="2268" w:type="dxa"/>
            <w:shd w:val="clear" w:color="auto" w:fill="auto"/>
          </w:tcPr>
          <w:p w:rsidR="00854CAC" w:rsidRPr="00900AD4" w:rsidRDefault="00740114" w:rsidP="00C85D0F">
            <w:pPr>
              <w:pStyle w:val="EPLogo"/>
            </w:pPr>
            <w:r w:rsidRPr="00900AD4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46D0" w:rsidRPr="00900AD4" w:rsidRDefault="001746D0" w:rsidP="001746D0">
      <w:pPr>
        <w:pStyle w:val="LineTop"/>
      </w:pPr>
    </w:p>
    <w:p w:rsidR="001746D0" w:rsidRPr="00900AD4" w:rsidRDefault="00740114" w:rsidP="001746D0">
      <w:pPr>
        <w:pStyle w:val="EPBody"/>
      </w:pPr>
      <w:r w:rsidRPr="00900AD4">
        <w:rPr>
          <w:rStyle w:val="HideTWBExt"/>
        </w:rPr>
        <w:t>&lt;</w:t>
      </w:r>
      <w:r w:rsidRPr="00900AD4">
        <w:rPr>
          <w:rStyle w:val="HideTWBExt"/>
          <w:i w:val="0"/>
        </w:rPr>
        <w:t>Commission</w:t>
      </w:r>
      <w:r w:rsidRPr="00900AD4">
        <w:rPr>
          <w:rStyle w:val="HideTWBExt"/>
        </w:rPr>
        <w:t>&gt;</w:t>
      </w:r>
      <w:r w:rsidRPr="00900AD4">
        <w:rPr>
          <w:rStyle w:val="HideTWBInt"/>
          <w:color w:val="auto"/>
        </w:rPr>
        <w:t>{JURI}</w:t>
      </w:r>
      <w:r w:rsidRPr="00900AD4">
        <w:t>Jogi Bizottság</w:t>
      </w:r>
      <w:r w:rsidRPr="00900AD4">
        <w:rPr>
          <w:rStyle w:val="HideTWBExt"/>
        </w:rPr>
        <w:t>&lt;/</w:t>
      </w:r>
      <w:r w:rsidRPr="00900AD4">
        <w:rPr>
          <w:rStyle w:val="HideTWBExt"/>
          <w:i w:val="0"/>
        </w:rPr>
        <w:t>Commission</w:t>
      </w:r>
      <w:r w:rsidRPr="00900AD4">
        <w:rPr>
          <w:rStyle w:val="HideTWBExt"/>
        </w:rPr>
        <w:t>&gt;</w:t>
      </w:r>
    </w:p>
    <w:p w:rsidR="001746D0" w:rsidRPr="00900AD4" w:rsidRDefault="001746D0" w:rsidP="001746D0">
      <w:pPr>
        <w:pStyle w:val="LineBottom"/>
      </w:pPr>
    </w:p>
    <w:p w:rsidR="002E2F2E" w:rsidRPr="00900AD4" w:rsidRDefault="00740114">
      <w:pPr>
        <w:pStyle w:val="CoverReference"/>
      </w:pPr>
      <w:r w:rsidRPr="00900AD4">
        <w:rPr>
          <w:rStyle w:val="HideTWBExt"/>
          <w:b w:val="0"/>
        </w:rPr>
        <w:t>&lt;RefProc&gt;</w:t>
      </w:r>
      <w:r w:rsidRPr="00900AD4">
        <w:t>2023/2113</w:t>
      </w:r>
      <w:r w:rsidRPr="00900AD4">
        <w:rPr>
          <w:rStyle w:val="HideTWBExt"/>
          <w:b w:val="0"/>
        </w:rPr>
        <w:t>&lt;/RefProc&gt;&lt;RefTypeProc&gt;</w:t>
      </w:r>
      <w:r w:rsidRPr="00900AD4">
        <w:t>(INI)</w:t>
      </w:r>
      <w:r w:rsidRPr="00900AD4">
        <w:rPr>
          <w:rStyle w:val="HideTWBExt"/>
          <w:b w:val="0"/>
        </w:rPr>
        <w:t>&lt;/RefTypeProc&gt;</w:t>
      </w:r>
    </w:p>
    <w:p w:rsidR="002E2F2E" w:rsidRPr="00900AD4" w:rsidRDefault="00740114">
      <w:pPr>
        <w:pStyle w:val="CoverDate"/>
      </w:pPr>
      <w:r w:rsidRPr="00900AD4">
        <w:rPr>
          <w:rStyle w:val="HideTWBExt"/>
        </w:rPr>
        <w:t>&lt;Date&gt;</w:t>
      </w:r>
      <w:r w:rsidRPr="00900AD4">
        <w:rPr>
          <w:rStyle w:val="HideTWBInt"/>
          <w:color w:val="auto"/>
        </w:rPr>
        <w:t>{29/11/2023}</w:t>
      </w:r>
      <w:r w:rsidRPr="00900AD4">
        <w:t>29.11.2023</w:t>
      </w:r>
      <w:r w:rsidRPr="00900AD4">
        <w:rPr>
          <w:rStyle w:val="HideTWBExt"/>
        </w:rPr>
        <w:t>&lt;/Date&gt;</w:t>
      </w:r>
    </w:p>
    <w:p w:rsidR="002E2F2E" w:rsidRPr="00900AD4" w:rsidRDefault="00740114">
      <w:pPr>
        <w:pStyle w:val="CoverDocType24a"/>
      </w:pPr>
      <w:r w:rsidRPr="00900AD4">
        <w:rPr>
          <w:rStyle w:val="HideTWBExt"/>
          <w:b w:val="0"/>
        </w:rPr>
        <w:t>&lt;TitreType&gt;</w:t>
      </w:r>
      <w:r w:rsidRPr="00900AD4">
        <w:t>VÉLEMÉNY</w:t>
      </w:r>
      <w:r w:rsidRPr="00900AD4">
        <w:rPr>
          <w:rStyle w:val="HideTWBExt"/>
          <w:b w:val="0"/>
        </w:rPr>
        <w:t>&lt;/TitreType&gt;</w:t>
      </w:r>
    </w:p>
    <w:p w:rsidR="002E2F2E" w:rsidRPr="00900AD4" w:rsidRDefault="00740114">
      <w:pPr>
        <w:pStyle w:val="CoverNormal24a"/>
      </w:pPr>
      <w:r w:rsidRPr="00900AD4">
        <w:rPr>
          <w:rStyle w:val="HideTWBExt"/>
        </w:rPr>
        <w:t>&lt;CommissionResp&gt;</w:t>
      </w:r>
      <w:r w:rsidRPr="00900AD4">
        <w:t>a Jogi Bizottság részéről</w:t>
      </w:r>
      <w:r w:rsidRPr="00900AD4">
        <w:rPr>
          <w:rStyle w:val="HideTWBExt"/>
        </w:rPr>
        <w:t>&lt;/CommissionResp&gt;</w:t>
      </w:r>
    </w:p>
    <w:p w:rsidR="002E2F2E" w:rsidRPr="00900AD4" w:rsidRDefault="00740114">
      <w:pPr>
        <w:pStyle w:val="CoverNormal24a"/>
      </w:pPr>
      <w:r w:rsidRPr="00900AD4">
        <w:rPr>
          <w:rStyle w:val="HideTWBExt"/>
        </w:rPr>
        <w:t>&lt;CommissionInt&gt;</w:t>
      </w:r>
      <w:r w:rsidRPr="00900AD4">
        <w:t>az Állampolgári Jogi, Bel- és Igazságügyi Bizottság részére</w:t>
      </w:r>
      <w:r w:rsidRPr="00900AD4">
        <w:rPr>
          <w:rStyle w:val="HideTWBExt"/>
        </w:rPr>
        <w:t>&lt;/CommissionInt&gt;</w:t>
      </w:r>
    </w:p>
    <w:p w:rsidR="002E2F2E" w:rsidRPr="00900AD4" w:rsidRDefault="00740114">
      <w:pPr>
        <w:pStyle w:val="CoverNormal"/>
      </w:pPr>
      <w:r w:rsidRPr="00900AD4">
        <w:rPr>
          <w:rStyle w:val="HideTWBExt"/>
        </w:rPr>
        <w:t>&lt;Titre&gt;</w:t>
      </w:r>
      <w:r w:rsidRPr="00900AD4">
        <w:t>a Bizottság 2023. évi jogállamisági jelentéséről</w:t>
      </w:r>
      <w:r w:rsidRPr="00900AD4">
        <w:rPr>
          <w:rStyle w:val="HideTWBExt"/>
        </w:rPr>
        <w:t>&lt;/Titre&gt;</w:t>
      </w:r>
    </w:p>
    <w:p w:rsidR="002E2F2E" w:rsidRPr="00900AD4" w:rsidRDefault="00740114">
      <w:pPr>
        <w:pStyle w:val="CoverNormal24a"/>
      </w:pPr>
      <w:r w:rsidRPr="00900AD4">
        <w:rPr>
          <w:rStyle w:val="HideTWBExt"/>
        </w:rPr>
        <w:t>&lt;DocRef&gt;</w:t>
      </w:r>
      <w:r w:rsidRPr="00900AD4">
        <w:t>(2023/2113(INI))</w:t>
      </w:r>
      <w:r w:rsidRPr="00900AD4">
        <w:rPr>
          <w:rStyle w:val="HideTWBExt"/>
        </w:rPr>
        <w:t>&lt;/DocRef&gt;</w:t>
      </w:r>
    </w:p>
    <w:p w:rsidR="002E2F2E" w:rsidRPr="00900AD4" w:rsidRDefault="00740114">
      <w:pPr>
        <w:pStyle w:val="CoverNormal24a"/>
      </w:pPr>
      <w:r w:rsidRPr="00900AD4">
        <w:t xml:space="preserve">A vélemény előadója (*): </w:t>
      </w:r>
      <w:r w:rsidRPr="00900AD4">
        <w:rPr>
          <w:rStyle w:val="HideTWBExt"/>
        </w:rPr>
        <w:t>&lt;Depute&gt;</w:t>
      </w:r>
      <w:r w:rsidRPr="00900AD4">
        <w:t>Adrián Vázquez L</w:t>
      </w:r>
      <w:r w:rsidRPr="00900AD4">
        <w:t>ázara</w:t>
      </w:r>
      <w:r w:rsidRPr="00900AD4">
        <w:rPr>
          <w:rStyle w:val="HideTWBExt"/>
        </w:rPr>
        <w:t>&lt;/Depute&gt;</w:t>
      </w:r>
    </w:p>
    <w:p w:rsidR="00B712EA" w:rsidRPr="00900AD4" w:rsidRDefault="00740114" w:rsidP="00B712EA">
      <w:pPr>
        <w:pStyle w:val="CoverNormal24a"/>
      </w:pPr>
      <w:r w:rsidRPr="00900AD4">
        <w:t>(*) Társbizottsági eljárás – az eljárási szabályzat 57. cikke</w:t>
      </w:r>
    </w:p>
    <w:p w:rsidR="00A72C35" w:rsidRPr="00900AD4" w:rsidRDefault="00A72C35" w:rsidP="00A72C35">
      <w:pPr>
        <w:pStyle w:val="CoverNormal"/>
      </w:pPr>
    </w:p>
    <w:p w:rsidR="002E2F2E" w:rsidRPr="00900AD4" w:rsidRDefault="00740114" w:rsidP="00E856D2">
      <w:pPr>
        <w:widowControl/>
        <w:tabs>
          <w:tab w:val="center" w:pos="4677"/>
        </w:tabs>
      </w:pPr>
      <w:r w:rsidRPr="00900AD4">
        <w:br w:type="page"/>
      </w:r>
      <w:r w:rsidRPr="00900AD4">
        <w:lastRenderedPageBreak/>
        <w:t>PA_NonLeg</w:t>
      </w:r>
    </w:p>
    <w:p w:rsidR="008835A8" w:rsidRPr="00900AD4" w:rsidRDefault="00740114" w:rsidP="008835A8">
      <w:pPr>
        <w:pStyle w:val="PageHeadingNotTOC"/>
      </w:pPr>
      <w:r w:rsidRPr="00900AD4">
        <w:br w:type="page"/>
      </w:r>
      <w:r w:rsidRPr="00900AD4">
        <w:lastRenderedPageBreak/>
        <w:t>JAVASLATOK</w:t>
      </w:r>
    </w:p>
    <w:p w:rsidR="008835A8" w:rsidRPr="00900AD4" w:rsidRDefault="00740114" w:rsidP="008835A8">
      <w:pPr>
        <w:pStyle w:val="Normal12a"/>
        <w:rPr>
          <w:szCs w:val="24"/>
        </w:rPr>
      </w:pPr>
      <w:r w:rsidRPr="00900AD4">
        <w:t xml:space="preserve">A Jogi Bizottság felkéri az Állampolgári Jogi, Bel- és Igazságügyi Bizottságot mint illetékes bizottságot, hogy állásfoglalásra irányuló indítványába </w:t>
      </w:r>
      <w:r w:rsidRPr="00900AD4">
        <w:t>foglalja bele az alábbi javaslatokat:</w:t>
      </w:r>
    </w:p>
    <w:p w:rsidR="008835A8" w:rsidRPr="00900AD4" w:rsidRDefault="00740114" w:rsidP="008835A8">
      <w:pPr>
        <w:pStyle w:val="NormalHanging12a"/>
        <w:rPr>
          <w:rStyle w:val="BoldItalic"/>
        </w:rPr>
      </w:pPr>
      <w:r w:rsidRPr="00900AD4">
        <w:rPr>
          <w:rStyle w:val="BoldItalic"/>
        </w:rPr>
        <w:t>Általános jellemzők</w:t>
      </w:r>
    </w:p>
    <w:p w:rsidR="008835A8" w:rsidRPr="00900AD4" w:rsidRDefault="00740114" w:rsidP="008835A8">
      <w:pPr>
        <w:pStyle w:val="NormalHanging12a"/>
      </w:pPr>
      <w:r w:rsidRPr="00900AD4">
        <w:t>1.</w:t>
      </w:r>
      <w:r w:rsidRPr="00900AD4">
        <w:tab/>
        <w:t xml:space="preserve">emlékeztet arra, hogy az Unió jogi struktúrája azon az alapvető előfeltevésen alapul, hogy az Európai Unióról szóló szerződés 2. cikke értelmében minden tagállam osztozik az összes többi </w:t>
      </w:r>
      <w:r w:rsidRPr="00900AD4">
        <w:t>tagállammal az EU alapját képező közös értékeken</w:t>
      </w:r>
      <w:r w:rsidRPr="00900AD4">
        <w:rPr>
          <w:rStyle w:val="FootnoteReference"/>
        </w:rPr>
        <w:footnoteReference w:id="1"/>
      </w:r>
      <w:r w:rsidRPr="00900AD4">
        <w:t>; emlékeztet továbbá arra, hogy az elsődleges uniós jogban rögzített és az Európai Unió Bíróságának (EUB) ítélkezési gyakorlatában részletesebben meghatározott jogállamiság hasonló a demokráciához és az alap</w:t>
      </w:r>
      <w:r w:rsidRPr="00900AD4">
        <w:t>vető jogokhoz; emlékeztet arra, hogy a jogállamiság és a szabályokon alapuló nemzetközi rend kulcsfontosságú az önkényuralmi rendszerek terjedése és a nemzetközi jog megsértése elleni küzdelemben, valamint hozzájárul a demokratikus struktúrák megszilárdítá</w:t>
      </w:r>
      <w:r w:rsidRPr="00900AD4">
        <w:t>sához és az emberi jogok védelméhez; hangsúlyozza, hogy a bármelyik tagállamban tapasztalható bármilyen visszalépés a jogállamiság – amely a hatalmi ágak elkülönítésén és kiegyensúlyozásán alapul – terén jelentős hatással van a szabadságon, a biztonságon é</w:t>
      </w:r>
      <w:r w:rsidRPr="00900AD4">
        <w:t>s a jog érvényesülésén alapuló közös térségre, valamint a kölcsönös bizalomra és a kölcsönös elismerésre, mint az uniós jog e területen irányadó elveire</w:t>
      </w:r>
      <w:r w:rsidRPr="00900AD4">
        <w:rPr>
          <w:rStyle w:val="FootnoteReference"/>
        </w:rPr>
        <w:footnoteReference w:id="2"/>
      </w:r>
      <w:r w:rsidRPr="00900AD4">
        <w:t>;</w:t>
      </w:r>
    </w:p>
    <w:p w:rsidR="008835A8" w:rsidRPr="00900AD4" w:rsidRDefault="00740114" w:rsidP="008835A8">
      <w:pPr>
        <w:pStyle w:val="NormalHanging12a"/>
      </w:pPr>
      <w:r w:rsidRPr="00900AD4">
        <w:t>2.</w:t>
      </w:r>
      <w:r w:rsidRPr="00900AD4">
        <w:tab/>
        <w:t>üdvözli a Bizottság negyedik jogállamisági jelentését (a továbbiakban: a jelentés), és úgy véli, h</w:t>
      </w:r>
      <w:r w:rsidRPr="00900AD4">
        <w:t xml:space="preserve">ogy a jogállamiság időszakos felülvizsgálata alapvető nyomonkövetési eszköz; ezzel összefüggésben hangsúlyozza annak fontosságát, hogy a Bizottság az értékelés elkészítésekor egyértelmű és objektív kritériumokat alkalmazzon, elejét véve ezáltal azoknak az </w:t>
      </w:r>
      <w:r w:rsidRPr="00900AD4">
        <w:t>állításoknak, hogy a tagállamokkal szemben egyenlőtlen bánásmódot alkalmaz vagy kizárólag szelektíven használ fel adatokat; üdvözli e tekintetben a Bizottság azon megközelítését, hogy észrevételeket kapjon a tagállamoktól, ezáltal előmozdítva a közös párbe</w:t>
      </w:r>
      <w:r w:rsidRPr="00900AD4">
        <w:t>szédet; üdvözli a Bizottság által a korábbi ajánlásokkal kapcsolatban elért előrelépés mérése tekintetében elfogadott új osztályozást, amely négy kategóriát tartalmaz: a) nem történt előrelépés, b) némi előrelépés történt, c) jelentős előrelépés történt és</w:t>
      </w:r>
      <w:r w:rsidRPr="00900AD4">
        <w:t xml:space="preserve"> d) teljes körű végrehajtás; tekintettel a statisztikai adatok tagállamok általi gyűjtésével kapcsolatos problémákra, rámutat az Európa Tanács olyan eszközeinek hasznosságára, mint az Európa Tanács Igazságszolgáltatás Hatékonyságáért küzdő Európai Bizottsá</w:t>
      </w:r>
      <w:r w:rsidRPr="00900AD4">
        <w:t>ga (CEPEJ) jelentései</w:t>
      </w:r>
      <w:r w:rsidRPr="00900AD4">
        <w:rPr>
          <w:rStyle w:val="FootnoteReference"/>
        </w:rPr>
        <w:footnoteReference w:id="3"/>
      </w:r>
      <w:r w:rsidRPr="00900AD4">
        <w:t>, amelyek a lehető legnagyobb mértékben megteremtik a különböző bemenő adatok konvergenciáját;</w:t>
      </w:r>
    </w:p>
    <w:p w:rsidR="008835A8" w:rsidRPr="00900AD4" w:rsidRDefault="00740114" w:rsidP="008835A8">
      <w:pPr>
        <w:pStyle w:val="NormalHanging12a"/>
      </w:pPr>
      <w:r w:rsidRPr="00900AD4">
        <w:rPr>
          <w:rStyle w:val="BoldItalic"/>
        </w:rPr>
        <w:t>Igazságügy</w:t>
      </w:r>
    </w:p>
    <w:p w:rsidR="008835A8" w:rsidRPr="00900AD4" w:rsidRDefault="00740114" w:rsidP="008835A8">
      <w:pPr>
        <w:pStyle w:val="NormalHanging12a"/>
      </w:pPr>
      <w:r w:rsidRPr="00900AD4">
        <w:t>3.</w:t>
      </w:r>
      <w:r w:rsidRPr="00900AD4">
        <w:tab/>
        <w:t>elismeri, hogy a jogállamisági jelentések nagy jelentőséget tulajdonítanak az igazságszolgáltatási rendszereknek, különös tek</w:t>
      </w:r>
      <w:r w:rsidRPr="00900AD4">
        <w:t xml:space="preserve">intettel a bírák, a bírói kinevezések, előléptetések, elbocsátások és a határozatok törvényességére, függetlenségére és pártatlanságára; elismeri, hogy a bírák kinevezésére vonatkozóan nem létezik közös </w:t>
      </w:r>
      <w:r w:rsidRPr="00900AD4">
        <w:lastRenderedPageBreak/>
        <w:t xml:space="preserve">uniós rendszer; emlékeztet azonban arra, hogy minden </w:t>
      </w:r>
      <w:r w:rsidRPr="00900AD4">
        <w:t>tagállamnak be kell tartania az Európa Tanács</w:t>
      </w:r>
      <w:r w:rsidRPr="00900AD4">
        <w:rPr>
          <w:rStyle w:val="FootnoteReference"/>
        </w:rPr>
        <w:footnoteReference w:id="4"/>
      </w:r>
      <w:r w:rsidRPr="00900AD4">
        <w:t xml:space="preserve"> és az EUB</w:t>
      </w:r>
      <w:r w:rsidRPr="00900AD4">
        <w:rPr>
          <w:rStyle w:val="FootnoteReference"/>
        </w:rPr>
        <w:footnoteReference w:id="5"/>
      </w:r>
      <w:r w:rsidRPr="00900AD4">
        <w:t xml:space="preserve"> minimumszabályait; ezzel összefüggésben hangsúlyozza a független igazságszolgáltatási tanácsok fontosságát, amelyeknek a bírák jelentős többségéből kell állniuk, akiket a társaik választanak meg, és</w:t>
      </w:r>
      <w:r w:rsidRPr="00900AD4">
        <w:t xml:space="preserve"> amelyek jelentős hatáskörrel rendelkeznek a bírák kiválasztási, előmeneteli és fegyelmi eljárásaiban; mély sajnálatát fejezi ki amiatt, hogy nem minden tagállam teljesítette teljes mértékben az ezzel kapcsolatos kötelezettségeit; sajnálatát fejezi ki amia</w:t>
      </w:r>
      <w:r w:rsidRPr="00900AD4">
        <w:t>tt, hogy ez pusztító hatást gyakorol igazságszolgáltatási rendszereik függetlenségére és feddhetetlenségére;</w:t>
      </w:r>
    </w:p>
    <w:p w:rsidR="008835A8" w:rsidRPr="00900AD4" w:rsidRDefault="00740114" w:rsidP="008835A8">
      <w:pPr>
        <w:pStyle w:val="NormalHanging12a"/>
      </w:pPr>
      <w:r w:rsidRPr="00900AD4">
        <w:t>4.</w:t>
      </w:r>
      <w:r w:rsidRPr="00900AD4">
        <w:tab/>
        <w:t>elismeri, hogy a fontos reformokhoz kapcsolódóan 2022-ben kiadott ajánlások közel kétharmadát valamilyen mértékben végrehajtották; aggodalmát fe</w:t>
      </w:r>
      <w:r w:rsidRPr="00900AD4">
        <w:t xml:space="preserve">jezi ki azonban a korábbi jogállamisági jelentésekben azonosított olyan kérdések száma miatt, amelyekkel még nem foglalkoztak; sürgeti a Bizottságot, hogy továbbra is gondosan kövesse nyomon a tagállamok jogi kereteit annak értékelése érdekében, hogy azok </w:t>
      </w:r>
      <w:r w:rsidRPr="00900AD4">
        <w:t>összhangban vannak-e a fent említett ajánlásokkal, felhívja továbbá a Bizottságot, hogy határozottabban ragaszkodjon e kritikus reformok végrehajtásához azokban az esetekben, amikor a tagállami rendszerek nem felelnek meg az előírt normáknak; felhívja a Bi</w:t>
      </w:r>
      <w:r w:rsidRPr="00900AD4">
        <w:t>zottságot, hogy tegyen további lépéseket a Parlament korábbi állásfoglalásaiban megfogalmazott ajánlások teljes körű figyelembe vétele érdekében;</w:t>
      </w:r>
    </w:p>
    <w:p w:rsidR="008835A8" w:rsidRPr="00900AD4" w:rsidRDefault="00740114" w:rsidP="008835A8">
      <w:pPr>
        <w:pStyle w:val="NormalHanging12a"/>
      </w:pPr>
      <w:r w:rsidRPr="00900AD4">
        <w:t>5.</w:t>
      </w:r>
      <w:r w:rsidRPr="00900AD4">
        <w:tab/>
        <w:t>üdvözli az érintett érdekelt felek számára célzott programokon, például a Polgárok, egyenlőség, jogok és ér</w:t>
      </w:r>
      <w:r w:rsidRPr="00900AD4">
        <w:t>tékek programon keresztül nyújtott folyamatos támogatást; üdvözli a Jogérvényesülés programon keresztül a polgári és büntetőügyekben folytatott igazságügyi együttműködés támogatására, valamint az európai igazságszolgáltatás továbbfejlesztéséhez való hozzáj</w:t>
      </w:r>
      <w:r w:rsidRPr="00900AD4">
        <w:t>árulásra nyújtott finanszírozást, amely magában foglalja a demokrácia, a jogállamiság és az alapvető jogok megerősítését;</w:t>
      </w:r>
    </w:p>
    <w:p w:rsidR="008835A8" w:rsidRPr="00900AD4" w:rsidRDefault="00740114" w:rsidP="008835A8">
      <w:pPr>
        <w:pStyle w:val="NormalHanging12a"/>
      </w:pPr>
      <w:r w:rsidRPr="00900AD4">
        <w:t>6.</w:t>
      </w:r>
      <w:r w:rsidRPr="00900AD4">
        <w:tab/>
        <w:t>sürgeti a Bizottságot, hogy fektessen be többet az uniós értékekkel és az alkalmazandó eszközökkel, köztük az éves jelentéssel kapc</w:t>
      </w:r>
      <w:r w:rsidRPr="00900AD4">
        <w:t>solatos ismeretterjesztésbe, különösen azokban az országokban, amelyekkel kapcsolatban komoly aggályok merülnek fel;</w:t>
      </w:r>
    </w:p>
    <w:p w:rsidR="008835A8" w:rsidRPr="00900AD4" w:rsidRDefault="00740114" w:rsidP="008835A8">
      <w:pPr>
        <w:pStyle w:val="NormalHanging12a"/>
      </w:pPr>
      <w:r w:rsidRPr="00900AD4">
        <w:t>7.</w:t>
      </w:r>
      <w:r w:rsidRPr="00900AD4">
        <w:tab/>
        <w:t>elismeri, hogy az igazságszolgáltatás függetlensége tekintetében a legutóbbi jelentés szerint számos különböző tagállamban bizonyos mért</w:t>
      </w:r>
      <w:r w:rsidRPr="00900AD4">
        <w:t>ékű előrelépés figyelhető meg; üdvözli e tekintetben, hogy az EUB által megerősített</w:t>
      </w:r>
      <w:r w:rsidRPr="00900AD4">
        <w:rPr>
          <w:rStyle w:val="FootnoteReference"/>
        </w:rPr>
        <w:footnoteReference w:id="6"/>
      </w:r>
      <w:r w:rsidRPr="00900AD4">
        <w:t xml:space="preserve"> feltételességi mechanizmus</w:t>
      </w:r>
      <w:r w:rsidRPr="00900AD4">
        <w:rPr>
          <w:rStyle w:val="FootnoteReference"/>
        </w:rPr>
        <w:footnoteReference w:id="7"/>
      </w:r>
      <w:r w:rsidRPr="00900AD4">
        <w:t xml:space="preserve"> vagy a Helyreállítási és Rezilienciaépítési Eszköz</w:t>
      </w:r>
      <w:r w:rsidRPr="00900AD4">
        <w:rPr>
          <w:rStyle w:val="FootnoteReference"/>
        </w:rPr>
        <w:footnoteReference w:id="8"/>
      </w:r>
      <w:r w:rsidRPr="00900AD4">
        <w:t xml:space="preserve"> keretében szükség esetén visszatartják az uniós forrásokat; rámutat azonban arra, hogy egy</w:t>
      </w:r>
      <w:r w:rsidRPr="00900AD4">
        <w:t xml:space="preserve">es tagállamokban továbbra is aggodalomra ad okot az igazságszolgáltatás függetlenségének megsértése, </w:t>
      </w:r>
      <w:r w:rsidRPr="00900AD4">
        <w:lastRenderedPageBreak/>
        <w:t>például a bírákkal szemben a döntéseik tartalma miatt folyamatban lévő fegyelmi eljárások, az igazságszolgáltatási tanácsok összetételével és a legmagasabb</w:t>
      </w:r>
      <w:r w:rsidRPr="00900AD4">
        <w:t xml:space="preserve"> szintű nemzeti bíróságok összetételével kapcsolatos problémák a törvény által létrehozott bíróság elvével összefüggésben stb.;</w:t>
      </w:r>
    </w:p>
    <w:p w:rsidR="008835A8" w:rsidRPr="00900AD4" w:rsidRDefault="00740114" w:rsidP="008835A8">
      <w:pPr>
        <w:pStyle w:val="NormalHanging12a"/>
      </w:pPr>
      <w:r w:rsidRPr="00900AD4">
        <w:t>8.</w:t>
      </w:r>
      <w:r w:rsidRPr="00900AD4">
        <w:tab/>
        <w:t>emlékeztet arra, hogy egy hatékony és tisztességes igazságszolgáltatási rendszerhez, amely mindenki számára biztosítja az iga</w:t>
      </w:r>
      <w:r w:rsidRPr="00900AD4">
        <w:t>zságszolgáltatáshoz való hozzáférést, megfelelő költségvetésre és az igazságszolgáltatási szervek megfelelő finanszírozására van szükség; sajnálatát fejezi ki amiatt, hogy a jelentés továbbra is súlyos hiányosságokra világít rá e tekintetben, ami úgy tűnik</w:t>
      </w:r>
      <w:r w:rsidRPr="00900AD4">
        <w:t>, különösen a magas rangú személyeket érintő korrupciós ügyek elbírálását hátráltatja; hangsúlyozza azonban, hogy a megfelelő jogi segítségnyújtásnak és jogorvoslatnak a polgárok számára is rendelkezésre kell állnia; ezzel összefüggésben felhívja a Bizotts</w:t>
      </w:r>
      <w:r w:rsidRPr="00900AD4">
        <w:t xml:space="preserve">ágot, hogy a következő jogállamisági jelentésbe foglalja bele a polgári és büntetőügyekben nyújtott költségmentességre vonatkozó uniós vívmányok, például a határon átnyúló vonatkozású jogviták esetén az igazságszolgáltatáshoz való hozzáférés megkönnyítése </w:t>
      </w:r>
      <w:r w:rsidRPr="00900AD4">
        <w:t>érdekében az ilyen ügyekben alkalmazandó költségmentességre vonatkozó közös minimumszabályok megállapításáról szóló, 2023. január 27-i 2003/8/EK tanácsi irányelv</w:t>
      </w:r>
      <w:r w:rsidRPr="00900AD4">
        <w:rPr>
          <w:rStyle w:val="FootnoteReference"/>
        </w:rPr>
        <w:footnoteReference w:id="9"/>
      </w:r>
      <w:r w:rsidRPr="00900AD4">
        <w:t xml:space="preserve"> alkalmazásának értékelését, mivel az EUB ítélkezési gyakorlata azt mutatja, hogy még mindig v</w:t>
      </w:r>
      <w:r w:rsidRPr="00900AD4">
        <w:t>annak kérdések annak értelmezésével kapcsolatban;</w:t>
      </w:r>
    </w:p>
    <w:p w:rsidR="008835A8" w:rsidRPr="00900AD4" w:rsidRDefault="00740114" w:rsidP="008835A8">
      <w:pPr>
        <w:pStyle w:val="NormalHanging12a"/>
      </w:pPr>
      <w:r w:rsidRPr="00900AD4">
        <w:t>9.</w:t>
      </w:r>
      <w:r w:rsidRPr="00900AD4">
        <w:tab/>
        <w:t>emlékeztet arra, hogy az ügyészségeknek is függetlennek kell lenniük az indokolatlan politikai nyomástól, függetlenül attól, hogy a kormányzat három ága közötti hatáskörmegosztás nemzeti rendszerében hol</w:t>
      </w:r>
      <w:r w:rsidRPr="00900AD4">
        <w:t xml:space="preserve"> helyezkednek el; megjegyzi, hogy egyes tagállamokban bizonyos mértékű előrelépés történt; sajnálatát fejezi ki azonban amiatt, hogy még mindig léteznek olyan rendszerek, amelyekben a bizonyos esetekben kormány az ügyészekre nézve kötelező erejű határozato</w:t>
      </w:r>
      <w:r w:rsidRPr="00900AD4">
        <w:t>kat adhat ki, amelyekben a hivatali idő politikai folyamathoz kötött, vagy amelyekben a miniszteri és a főügyészi funkciók összefonódnak, ami lehetővé teszi az indokolatlan politikai befolyásgyakorlást és problémákat okoz a kölcsönös elismerés terén</w:t>
      </w:r>
      <w:r w:rsidRPr="00900AD4">
        <w:rPr>
          <w:rStyle w:val="FootnoteReference"/>
        </w:rPr>
        <w:footnoteReference w:id="10"/>
      </w:r>
      <w:r w:rsidRPr="00900AD4">
        <w:t>;</w:t>
      </w:r>
    </w:p>
    <w:p w:rsidR="008835A8" w:rsidRPr="00900AD4" w:rsidRDefault="00740114" w:rsidP="008835A8">
      <w:pPr>
        <w:pStyle w:val="NormalHanging12a"/>
      </w:pPr>
      <w:r w:rsidRPr="00900AD4">
        <w:t>10.</w:t>
      </w:r>
      <w:r w:rsidRPr="00900AD4">
        <w:tab/>
      </w:r>
      <w:r w:rsidRPr="00900AD4">
        <w:t>hangsúlyozza különösen, hogy a „forgóajtó-jelenség” kérdése nem korlátozódik kizárólag az azzal kapcsolatos aggályokra, hogy volt miniszterek a közhivatalban eltöltött hivatali idejüket követően áttérnek a magánszektorba, hanem azokat a helyzeteket is magá</w:t>
      </w:r>
      <w:r w:rsidRPr="00900AD4">
        <w:t>ban foglalja, amikor egyének közvetlenül töltenek be kritikusan fontos szerepet az igazságszolgáltatásban vagy az ügyészségen miniszteri tisztségüket vagy valamely politikai párthoz való kötődésüket követően;</w:t>
      </w:r>
    </w:p>
    <w:p w:rsidR="008835A8" w:rsidRPr="00900AD4" w:rsidRDefault="00740114" w:rsidP="008835A8">
      <w:pPr>
        <w:pStyle w:val="NormalHanging12a"/>
      </w:pPr>
      <w:r w:rsidRPr="00900AD4">
        <w:t>11.</w:t>
      </w:r>
      <w:r w:rsidRPr="00900AD4">
        <w:tab/>
        <w:t>felhívja a Bizottságot, hogy a jogállamiság</w:t>
      </w:r>
      <w:r w:rsidRPr="00900AD4">
        <w:t xml:space="preserve"> Európai Unión belüli érvényesüléséről szóló következő jelentéseiben kellően vegye figyelembe ezeket a példákat; sürgeti a Bizottságot, hogy határozottan szólítsa fel a tagállamokat, hogy tartózkodjanak ezektől a gyakorlatoktól, különösen olyan jogi rendel</w:t>
      </w:r>
      <w:r w:rsidRPr="00900AD4">
        <w:t>kezések végrehajtása révén, amelyek proaktív módon megakadályozzák a korábbi minisztereket és magas rangú politikai személyiségeket abban, hogy vezető tisztségeket töltsenek be a legfelsőbb bíróságokon vagy az ügyészségen, ezáltal biztosítva e létfontosság</w:t>
      </w:r>
      <w:r w:rsidRPr="00900AD4">
        <w:t xml:space="preserve">ú intézmények függetlenségét és </w:t>
      </w:r>
      <w:r w:rsidRPr="00900AD4">
        <w:lastRenderedPageBreak/>
        <w:t>feddhetetlenségét;</w:t>
      </w:r>
    </w:p>
    <w:p w:rsidR="008835A8" w:rsidRPr="00900AD4" w:rsidRDefault="00740114" w:rsidP="008835A8">
      <w:pPr>
        <w:pStyle w:val="NormalHanging12a"/>
      </w:pPr>
      <w:r w:rsidRPr="00900AD4">
        <w:rPr>
          <w:rStyle w:val="BoldItalic"/>
        </w:rPr>
        <w:t>Küzdelem a korrupció ellen</w:t>
      </w:r>
    </w:p>
    <w:p w:rsidR="008835A8" w:rsidRPr="00900AD4" w:rsidRDefault="00740114" w:rsidP="008835A8">
      <w:pPr>
        <w:pStyle w:val="NormalHanging12a"/>
      </w:pPr>
      <w:r w:rsidRPr="00900AD4">
        <w:t>12.</w:t>
      </w:r>
      <w:r w:rsidRPr="00900AD4">
        <w:tab/>
        <w:t>emlékeztet, hogy a korrupció elleni küzdelem elengedhetetlen a jogállamiság fenntartásához és a polgárok közintézményekbe vetett bizalmának megőrzéséhez és előmozdításához; e</w:t>
      </w:r>
      <w:r w:rsidRPr="00900AD4">
        <w:t>mlékeztet továbbá arra, hogy a hatékonyság érdekében szilárd jogi és közigazgatási korrupcióellenes keretre van szükség, amely – különösen a közéletben – a feddhetetlenségen, az átláthatóságon és az elszámoltathatóságon alapul, hangsúlyt helyezve az érdeke</w:t>
      </w:r>
      <w:r w:rsidRPr="00900AD4">
        <w:t>ltségi nyilatkozatok közzétételére és adott esetben a visszaélést bejelentő személyek védelmére;</w:t>
      </w:r>
    </w:p>
    <w:p w:rsidR="008835A8" w:rsidRPr="00900AD4" w:rsidRDefault="00740114" w:rsidP="008835A8">
      <w:pPr>
        <w:pStyle w:val="NormalHanging12a"/>
      </w:pPr>
      <w:r w:rsidRPr="00900AD4">
        <w:t>13.</w:t>
      </w:r>
      <w:r w:rsidRPr="00900AD4">
        <w:tab/>
        <w:t>megállapítja, hogy a korrupció olyan veszély, amely tönkreteheti a demokráciákat és alááshatja a polgárok intézményekbe vetett bizalmát, és minden formájáb</w:t>
      </w:r>
      <w:r w:rsidRPr="00900AD4">
        <w:t>an küzdeni kell ellene; rámutat arra, hogy a korrupció a leggyakoribb módja annak, hogy a szervezett bűnözés beszivárogjon a gazdaságba és azt ellenőrzése alatt tartsa; aggodalmát fejezi ki amiatt, hogy a legutóbbi jelentés szerint számos tagállamban nem t</w:t>
      </w:r>
      <w:r w:rsidRPr="00900AD4">
        <w:t>örtént előrelépés, vagy csak nagyon lassú előrelépés történt a korrupcióellenes megelőző intézkedések terén; rendkívül aggasztónak tartja a lobbista-nyilvántartások, az átláthatósági nyilvántartások és a közhivatalt ellátó személyekre és a vezető tisztvise</w:t>
      </w:r>
      <w:r w:rsidRPr="00900AD4">
        <w:t xml:space="preserve">lőkre vonatkozó megfelelő vagyonnyilatkozati rendszerek létrehozásától való vonakodást, valamint azt, hogy hiányzik a politikai akarat a forgóajtó-jelenségre vonatkozó politikák keretében a szigorú szabályok bevezetéséhez; ezzel összefüggésben kiemeli egy </w:t>
      </w:r>
      <w:r w:rsidRPr="00900AD4">
        <w:t>átlátható, a dokumentumokhoz széles körű hozzáférést biztosító jogalkotási eljárás, valamint az olyan szabályok fontosságát, amelyek a korrupció megelőzése érdekében biztosítják a közigazgatás és az állami döntéshozatal legmagasabb szintű átláthatóságát és</w:t>
      </w:r>
      <w:r w:rsidRPr="00900AD4">
        <w:t xml:space="preserve"> elszámoltathatóságát</w:t>
      </w:r>
      <w:r w:rsidRPr="00900AD4">
        <w:rPr>
          <w:rStyle w:val="FootnoteReference"/>
        </w:rPr>
        <w:footnoteReference w:id="11"/>
      </w:r>
      <w:r w:rsidRPr="00900AD4">
        <w:t>;</w:t>
      </w:r>
    </w:p>
    <w:p w:rsidR="008835A8" w:rsidRPr="00900AD4" w:rsidRDefault="00740114" w:rsidP="008835A8">
      <w:pPr>
        <w:pStyle w:val="NormalHanging12a"/>
      </w:pPr>
      <w:r w:rsidRPr="00900AD4">
        <w:t>14.</w:t>
      </w:r>
      <w:r w:rsidRPr="00900AD4">
        <w:tab/>
        <w:t xml:space="preserve">ezzel összefüggésben felszólítja az összes uniós intézményt, hogy a korrupció megelőzése érdekében tartsák be a lehető legmagasabb szintű normákat, például hozzanak létre egy hatékony uniós etikai testületet, alkalmazzák teljes </w:t>
      </w:r>
      <w:r w:rsidRPr="00900AD4">
        <w:t>körűen a dokumentumokhoz való hozzáférésről szóló 1049/2001/EK rendeletet</w:t>
      </w:r>
      <w:r w:rsidRPr="00900AD4">
        <w:rPr>
          <w:rStyle w:val="FootnoteReference"/>
        </w:rPr>
        <w:footnoteReference w:id="12"/>
      </w:r>
      <w:r w:rsidRPr="00900AD4">
        <w:t>, valamint alkalmazzák teljes körűen az uniós átláthatósági nyilvántartás tekintetében a feltételesség elvét; felhívja a tagállamokat, hogy a lehető leghamarabb törekedjenek megállap</w:t>
      </w:r>
      <w:r w:rsidRPr="00900AD4">
        <w:t>odásra a korrupció elleni küzdelemről szóló irányelvjavaslatról annak érdekében, hogy megállapítsák a magatartási kódexek közös, egységes keretét, az összeférhetetlenség megelőzésére vonatkozó normákat és az eljárások átláthatóságát biztosító szabályokat;</w:t>
      </w:r>
    </w:p>
    <w:p w:rsidR="008835A8" w:rsidRPr="00900AD4" w:rsidRDefault="00740114" w:rsidP="008835A8">
      <w:pPr>
        <w:pStyle w:val="NormalHanging12a"/>
      </w:pPr>
      <w:r w:rsidRPr="00900AD4">
        <w:t>15.</w:t>
      </w:r>
      <w:r w:rsidRPr="00900AD4">
        <w:tab/>
        <w:t>elismeri, hogy az elmúlt években az Európai Unió által elkülönített források, többek között a Next Generation EU források mennyiségi szempontból lényegesen nagyobb jelentőségűvé váltak; elismeri, hogy ennek következtében rendkívül fontos volt, hogy a t</w:t>
      </w:r>
      <w:r w:rsidRPr="00900AD4">
        <w:t xml:space="preserve">agállamok jogszabályaiban olyan jogi rendelkezések szerepeljenek, amelyek célja az e </w:t>
      </w:r>
      <w:r w:rsidRPr="00900AD4">
        <w:lastRenderedPageBreak/>
        <w:t>forrásokkal való visszaélés megakadályozása;</w:t>
      </w:r>
    </w:p>
    <w:p w:rsidR="008835A8" w:rsidRPr="00900AD4" w:rsidRDefault="00740114" w:rsidP="008835A8">
      <w:pPr>
        <w:pStyle w:val="NormalHanging12a"/>
      </w:pPr>
      <w:r w:rsidRPr="00900AD4">
        <w:t>16.</w:t>
      </w:r>
      <w:r w:rsidRPr="00900AD4">
        <w:tab/>
        <w:t>emlékeztet arra, hogy egyetlen ágazat sem mentes a korrupció kockázatától, többek között azok sem, amelyekben jelentős áll</w:t>
      </w:r>
      <w:r w:rsidRPr="00900AD4">
        <w:t xml:space="preserve">ami forrásokat kezelnek, vagy a kritikus infrastruktúrákhoz és szolgáltatásokhoz, például az egészségügyi ellátáshoz és az építőiparhoz biztosítanak hozzáférést; hangsúlyozza, hogy a szervezett bűnözői csoportok egyre fontosabb szerepet játszanak az olyan </w:t>
      </w:r>
      <w:r w:rsidRPr="00900AD4">
        <w:t>tevékenységekben, mint a hamisítás, a kalózkodás és a szellemi tulajdonhoz fűződő jogok megsértése, amelyek előfordulása a digitális környezetben ugrásszerűen megnőtt; emlékeztet arra, hogy az ilyen illegális tevékenységekben részt vevő bűnözői csoportok a</w:t>
      </w:r>
      <w:r w:rsidRPr="00900AD4">
        <w:t xml:space="preserve"> nyereséget gyakran más jogellenes tevékenységek finanszírozására használják fel;</w:t>
      </w:r>
    </w:p>
    <w:p w:rsidR="008835A8" w:rsidRPr="00900AD4" w:rsidRDefault="00740114" w:rsidP="008835A8">
      <w:pPr>
        <w:pStyle w:val="NormalHanging12a"/>
      </w:pPr>
      <w:r w:rsidRPr="00900AD4">
        <w:t>17.</w:t>
      </w:r>
      <w:r w:rsidRPr="00900AD4">
        <w:tab/>
        <w:t>felhívja a Bizottságot, hogy a soron következő jogállamisági jelentéseibe foglalja bele a közpénzek megfelelő felhasználásának felügyeletére vonatkozó tagállami jogszabál</w:t>
      </w:r>
      <w:r w:rsidRPr="00900AD4">
        <w:t>yok elmúlt években történt fejlődésének értékelését, valamint a közpénzek helytelen felhasználásának kezelésére szolgáló jogi mechanizmusokat;</w:t>
      </w:r>
    </w:p>
    <w:p w:rsidR="008835A8" w:rsidRPr="00900AD4" w:rsidRDefault="00740114" w:rsidP="008835A8">
      <w:pPr>
        <w:pStyle w:val="NormalHanging12a"/>
      </w:pPr>
      <w:r w:rsidRPr="00900AD4">
        <w:t>18.</w:t>
      </w:r>
      <w:r w:rsidRPr="00900AD4">
        <w:tab/>
        <w:t xml:space="preserve">emlékeztet arra, hogy a Parlament határozottan támogatta az Európai Ügyészség létrehozását; elismeri az </w:t>
      </w:r>
      <w:r w:rsidRPr="00900AD4">
        <w:t xml:space="preserve">Európai Ügyészség mint független uniós szerv fontos szerepét az Unió pénzügyi érdekeit sértő bűncselekmények nyomozásában, az elkövetők büntetőeljárás alá vonásában és bíróság elé állításában; kiemeli, hogy működésének 2021. június 1-jei megkezdése óta az </w:t>
      </w:r>
      <w:r w:rsidRPr="00900AD4">
        <w:t>Európai Ügyészség több mint 4000 bűnügyi bejelentést vett nyilvántartásba a részt vevő uniós tagállamoktól és magánfelektől, és (2022 júniusáig) több mint 929 nyomozás indult;</w:t>
      </w:r>
    </w:p>
    <w:p w:rsidR="008835A8" w:rsidRPr="00900AD4" w:rsidRDefault="00740114" w:rsidP="008835A8">
      <w:pPr>
        <w:pStyle w:val="NormalHanging12a"/>
      </w:pPr>
      <w:r w:rsidRPr="00900AD4">
        <w:t>19.</w:t>
      </w:r>
      <w:r w:rsidRPr="00900AD4">
        <w:tab/>
        <w:t>sürgeti ezenfelül a Bizottságot, hogy azokban az esetekben, amikor úgy talál</w:t>
      </w:r>
      <w:r w:rsidRPr="00900AD4">
        <w:t>ja, hogy a közpénzekkel kapcsolatos biztosítékok szintje csökkent, haladéktalanul bocsátkozzon párbeszédbe az érintett tagállammal vagy tagállamokkal, kérve a helyzet orvoslásához szükséges intézkedések gyors végrehajtását;</w:t>
      </w:r>
    </w:p>
    <w:p w:rsidR="008835A8" w:rsidRPr="00900AD4" w:rsidRDefault="00740114" w:rsidP="008835A8">
      <w:pPr>
        <w:pStyle w:val="NormalHanging12a"/>
        <w:ind w:left="0" w:firstLine="0"/>
        <w:rPr>
          <w:b/>
          <w:i/>
        </w:rPr>
      </w:pPr>
      <w:r w:rsidRPr="00900AD4">
        <w:rPr>
          <w:b/>
          <w:i/>
        </w:rPr>
        <w:t>Civil társadalom</w:t>
      </w:r>
    </w:p>
    <w:p w:rsidR="008835A8" w:rsidRPr="00900AD4" w:rsidRDefault="00740114" w:rsidP="008835A8">
      <w:pPr>
        <w:pStyle w:val="NormalHanging12a"/>
      </w:pPr>
      <w:r w:rsidRPr="00900AD4">
        <w:t>20.</w:t>
      </w:r>
      <w:r w:rsidRPr="00900AD4">
        <w:tab/>
        <w:t xml:space="preserve">emlékeztet </w:t>
      </w:r>
      <w:r w:rsidRPr="00900AD4">
        <w:t>a demokráciának, valamint a tömegtájékoztatás szabadságának és sokszínűségének az Unióban való megerősítéséről szóló, 2021. november 11-i állásfoglalására, amelyben felszólította a Bizottságot, hogy tegyen javaslatot puha és kemény jogi szabályokat tartalm</w:t>
      </w:r>
      <w:r w:rsidRPr="00900AD4">
        <w:t>azó csomagra a közéleti részvételt akadályozó stratégiai perek növekvő számának kezelése érdekében; üdvözli a Bizottság 2022. április 27-i jogalkotási javaslatát és a tagállamokhoz – a Parlament vonatkozó felhívása nyomán – intézett ajánlását; hangsúlyozza</w:t>
      </w:r>
      <w:r w:rsidRPr="00900AD4">
        <w:t xml:space="preserve">, hogy a közéleti részvételt akadályozó stratégiai perek a zaklatás egy sajátos formáját képezik, amelyet elsősorban az újságírókkal szemben alkalmaznak a közérdekű ügyek melletti kiállásuk megakadályozására vagy megbüntetésére azáltal, hogy hosszadalmas, </w:t>
      </w:r>
      <w:r w:rsidRPr="00900AD4">
        <w:t>megterhelő és költséges pereknek teszik ki őket; felhívja a tagállamokat, hogy tartsák szem előtt a javasolt intézkedések célkitűzéseit, és fokozzák az újságírók biztonságának és védelmének javítására irányuló erőfeszítéseket;</w:t>
      </w:r>
    </w:p>
    <w:p w:rsidR="008835A8" w:rsidRPr="00900AD4" w:rsidRDefault="00740114" w:rsidP="008835A8">
      <w:pPr>
        <w:pStyle w:val="NormalHanging12a"/>
      </w:pPr>
      <w:r w:rsidRPr="00900AD4">
        <w:t>21.</w:t>
      </w:r>
      <w:r w:rsidRPr="00900AD4">
        <w:tab/>
        <w:t>komoly aggodalommal állap</w:t>
      </w:r>
      <w:r w:rsidRPr="00900AD4">
        <w:t>ítja meg, hogy összességében egyre szűkül a civil társadalom mozgástere néhány tagállamban, ami komoly fenyegetést jelent a jogállamiságra, a demokráciára, az alapvető jogokra, valamint az Unió más értékeire is; felhívja a Bizottságot, hogy az éves jogálla</w:t>
      </w:r>
      <w:r w:rsidRPr="00900AD4">
        <w:t xml:space="preserve">misági értékelés és jelentéstétel részeként </w:t>
      </w:r>
      <w:r w:rsidRPr="00900AD4">
        <w:lastRenderedPageBreak/>
        <w:t>kövesse nyomon a civil társadalom előtt álló kihívásokat és támadásokat, és jelentésébe foglaljon bele következtetéseket és célzott ajánlásokat; e tekintetben megismétli arra irányuló felhívását, hogy szenteljene</w:t>
      </w:r>
      <w:r w:rsidRPr="00900AD4">
        <w:t>k külön fejezetet a civil társadalom tagállamokbeli helyzetének;</w:t>
      </w:r>
    </w:p>
    <w:p w:rsidR="008835A8" w:rsidRPr="00900AD4" w:rsidRDefault="00740114" w:rsidP="008835A8">
      <w:pPr>
        <w:pStyle w:val="NormalHanging12a"/>
      </w:pPr>
      <w:r w:rsidRPr="00900AD4">
        <w:t>22.</w:t>
      </w:r>
      <w:r w:rsidRPr="00900AD4">
        <w:tab/>
        <w:t>hangsúlyozza, hogy a jelenlegi uniós és nemzeti szintű jogi keret nem elegendő egy erős páneurópai civil társadalom – amelynek megléte a demokráciához szükséges – létrehozásához és támoga</w:t>
      </w:r>
      <w:r w:rsidRPr="00900AD4">
        <w:t>tásához; úgy véli ezért, hogy a határokon átnyúló uniós egyesületek és nonprofit szervezetek statútuma további védelmet fog nyújtani azon civil társadalmi szervezetek számára, amelyek a létrehozásuk és működésük útjában álló indokolatlan akadályokkal szemb</w:t>
      </w:r>
      <w:r w:rsidRPr="00900AD4">
        <w:t>esülnek</w:t>
      </w:r>
      <w:r w:rsidRPr="00900AD4">
        <w:rPr>
          <w:rStyle w:val="FootnoteReference"/>
        </w:rPr>
        <w:footnoteReference w:id="13"/>
      </w:r>
      <w:r w:rsidRPr="00900AD4">
        <w:t>.</w:t>
      </w:r>
    </w:p>
    <w:p w:rsidR="008835A8" w:rsidRPr="00900AD4" w:rsidRDefault="008835A8" w:rsidP="008835A8"/>
    <w:p w:rsidR="008835A8" w:rsidRPr="00900AD4" w:rsidRDefault="008835A8" w:rsidP="008835A8">
      <w:pPr>
        <w:pStyle w:val="NormalHanging12a"/>
        <w:ind w:left="0" w:firstLine="0"/>
        <w:sectPr w:rsidR="008835A8" w:rsidRPr="00900AD4" w:rsidSect="00900AD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8835A8" w:rsidRPr="00900AD4" w:rsidRDefault="00740114" w:rsidP="008835A8">
      <w:pPr>
        <w:pStyle w:val="PageHeadingNotTOC"/>
        <w:rPr>
          <w:rFonts w:eastAsia="Calibri"/>
          <w:szCs w:val="24"/>
        </w:rPr>
      </w:pPr>
      <w:r w:rsidRPr="00900AD4">
        <w:lastRenderedPageBreak/>
        <w:t>MELLÉKLET: AZON SZERVEZETEK VAGY SZEMÉLYEK JEGYZÉKE, AMELYEKTŐL, ILLETVE AKIKTŐL AZ ELŐADÓ ÉSZREVÉTELEKET KAPOTT</w:t>
      </w:r>
    </w:p>
    <w:p w:rsidR="008835A8" w:rsidRPr="00900AD4" w:rsidRDefault="008835A8" w:rsidP="008835A8">
      <w:pPr>
        <w:spacing w:line="200" w:lineRule="exact"/>
        <w:rPr>
          <w:sz w:val="22"/>
          <w:szCs w:val="22"/>
        </w:rPr>
      </w:pPr>
    </w:p>
    <w:p w:rsidR="008835A8" w:rsidRPr="00900AD4" w:rsidRDefault="008835A8" w:rsidP="008835A8">
      <w:pPr>
        <w:spacing w:line="200" w:lineRule="exact"/>
        <w:rPr>
          <w:sz w:val="22"/>
          <w:szCs w:val="22"/>
        </w:rPr>
      </w:pPr>
    </w:p>
    <w:p w:rsidR="008835A8" w:rsidRPr="00900AD4" w:rsidRDefault="00740114" w:rsidP="008835A8">
      <w:pPr>
        <w:spacing w:line="360" w:lineRule="auto"/>
        <w:rPr>
          <w:iCs/>
          <w:sz w:val="22"/>
          <w:szCs w:val="22"/>
        </w:rPr>
      </w:pPr>
      <w:r w:rsidRPr="00900AD4">
        <w:rPr>
          <w:sz w:val="22"/>
        </w:rPr>
        <w:t xml:space="preserve">Az előadó kizárólagos felelősségi körében kijelenti, hogy sem szervezettől, sem személytől nem kapott olyan </w:t>
      </w:r>
      <w:r w:rsidRPr="00900AD4">
        <w:rPr>
          <w:sz w:val="22"/>
        </w:rPr>
        <w:t>észrevételeket, melyeket az eljárási szabályzat I. mellékletének 8. cikke értelmében fel kell tüntetni ebben a mellékletben.</w:t>
      </w:r>
    </w:p>
    <w:p w:rsidR="008835A8" w:rsidRPr="00900AD4" w:rsidRDefault="008835A8" w:rsidP="008835A8">
      <w:pPr>
        <w:spacing w:line="360" w:lineRule="auto"/>
        <w:rPr>
          <w:iCs/>
          <w:sz w:val="22"/>
          <w:szCs w:val="22"/>
        </w:rPr>
      </w:pPr>
    </w:p>
    <w:p w:rsidR="00FE075C" w:rsidRPr="00900AD4" w:rsidRDefault="00740114" w:rsidP="008835A8">
      <w:pPr>
        <w:pStyle w:val="PageHeadingNotTOC"/>
      </w:pPr>
      <w:r w:rsidRPr="00900AD4">
        <w:br w:type="page"/>
      </w:r>
    </w:p>
    <w:p w:rsidR="00FE075C" w:rsidRPr="00900AD4" w:rsidRDefault="00740114" w:rsidP="00FE075C">
      <w:pPr>
        <w:pStyle w:val="PageHeadingNotTOC"/>
      </w:pPr>
      <w:bookmarkStart w:id="0" w:name="ProcPageAD"/>
      <w:r w:rsidRPr="00900AD4">
        <w:lastRenderedPageBreak/>
        <w:t>INFORMÁCIÓ A VÉLEMÉNYNYILVÁNÍTÁSRA FELKÉRT</w:t>
      </w:r>
      <w:r w:rsidRPr="00900AD4">
        <w:br/>
        <w:t>BIZOTTSÁG ÁLTALI ELFOGADÁSRÓL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DD4B97" w:rsidRPr="00900AD4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FE075C" w:rsidRPr="00900AD4" w:rsidRDefault="0074011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900AD4">
              <w:rPr>
                <w:b/>
                <w:color w:val="000000"/>
                <w:sz w:val="20"/>
              </w:rPr>
              <w:t>Az elfogadás dátuma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FE075C" w:rsidRPr="00900AD4" w:rsidRDefault="0074011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00AD4">
              <w:rPr>
                <w:color w:val="000000"/>
                <w:sz w:val="20"/>
              </w:rPr>
              <w:t>29.11.2023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FE075C" w:rsidRPr="00900AD4" w:rsidRDefault="00FE075C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FE075C" w:rsidRPr="00900AD4" w:rsidRDefault="00FE075C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FE075C" w:rsidRPr="00900AD4" w:rsidRDefault="00FE075C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DD4B97" w:rsidRPr="00900AD4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FE075C" w:rsidRPr="00900AD4" w:rsidRDefault="0074011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900AD4">
              <w:rPr>
                <w:b/>
                <w:color w:val="000000"/>
                <w:sz w:val="20"/>
              </w:rPr>
              <w:t xml:space="preserve">A zárószavazás </w:t>
            </w:r>
            <w:r w:rsidRPr="00900AD4">
              <w:rPr>
                <w:b/>
                <w:color w:val="000000"/>
                <w:sz w:val="20"/>
              </w:rPr>
              <w:t>eredménye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FE075C" w:rsidRPr="00900AD4" w:rsidRDefault="0074011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00AD4">
              <w:rPr>
                <w:color w:val="000000"/>
                <w:sz w:val="20"/>
              </w:rPr>
              <w:t>+:</w:t>
            </w:r>
          </w:p>
          <w:p w:rsidR="00FE075C" w:rsidRPr="00900AD4" w:rsidRDefault="0074011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00AD4">
              <w:rPr>
                <w:color w:val="000000"/>
                <w:sz w:val="20"/>
              </w:rPr>
              <w:t>–:</w:t>
            </w:r>
          </w:p>
          <w:p w:rsidR="00FE075C" w:rsidRPr="00900AD4" w:rsidRDefault="0074011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00AD4"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FE075C" w:rsidRPr="00900AD4" w:rsidRDefault="0074011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00AD4">
              <w:rPr>
                <w:color w:val="000000"/>
                <w:sz w:val="20"/>
              </w:rPr>
              <w:t>20</w:t>
            </w:r>
          </w:p>
          <w:p w:rsidR="00FE075C" w:rsidRPr="00900AD4" w:rsidRDefault="0074011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00AD4">
              <w:rPr>
                <w:color w:val="000000"/>
                <w:sz w:val="20"/>
              </w:rPr>
              <w:t>2</w:t>
            </w:r>
          </w:p>
          <w:p w:rsidR="00FE075C" w:rsidRPr="00900AD4" w:rsidRDefault="0074011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00AD4">
              <w:rPr>
                <w:color w:val="000000"/>
                <w:sz w:val="20"/>
              </w:rPr>
              <w:t>0</w:t>
            </w:r>
          </w:p>
        </w:tc>
      </w:tr>
      <w:tr w:rsidR="00DD4B97" w:rsidRPr="00900AD4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FE075C" w:rsidRPr="00900AD4" w:rsidRDefault="0074011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900AD4">
              <w:rPr>
                <w:b/>
                <w:color w:val="000000"/>
                <w:sz w:val="20"/>
              </w:rPr>
              <w:t>A zárószavazáson jelen lévő tagok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FE075C" w:rsidRPr="00900AD4" w:rsidRDefault="0074011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00AD4">
              <w:rPr>
                <w:color w:val="000000"/>
                <w:sz w:val="20"/>
              </w:rPr>
              <w:t xml:space="preserve">Pascal Arimont, Ilana Cicurel, Geoffroy Didier, Ibán García Del Blanco, Virginie Joron, Pierre Karleskind, Sergey Lagodinsky, Gilles Lebreton, Karen Melchior, Sabrina Pignedoli, Jiří Pospíšil, </w:t>
            </w:r>
            <w:r w:rsidRPr="00900AD4">
              <w:rPr>
                <w:color w:val="000000"/>
                <w:sz w:val="20"/>
              </w:rPr>
              <w:t>Raffaele Stancanelli, Adrián Vázquez Lázara, Axel Voss, Marion Walsmann, Tiemo Wölken, Javier Zarzalejos</w:t>
            </w:r>
          </w:p>
        </w:tc>
      </w:tr>
      <w:tr w:rsidR="00DD4B97" w:rsidRPr="00900AD4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FE075C" w:rsidRPr="00900AD4" w:rsidRDefault="0074011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900AD4">
              <w:rPr>
                <w:b/>
                <w:color w:val="000000"/>
                <w:sz w:val="20"/>
              </w:rPr>
              <w:t>A zárószavazáson jelen lévő póttagok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FE075C" w:rsidRPr="00900AD4" w:rsidRDefault="0074011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00AD4">
              <w:rPr>
                <w:color w:val="000000"/>
                <w:sz w:val="20"/>
              </w:rPr>
              <w:t>Daniel Buda, Pascal Durand, Heidi Hautala</w:t>
            </w:r>
          </w:p>
        </w:tc>
      </w:tr>
      <w:tr w:rsidR="00DD4B97" w:rsidRPr="00900AD4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FE075C" w:rsidRPr="00900AD4" w:rsidRDefault="0074011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900AD4">
              <w:rPr>
                <w:b/>
                <w:color w:val="000000"/>
                <w:sz w:val="20"/>
              </w:rPr>
              <w:t>A zárószavazáson jelen lévő póttagok (209. cikk, (7) bekezdés)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FE075C" w:rsidRPr="00900AD4" w:rsidRDefault="00740114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00AD4">
              <w:rPr>
                <w:color w:val="000000"/>
                <w:sz w:val="20"/>
              </w:rPr>
              <w:t xml:space="preserve">Sylvie </w:t>
            </w:r>
            <w:r w:rsidRPr="00900AD4">
              <w:rPr>
                <w:color w:val="000000"/>
                <w:sz w:val="20"/>
              </w:rPr>
              <w:t>Guillaume, Pedro Marques, Anne-Sophie Pelletier</w:t>
            </w:r>
          </w:p>
        </w:tc>
      </w:tr>
    </w:tbl>
    <w:p w:rsidR="00FE075C" w:rsidRPr="00900AD4" w:rsidRDefault="00FE075C"/>
    <w:bookmarkEnd w:id="0"/>
    <w:p w:rsidR="008835A8" w:rsidRPr="00900AD4" w:rsidRDefault="00740114">
      <w:pPr>
        <w:widowControl/>
      </w:pPr>
      <w:r w:rsidRPr="00900AD4">
        <w:br w:type="page"/>
      </w:r>
    </w:p>
    <w:p w:rsidR="008835A8" w:rsidRPr="00900AD4" w:rsidRDefault="00740114" w:rsidP="008835A8">
      <w:pPr>
        <w:pStyle w:val="PageHeadingNotTOC"/>
      </w:pPr>
      <w:bookmarkStart w:id="1" w:name="RollCallPageAD"/>
      <w:r w:rsidRPr="00900AD4">
        <w:lastRenderedPageBreak/>
        <w:t>NÉV SZERINTI ZÁRÓSZAVAZÁS A VÉLEMÉNYNYILVÁNÍTÁSRA FELKÉRT BIZOTTSÁGBAN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DD4B97" w:rsidRPr="00900AD4" w:rsidTr="00C37F4E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8835A8" w:rsidRPr="00900AD4" w:rsidRDefault="00740114" w:rsidP="00C37F4E">
            <w:pPr>
              <w:pStyle w:val="RollCallVotes"/>
            </w:pPr>
            <w:r w:rsidRPr="00900AD4">
              <w:t>20</w:t>
            </w:r>
          </w:p>
        </w:tc>
        <w:tc>
          <w:tcPr>
            <w:tcW w:w="7371" w:type="dxa"/>
            <w:shd w:val="pct10" w:color="000000" w:fill="FFFFFF"/>
          </w:tcPr>
          <w:p w:rsidR="008835A8" w:rsidRPr="00900AD4" w:rsidRDefault="00740114" w:rsidP="00C37F4E">
            <w:pPr>
              <w:pStyle w:val="RollCallSymbols14pt"/>
            </w:pPr>
            <w:r w:rsidRPr="00900AD4">
              <w:t>+</w:t>
            </w:r>
          </w:p>
        </w:tc>
      </w:tr>
      <w:tr w:rsidR="00DD4B97" w:rsidRPr="00900AD4" w:rsidTr="00C37F4E">
        <w:trPr>
          <w:cantSplit/>
        </w:trPr>
        <w:tc>
          <w:tcPr>
            <w:tcW w:w="1701" w:type="dxa"/>
            <w:shd w:val="clear" w:color="auto" w:fill="FFFFFF"/>
          </w:tcPr>
          <w:p w:rsidR="008835A8" w:rsidRPr="00900AD4" w:rsidRDefault="00740114" w:rsidP="00C37F4E">
            <w:pPr>
              <w:pStyle w:val="RollCallTable"/>
            </w:pPr>
            <w:r w:rsidRPr="00900AD4">
              <w:t>NI</w:t>
            </w:r>
          </w:p>
        </w:tc>
        <w:tc>
          <w:tcPr>
            <w:tcW w:w="7371" w:type="dxa"/>
            <w:shd w:val="clear" w:color="auto" w:fill="FFFFFF"/>
          </w:tcPr>
          <w:p w:rsidR="008835A8" w:rsidRPr="00900AD4" w:rsidRDefault="00740114" w:rsidP="00C37F4E">
            <w:pPr>
              <w:pStyle w:val="RollCallTable"/>
            </w:pPr>
            <w:r w:rsidRPr="00900AD4">
              <w:t>Sabrina Pignedoli</w:t>
            </w:r>
          </w:p>
        </w:tc>
      </w:tr>
      <w:tr w:rsidR="00DD4B97" w:rsidRPr="00900AD4" w:rsidTr="00C37F4E">
        <w:trPr>
          <w:cantSplit/>
        </w:trPr>
        <w:tc>
          <w:tcPr>
            <w:tcW w:w="1701" w:type="dxa"/>
            <w:shd w:val="clear" w:color="auto" w:fill="FFFFFF"/>
          </w:tcPr>
          <w:p w:rsidR="008835A8" w:rsidRPr="00900AD4" w:rsidRDefault="00740114" w:rsidP="00C37F4E">
            <w:pPr>
              <w:pStyle w:val="RollCallTable"/>
            </w:pPr>
            <w:r w:rsidRPr="00900AD4">
              <w:t>PPE</w:t>
            </w:r>
          </w:p>
        </w:tc>
        <w:tc>
          <w:tcPr>
            <w:tcW w:w="7371" w:type="dxa"/>
            <w:shd w:val="clear" w:color="auto" w:fill="FFFFFF"/>
          </w:tcPr>
          <w:p w:rsidR="008835A8" w:rsidRPr="00900AD4" w:rsidRDefault="00740114" w:rsidP="00C37F4E">
            <w:pPr>
              <w:pStyle w:val="RollCallTable"/>
            </w:pPr>
            <w:r w:rsidRPr="00900AD4">
              <w:t xml:space="preserve">Pascal Arimont, Daniel Buda, Geoffroy Didier, Jiří Pospíšil, Axel Voss, Marion Walsmann, Javier </w:t>
            </w:r>
            <w:r w:rsidRPr="00900AD4">
              <w:t>Zarzalejos</w:t>
            </w:r>
          </w:p>
        </w:tc>
      </w:tr>
      <w:tr w:rsidR="00DD4B97" w:rsidRPr="00900AD4" w:rsidTr="00C37F4E">
        <w:trPr>
          <w:cantSplit/>
        </w:trPr>
        <w:tc>
          <w:tcPr>
            <w:tcW w:w="1701" w:type="dxa"/>
            <w:shd w:val="clear" w:color="auto" w:fill="FFFFFF"/>
          </w:tcPr>
          <w:p w:rsidR="008835A8" w:rsidRPr="00900AD4" w:rsidRDefault="00740114" w:rsidP="00C37F4E">
            <w:pPr>
              <w:pStyle w:val="RollCallTable"/>
            </w:pPr>
            <w:r w:rsidRPr="00900AD4">
              <w:t>Renew</w:t>
            </w:r>
          </w:p>
        </w:tc>
        <w:tc>
          <w:tcPr>
            <w:tcW w:w="7371" w:type="dxa"/>
            <w:shd w:val="clear" w:color="auto" w:fill="FFFFFF"/>
          </w:tcPr>
          <w:p w:rsidR="008835A8" w:rsidRPr="00900AD4" w:rsidRDefault="00740114" w:rsidP="00C37F4E">
            <w:pPr>
              <w:pStyle w:val="RollCallTable"/>
            </w:pPr>
            <w:r w:rsidRPr="00900AD4">
              <w:t>Ilana Cicurel, Pierre Karleskind, Karen Melchior, Adrián Vázquez Lázara</w:t>
            </w:r>
          </w:p>
        </w:tc>
      </w:tr>
      <w:tr w:rsidR="00DD4B97" w:rsidRPr="00900AD4" w:rsidTr="00C37F4E">
        <w:trPr>
          <w:cantSplit/>
        </w:trPr>
        <w:tc>
          <w:tcPr>
            <w:tcW w:w="1701" w:type="dxa"/>
            <w:shd w:val="clear" w:color="auto" w:fill="FFFFFF"/>
          </w:tcPr>
          <w:p w:rsidR="008835A8" w:rsidRPr="00900AD4" w:rsidRDefault="00740114" w:rsidP="00C37F4E">
            <w:pPr>
              <w:pStyle w:val="RollCallTable"/>
            </w:pPr>
            <w:r w:rsidRPr="00900AD4">
              <w:t>S&amp;D</w:t>
            </w:r>
          </w:p>
        </w:tc>
        <w:tc>
          <w:tcPr>
            <w:tcW w:w="7371" w:type="dxa"/>
            <w:shd w:val="clear" w:color="auto" w:fill="FFFFFF"/>
          </w:tcPr>
          <w:p w:rsidR="008835A8" w:rsidRPr="00900AD4" w:rsidRDefault="00740114" w:rsidP="00C37F4E">
            <w:pPr>
              <w:pStyle w:val="RollCallTable"/>
            </w:pPr>
            <w:r w:rsidRPr="00900AD4">
              <w:t>Pascal Durand, Ibán García Del Blanco, Sylvie Guillaume, Pedro Marques, Tiemo Wölken</w:t>
            </w:r>
          </w:p>
        </w:tc>
      </w:tr>
      <w:tr w:rsidR="00DD4B97" w:rsidRPr="00900AD4" w:rsidTr="00C37F4E">
        <w:trPr>
          <w:cantSplit/>
        </w:trPr>
        <w:tc>
          <w:tcPr>
            <w:tcW w:w="1701" w:type="dxa"/>
            <w:shd w:val="clear" w:color="auto" w:fill="FFFFFF"/>
          </w:tcPr>
          <w:p w:rsidR="008835A8" w:rsidRPr="00900AD4" w:rsidRDefault="00740114" w:rsidP="00C37F4E">
            <w:pPr>
              <w:pStyle w:val="RollCallTable"/>
            </w:pPr>
            <w:r w:rsidRPr="00900AD4">
              <w:t>The Left</w:t>
            </w:r>
          </w:p>
        </w:tc>
        <w:tc>
          <w:tcPr>
            <w:tcW w:w="7371" w:type="dxa"/>
            <w:shd w:val="clear" w:color="auto" w:fill="FFFFFF"/>
          </w:tcPr>
          <w:p w:rsidR="008835A8" w:rsidRPr="00900AD4" w:rsidRDefault="00740114" w:rsidP="00C37F4E">
            <w:pPr>
              <w:pStyle w:val="RollCallTable"/>
            </w:pPr>
            <w:r w:rsidRPr="00900AD4">
              <w:t>Anne-Sophie Pelletier</w:t>
            </w:r>
          </w:p>
        </w:tc>
      </w:tr>
      <w:tr w:rsidR="00DD4B97" w:rsidRPr="00900AD4" w:rsidTr="00C37F4E">
        <w:trPr>
          <w:cantSplit/>
        </w:trPr>
        <w:tc>
          <w:tcPr>
            <w:tcW w:w="1701" w:type="dxa"/>
            <w:shd w:val="clear" w:color="auto" w:fill="FFFFFF"/>
          </w:tcPr>
          <w:p w:rsidR="008835A8" w:rsidRPr="00900AD4" w:rsidRDefault="00740114" w:rsidP="00C37F4E">
            <w:pPr>
              <w:pStyle w:val="RollCallTable"/>
            </w:pPr>
            <w:r w:rsidRPr="00900AD4"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8835A8" w:rsidRPr="00900AD4" w:rsidRDefault="00740114" w:rsidP="00C37F4E">
            <w:pPr>
              <w:pStyle w:val="RollCallTable"/>
            </w:pPr>
            <w:r w:rsidRPr="00900AD4">
              <w:t>Heidi Hautala, Sergey Lagodinsky</w:t>
            </w:r>
          </w:p>
        </w:tc>
      </w:tr>
    </w:tbl>
    <w:p w:rsidR="008835A8" w:rsidRPr="00900AD4" w:rsidRDefault="008835A8" w:rsidP="008835A8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DD4B97" w:rsidRPr="00900AD4" w:rsidTr="00C37F4E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8835A8" w:rsidRPr="00900AD4" w:rsidRDefault="00740114" w:rsidP="00C37F4E">
            <w:pPr>
              <w:pStyle w:val="RollCallVotes"/>
            </w:pPr>
            <w:r w:rsidRPr="00900AD4">
              <w:t>2</w:t>
            </w:r>
          </w:p>
        </w:tc>
        <w:tc>
          <w:tcPr>
            <w:tcW w:w="7371" w:type="dxa"/>
            <w:shd w:val="pct10" w:color="000000" w:fill="FFFFFF"/>
          </w:tcPr>
          <w:p w:rsidR="008835A8" w:rsidRPr="00900AD4" w:rsidRDefault="00740114" w:rsidP="00C37F4E">
            <w:pPr>
              <w:pStyle w:val="RollCallSymbols14pt"/>
            </w:pPr>
            <w:r w:rsidRPr="00900AD4">
              <w:t>-</w:t>
            </w:r>
          </w:p>
        </w:tc>
      </w:tr>
      <w:tr w:rsidR="00DD4B97" w:rsidRPr="00900AD4" w:rsidTr="00C37F4E">
        <w:trPr>
          <w:cantSplit/>
        </w:trPr>
        <w:tc>
          <w:tcPr>
            <w:tcW w:w="1701" w:type="dxa"/>
            <w:shd w:val="clear" w:color="auto" w:fill="FFFFFF"/>
          </w:tcPr>
          <w:p w:rsidR="008835A8" w:rsidRPr="00900AD4" w:rsidRDefault="00740114" w:rsidP="00C37F4E">
            <w:pPr>
              <w:pStyle w:val="RollCallTable"/>
            </w:pPr>
            <w:r w:rsidRPr="00900AD4">
              <w:t>ID</w:t>
            </w:r>
          </w:p>
        </w:tc>
        <w:tc>
          <w:tcPr>
            <w:tcW w:w="7371" w:type="dxa"/>
            <w:shd w:val="clear" w:color="auto" w:fill="FFFFFF"/>
          </w:tcPr>
          <w:p w:rsidR="008835A8" w:rsidRPr="00900AD4" w:rsidRDefault="00740114" w:rsidP="00C37F4E">
            <w:pPr>
              <w:pStyle w:val="RollCallTable"/>
            </w:pPr>
            <w:r w:rsidRPr="00900AD4">
              <w:t>Virginie Joron, Gilles Lebreton</w:t>
            </w:r>
          </w:p>
        </w:tc>
      </w:tr>
    </w:tbl>
    <w:p w:rsidR="008835A8" w:rsidRPr="00900AD4" w:rsidRDefault="008835A8" w:rsidP="008835A8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DD4B97" w:rsidRPr="00900AD4" w:rsidTr="00C37F4E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8835A8" w:rsidRPr="00900AD4" w:rsidRDefault="00740114" w:rsidP="00C37F4E">
            <w:pPr>
              <w:pStyle w:val="RollCallVotes"/>
            </w:pPr>
            <w:r w:rsidRPr="00900AD4">
              <w:t>0</w:t>
            </w:r>
          </w:p>
        </w:tc>
        <w:tc>
          <w:tcPr>
            <w:tcW w:w="7371" w:type="dxa"/>
            <w:shd w:val="pct10" w:color="000000" w:fill="FFFFFF"/>
          </w:tcPr>
          <w:p w:rsidR="008835A8" w:rsidRPr="00900AD4" w:rsidRDefault="00740114" w:rsidP="00C37F4E">
            <w:pPr>
              <w:pStyle w:val="RollCallSymbols14pt"/>
            </w:pPr>
            <w:r w:rsidRPr="00900AD4">
              <w:t>0</w:t>
            </w:r>
          </w:p>
        </w:tc>
      </w:tr>
      <w:tr w:rsidR="00DD4B97" w:rsidRPr="00900AD4" w:rsidTr="00C37F4E">
        <w:trPr>
          <w:cantSplit/>
        </w:trPr>
        <w:tc>
          <w:tcPr>
            <w:tcW w:w="1701" w:type="dxa"/>
            <w:shd w:val="clear" w:color="auto" w:fill="FFFFFF"/>
          </w:tcPr>
          <w:p w:rsidR="008835A8" w:rsidRPr="00900AD4" w:rsidRDefault="008835A8" w:rsidP="00C37F4E">
            <w:pPr>
              <w:pStyle w:val="RollCallTable"/>
            </w:pPr>
          </w:p>
        </w:tc>
        <w:tc>
          <w:tcPr>
            <w:tcW w:w="7371" w:type="dxa"/>
            <w:shd w:val="clear" w:color="auto" w:fill="FFFFFF"/>
          </w:tcPr>
          <w:p w:rsidR="008835A8" w:rsidRPr="00900AD4" w:rsidRDefault="008835A8" w:rsidP="00C37F4E">
            <w:pPr>
              <w:pStyle w:val="RollCallTable"/>
            </w:pPr>
          </w:p>
        </w:tc>
      </w:tr>
    </w:tbl>
    <w:p w:rsidR="008835A8" w:rsidRPr="00900AD4" w:rsidRDefault="008835A8" w:rsidP="008835A8">
      <w:pPr>
        <w:pStyle w:val="Normal12a"/>
      </w:pPr>
    </w:p>
    <w:p w:rsidR="008835A8" w:rsidRPr="00900AD4" w:rsidRDefault="00740114" w:rsidP="008835A8">
      <w:r w:rsidRPr="00900AD4">
        <w:t>Jelmagyarázat:</w:t>
      </w:r>
    </w:p>
    <w:p w:rsidR="008835A8" w:rsidRPr="00900AD4" w:rsidRDefault="00740114" w:rsidP="008835A8">
      <w:pPr>
        <w:pStyle w:val="RollCallTabs"/>
      </w:pPr>
      <w:r w:rsidRPr="00900AD4">
        <w:t>+</w:t>
      </w:r>
      <w:r w:rsidRPr="00900AD4">
        <w:tab/>
        <w:t>:</w:t>
      </w:r>
      <w:r w:rsidRPr="00900AD4">
        <w:tab/>
        <w:t>mellette</w:t>
      </w:r>
    </w:p>
    <w:p w:rsidR="008835A8" w:rsidRPr="00900AD4" w:rsidRDefault="00740114" w:rsidP="008835A8">
      <w:pPr>
        <w:pStyle w:val="RollCallTabs"/>
      </w:pPr>
      <w:r w:rsidRPr="00900AD4">
        <w:t>-</w:t>
      </w:r>
      <w:r w:rsidRPr="00900AD4">
        <w:tab/>
        <w:t>:</w:t>
      </w:r>
      <w:r w:rsidRPr="00900AD4">
        <w:tab/>
        <w:t>ellene</w:t>
      </w:r>
    </w:p>
    <w:p w:rsidR="008835A8" w:rsidRPr="00900AD4" w:rsidRDefault="00740114" w:rsidP="008835A8">
      <w:pPr>
        <w:pStyle w:val="RollCallTabs"/>
      </w:pPr>
      <w:r w:rsidRPr="00900AD4">
        <w:t>0</w:t>
      </w:r>
      <w:r w:rsidRPr="00900AD4">
        <w:tab/>
        <w:t>:</w:t>
      </w:r>
      <w:r w:rsidRPr="00900AD4">
        <w:tab/>
        <w:t>tar</w:t>
      </w:r>
      <w:bookmarkStart w:id="2" w:name="_GoBack"/>
      <w:bookmarkEnd w:id="2"/>
      <w:r w:rsidRPr="00900AD4">
        <w:t>tózkodás</w:t>
      </w:r>
    </w:p>
    <w:p w:rsidR="008835A8" w:rsidRPr="00900AD4" w:rsidRDefault="008835A8" w:rsidP="008835A8"/>
    <w:bookmarkEnd w:id="1"/>
    <w:sectPr w:rsidR="008835A8" w:rsidRPr="00900AD4" w:rsidSect="00900AD4">
      <w:headerReference w:type="even" r:id="rId15"/>
      <w:headerReference w:type="default" r:id="rId16"/>
      <w:headerReference w:type="first" r:id="rId17"/>
      <w:footerReference w:type="first" r:id="rId18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900AD4" w:rsidRDefault="00740114">
      <w:r w:rsidRPr="00900AD4">
        <w:separator/>
      </w:r>
    </w:p>
  </w:endnote>
  <w:endnote w:type="continuationSeparator" w:id="0">
    <w:p w:rsidR="00000000" w:rsidRPr="00900AD4" w:rsidRDefault="00740114">
      <w:r w:rsidRPr="00900AD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AD4" w:rsidRPr="00900AD4" w:rsidRDefault="00900AD4" w:rsidP="00900AD4">
    <w:pPr>
      <w:pStyle w:val="EPFooter"/>
    </w:pPr>
    <w:r w:rsidRPr="00900AD4">
      <w:t>PE</w:t>
    </w:r>
    <w:r w:rsidRPr="00900AD4">
      <w:rPr>
        <w:rStyle w:val="HideTWBExt"/>
      </w:rPr>
      <w:t>&lt;NoPE&gt;</w:t>
    </w:r>
    <w:r w:rsidRPr="00900AD4">
      <w:t>754.755</w:t>
    </w:r>
    <w:r w:rsidRPr="00900AD4">
      <w:rPr>
        <w:rStyle w:val="HideTWBExt"/>
      </w:rPr>
      <w:t>&lt;/NoPE&gt;&lt;Version&gt;</w:t>
    </w:r>
    <w:r w:rsidRPr="00900AD4">
      <w:t>v02-00</w:t>
    </w:r>
    <w:r w:rsidRPr="00900AD4">
      <w:rPr>
        <w:rStyle w:val="HideTWBExt"/>
      </w:rPr>
      <w:t>&lt;/Version&gt;</w:t>
    </w:r>
    <w:r w:rsidRPr="00900AD4">
      <w:tab/>
    </w:r>
    <w:r w:rsidRPr="00900AD4">
      <w:fldChar w:fldCharType="begin"/>
    </w:r>
    <w:r w:rsidRPr="00900AD4">
      <w:instrText xml:space="preserve"> PAGE  \* MERGEFORMAT </w:instrText>
    </w:r>
    <w:r w:rsidRPr="00900AD4">
      <w:fldChar w:fldCharType="separate"/>
    </w:r>
    <w:r w:rsidR="00740114">
      <w:rPr>
        <w:noProof/>
      </w:rPr>
      <w:t>10</w:t>
    </w:r>
    <w:r w:rsidRPr="00900AD4">
      <w:fldChar w:fldCharType="end"/>
    </w:r>
    <w:r w:rsidRPr="00900AD4">
      <w:t>/</w:t>
    </w:r>
    <w:fldSimple w:instr=" NUMPAGES  \* MERGEFORMAT ">
      <w:r w:rsidR="00740114">
        <w:rPr>
          <w:noProof/>
        </w:rPr>
        <w:t>11</w:t>
      </w:r>
    </w:fldSimple>
    <w:r w:rsidRPr="00900AD4">
      <w:tab/>
    </w:r>
    <w:r w:rsidRPr="00900AD4">
      <w:rPr>
        <w:rStyle w:val="HideTWBExt"/>
      </w:rPr>
      <w:t>&lt;PathFdR&gt;</w:t>
    </w:r>
    <w:r w:rsidRPr="00900AD4">
      <w:t>AD\1291636HU.docx</w:t>
    </w:r>
    <w:r w:rsidRPr="00900AD4">
      <w:rPr>
        <w:rStyle w:val="HideTWBExt"/>
      </w:rPr>
      <w:t>&lt;/PathFdR&gt;</w:t>
    </w:r>
  </w:p>
  <w:p w:rsidR="008835A8" w:rsidRPr="00900AD4" w:rsidRDefault="00900AD4" w:rsidP="00900AD4">
    <w:pPr>
      <w:pStyle w:val="EPFooter2"/>
    </w:pPr>
    <w:r w:rsidRPr="00900AD4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AD4" w:rsidRPr="00900AD4" w:rsidRDefault="00900AD4" w:rsidP="00900AD4">
    <w:pPr>
      <w:pStyle w:val="EPFooter"/>
    </w:pPr>
    <w:r w:rsidRPr="00900AD4">
      <w:rPr>
        <w:rStyle w:val="HideTWBExt"/>
      </w:rPr>
      <w:t>&lt;PathFdR&gt;</w:t>
    </w:r>
    <w:r w:rsidRPr="00900AD4">
      <w:t>AD\1291636HU.docx</w:t>
    </w:r>
    <w:r w:rsidRPr="00900AD4">
      <w:rPr>
        <w:rStyle w:val="HideTWBExt"/>
      </w:rPr>
      <w:t>&lt;/PathFdR&gt;</w:t>
    </w:r>
    <w:r w:rsidRPr="00900AD4">
      <w:tab/>
    </w:r>
    <w:r w:rsidRPr="00900AD4">
      <w:fldChar w:fldCharType="begin"/>
    </w:r>
    <w:r w:rsidRPr="00900AD4">
      <w:instrText xml:space="preserve"> PAGE  \* MERGEFORMAT </w:instrText>
    </w:r>
    <w:r w:rsidRPr="00900AD4">
      <w:fldChar w:fldCharType="separate"/>
    </w:r>
    <w:r w:rsidR="00740114">
      <w:rPr>
        <w:noProof/>
      </w:rPr>
      <w:t>11</w:t>
    </w:r>
    <w:r w:rsidRPr="00900AD4">
      <w:fldChar w:fldCharType="end"/>
    </w:r>
    <w:r w:rsidRPr="00900AD4">
      <w:t>/</w:t>
    </w:r>
    <w:fldSimple w:instr=" NUMPAGES  \* MERGEFORMAT ">
      <w:r w:rsidR="00740114">
        <w:rPr>
          <w:noProof/>
        </w:rPr>
        <w:t>11</w:t>
      </w:r>
    </w:fldSimple>
    <w:r w:rsidRPr="00900AD4">
      <w:tab/>
      <w:t>PE</w:t>
    </w:r>
    <w:r w:rsidRPr="00900AD4">
      <w:rPr>
        <w:rStyle w:val="HideTWBExt"/>
      </w:rPr>
      <w:t>&lt;NoPE&gt;</w:t>
    </w:r>
    <w:r w:rsidRPr="00900AD4">
      <w:t>754.755</w:t>
    </w:r>
    <w:r w:rsidRPr="00900AD4">
      <w:rPr>
        <w:rStyle w:val="HideTWBExt"/>
      </w:rPr>
      <w:t>&lt;/NoPE&gt;&lt;Version&gt;</w:t>
    </w:r>
    <w:r w:rsidRPr="00900AD4">
      <w:t>v02-00</w:t>
    </w:r>
    <w:r w:rsidRPr="00900AD4">
      <w:rPr>
        <w:rStyle w:val="HideTWBExt"/>
      </w:rPr>
      <w:t>&lt;/Version&gt;</w:t>
    </w:r>
  </w:p>
  <w:p w:rsidR="008835A8" w:rsidRPr="00900AD4" w:rsidRDefault="00900AD4" w:rsidP="00900AD4">
    <w:pPr>
      <w:pStyle w:val="EPFooter2"/>
    </w:pPr>
    <w:r w:rsidRPr="00900AD4">
      <w:tab/>
    </w:r>
    <w:r w:rsidRPr="00900AD4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AD4" w:rsidRPr="00900AD4" w:rsidRDefault="00900AD4" w:rsidP="00900AD4">
    <w:pPr>
      <w:pStyle w:val="EPFooter"/>
    </w:pPr>
    <w:r w:rsidRPr="00900AD4">
      <w:rPr>
        <w:rStyle w:val="HideTWBExt"/>
      </w:rPr>
      <w:t>&lt;PathFdR&gt;</w:t>
    </w:r>
    <w:r w:rsidRPr="00900AD4">
      <w:t>AD\1291636HU.docx</w:t>
    </w:r>
    <w:r w:rsidRPr="00900AD4">
      <w:rPr>
        <w:rStyle w:val="HideTWBExt"/>
      </w:rPr>
      <w:t>&lt;/PathFdR&gt;</w:t>
    </w:r>
    <w:r w:rsidRPr="00900AD4">
      <w:tab/>
    </w:r>
    <w:r w:rsidRPr="00900AD4">
      <w:tab/>
      <w:t>PE</w:t>
    </w:r>
    <w:r w:rsidRPr="00900AD4">
      <w:rPr>
        <w:rStyle w:val="HideTWBExt"/>
      </w:rPr>
      <w:t>&lt;NoPE&gt;</w:t>
    </w:r>
    <w:r w:rsidRPr="00900AD4">
      <w:t>754.755</w:t>
    </w:r>
    <w:r w:rsidRPr="00900AD4">
      <w:rPr>
        <w:rStyle w:val="HideTWBExt"/>
      </w:rPr>
      <w:t>&lt;/NoPE&gt;&lt;Version&gt;</w:t>
    </w:r>
    <w:r w:rsidRPr="00900AD4">
      <w:t>v02-00</w:t>
    </w:r>
    <w:r w:rsidRPr="00900AD4">
      <w:rPr>
        <w:rStyle w:val="HideTWBExt"/>
      </w:rPr>
      <w:t>&lt;/Version&gt;</w:t>
    </w:r>
  </w:p>
  <w:p w:rsidR="008835A8" w:rsidRPr="00900AD4" w:rsidRDefault="00900AD4" w:rsidP="00900AD4">
    <w:pPr>
      <w:pStyle w:val="EPFooter2"/>
    </w:pPr>
    <w:r w:rsidRPr="00900AD4">
      <w:t>HU</w:t>
    </w:r>
    <w:r w:rsidRPr="00900AD4">
      <w:tab/>
    </w:r>
    <w:r w:rsidRPr="00900AD4">
      <w:rPr>
        <w:b w:val="0"/>
        <w:i/>
        <w:color w:val="C0C0C0"/>
        <w:sz w:val="22"/>
      </w:rPr>
      <w:t>Egyesülve a sokféleségben</w:t>
    </w:r>
    <w:r w:rsidRPr="00900AD4">
      <w:tab/>
      <w:t>HU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75C" w:rsidRPr="00900AD4" w:rsidRDefault="00740114" w:rsidP="00FE075C">
    <w:pPr>
      <w:pStyle w:val="EPFooter"/>
    </w:pPr>
    <w:r w:rsidRPr="00900AD4">
      <w:rPr>
        <w:rStyle w:val="HideTWBExt"/>
      </w:rPr>
      <w:t>&lt;PathFdR&gt;</w:t>
    </w:r>
    <w:r w:rsidRPr="00900AD4">
      <w:t>AD\1291636HU.docx</w:t>
    </w:r>
    <w:r w:rsidRPr="00900AD4">
      <w:rPr>
        <w:rStyle w:val="HideTWBExt"/>
      </w:rPr>
      <w:t>&lt;/PathFdR&gt;</w:t>
    </w:r>
    <w:r w:rsidRPr="00900AD4">
      <w:tab/>
    </w:r>
    <w:r w:rsidRPr="00900AD4">
      <w:tab/>
      <w:t>PE</w:t>
    </w:r>
    <w:r w:rsidRPr="00900AD4">
      <w:rPr>
        <w:rStyle w:val="HideTWBExt"/>
      </w:rPr>
      <w:t>&lt;NoPE&gt;</w:t>
    </w:r>
    <w:r w:rsidRPr="00900AD4">
      <w:t>754.755</w:t>
    </w:r>
    <w:r w:rsidRPr="00900AD4">
      <w:rPr>
        <w:rStyle w:val="HideTWBExt"/>
      </w:rPr>
      <w:t>&lt;/NoPE&gt;&lt;Version&gt;</w:t>
    </w:r>
    <w:r w:rsidRPr="00900AD4">
      <w:t>v02-00</w:t>
    </w:r>
    <w:r w:rsidRPr="00900AD4">
      <w:rPr>
        <w:rStyle w:val="HideTWBExt"/>
      </w:rPr>
      <w:t>&lt;/Version&gt;</w:t>
    </w:r>
  </w:p>
  <w:p w:rsidR="002E2F2E" w:rsidRPr="00900AD4" w:rsidRDefault="00740114" w:rsidP="00FE075C">
    <w:pPr>
      <w:pStyle w:val="EPFooter2"/>
    </w:pPr>
    <w:r w:rsidRPr="00900AD4">
      <w:t>HU</w:t>
    </w:r>
    <w:r w:rsidRPr="00900AD4">
      <w:tab/>
    </w:r>
    <w:r w:rsidRPr="00900AD4">
      <w:rPr>
        <w:b w:val="0"/>
        <w:i/>
        <w:color w:val="C0C0C0"/>
        <w:sz w:val="22"/>
      </w:rPr>
      <w:t xml:space="preserve">Egyesülve a </w:t>
    </w:r>
    <w:r w:rsidRPr="00900AD4">
      <w:rPr>
        <w:b w:val="0"/>
        <w:i/>
        <w:color w:val="C0C0C0"/>
        <w:sz w:val="22"/>
      </w:rPr>
      <w:t>sokféleségben</w:t>
    </w:r>
    <w:r w:rsidRPr="00900AD4">
      <w:tab/>
      <w:t>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57D" w:rsidRPr="00900AD4" w:rsidRDefault="00740114">
      <w:r w:rsidRPr="00900AD4">
        <w:separator/>
      </w:r>
    </w:p>
  </w:footnote>
  <w:footnote w:type="continuationSeparator" w:id="0">
    <w:p w:rsidR="0007657D" w:rsidRPr="00900AD4" w:rsidRDefault="00740114">
      <w:r w:rsidRPr="00900AD4">
        <w:continuationSeparator/>
      </w:r>
    </w:p>
  </w:footnote>
  <w:footnote w:id="1">
    <w:p w:rsidR="008835A8" w:rsidRPr="00900AD4" w:rsidRDefault="00740114" w:rsidP="008835A8">
      <w:pPr>
        <w:pStyle w:val="FootnoteText"/>
      </w:pPr>
      <w:r w:rsidRPr="00900AD4">
        <w:rPr>
          <w:rStyle w:val="FootnoteReference"/>
        </w:rPr>
        <w:footnoteRef/>
      </w:r>
      <w:r w:rsidRPr="00900AD4">
        <w:t xml:space="preserve"> Lásd: az Európai Unió Bíróságának 2014. december 18-i 2/2013. sz. véleménye, ECLI:EU:C:2014:2454, 168. pont.</w:t>
      </w:r>
    </w:p>
  </w:footnote>
  <w:footnote w:id="2">
    <w:p w:rsidR="008835A8" w:rsidRPr="00900AD4" w:rsidRDefault="00740114" w:rsidP="008835A8">
      <w:pPr>
        <w:pStyle w:val="FootnoteText"/>
      </w:pPr>
      <w:r w:rsidRPr="00900AD4">
        <w:rPr>
          <w:rStyle w:val="FootnoteReference"/>
        </w:rPr>
        <w:footnoteRef/>
      </w:r>
      <w:r w:rsidRPr="00900AD4">
        <w:t xml:space="preserve"> Uo., 191. pont.</w:t>
      </w:r>
    </w:p>
  </w:footnote>
  <w:footnote w:id="3">
    <w:p w:rsidR="008835A8" w:rsidRPr="00900AD4" w:rsidRDefault="00740114" w:rsidP="008835A8">
      <w:pPr>
        <w:pStyle w:val="FootnoteText"/>
      </w:pPr>
      <w:r w:rsidRPr="00900AD4">
        <w:rPr>
          <w:rStyle w:val="FootnoteReference"/>
        </w:rPr>
        <w:footnoteRef/>
      </w:r>
      <w:r w:rsidRPr="00900AD4">
        <w:t xml:space="preserve"> CEPEJ értékelési ciklusok.</w:t>
      </w:r>
    </w:p>
  </w:footnote>
  <w:footnote w:id="4">
    <w:p w:rsidR="008835A8" w:rsidRPr="00900AD4" w:rsidRDefault="00740114" w:rsidP="008835A8">
      <w:pPr>
        <w:pStyle w:val="FootnoteText"/>
      </w:pPr>
      <w:r w:rsidRPr="00900AD4">
        <w:rPr>
          <w:rStyle w:val="FootnoteReference"/>
        </w:rPr>
        <w:footnoteRef/>
      </w:r>
      <w:r w:rsidRPr="00900AD4">
        <w:t xml:space="preserve"> Tájékoztató – „Az Európa Tanács igazságszolgáltatás függetlenségére vonatko</w:t>
      </w:r>
      <w:r w:rsidRPr="00900AD4">
        <w:t>zó normái”, Európai Parlament, Parlamenti Kutatási Szolgáltatások Főigazgatósága, 2021. május 25.</w:t>
      </w:r>
    </w:p>
  </w:footnote>
  <w:footnote w:id="5">
    <w:p w:rsidR="008835A8" w:rsidRPr="00900AD4" w:rsidRDefault="00740114" w:rsidP="008835A8">
      <w:pPr>
        <w:pStyle w:val="FootnoteText"/>
      </w:pPr>
      <w:r w:rsidRPr="00900AD4">
        <w:rPr>
          <w:rStyle w:val="FootnoteReference"/>
        </w:rPr>
        <w:footnoteRef/>
      </w:r>
      <w:r w:rsidRPr="00900AD4">
        <w:t xml:space="preserve">Például a Bíróság (nagytanács) 2018. február 27-i ítélete, </w:t>
      </w:r>
      <w:r w:rsidRPr="00900AD4">
        <w:rPr>
          <w:i/>
          <w:iCs/>
        </w:rPr>
        <w:t>Associação Sindical dos Juízes Portugueses kontra Tribunal de Contas</w:t>
      </w:r>
      <w:r w:rsidRPr="00900AD4">
        <w:t>, C-64/16, ECLI:EU:C:2018:117,</w:t>
      </w:r>
      <w:r w:rsidRPr="00900AD4">
        <w:t xml:space="preserve"> vagy a Bíróság (nagytanács) 2019. november 19-i ítélete, </w:t>
      </w:r>
      <w:r w:rsidRPr="00900AD4">
        <w:rPr>
          <w:i/>
          <w:iCs/>
        </w:rPr>
        <w:t>A.K. kontra Krajowa Rada Sądownictwa</w:t>
      </w:r>
      <w:r w:rsidRPr="00900AD4">
        <w:t>, C-585/18, C-624/18 és C-625/18, ECLI:EU:C:2019:982. Lásd még: tájékoztató – „Az Európai Bíróság ítélkezési gyakorlata az igazságszolgáltatás függetlenségével ka</w:t>
      </w:r>
      <w:r w:rsidRPr="00900AD4">
        <w:t>pcsolatban”, Európai Parlament. Parlamenti Kutatási Szolgáltatások Főigazgatósága, 2021. július 19.</w:t>
      </w:r>
    </w:p>
  </w:footnote>
  <w:footnote w:id="6">
    <w:p w:rsidR="008835A8" w:rsidRPr="00900AD4" w:rsidRDefault="00740114" w:rsidP="008835A8">
      <w:pPr>
        <w:pStyle w:val="FootnoteText"/>
      </w:pPr>
      <w:r w:rsidRPr="00900AD4">
        <w:rPr>
          <w:rStyle w:val="FootnoteReference"/>
        </w:rPr>
        <w:footnoteRef/>
      </w:r>
      <w:r w:rsidRPr="00900AD4">
        <w:t xml:space="preserve"> Az Európai Parlament és a Tanács (EU, Euratom) 2020/2092 rendelete (2020. december 16.) az uniós költségvetés védelmét szolgáló általános feltételrendszer</w:t>
      </w:r>
      <w:r w:rsidRPr="00900AD4">
        <w:t>ről (HL L 433. I, 2020.12.22., 1. o.).</w:t>
      </w:r>
    </w:p>
  </w:footnote>
  <w:footnote w:id="7">
    <w:p w:rsidR="008835A8" w:rsidRPr="00900AD4" w:rsidRDefault="00740114" w:rsidP="008835A8">
      <w:pPr>
        <w:pStyle w:val="FootnoteText"/>
      </w:pPr>
      <w:r w:rsidRPr="00900AD4">
        <w:rPr>
          <w:rStyle w:val="FootnoteReference"/>
        </w:rPr>
        <w:footnoteRef/>
      </w:r>
      <w:r w:rsidRPr="00900AD4">
        <w:t xml:space="preserve"> Lásd: a Bíróság (teljes ülés) 2022. február 16-i ítélete, </w:t>
      </w:r>
      <w:r w:rsidRPr="00900AD4">
        <w:rPr>
          <w:i/>
          <w:iCs/>
        </w:rPr>
        <w:t>Magyarország kontra Európai Parlament és az Európai Unió Tanácsa</w:t>
      </w:r>
      <w:r w:rsidRPr="00900AD4">
        <w:t xml:space="preserve">, C-156/21, ECLI:EU:C:2022:97, valamint a Bíróság (teljes ülés) 2022. február 16-i ítélete, </w:t>
      </w:r>
      <w:r w:rsidRPr="00900AD4">
        <w:rPr>
          <w:i/>
          <w:iCs/>
        </w:rPr>
        <w:t>L</w:t>
      </w:r>
      <w:r w:rsidRPr="00900AD4">
        <w:rPr>
          <w:i/>
          <w:iCs/>
        </w:rPr>
        <w:t>engyelország kontra Európai Parlament és az Európai Unió Tanácsa</w:t>
      </w:r>
      <w:r w:rsidRPr="00900AD4">
        <w:t>, C-157/21, ECLI:EU:C:2022:98.</w:t>
      </w:r>
    </w:p>
  </w:footnote>
  <w:footnote w:id="8">
    <w:p w:rsidR="008835A8" w:rsidRPr="00900AD4" w:rsidRDefault="00740114" w:rsidP="008835A8">
      <w:pPr>
        <w:pStyle w:val="FootnoteText"/>
      </w:pPr>
      <w:r w:rsidRPr="00900AD4">
        <w:rPr>
          <w:rStyle w:val="FootnoteReference"/>
        </w:rPr>
        <w:footnoteRef/>
      </w:r>
      <w:r w:rsidRPr="00900AD4">
        <w:t xml:space="preserve"> Az Európai Parlament és a Tanács (EU) 2021/241 rendelete (2021. február 12.) a Helyreállítási és Rezilienciaépítési Eszköz létrehozásáról (HL L 57., 2021.2.18.</w:t>
      </w:r>
      <w:r w:rsidRPr="00900AD4">
        <w:t>, 17. o.).</w:t>
      </w:r>
    </w:p>
  </w:footnote>
  <w:footnote w:id="9">
    <w:p w:rsidR="008835A8" w:rsidRPr="00900AD4" w:rsidRDefault="00740114" w:rsidP="008835A8">
      <w:pPr>
        <w:pStyle w:val="FootnoteText"/>
      </w:pPr>
      <w:r w:rsidRPr="00900AD4">
        <w:rPr>
          <w:rStyle w:val="FootnoteReference"/>
        </w:rPr>
        <w:footnoteRef/>
      </w:r>
      <w:r w:rsidRPr="00900AD4">
        <w:t xml:space="preserve"> HL L 26., 2003.1.31., 41. o., valamint helyesbítés: HL L 32., 2003.2.7., 15. o., magyar nyelvű különkiadás, 19. fejezet, 6. kötet, 90. o.</w:t>
      </w:r>
    </w:p>
  </w:footnote>
  <w:footnote w:id="10">
    <w:p w:rsidR="008835A8" w:rsidRPr="00900AD4" w:rsidRDefault="00740114" w:rsidP="008835A8">
      <w:pPr>
        <w:pStyle w:val="FootnoteText"/>
      </w:pPr>
      <w:r w:rsidRPr="00900AD4">
        <w:rPr>
          <w:rStyle w:val="FootnoteReference"/>
        </w:rPr>
        <w:footnoteRef/>
      </w:r>
      <w:r w:rsidRPr="00900AD4">
        <w:t xml:space="preserve"> Például az Európai Ügyészek Konzultatív Tanácsának 2014. december 17-i 9. sz. véleménye az ügyészekre v</w:t>
      </w:r>
      <w:r w:rsidRPr="00900AD4">
        <w:t>onatkozó európai normákról és elvekről.</w:t>
      </w:r>
    </w:p>
  </w:footnote>
  <w:footnote w:id="11">
    <w:p w:rsidR="008835A8" w:rsidRPr="00900AD4" w:rsidRDefault="00740114" w:rsidP="008835A8">
      <w:pPr>
        <w:pStyle w:val="FootnoteText"/>
      </w:pPr>
      <w:r w:rsidRPr="00900AD4">
        <w:rPr>
          <w:rStyle w:val="FootnoteReference"/>
        </w:rPr>
        <w:footnoteRef/>
      </w:r>
      <w:r w:rsidRPr="00900AD4">
        <w:t xml:space="preserve"> Lásd ezzel összefüggésben a korrupció elleni küzdelemről, a 2003/568/IB tanácsi kerethatározat és az Európai Közösségek tisztviselőit és az Európai Unió tagállamainak tisztviselőit érintő korrupció elleni küzdelemr</w:t>
      </w:r>
      <w:r w:rsidRPr="00900AD4">
        <w:t>ől szóló egyezmény felváltásáról, valamint az (EU) 2017/1371 európai parlamenti és tanácsi irányelv módosításáról szóló európai parlamenti és tanácsi irányelvre irányuló, 2023. május 3-i javaslat 3. cikkét (COM(2023)0234).</w:t>
      </w:r>
    </w:p>
  </w:footnote>
  <w:footnote w:id="12">
    <w:p w:rsidR="008835A8" w:rsidRPr="00900AD4" w:rsidRDefault="00740114" w:rsidP="008835A8">
      <w:pPr>
        <w:pStyle w:val="FootnoteText"/>
      </w:pPr>
      <w:r w:rsidRPr="00900AD4">
        <w:rPr>
          <w:rStyle w:val="FootnoteReference"/>
        </w:rPr>
        <w:footnoteRef/>
      </w:r>
      <w:r w:rsidRPr="00900AD4">
        <w:t xml:space="preserve"> Az Európai Parlament és a Tanác</w:t>
      </w:r>
      <w:r w:rsidRPr="00900AD4">
        <w:t>s 1049/2001/EK rendelete (2001. május 30.) az Európai Parlament, a Tanács és a Bizottság dokumentumaihoz való nyilvános hozzáférésről, HL L 145., 2001.5.31., 43. o.</w:t>
      </w:r>
    </w:p>
  </w:footnote>
  <w:footnote w:id="13">
    <w:p w:rsidR="008835A8" w:rsidRPr="00900AD4" w:rsidRDefault="00740114" w:rsidP="008835A8">
      <w:pPr>
        <w:pStyle w:val="FootnoteText"/>
      </w:pPr>
      <w:r w:rsidRPr="00900AD4">
        <w:rPr>
          <w:rStyle w:val="FootnoteReference"/>
        </w:rPr>
        <w:footnoteRef/>
      </w:r>
      <w:r w:rsidRPr="00900AD4">
        <w:t xml:space="preserve"> Lásd e tekintetben az Európai Parlament 2022. február 17-i állásfoglalása a Bizottságnak </w:t>
      </w:r>
      <w:r w:rsidRPr="00900AD4">
        <w:t>szóló ajánlásokkal a határokon átnyúló európai egyesületek és nonprofit szervezetek statútumáról (HL C 342, 2022.9.6., 225. o.).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114" w:rsidRDefault="007401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114" w:rsidRDefault="007401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114" w:rsidRDefault="0074011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EA5" w:rsidRDefault="00B73EA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EA5" w:rsidRDefault="00B73EA5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EA5" w:rsidRDefault="00B73E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DOCINIMNU" w:val=" 1"/>
    <w:docVar w:name="CJMNU" w:val="1"/>
    <w:docVar w:name="CODEMNU" w:val=" 1"/>
    <w:docVar w:name="COM2KEY" w:val="LIBE"/>
    <w:docVar w:name="COMKEY" w:val="JURI"/>
    <w:docVar w:name="DOCREFINIMNU" w:val=" 1"/>
    <w:docVar w:name="LastEditedSection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4\fbidi \froman\fcharset238\fprq2 Times New Roman CE;}{\f335\fbidi \froman\fcharset204\fprq2 Times New Roman Cyr;}_x000d__x000a_{\f337\fbidi \froman\fcharset161\fprq2 Times New Roman Greek;}{\f338\fbidi \froman\fcharset162\fprq2 Times New Roman Tur;}{\f339\fbidi \froman\fcharset177\fprq2 Times New Roman (Hebrew);}{\f340\fbidi \froman\fcharset178\fprq2 Times New Roman (Arabic);}_x000d__x000a_{\f341\fbidi \froman\fcharset186\fprq2 Times New Roman Baltic;}{\f342\fbidi \froman\fcharset163\fprq2 Times New Roman (Vietnamese);}{\f344\fbidi \fswiss\fcharset238\fprq2 Arial CE;}{\f345\fbidi \fswiss\fcharset204\fprq2 Arial Cyr;}_x000d__x000a_{\f347\fbidi \fswiss\fcharset161\fprq2 Arial Greek;}{\f348\fbidi \fswiss\fcharset162\fprq2 Arial Tur;}{\f349\fbidi \fswiss\fcharset177\fprq2 Arial (Hebrew);}{\f350\fbidi \fswiss\fcharset178\fprq2 Arial (Arabic);}_x000d__x000a_{\f351\fbidi \fswiss\fcharset186\fprq2 Arial Baltic;}{\f352\fbidi \fswiss\fcharset163\fprq2 Arial (Vietnamese);}{\f674\fbidi \froman\fcharset238\fprq2 Cambria Math CE;}{\f675\fbidi \froman\fcharset204\fprq2 Cambria Math Cyr;}_x000d__x000a_{\f677\fbidi \froman\fcharset161\fprq2 Cambria Math Greek;}{\f678\fbidi \froman\fcharset162\fprq2 Cambria Math Tur;}{\f681\fbidi \froman\fcharset186\fprq2 Cambria Math Baltic;}{\f682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2918032 HideTWBInt;}{_x000d__x000a_\s18\ql \fi-567\li567\ri0\sa240\nowidctlpar\wrapdefault\aspalpha\aspnum\faauto\adjustright\rin0\lin567\itap0 \rtlch\fcs1 \af0\afs20\alang1025 \ltrch\fcs0 \fs24\lang2057\langfe2057\cgrid\langnp2057\langfenp2057 _x000d__x000a_\sbasedon0 \snext18 \spriority0 \styrsid12918032 NormalHanging12a;}}{\*\rsidtbl \rsid24658\rsid223860\rsid735077\rsid1718133\rsid2892074\rsid3565327\rsid4666813\rsid6641733\rsid7823322\rsid9636012\rsid10377208\rsid11215221\rsid11549030\rsid12154954_x000d__x000a_\rsid12918032\rsid14382809\rsid14424199\rsid15204470\rsid15285974\rsid15555930\rsid15950462\rsid16324206\rsid16662270}{\mmathPr\mmathFont34\mbrkBin0\mbrkBinSub0\msmallFrac0\mdispDef1\mlMargin0\mrMargin0\mdefJc1\mwrapIndent1440\mintLim0\mnaryLim1}{\info_x000d__x000a_{\author PI}{\operator PI}{\creatim\yr2023\mo12\dy13\hr9\min32}{\revtim\yr2023\mo12\dy13\hr9\min32}{\version1}{\edmins0}{\nofpages1}{\nofwords1}{\nofchars12}{\nofcharsws12}{\vern109}}{\*\xmlnstbl {\xmlns1 http://schemas.microsoft.com/office/word/2003/word_x000d__x000a_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20\pgbrdrhead\pgbrdrfoot\splytwnine\ftnlytwnine\htmautsp\nolnhtadjtbl\useltbaln\alntblind\lytcalctblwd\lyttblrtgr\lnbrkrule\nobrkwrptbl\snaptogridincell\allowfieldendsel\wrppunct_x000d__x000a_\asianbrkrule\nojkernpunct\rsidroot1291803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Ipanczel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55593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55593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55593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555930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8\ql \fi-567\li567\ri0\sa240\nowidctlpar\wrapdefault\aspalpha\aspnum\faauto\adjustright\rin0\lin567\itap0\pararsid12918032 \rtlch\fcs1 \af0\afs20\alang1025 \ltrch\fcs0 \fs24\lang2057\langfe2057\cgrid\langnp2057\langfenp2057 {\rtlch\fcs1 \af0 _x000d__x000a_\ltrch\fcs0 \insrsid12918032\charrsid7021133 {\*\bkmkstart restart}#}{\rtlch\fcs1 \af1 \ltrch\fcs0 \cs17\v\f1\fs20\cf15\insrsid12918032\charrsid7021133 NRMSG}{\rtlch\fcs1 \af0 \ltrch\fcs0 \insrsid12918032\charrsid7021133 #.\tab ##}{\rtlch\fcs1 \af0 _x000d__x000a_\ltrch\fcs0 \insrsid12918032\charrsid16324206 {\*\bkmkend restart}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58_x000d__x000a_88f49e2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4\fbidi \froman\fcharset238\fprq2 Times New Roman CE;}{\f335\fbidi \froman\fcharset204\fprq2 Times New Roman Cyr;}_x000d__x000a_{\f337\fbidi \froman\fcharset161\fprq2 Times New Roman Greek;}{\f338\fbidi \froman\fcharset162\fprq2 Times New Roman Tur;}{\f339\fbidi \froman\fcharset177\fprq2 Times New Roman (Hebrew);}{\f340\fbidi \froman\fcharset178\fprq2 Times New Roman (Arabic);}_x000d__x000a_{\f341\fbidi \froman\fcharset186\fprq2 Times New Roman Baltic;}{\f342\fbidi \froman\fcharset163\fprq2 Times New Roman (Vietnamese);}{\f674\fbidi \froman\fcharset238\fprq2 Cambria Math CE;}{\f675\fbidi \froman\fcharset204\fprq2 Cambria Math Cyr;}_x000d__x000a_{\f677\fbidi \froman\fcharset161\fprq2 Cambria Math Greek;}{\f678\fbidi \froman\fcharset162\fprq2 Cambria Math Tur;}{\f681\fbidi \froman\fcharset186\fprq2 Cambria Math Baltic;}{\f682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s17\ql \fi-567\li567\ri0\sa240\nowidctlpar\wrapdefault\aspalpha\aspnum\faauto\adjustright\rin0\lin567\itap0 \rtlch\fcs1 \af0\afs20\alang1025 \ltrch\fcs0 _x000d__x000a_\fs24\lang2057\langfe2057\cgrid\langnp2057\langfenp2057 \sbasedon0 \snext17 \spriority0 \styrsid16724507 NormalHanging12a;}}{\*\rsidtbl \rsid24658\rsid223860\rsid735077\rsid1718133\rsid2892074\rsid3565327\rsid4666813\rsid6641733\rsid7823322\rsid9636012_x000d__x000a_\rsid10377208\rsid11215221\rsid11549030\rsid12154954\rsid14382809\rsid14424199\rsid14902817\rsid15204470\rsid15285974\rsid15950462\rsid16324206\rsid16662270\rsid16724507}{\mmathPr\mmathFont34\mbrkBin0\mbrkBinSub0\msmallFrac0\mdispDef1\mlMargin0\mrMargin0_x000d__x000a_\mdefJc1\mwrapIndent1440\mintLim0\mnaryLim1}{\info{\author PI}{\operator PI}{\creatim\yr2023\mo12\dy13\hr9\min32}{\revtim\yr2023\mo12\dy13\hr9\min32}{\version1}{\edmins0}{\nofpages1}{\nofwords5}{\nofchars30}{\nofcharsws34}{\vern109}}_x000d__x000a_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20\pgbrdrhead\pgbrdrfoot\splytwnine\ftnlytwnine\htmautsp\nolnhtadjtbl\useltbaln\alntblind\lytcalctblwd\lyttblrtgr\lnbrkrule\nobrkwrptbl\snaptogridincell\allowfieldendsel\wrppunct_x000d__x000a_\asianbrkrule\nojkernpunct\rsidroot1672450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Ipanczel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490281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490281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490281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490281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7\ql \fi-567\li567\ri0\sa240\nowidctlpar\wrapdefault\aspalpha\aspnum\faauto\adjustright\rin0\lin567\itap0\pararsid16724507 \rtlch\fcs1 \af0\afs20\alang1025 \ltrch\fcs0 \fs24\lang2057\langfe2057\cgrid\langnp2057\langfenp2057 {\rtlch\fcs1 \af0 _x000d__x000a_\ltrch\fcs0 \insrsid16724507\charrsid1525456 {\*\bkmkstart restart}[ZSUGGESTIONNR]\tab [ZSUGGESTIONTEXT]}{\rtlch\fcs1 \af0 \ltrch\fcs0 \insrsid16724507\charrsid16324206 {\*\bkmkend restart}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95_x000d__x000a_11fa9e2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NonLeg"/>
    <w:docVar w:name="strSubDir" w:val="1291"/>
    <w:docVar w:name="TITLEMNU" w:val=" 1"/>
    <w:docVar w:name="TXTLANGUE" w:val="HU"/>
    <w:docVar w:name="TXTLANGUEMIN" w:val="hu"/>
    <w:docVar w:name="TXTNRPE" w:val="754.755"/>
    <w:docVar w:name="TXTNRPROC" w:val="2023/2113"/>
    <w:docVar w:name="TXTPEorAP" w:val="PE"/>
    <w:docVar w:name="TXTROUTE" w:val="AD\1291636HU.docx"/>
    <w:docVar w:name="TXTTITLE" w:val="xxx"/>
    <w:docVar w:name="TXTVERSION" w:val="02-00"/>
  </w:docVars>
  <w:rsids>
    <w:rsidRoot w:val="0007657D"/>
    <w:rsid w:val="0007657D"/>
    <w:rsid w:val="000800B3"/>
    <w:rsid w:val="000E7EBF"/>
    <w:rsid w:val="0011784F"/>
    <w:rsid w:val="00124F60"/>
    <w:rsid w:val="00135121"/>
    <w:rsid w:val="00140BE6"/>
    <w:rsid w:val="00147F4E"/>
    <w:rsid w:val="0016635E"/>
    <w:rsid w:val="001746D0"/>
    <w:rsid w:val="001B7393"/>
    <w:rsid w:val="001C6C04"/>
    <w:rsid w:val="001D2ED9"/>
    <w:rsid w:val="001F21C1"/>
    <w:rsid w:val="00283435"/>
    <w:rsid w:val="002B6C3C"/>
    <w:rsid w:val="002D28A7"/>
    <w:rsid w:val="002D4D5E"/>
    <w:rsid w:val="002E2F2E"/>
    <w:rsid w:val="002E6F98"/>
    <w:rsid w:val="00325BCB"/>
    <w:rsid w:val="00331944"/>
    <w:rsid w:val="00332AD9"/>
    <w:rsid w:val="00347D2C"/>
    <w:rsid w:val="0037356F"/>
    <w:rsid w:val="00390EB2"/>
    <w:rsid w:val="00396A0E"/>
    <w:rsid w:val="003E2402"/>
    <w:rsid w:val="00440DC6"/>
    <w:rsid w:val="004764CF"/>
    <w:rsid w:val="004B1EAD"/>
    <w:rsid w:val="004C28FB"/>
    <w:rsid w:val="004C44C0"/>
    <w:rsid w:val="004F5F73"/>
    <w:rsid w:val="0052544E"/>
    <w:rsid w:val="005940C3"/>
    <w:rsid w:val="00594C48"/>
    <w:rsid w:val="005B2F11"/>
    <w:rsid w:val="005C0BDF"/>
    <w:rsid w:val="005D60C6"/>
    <w:rsid w:val="006102E7"/>
    <w:rsid w:val="006116EA"/>
    <w:rsid w:val="00640C1B"/>
    <w:rsid w:val="00657AFB"/>
    <w:rsid w:val="006D5BF7"/>
    <w:rsid w:val="00740114"/>
    <w:rsid w:val="008313E7"/>
    <w:rsid w:val="00854CAC"/>
    <w:rsid w:val="008835A8"/>
    <w:rsid w:val="00885FB1"/>
    <w:rsid w:val="008A32C5"/>
    <w:rsid w:val="008C6203"/>
    <w:rsid w:val="008D61E7"/>
    <w:rsid w:val="008F7002"/>
    <w:rsid w:val="00900AD4"/>
    <w:rsid w:val="009173BB"/>
    <w:rsid w:val="0098190D"/>
    <w:rsid w:val="0099493F"/>
    <w:rsid w:val="00A16BEA"/>
    <w:rsid w:val="00A312B3"/>
    <w:rsid w:val="00A72C35"/>
    <w:rsid w:val="00A93D90"/>
    <w:rsid w:val="00AE180F"/>
    <w:rsid w:val="00B362F7"/>
    <w:rsid w:val="00B40C21"/>
    <w:rsid w:val="00B5456B"/>
    <w:rsid w:val="00B712EA"/>
    <w:rsid w:val="00B730E0"/>
    <w:rsid w:val="00B73EA5"/>
    <w:rsid w:val="00B74B53"/>
    <w:rsid w:val="00BC26E4"/>
    <w:rsid w:val="00BD1EAA"/>
    <w:rsid w:val="00C37F4E"/>
    <w:rsid w:val="00C47772"/>
    <w:rsid w:val="00C52739"/>
    <w:rsid w:val="00C67F26"/>
    <w:rsid w:val="00C827FF"/>
    <w:rsid w:val="00C85D0F"/>
    <w:rsid w:val="00CD34AC"/>
    <w:rsid w:val="00DD4B97"/>
    <w:rsid w:val="00DE19FF"/>
    <w:rsid w:val="00E81BA6"/>
    <w:rsid w:val="00E856D2"/>
    <w:rsid w:val="00E929A7"/>
    <w:rsid w:val="00EC5E1F"/>
    <w:rsid w:val="00EF1E40"/>
    <w:rsid w:val="00FB4670"/>
    <w:rsid w:val="00FC6460"/>
    <w:rsid w:val="00FD0D14"/>
    <w:rsid w:val="00FD4BC4"/>
    <w:rsid w:val="00FE075C"/>
    <w:rsid w:val="00FF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7286E4-81AE-4324-88E1-9835149D1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94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NotTOC">
    <w:name w:val="PageHeadingNotTOC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E856D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347D2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styleId="Header">
    <w:name w:val="header"/>
    <w:basedOn w:val="Normal"/>
    <w:link w:val="HeaderChar"/>
    <w:semiHidden/>
    <w:rsid w:val="005C0BDF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E81BA6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347D2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table" w:styleId="TableGrid">
    <w:name w:val="Table Grid"/>
    <w:basedOn w:val="TableNormal"/>
    <w:rsid w:val="00174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746D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1746D0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1746D0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E856D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E856D2"/>
    <w:pPr>
      <w:jc w:val="right"/>
    </w:pPr>
  </w:style>
  <w:style w:type="paragraph" w:customStyle="1" w:styleId="NormalHanging12a">
    <w:name w:val="NormalHanging12a"/>
    <w:basedOn w:val="Normal"/>
    <w:rsid w:val="008313E7"/>
    <w:pPr>
      <w:spacing w:after="240"/>
      <w:ind w:left="567" w:hanging="567"/>
    </w:pPr>
  </w:style>
  <w:style w:type="paragraph" w:customStyle="1" w:styleId="EPFooter">
    <w:name w:val="EPFooter"/>
    <w:basedOn w:val="Normal"/>
    <w:rsid w:val="00347D2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5C0BDF"/>
    <w:rPr>
      <w:sz w:val="24"/>
    </w:rPr>
  </w:style>
  <w:style w:type="paragraph" w:styleId="FootnoteText">
    <w:name w:val="footnote text"/>
    <w:basedOn w:val="Normal"/>
    <w:link w:val="FootnoteTextChar"/>
    <w:unhideWhenUsed/>
    <w:rsid w:val="00B712EA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B712EA"/>
  </w:style>
  <w:style w:type="character" w:styleId="FootnoteReference">
    <w:name w:val="footnote reference"/>
    <w:basedOn w:val="DefaultParagraphFont"/>
    <w:unhideWhenUsed/>
    <w:rsid w:val="00B712EA"/>
    <w:rPr>
      <w:vertAlign w:val="superscript"/>
    </w:rPr>
  </w:style>
  <w:style w:type="character" w:customStyle="1" w:styleId="BoldItalic">
    <w:name w:val="BoldItalic"/>
    <w:uiPriority w:val="1"/>
    <w:rsid w:val="00B712EA"/>
    <w:rPr>
      <w:b/>
      <w:bCs w:val="0"/>
      <w:i/>
      <w:iCs w:val="0"/>
      <w:strike w:val="0"/>
      <w:dstrike w:val="0"/>
      <w:u w:val="none"/>
      <w:effect w:val="none"/>
    </w:rPr>
  </w:style>
  <w:style w:type="paragraph" w:styleId="Footer">
    <w:name w:val="footer"/>
    <w:basedOn w:val="Normal"/>
    <w:link w:val="FooterChar"/>
    <w:semiHidden/>
    <w:rsid w:val="00B712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B712EA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0800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800B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440DC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40DC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40DC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40D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40DC6"/>
    <w:rPr>
      <w:b/>
      <w:bCs/>
    </w:rPr>
  </w:style>
  <w:style w:type="paragraph" w:styleId="Revision">
    <w:name w:val="Revision"/>
    <w:hidden/>
    <w:uiPriority w:val="99"/>
    <w:semiHidden/>
    <w:rsid w:val="004B1EAD"/>
    <w:rPr>
      <w:sz w:val="24"/>
    </w:rPr>
  </w:style>
  <w:style w:type="paragraph" w:customStyle="1" w:styleId="RollCallSymbols14pt">
    <w:name w:val="RollCallSymbols14pt"/>
    <w:basedOn w:val="Normal"/>
    <w:rsid w:val="008835A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8835A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8835A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8835A8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FBE6E-B66E-4A21-9A61-48F2C22FD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2154</Words>
  <Characters>15535</Characters>
  <Application>Microsoft Office Word</Application>
  <DocSecurity>0</DocSecurity>
  <Lines>291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</vt:lpstr>
    </vt:vector>
  </TitlesOfParts>
  <Company/>
  <LinksUpToDate>false</LinksUpToDate>
  <CharactersWithSpaces>17605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</dc:title>
  <dc:creator>European Parliament</dc:creator>
  <cp:lastModifiedBy>European Parliament</cp:lastModifiedBy>
  <cp:revision>2</cp:revision>
  <cp:lastPrinted>2023-10-16T10:47:00Z</cp:lastPrinted>
  <dcterms:created xsi:type="dcterms:W3CDTF">2024-01-10T15:28:00Z</dcterms:created>
  <dcterms:modified xsi:type="dcterms:W3CDTF">2024-01-10T15:28:00Z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1291636</vt:lpwstr>
  </property>
  <property fmtid="{D5CDD505-2E9C-101B-9397-08002B2CF9AE}" pid="4" name="&lt;Model&gt;">
    <vt:lpwstr>PA_NonLeg</vt:lpwstr>
  </property>
  <property fmtid="{D5CDD505-2E9C-101B-9397-08002B2CF9AE}" pid="5" name="&lt;ModelCod&gt;">
    <vt:lpwstr>\\eiciBRUpr1\pdocep$\DocEP\DOCS\General\PA\PA_NonLeg\PA_NonLeg.dotx(18/09/2023 11:25:02)</vt:lpwstr>
  </property>
  <property fmtid="{D5CDD505-2E9C-101B-9397-08002B2CF9AE}" pid="6" name="&lt;ModelTra&gt;">
    <vt:lpwstr>\\eiciBRUpr1\pdocep$\DocEP\TRANSFIL\EN\PA_NonLeg.EN(18/09/2023 11:08:01)</vt:lpwstr>
  </property>
  <property fmtid="{D5CDD505-2E9C-101B-9397-08002B2CF9AE}" pid="7" name="&lt;Type&gt;">
    <vt:lpwstr>AD</vt:lpwstr>
  </property>
  <property fmtid="{D5CDD505-2E9C-101B-9397-08002B2CF9AE}" pid="8" name="Bookout">
    <vt:lpwstr>OK - 2024/01/10 16:28</vt:lpwstr>
  </property>
  <property fmtid="{D5CDD505-2E9C-101B-9397-08002B2CF9AE}" pid="9" name="Created with">
    <vt:lpwstr>9.16.1 Build [20230915]</vt:lpwstr>
  </property>
  <property fmtid="{D5CDD505-2E9C-101B-9397-08002B2CF9AE}" pid="10" name="FooterPath">
    <vt:lpwstr>AD\1291636HU.docx</vt:lpwstr>
  </property>
  <property fmtid="{D5CDD505-2E9C-101B-9397-08002B2CF9AE}" pid="11" name="LastEdited with">
    <vt:lpwstr>9.17.0 Build [20231101]</vt:lpwstr>
  </property>
  <property fmtid="{D5CDD505-2E9C-101B-9397-08002B2CF9AE}" pid="12" name="PE number">
    <vt:lpwstr>754.755</vt:lpwstr>
  </property>
  <property fmtid="{D5CDD505-2E9C-101B-9397-08002B2CF9AE}" pid="13" name="SDLStudio">
    <vt:lpwstr/>
  </property>
  <property fmtid="{D5CDD505-2E9C-101B-9397-08002B2CF9AE}" pid="14" name="SendToEpades">
    <vt:lpwstr>OK - 2023/10/13 15:25</vt:lpwstr>
  </property>
</Properties>
</file>