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075A18" w:rsidRPr="003D71BC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54CAC" w:rsidRPr="003D71BC" w:rsidRDefault="00122BEB" w:rsidP="00C85D0F">
            <w:pPr>
              <w:pStyle w:val="EPName"/>
            </w:pPr>
            <w:r w:rsidRPr="003D71BC">
              <w:t>Parlament Ewropew</w:t>
            </w:r>
          </w:p>
          <w:p w:rsidR="00854CAC" w:rsidRPr="003D71BC" w:rsidRDefault="00122BEB" w:rsidP="00954850">
            <w:pPr>
              <w:pStyle w:val="EPTerm"/>
            </w:pPr>
            <w:r w:rsidRPr="003D71BC">
              <w:t>2019-2024</w:t>
            </w:r>
          </w:p>
        </w:tc>
        <w:tc>
          <w:tcPr>
            <w:tcW w:w="2268" w:type="dxa"/>
            <w:shd w:val="clear" w:color="auto" w:fill="auto"/>
          </w:tcPr>
          <w:p w:rsidR="00854CAC" w:rsidRPr="003D71BC" w:rsidRDefault="00122BEB" w:rsidP="00C85D0F">
            <w:pPr>
              <w:pStyle w:val="EPLogo"/>
            </w:pPr>
            <w:r w:rsidRPr="003D71BC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46D0" w:rsidRPr="003D71BC" w:rsidRDefault="001746D0" w:rsidP="001746D0">
      <w:pPr>
        <w:pStyle w:val="LineTop"/>
      </w:pPr>
    </w:p>
    <w:p w:rsidR="001746D0" w:rsidRPr="003D71BC" w:rsidRDefault="00122BEB" w:rsidP="001746D0">
      <w:pPr>
        <w:pStyle w:val="EPBody"/>
      </w:pPr>
      <w:r w:rsidRPr="003D71BC">
        <w:rPr>
          <w:rStyle w:val="HideTWBExt"/>
        </w:rPr>
        <w:t>&lt;</w:t>
      </w:r>
      <w:r w:rsidRPr="003D71BC">
        <w:rPr>
          <w:rStyle w:val="HideTWBExt"/>
          <w:i w:val="0"/>
        </w:rPr>
        <w:t>Commission</w:t>
      </w:r>
      <w:r w:rsidRPr="003D71BC">
        <w:rPr>
          <w:rStyle w:val="HideTWBExt"/>
        </w:rPr>
        <w:t>&gt;</w:t>
      </w:r>
      <w:r w:rsidRPr="003D71BC">
        <w:rPr>
          <w:rStyle w:val="HideTWBInt"/>
          <w:color w:val="auto"/>
        </w:rPr>
        <w:t>{JURI}</w:t>
      </w:r>
      <w:r w:rsidRPr="003D71BC">
        <w:t>Kumitat għall-Affarijiet Legali</w:t>
      </w:r>
      <w:r w:rsidRPr="003D71BC">
        <w:rPr>
          <w:rStyle w:val="HideTWBExt"/>
        </w:rPr>
        <w:t>&lt;/</w:t>
      </w:r>
      <w:r w:rsidRPr="003D71BC">
        <w:rPr>
          <w:rStyle w:val="HideTWBExt"/>
          <w:i w:val="0"/>
        </w:rPr>
        <w:t>Commission</w:t>
      </w:r>
      <w:r w:rsidRPr="003D71BC">
        <w:rPr>
          <w:rStyle w:val="HideTWBExt"/>
        </w:rPr>
        <w:t>&gt;</w:t>
      </w:r>
    </w:p>
    <w:p w:rsidR="001746D0" w:rsidRPr="003D71BC" w:rsidRDefault="001746D0" w:rsidP="001746D0">
      <w:pPr>
        <w:pStyle w:val="LineBottom"/>
      </w:pPr>
    </w:p>
    <w:p w:rsidR="002E2F2E" w:rsidRPr="003D71BC" w:rsidRDefault="00122BEB">
      <w:pPr>
        <w:pStyle w:val="CoverReference"/>
      </w:pPr>
      <w:r w:rsidRPr="003D71BC">
        <w:rPr>
          <w:rStyle w:val="HideTWBExt"/>
          <w:b w:val="0"/>
        </w:rPr>
        <w:t>&lt;RefProc&gt;</w:t>
      </w:r>
      <w:r w:rsidRPr="003D71BC">
        <w:t>2023/2113</w:t>
      </w:r>
      <w:r w:rsidRPr="003D71BC">
        <w:rPr>
          <w:rStyle w:val="HideTWBExt"/>
          <w:b w:val="0"/>
        </w:rPr>
        <w:t>&lt;/RefProc&gt;&lt;RefTypeProc&gt;</w:t>
      </w:r>
      <w:r w:rsidRPr="003D71BC">
        <w:t>(INI)</w:t>
      </w:r>
      <w:r w:rsidRPr="003D71BC">
        <w:rPr>
          <w:rStyle w:val="HideTWBExt"/>
          <w:b w:val="0"/>
        </w:rPr>
        <w:t>&lt;/RefTypeProc&gt;</w:t>
      </w:r>
    </w:p>
    <w:p w:rsidR="002E2F2E" w:rsidRPr="003D71BC" w:rsidRDefault="00122BEB">
      <w:pPr>
        <w:pStyle w:val="CoverDate"/>
      </w:pPr>
      <w:r w:rsidRPr="003D71BC">
        <w:rPr>
          <w:rStyle w:val="HideTWBExt"/>
        </w:rPr>
        <w:t>&lt;Date&gt;</w:t>
      </w:r>
      <w:r w:rsidRPr="003D71BC">
        <w:rPr>
          <w:rStyle w:val="HideTWBInt"/>
          <w:color w:val="auto"/>
        </w:rPr>
        <w:t>{29/11/2023}</w:t>
      </w:r>
      <w:r w:rsidRPr="003D71BC">
        <w:t>29.11.2023</w:t>
      </w:r>
      <w:r w:rsidRPr="003D71BC">
        <w:rPr>
          <w:rStyle w:val="HideTWBExt"/>
        </w:rPr>
        <w:t>&lt;/Date&gt;</w:t>
      </w:r>
    </w:p>
    <w:p w:rsidR="002E2F2E" w:rsidRPr="003D71BC" w:rsidRDefault="00122BEB">
      <w:pPr>
        <w:pStyle w:val="CoverDocType24a"/>
      </w:pPr>
      <w:r w:rsidRPr="003D71BC">
        <w:rPr>
          <w:rStyle w:val="HideTWBExt"/>
          <w:b w:val="0"/>
        </w:rPr>
        <w:t>&lt;TitreType&gt;</w:t>
      </w:r>
      <w:r w:rsidRPr="003D71BC">
        <w:t>OPINJONI</w:t>
      </w:r>
      <w:r w:rsidRPr="003D71BC">
        <w:rPr>
          <w:rStyle w:val="HideTWBExt"/>
          <w:b w:val="0"/>
        </w:rPr>
        <w:t>&lt;/TitreType&gt;</w:t>
      </w:r>
    </w:p>
    <w:p w:rsidR="002E2F2E" w:rsidRPr="003D71BC" w:rsidRDefault="00122BEB">
      <w:pPr>
        <w:pStyle w:val="CoverNormal24a"/>
      </w:pPr>
      <w:r w:rsidRPr="003D71BC">
        <w:rPr>
          <w:rStyle w:val="HideTWBExt"/>
        </w:rPr>
        <w:t>&lt;CommissionResp&gt;</w:t>
      </w:r>
      <w:r w:rsidRPr="003D71BC">
        <w:t xml:space="preserve">tal-Kumitat </w:t>
      </w:r>
      <w:r w:rsidRPr="003D71BC">
        <w:t>għall-Affarijiet Legali</w:t>
      </w:r>
      <w:r w:rsidRPr="003D71BC">
        <w:rPr>
          <w:rStyle w:val="HideTWBExt"/>
        </w:rPr>
        <w:t>&lt;/CommissionResp&gt;</w:t>
      </w:r>
    </w:p>
    <w:p w:rsidR="002E2F2E" w:rsidRPr="003D71BC" w:rsidRDefault="00122BEB">
      <w:pPr>
        <w:pStyle w:val="CoverNormal24a"/>
      </w:pPr>
      <w:r w:rsidRPr="003D71BC">
        <w:rPr>
          <w:rStyle w:val="HideTWBExt"/>
        </w:rPr>
        <w:t>&lt;CommissionInt&gt;</w:t>
      </w:r>
      <w:r w:rsidRPr="003D71BC">
        <w:t>għall-Kumitat għal-Libertajiet Ċivili, il-Ġustizzja u l-Intern</w:t>
      </w:r>
      <w:r w:rsidRPr="003D71BC">
        <w:rPr>
          <w:rStyle w:val="HideTWBExt"/>
        </w:rPr>
        <w:t>&lt;/CommissionInt&gt;</w:t>
      </w:r>
    </w:p>
    <w:p w:rsidR="002E2F2E" w:rsidRPr="003D71BC" w:rsidRDefault="00122BEB">
      <w:pPr>
        <w:pStyle w:val="CoverNormal"/>
      </w:pPr>
      <w:r w:rsidRPr="003D71BC">
        <w:rPr>
          <w:rStyle w:val="HideTWBExt"/>
        </w:rPr>
        <w:t>&lt;Titre&gt;</w:t>
      </w:r>
      <w:r w:rsidRPr="003D71BC">
        <w:t>dwar ir-rapport tal-Kummissjoni tal-2023 dwar l-Istat tad-Dritt</w:t>
      </w:r>
      <w:r w:rsidRPr="003D71BC">
        <w:rPr>
          <w:rStyle w:val="HideTWBExt"/>
        </w:rPr>
        <w:t>&lt;/Titre&gt;</w:t>
      </w:r>
    </w:p>
    <w:p w:rsidR="002E2F2E" w:rsidRPr="003D71BC" w:rsidRDefault="00122BEB">
      <w:pPr>
        <w:pStyle w:val="CoverNormal24a"/>
      </w:pPr>
      <w:r w:rsidRPr="003D71BC">
        <w:rPr>
          <w:rStyle w:val="HideTWBExt"/>
        </w:rPr>
        <w:t>&lt;DocRef&gt;</w:t>
      </w:r>
      <w:r w:rsidRPr="003D71BC">
        <w:t>(2023/2113(INI))</w:t>
      </w:r>
      <w:r w:rsidRPr="003D71BC">
        <w:rPr>
          <w:rStyle w:val="HideTWBExt"/>
        </w:rPr>
        <w:t>&lt;/DocRef&gt;</w:t>
      </w:r>
    </w:p>
    <w:p w:rsidR="002E2F2E" w:rsidRPr="003D71BC" w:rsidRDefault="00122BEB">
      <w:pPr>
        <w:pStyle w:val="CoverNormal24a"/>
      </w:pPr>
      <w:r w:rsidRPr="003D71BC">
        <w:t>Rapporte</w:t>
      </w:r>
      <w:r w:rsidRPr="003D71BC">
        <w:t xml:space="preserve">ur għal opinjoni: </w:t>
      </w:r>
      <w:r w:rsidRPr="003D71BC">
        <w:rPr>
          <w:rStyle w:val="HideTWBExt"/>
        </w:rPr>
        <w:t>&lt;Depute&gt;</w:t>
      </w:r>
      <w:r w:rsidRPr="003D71BC">
        <w:t>Adrián Vázquez Lázara</w:t>
      </w:r>
      <w:r w:rsidRPr="003D71BC">
        <w:rPr>
          <w:rStyle w:val="HideTWBExt"/>
        </w:rPr>
        <w:t>&lt;/Depute&gt;</w:t>
      </w:r>
    </w:p>
    <w:p w:rsidR="00A72C35" w:rsidRPr="003D71BC" w:rsidRDefault="00122BEB" w:rsidP="00A72C35">
      <w:pPr>
        <w:pStyle w:val="CoverNormal"/>
      </w:pPr>
      <w:r w:rsidRPr="003D71BC">
        <w:t>(*) Kumitat assoċjat – Artikolu 57 tar-Regoli ta’ Proċedura</w:t>
      </w:r>
    </w:p>
    <w:p w:rsidR="002E2F2E" w:rsidRPr="003D71BC" w:rsidRDefault="00122BEB" w:rsidP="00E856D2">
      <w:pPr>
        <w:widowControl/>
        <w:tabs>
          <w:tab w:val="center" w:pos="4677"/>
        </w:tabs>
      </w:pPr>
      <w:r w:rsidRPr="003D71BC">
        <w:br w:type="page"/>
      </w:r>
      <w:r w:rsidRPr="003D71BC">
        <w:lastRenderedPageBreak/>
        <w:t>PA_NonLeg</w:t>
      </w:r>
    </w:p>
    <w:p w:rsidR="002E2F2E" w:rsidRPr="003D71BC" w:rsidRDefault="00122BEB">
      <w:pPr>
        <w:pStyle w:val="PageHeadingNotTOC"/>
      </w:pPr>
      <w:r w:rsidRPr="003D71BC">
        <w:br w:type="page"/>
      </w:r>
      <w:r w:rsidRPr="003D71BC">
        <w:lastRenderedPageBreak/>
        <w:t>SUĠĠERIMENTI</w:t>
      </w:r>
    </w:p>
    <w:p w:rsidR="00AD03EB" w:rsidRPr="003D71BC" w:rsidRDefault="00122BEB" w:rsidP="00AD03EB">
      <w:pPr>
        <w:pStyle w:val="NormalHanging12a"/>
      </w:pPr>
      <w:r w:rsidRPr="003D71BC">
        <w:t xml:space="preserve">Il-Kumitat għall-Affarijiet Legali jistieden lill-Kumitat għal-Libertajiet Ċivili, il-Ġustizzja u l-Intern, bħala </w:t>
      </w:r>
      <w:r w:rsidRPr="003D71BC">
        <w:t>l-kumitat responsabbli, biex jinkorpora s-suġġerimenti li ġejjin fil-mozzjoni għal riżoluzzjoni tiegħu:</w:t>
      </w:r>
    </w:p>
    <w:p w:rsidR="00AD03EB" w:rsidRPr="003D71BC" w:rsidRDefault="00122BEB" w:rsidP="00AD03EB">
      <w:pPr>
        <w:pStyle w:val="NormalHanging12a"/>
        <w:rPr>
          <w:b/>
          <w:i/>
        </w:rPr>
      </w:pPr>
      <w:r w:rsidRPr="003D71BC">
        <w:rPr>
          <w:b/>
          <w:i/>
        </w:rPr>
        <w:t>Ġenerali</w:t>
      </w:r>
    </w:p>
    <w:p w:rsidR="00AD03EB" w:rsidRPr="003D71BC" w:rsidRDefault="00122BEB" w:rsidP="00AD03EB">
      <w:pPr>
        <w:pStyle w:val="NormalHanging12a"/>
      </w:pPr>
      <w:r w:rsidRPr="003D71BC">
        <w:t>1.</w:t>
      </w:r>
      <w:r w:rsidRPr="003D71BC">
        <w:tab/>
        <w:t xml:space="preserve">Ifakkar li l-istruttura legali tal-Unjoni hija bbażata fuq il-premessa fundamentali li kull Stat Membru jaqsam mal-Istati Membri l-oħra </w:t>
      </w:r>
      <w:r w:rsidRPr="003D71BC">
        <w:t>kollha sett ta’ valuri komuni li fuqhom hija msejsa l-UE, kif iddikjarat fl-Artikolu 2 tat-Trattat dwar l-Unjoni Ewropea</w:t>
      </w:r>
      <w:r w:rsidRPr="003D71BC">
        <w:rPr>
          <w:vertAlign w:val="superscript"/>
        </w:rPr>
        <w:footnoteReference w:id="1"/>
      </w:r>
      <w:r w:rsidRPr="003D71BC">
        <w:t>; ifakkar ukoll li l-istat tad-dritt, kif minqux fil-liġi primarja tal-UE u definit aktar fil-ġurisprudenza tal-Qorti tal-Ġustizzja tal</w:t>
      </w:r>
      <w:r w:rsidRPr="003D71BC">
        <w:t>-Unjoni Ewropea (QĠUE), huwa simili għad-demokrazija u d-drittijiet fundamentali; ifakkar li l-istat tad-dritt u l-ordni internazzjonali bbażata fuq ir-regoli huma essenzjali għall-ġlieda kontra t-tixrid ta’ reġimi awtoritarji u l-ksur tad-dritt internazzj</w:t>
      </w:r>
      <w:r w:rsidRPr="003D71BC">
        <w:t>onali u jgħinu biex jiġu kkonsolidati l-istrutturi demokratiċi u jiġu mħarsa d-drittijiet tal-bniedem; jisħaq li kwalunkwe rigress tal-istat tad-dritt, li huwa bbażat fuq is-separazzjoni u l-ibbilanċjar tas-setgħat, fi kwalunkwe Stat Membru partikolari jaf</w:t>
      </w:r>
      <w:r w:rsidRPr="003D71BC">
        <w:t>fettwa b’mod sinifikanti l-ispazju komuni tal-libertà, is-sigurtà u l-ġustizzja, kif ukoll il-fiduċja reċiproka u r-rikonoxximent reċiproku bħala l-prinċipji ewlenin tad-dritt tal-UE f’dan il-qasam</w:t>
      </w:r>
      <w:r w:rsidRPr="003D71BC">
        <w:rPr>
          <w:vertAlign w:val="superscript"/>
        </w:rPr>
        <w:footnoteReference w:id="2"/>
      </w:r>
      <w:r w:rsidRPr="003D71BC">
        <w:t>;</w:t>
      </w:r>
    </w:p>
    <w:p w:rsidR="00AD03EB" w:rsidRPr="003D71BC" w:rsidRDefault="00122BEB" w:rsidP="00AD03EB">
      <w:pPr>
        <w:pStyle w:val="NormalHanging12a"/>
      </w:pPr>
      <w:r w:rsidRPr="003D71BC">
        <w:t>2.</w:t>
      </w:r>
      <w:r w:rsidRPr="003D71BC">
        <w:tab/>
        <w:t>Jilqa’ r-raba’ Rapport dwar l-Istat tad-Dritt (“ir-Ra</w:t>
      </w:r>
      <w:r w:rsidRPr="003D71BC">
        <w:t>pport”) tal-Kummissjoni u jqis li r-rieżami perjodiku tal-istat tad-dritt huwa għodda ta’ monitoraġġ essenzjali; jisħaq, f’dan il-kuntest, fuq l-importanza li l-Kummissjoni tuża kriterji ċari u oġġettivi meta tipprovdi l-valutazzjoni tagħha, biex b’hekk ji</w:t>
      </w:r>
      <w:r w:rsidRPr="003D71BC">
        <w:t>ġu evitati allegazzjonijiet ta’ trattament mhux ugwali tal-Istati Membri jew l-użu ta’ data selettiva biss; jilqa’, f’dan ir-rigward, l-approċċ tal-Kummissjoni li tirċievi l-kontribut tal-Istati Membri, u b’hekk trawwem djalogu komuni; jilqa’ l-klassifikaz</w:t>
      </w:r>
      <w:r w:rsidRPr="003D71BC">
        <w:t>zjoni l-ġdida adottata mill-Kummissjoni fir-rigward tal-kejl tal-progress fuq rakkomandazzjonijiet tal-passat, f’erba’ kategoriji: (a) l-ebda progress, (b) xi progress, (c) progress sinifikanti, u (d) implimentazzjoni sħiħa; fid-dawl tal-problemi li jinvol</w:t>
      </w:r>
      <w:r w:rsidRPr="003D71BC">
        <w:t>vi l-ġbir ta’ data statistika mill-Istati Membri, jirrimarka l-utilità tal-għodod tal-Kunsill tal-Ewropa bħar-rapporti tal-Kummissjoni Ewropea għall-Effikaċja tal-Ġustizzja (CEPEJ)</w:t>
      </w:r>
      <w:r w:rsidRPr="003D71BC">
        <w:rPr>
          <w:vertAlign w:val="superscript"/>
        </w:rPr>
        <w:footnoteReference w:id="3"/>
      </w:r>
      <w:r w:rsidRPr="003D71BC">
        <w:t xml:space="preserve"> tal-Kunsill tal-Ewropa, biex b’hekk tinħoloq, kemm jista’ jkun, konverġenz</w:t>
      </w:r>
      <w:r w:rsidRPr="003D71BC">
        <w:t>a bejn l-inputs tad-data differenti;</w:t>
      </w:r>
    </w:p>
    <w:p w:rsidR="00AD03EB" w:rsidRPr="003D71BC" w:rsidRDefault="00122BEB" w:rsidP="00AD03EB">
      <w:pPr>
        <w:pStyle w:val="NormalHanging12a"/>
      </w:pPr>
      <w:r w:rsidRPr="003D71BC">
        <w:rPr>
          <w:b/>
          <w:i/>
        </w:rPr>
        <w:t>Ġustizzja</w:t>
      </w:r>
    </w:p>
    <w:p w:rsidR="00AD03EB" w:rsidRPr="003D71BC" w:rsidRDefault="00122BEB" w:rsidP="00AD03EB">
      <w:pPr>
        <w:pStyle w:val="NormalHanging12a"/>
      </w:pPr>
      <w:r w:rsidRPr="003D71BC">
        <w:t>3.</w:t>
      </w:r>
      <w:r w:rsidRPr="003D71BC">
        <w:tab/>
        <w:t>Jirrikonoxxi l-importanza mogħtija lis-sistemi ġudizzjarji permezz tar-rapportar dwar l-istat tad-dritt, b’mod partikolari fir-rigward tal-legalità, l-indipendenza u l-imparzjalità tal-imħallfin u l-ħatriet</w:t>
      </w:r>
      <w:r w:rsidRPr="003D71BC">
        <w:t xml:space="preserve">, il-promozzjonijiet, is-sensji u d-deċiżjonijiet ġudizzjarji; jirrikonoxxi li ma teżisti l-ebda sistema komuni tal-UE għan-nomina tal-imħallfin; </w:t>
      </w:r>
      <w:r w:rsidRPr="003D71BC">
        <w:lastRenderedPageBreak/>
        <w:t>ifakkar, madankollu, li l-Istati Membri kollha jeħtieġ li jaderixxu mal-istandards minimi tal-Kunsill tal-Ewro</w:t>
      </w:r>
      <w:r w:rsidRPr="003D71BC">
        <w:t>pa</w:t>
      </w:r>
      <w:r w:rsidRPr="003D71BC">
        <w:rPr>
          <w:vertAlign w:val="superscript"/>
        </w:rPr>
        <w:footnoteReference w:id="4"/>
      </w:r>
      <w:r w:rsidRPr="003D71BC">
        <w:t xml:space="preserve"> u tal-QĠUE</w:t>
      </w:r>
      <w:r w:rsidRPr="003D71BC">
        <w:rPr>
          <w:vertAlign w:val="superscript"/>
        </w:rPr>
        <w:footnoteReference w:id="5"/>
      </w:r>
      <w:r w:rsidRPr="003D71BC">
        <w:t>; jisħaq, f’dan il-kuntest, fuq l-importanza ta’ kunsilli indipendenti tal-ġudikatura, li jridu jkunu magħmula minn maġġoranza sostanzjali ta’ mħallfin eletti mill-pari tagħhom u mogħtija s-setgħa b’awtorità sostanzjali fuq l-għażla, l-avvan</w:t>
      </w:r>
      <w:r w:rsidRPr="003D71BC">
        <w:t>z u l-proċeduri dixxiplinari fir-rigward tal-imħallfin; jiddispjaċih ħafna li mhux l-Istati Membri kollha ssodisfaw bis-sħiħ l-obbligi tagħhom f’dan ir-rigward; jiddeplora l-effett devastanti li dan għandu fuq l-indipendenza u l-integrità tas-sistemi ġudiz</w:t>
      </w:r>
      <w:r w:rsidRPr="003D71BC">
        <w:t>zjarji tagħhom;</w:t>
      </w:r>
    </w:p>
    <w:p w:rsidR="00AD03EB" w:rsidRPr="003D71BC" w:rsidRDefault="00122BEB" w:rsidP="00AD03EB">
      <w:pPr>
        <w:pStyle w:val="NormalHanging12a"/>
      </w:pPr>
      <w:r w:rsidRPr="003D71BC">
        <w:t>4.</w:t>
      </w:r>
      <w:r w:rsidRPr="003D71BC">
        <w:tab/>
        <w:t>Jirrikonoxxi li kważi żewġ terzi tar-rakkomandazzjonijiet maħruġa fl-2022 relatati ma’ riformi importanti ġew segwiti sa ċertu punt; jinsab imħasseb, madankollu, dwar l-għadd ta’ kwistjonijiet identifikati fir-rapporti preċedenti dwar l-</w:t>
      </w:r>
      <w:r w:rsidRPr="003D71BC">
        <w:t>istat tad-dritt li għadhom ma ġewx indirizzati; iħeġġeġ lill-Kummissjoni tippersisti fil-monitoraġġ diliġenti tagħha tal-oqfsa legali tal-Istati Membri sabiex tivvaluta l-allinjament tagħhom mar-rakkomandazzjonijiet imsemmija hawn fuq, u jistieden ukoll li</w:t>
      </w:r>
      <w:r w:rsidRPr="003D71BC">
        <w:t>ll-Kummissjoni ssir aktar insistenti dwar l-implimentazzjoni ta’ dawn ir-riformi kritiċi f’każijiet fejn is-sistemi tal-Istati Membri ma jissodisfawx l-istandards preskritti; jistieden lill-Kummissjoni tieħu passi ulterjuri biex tindirizza bis-sħiħ ir-rakk</w:t>
      </w:r>
      <w:r w:rsidRPr="003D71BC">
        <w:t>omandazzjonijiet li saru mill-Parlament fir-riżoluzzjonijiet preċedenti tiegħu;</w:t>
      </w:r>
    </w:p>
    <w:p w:rsidR="00AD03EB" w:rsidRPr="003D71BC" w:rsidRDefault="00122BEB" w:rsidP="00AD03EB">
      <w:pPr>
        <w:pStyle w:val="NormalHanging12a"/>
      </w:pPr>
      <w:r w:rsidRPr="003D71BC">
        <w:t>5.</w:t>
      </w:r>
      <w:r w:rsidRPr="003D71BC">
        <w:tab/>
        <w:t>Jilqa’ l-appoġġ kontinwu li jingħata lill-partijiet ikkonċernati rilevanti permezz ta’ programmi ddedikati, bħall-Programm dwar iċ-Ċittadini, l-Ugwaljanza, id-Drittijiet u l</w:t>
      </w:r>
      <w:r w:rsidRPr="003D71BC">
        <w:t>-Valuri; jilqa’ l-finanzjament permezz tal-Programm dwar il-Ġustizzja biex jappoġġja l-kooperazzjoni ġudizzjarja fi kwistjonijiet ċivili u kriminali u biex jikkontribwixxi għall-iżvilupp ulterjuri tal-ġustizzja Ewropea, li jinvolvi t-tisħiħ tad-demokrazija</w:t>
      </w:r>
      <w:r w:rsidRPr="003D71BC">
        <w:t>, l-istat tad-dritt u d-drittijiet fundamentali;</w:t>
      </w:r>
    </w:p>
    <w:p w:rsidR="00AD03EB" w:rsidRPr="003D71BC" w:rsidRDefault="00122BEB" w:rsidP="00AD03EB">
      <w:pPr>
        <w:pStyle w:val="NormalHanging12a"/>
      </w:pPr>
      <w:r w:rsidRPr="003D71BC">
        <w:t>6.</w:t>
      </w:r>
      <w:r w:rsidRPr="003D71BC">
        <w:tab/>
        <w:t>Iħeġġeġ lill-Kummissjoni tinvesti aktar fis-sensibilizzazzjoni dwar il-valuri tal-Unjoni u l-għodod applikabbli, inkluż ir-rapport annwali, speċjalment f’pajjiżi fejn hemm tħassib serju;</w:t>
      </w:r>
    </w:p>
    <w:p w:rsidR="00AD03EB" w:rsidRPr="003D71BC" w:rsidRDefault="00122BEB" w:rsidP="00AD03EB">
      <w:pPr>
        <w:pStyle w:val="NormalHanging12a"/>
      </w:pPr>
      <w:r w:rsidRPr="003D71BC">
        <w:t>7.</w:t>
      </w:r>
      <w:r w:rsidRPr="003D71BC">
        <w:tab/>
        <w:t>Jirrikonoxxi l</w:t>
      </w:r>
      <w:r w:rsidRPr="003D71BC">
        <w:t>i fl-aħħar rapport jidher ċertu livell ta’ progress f’għadd ta’ Stati Membri differenti fir-rigward tal-indipendenza ġudizzjarja; jilqa’, f’dan ir-rigward, iż-żamma tal-fondi tal-UE, jekk ikun meħtieġ, fl-ambitu tal-mekkaniżmu ta’ kondizzjonalità</w:t>
      </w:r>
      <w:r w:rsidRPr="003D71BC">
        <w:rPr>
          <w:vertAlign w:val="superscript"/>
        </w:rPr>
        <w:footnoteReference w:id="6"/>
      </w:r>
      <w:r w:rsidRPr="003D71BC">
        <w:t xml:space="preserve">, kif </w:t>
      </w:r>
      <w:r w:rsidRPr="003D71BC">
        <w:lastRenderedPageBreak/>
        <w:t>ikk</w:t>
      </w:r>
      <w:r w:rsidRPr="003D71BC">
        <w:t>onfermat mill-QĠUE</w:t>
      </w:r>
      <w:r w:rsidRPr="003D71BC">
        <w:rPr>
          <w:vertAlign w:val="superscript"/>
        </w:rPr>
        <w:footnoteReference w:id="7"/>
      </w:r>
      <w:r w:rsidRPr="003D71BC">
        <w:t>, jew fl-ambitu tal-Faċilità għall-Irkupru u r-Reżiljenza</w:t>
      </w:r>
      <w:r w:rsidRPr="003D71BC">
        <w:rPr>
          <w:vertAlign w:val="superscript"/>
        </w:rPr>
        <w:footnoteReference w:id="8"/>
      </w:r>
      <w:r w:rsidRPr="003D71BC">
        <w:t>; jirrimarka, madankollu, li l-ksur tal-indipendenza ġudizzjarja għadu ta’ tħassib f’xi Stati Membri, bħall-proċeduri dixxiplinari li għaddejjin kontra l-imħallfin minħabba l-kont</w:t>
      </w:r>
      <w:r w:rsidRPr="003D71BC">
        <w:t>enut tad-deċiżjonijiet tagħhom, il-problemi rigward il-kompożizzjoni tal-kunsilli tal-ġudikatura u rigward il-kompożizzjoni tal-ogħla qrati nazzjonali fid-dawl tal-prinċipju ta’ qorti stabbilita bil-liġi, eċċ.;</w:t>
      </w:r>
    </w:p>
    <w:p w:rsidR="00AD03EB" w:rsidRPr="003D71BC" w:rsidRDefault="00122BEB" w:rsidP="00AD03EB">
      <w:pPr>
        <w:pStyle w:val="NormalHanging12a"/>
      </w:pPr>
      <w:r w:rsidRPr="003D71BC">
        <w:t>8.</w:t>
      </w:r>
      <w:r w:rsidRPr="003D71BC">
        <w:tab/>
        <w:t xml:space="preserve">Ifakkar li sistema ġudizzjarja effiċjenti </w:t>
      </w:r>
      <w:r w:rsidRPr="003D71BC">
        <w:t>u ġusta li tiżgura aċċess għall-ġustizzja għal kulħadd tirrikjedi baġit u finanzjament xierqa tal-korpi ġudizzjarji; jiddispjaċih li r-rapport għadu jiżvela l-eżistenza ta’ nuqqasijiet serji f’dan ir-rigward, li b’mod speċifiku jidher li jfixklu l-aġġudika</w:t>
      </w:r>
      <w:r w:rsidRPr="003D71BC">
        <w:t>zzjoni ta’ każijiet ta’ korruzzjoni ta’ profil għoli; jisħaq, madankollu, li għajnuna legali u rimedji suffiċjenti għandhom ikunu disponibbli wkoll għaċ-ċittadini; jistieden, f’dan il-kuntest, lill-Kummissjoni biex fir-rapport li jmiss dwar l-istat tad-dri</w:t>
      </w:r>
      <w:r w:rsidRPr="003D71BC">
        <w:t>tt tinkludi valutazzjonijiet tal-applikazzjoni tal-acquis tal-UE dwar l-għajnuna legali fi kwistjonijiet ċivili u kriminali, bħad-Direttiva tal-Kunsill 2003/8/KE tas-27 ta’ Jannar 2023 biex ittejjeb l-aċċess għal ġustizzja f’tilwimiet bejn il-konfini billi</w:t>
      </w:r>
      <w:r w:rsidRPr="003D71BC">
        <w:t xml:space="preserve"> tistabbilixxi regoli komuni minimi konnessi ma’ għajnuna legali għal tilwimiet bħal dawn</w:t>
      </w:r>
      <w:r w:rsidRPr="003D71BC">
        <w:rPr>
          <w:vertAlign w:val="superscript"/>
        </w:rPr>
        <w:footnoteReference w:id="9"/>
      </w:r>
      <w:r w:rsidRPr="003D71BC">
        <w:t>, peress li l-ġurisprudenza tal-QĠUE tiżvela li għad hemm mistoqsijiet dwar l-interpretazzjoni tagħha;</w:t>
      </w:r>
    </w:p>
    <w:p w:rsidR="00AD03EB" w:rsidRPr="003D71BC" w:rsidRDefault="00122BEB" w:rsidP="00AD03EB">
      <w:pPr>
        <w:pStyle w:val="NormalHanging12a"/>
      </w:pPr>
      <w:r w:rsidRPr="003D71BC">
        <w:t>9.</w:t>
      </w:r>
      <w:r w:rsidRPr="003D71BC">
        <w:tab/>
        <w:t>Ifakkar li anke s-servizzi ta’ prosekuzzjoni, irrispettivame</w:t>
      </w:r>
      <w:r w:rsidRPr="003D71BC">
        <w:t>nt mill-pożizzjoni tagħhom fis-sistema nazzjonali tad-diviżjoni tas-setgħat bejn tliet fergħat tal-gvern, għandhom ikunu indipendenti minn pressjoni politika mhux xierqa; jinnota li nkiseb ċertu livell ta’ progress f’xi Stati Membri; jiddispjaċih, madankol</w:t>
      </w:r>
      <w:r w:rsidRPr="003D71BC">
        <w:t>lu, li għadhom jeżistu sistemi fejn il-gvern jista’ joħroġ deċiżjonijiet vinkolanti għall-prosekuturi f’każijiet partikolari, fejn il-mandat huwa marbut ma’ proċess politiku, jew fejn il-funzjonijiet ta’ ministru u prosekutur ġenerali huma kombinati, u b’h</w:t>
      </w:r>
      <w:r w:rsidRPr="003D71BC">
        <w:t>ekk jippermettu influwenza politika mhux xierqa u joħolqu problemi fir-rigward tar-rikonoxximent reċiproku</w:t>
      </w:r>
      <w:r w:rsidRPr="003D71BC">
        <w:rPr>
          <w:vertAlign w:val="superscript"/>
        </w:rPr>
        <w:footnoteReference w:id="10"/>
      </w:r>
      <w:r w:rsidRPr="003D71BC">
        <w:t>;</w:t>
      </w:r>
    </w:p>
    <w:p w:rsidR="00AD03EB" w:rsidRPr="003D71BC" w:rsidRDefault="00122BEB" w:rsidP="00AD03EB">
      <w:pPr>
        <w:pStyle w:val="NormalHanging12a"/>
      </w:pPr>
      <w:r w:rsidRPr="003D71BC">
        <w:t>10.</w:t>
      </w:r>
      <w:r w:rsidRPr="003D71BC">
        <w:tab/>
        <w:t>Jissottolinja, b’mod partikolari, li l-kwistjoni tar-“revolving doors” mhijiex limitata biss għal tħassib dwar ex ministri li jgħaddu minn tran</w:t>
      </w:r>
      <w:r w:rsidRPr="003D71BC">
        <w:t>żitu għas-settur privat wara l-mandat tagħhom f’kariga pubblika, iżda testendi għal sitwazzjonijiet fejn individwi jistgħu jassumu rwoli kritiċi fi ħdan il-ġudikatura jew l-uffiċċju tal-prosekutur immedjatament wara s-servizz tagħhom bħala ministri jew aff</w:t>
      </w:r>
      <w:r w:rsidRPr="003D71BC">
        <w:t>iljazzjoni ma’ partit politiku;</w:t>
      </w:r>
    </w:p>
    <w:p w:rsidR="00AD03EB" w:rsidRPr="003D71BC" w:rsidRDefault="00122BEB" w:rsidP="00AD03EB">
      <w:pPr>
        <w:pStyle w:val="NormalHanging12a"/>
      </w:pPr>
      <w:r w:rsidRPr="003D71BC">
        <w:t>11.</w:t>
      </w:r>
      <w:r w:rsidRPr="003D71BC">
        <w:tab/>
        <w:t>Jistieden lill-Kummissjoni tqis kif xieraq tali eżempji fir-rapporti li ġejjin tagħha li jindirizzaw l-istat tad-dritt fl-Unjoni Ewropea; iħeġġeġ lill-Kummissjoni titlob bil-qawwa lill-Istati Membri biex joqogħdu lura mi</w:t>
      </w:r>
      <w:r w:rsidRPr="003D71BC">
        <w:t xml:space="preserve">nn dawn il-prattiki, speċifikament, billi jimplimentaw dispożizzjonijiet legali li jipprevjenu b’mod attiv lil ex ministri u </w:t>
      </w:r>
      <w:r w:rsidRPr="003D71BC">
        <w:lastRenderedPageBreak/>
        <w:t>personalitajiet politiċi ta’ livell għoli milli jassumu pożizzjonijiet ta’ tmexxija fi ħdan il-qrati superjuri tal-ġustizzja jew l-</w:t>
      </w:r>
      <w:r w:rsidRPr="003D71BC">
        <w:t>uffiċċju tal-prosekutur, u b’hekk jissalvagwardjaw l-indipendenza u l-integrità ta’ dawn l-istituzzjonijiet vitali;</w:t>
      </w:r>
    </w:p>
    <w:p w:rsidR="00AD03EB" w:rsidRPr="003D71BC" w:rsidRDefault="00122BEB" w:rsidP="00AD03EB">
      <w:pPr>
        <w:pStyle w:val="NormalHanging12a"/>
      </w:pPr>
      <w:r w:rsidRPr="003D71BC">
        <w:rPr>
          <w:b/>
          <w:i/>
        </w:rPr>
        <w:t>Ġlieda kontra l-korruzzjoni</w:t>
      </w:r>
    </w:p>
    <w:p w:rsidR="00AD03EB" w:rsidRPr="003D71BC" w:rsidRDefault="00122BEB" w:rsidP="00AD03EB">
      <w:pPr>
        <w:pStyle w:val="NormalHanging12a"/>
      </w:pPr>
      <w:r w:rsidRPr="003D71BC">
        <w:t>12.</w:t>
      </w:r>
      <w:r w:rsidRPr="003D71BC">
        <w:tab/>
        <w:t>Ifakkar li l-ġlieda kontra l-korruzzjoni hija essenzjali biex jinżamm l-istat tad-dritt u biex tinżamm u tit</w:t>
      </w:r>
      <w:r w:rsidRPr="003D71BC">
        <w:t>rawwem il-fiduċja taċ-ċittadini fl-istituzzjonijiet pubbliċi; ifakkar, barra minn hekk, li biex tkun effettiva, din tirrikjedi qafas legali u amministrattiv robust kontra l-korruzzjoni bbażat fuq l-integrità, it-trasparenza u l-obbligu ta’ rendikont, b’mod</w:t>
      </w:r>
      <w:r w:rsidRPr="003D71BC">
        <w:t xml:space="preserve"> partikolari fil-ħajja pubblika, filwaqt li jenfasizza l-iżvelar tad-dikjarazzjonijiet ta’ interess u l-protezzjoni tal-informaturi fejn applikabbli;</w:t>
      </w:r>
    </w:p>
    <w:p w:rsidR="00AD03EB" w:rsidRPr="003D71BC" w:rsidRDefault="00122BEB" w:rsidP="00AD03EB">
      <w:pPr>
        <w:pStyle w:val="NormalHanging12a"/>
      </w:pPr>
      <w:r w:rsidRPr="003D71BC">
        <w:t>13.</w:t>
      </w:r>
      <w:r w:rsidRPr="003D71BC">
        <w:tab/>
        <w:t>Jiddikjara li l-korruzzjoni hija theddida li tista’ teqred id-demokraziji u ddgħajjef il-fiduċja taċ-ċ</w:t>
      </w:r>
      <w:r w:rsidRPr="003D71BC">
        <w:t>ittadini fl-istituzzjonijiet, u għandha tiġi miġġielda fil-forom kollha tagħha; jirrimarka li l-korruzzjoni hija l-aktar triq komuni li permezz tagħha l-kriminalità organizzata tinfiltra u tikkontrolla l-ekonomija; jinsab imħasseb li l-aħħar Rapport ma jur</w:t>
      </w:r>
      <w:r w:rsidRPr="003D71BC">
        <w:t>i l-ebda progress jew progress bil-mod ħafna biss fir-rigward tal-miżuri ta’ prevenzjoni kontra l-korruzzjoni f’diversi Stati Membri; jinsab imħasseb ħafna dwar in-nuqqas ta’ rieda mid-detenturi ta’ karigi pubbliċi u uffiċjali għolja biex jistabbilixxu reġ</w:t>
      </w:r>
      <w:r w:rsidRPr="003D71BC">
        <w:t>istri ta’ lobbisti, reġistri ta’ trasparenza u sistemi xierqa ta’ dikjarazzjonijiet tal-assi, kif ukoll dwar in-nuqqas ta’ rieda politika li jiġu introdotti regoli stretti fi ħdan il-politiki ta’ “revolving doors”; jenfasizza, f’dan il-kuntest, l-importanz</w:t>
      </w:r>
      <w:r w:rsidRPr="003D71BC">
        <w:t>a ta’ proċedura leġiżlattiva trasparenti b’aċċess wiesa’ għad-dokumenti, u regoli biex jiġi żgurat l-ogħla livell ta’ trasparenza u obbligu ta’ rendikont fl-amministrazzjonijiet pubbliċi u t-teħid ta’ deċiżjonijiet pubbliċi bil-għan li tiġi evitata l-korru</w:t>
      </w:r>
      <w:r w:rsidRPr="003D71BC">
        <w:t>zzjoni</w:t>
      </w:r>
      <w:r w:rsidRPr="003D71BC">
        <w:rPr>
          <w:vertAlign w:val="superscript"/>
        </w:rPr>
        <w:footnoteReference w:id="11"/>
      </w:r>
      <w:r w:rsidRPr="003D71BC">
        <w:t>;</w:t>
      </w:r>
    </w:p>
    <w:p w:rsidR="00AD03EB" w:rsidRPr="003D71BC" w:rsidRDefault="00122BEB" w:rsidP="00AD03EB">
      <w:pPr>
        <w:pStyle w:val="NormalHanging12a"/>
      </w:pPr>
      <w:r w:rsidRPr="003D71BC">
        <w:t>14.</w:t>
      </w:r>
      <w:r w:rsidRPr="003D71BC">
        <w:tab/>
        <w:t xml:space="preserve">Jitlob ukoll, f’dan il-kuntest, lill-istituzzjonijiet kollha tal-UE biex jaderixxu mal-ogħla standards possibbli bil-għan li tiġi evitata l-korruzzjoni, bħal, fost l-oħrajn, il-ħolqien ta’ Korp tal-Etika tal-UE effettiv, l-applikazzjoni sħiħa </w:t>
      </w:r>
      <w:r w:rsidRPr="003D71BC">
        <w:t>tar-Regolament 1049/2001</w:t>
      </w:r>
      <w:r w:rsidRPr="003D71BC">
        <w:rPr>
          <w:vertAlign w:val="superscript"/>
        </w:rPr>
        <w:footnoteReference w:id="12"/>
      </w:r>
      <w:r w:rsidRPr="003D71BC">
        <w:t xml:space="preserve"> dwar l-aċċess pubbliku għad-dokumenti, u l-applikazzjoni sħiħa tal-prinċipju tal-kondizzjonalità fir-rigward tar-Reġistru ta’ Trasparenza tal-UE; jistieden lill-Istati Membri jippruvaw jilħqu ftehim malajr kemm jista’ jkun dwar id</w:t>
      </w:r>
      <w:r w:rsidRPr="003D71BC">
        <w:t>-direttiva proposta dwar il-ġlieda kontra l-korruzzjoni bil-għan li jiġi stabbilit qafas komuni u omoġenju ta’ kodiċijiet ta’ kondotta, standards li jipprevjenu l-kunflitti ta’ interess u regoli li jiżguraw it-trasparenza tal-proċeduri;</w:t>
      </w:r>
    </w:p>
    <w:p w:rsidR="00AD03EB" w:rsidRPr="003D71BC" w:rsidRDefault="00122BEB" w:rsidP="00AD03EB">
      <w:pPr>
        <w:pStyle w:val="NormalHanging12a"/>
      </w:pPr>
      <w:r w:rsidRPr="003D71BC">
        <w:t>15.</w:t>
      </w:r>
      <w:r w:rsidRPr="003D71BC">
        <w:tab/>
        <w:t>Jirrikonoxxi ż-</w:t>
      </w:r>
      <w:r w:rsidRPr="003D71BC">
        <w:t>żieda sostanzjali f’dawn l-aħħar snin fl-importanza kwantitattiva tal-fondi allokati mill-Unjoni Ewropea, inklużi l-fondi NextGenerationEU; jirrikonoxxi li, b’riżultat ta’ dan, il-preżenza tad-dispożizzjonijiet legali fil-leġiżlazzjoni tal-Istati Membri mf</w:t>
      </w:r>
      <w:r w:rsidRPr="003D71BC">
        <w:t>assla biex tipprevjeni l-użu ħażin ta’ dawn il-fondi assumiet l-akbar importanza;</w:t>
      </w:r>
    </w:p>
    <w:p w:rsidR="00AD03EB" w:rsidRPr="003D71BC" w:rsidRDefault="00122BEB" w:rsidP="00AD03EB">
      <w:pPr>
        <w:pStyle w:val="NormalHanging12a"/>
      </w:pPr>
      <w:r w:rsidRPr="003D71BC">
        <w:t>16.</w:t>
      </w:r>
      <w:r w:rsidRPr="003D71BC">
        <w:tab/>
        <w:t>Ifakkar li l-ebda settur ma huwa sikur mir-riskju ta’ korruzzjoni, inklużi dawk li jimmaniġġjaw fondi pubbliċi sinifikanti jew li għandhom aċċess għal infrastrutturi u se</w:t>
      </w:r>
      <w:r w:rsidRPr="003D71BC">
        <w:t xml:space="preserve">rvizzi kritiċi, bħall-kura tas-saħħa u l-kostruzzjoni; jenfasizza li l-gruppi tal-kriminalità organizzata għandhom rwol dejjem aktar importanti f’attivitajiet li jinkludu l-iffalsifikar, il-piraterija u l-ksur tad-drittijiet tal-proprjetà intellettwali, u </w:t>
      </w:r>
      <w:r w:rsidRPr="003D71BC">
        <w:t>li żdiedu sostanzjalment fl-ambjent diġitali; ifakkar li l-gruppi kriminali involuti f’dawn l-attivitajiet illegali spiss jużaw il-profitti biex jiffinanzjaw attivitajiet illegali oħra;</w:t>
      </w:r>
    </w:p>
    <w:p w:rsidR="00AD03EB" w:rsidRPr="003D71BC" w:rsidRDefault="00122BEB" w:rsidP="00AD03EB">
      <w:pPr>
        <w:pStyle w:val="NormalHanging12a"/>
      </w:pPr>
      <w:r w:rsidRPr="003D71BC">
        <w:t>17.</w:t>
      </w:r>
      <w:r w:rsidRPr="003D71BC">
        <w:tab/>
        <w:t>Jistieden lill-Kummissjoni, bħala parti mir-rapporti li jmiss tagħ</w:t>
      </w:r>
      <w:r w:rsidRPr="003D71BC">
        <w:t>ha dwar l-istat tad-dritt, tinkorpora evalwazzjoni tal-evoluzzjoni tal-leġiżlazzjoni tal-Istati Membri f’dawn l-aħħar snin b’rabta mas-sorveljanza tal-użu xieraq tal-fondi pubbliċi, kif ukoll il-mekkaniżmi legali fis-seħħ biex tindirizza kwalunkwe użu mhux</w:t>
      </w:r>
      <w:r w:rsidRPr="003D71BC">
        <w:t xml:space="preserve"> xieraq tal-fondi pubbliċi;</w:t>
      </w:r>
    </w:p>
    <w:p w:rsidR="00AD03EB" w:rsidRPr="003D71BC" w:rsidRDefault="00122BEB" w:rsidP="00AD03EB">
      <w:pPr>
        <w:pStyle w:val="NormalHanging12a"/>
      </w:pPr>
      <w:r w:rsidRPr="003D71BC">
        <w:t>18.</w:t>
      </w:r>
      <w:r w:rsidRPr="003D71BC">
        <w:tab/>
        <w:t>Ifakkar fl-appoġġ qawwi tal-Parlament għall-istabbiliment tal-Uffiċċju tal-Prosekutur Pubbliku Ewropew (UPPE); jirrikonoxxi r-rwol importanti tal-UPPE bħala korp indipendenti tal-UE fl-investigazzjoni, il-prosekuzzjoni u t-t</w:t>
      </w:r>
      <w:r w:rsidRPr="003D71BC">
        <w:t>ressiq quddiem il-ġustizzja ta’ reati li jaffettwaw l-interessi finanzjarji tal-Unjoni; jenfasizza li minn meta beda l-operazzjonijiet tiegħu fl-1 ta’ Ġunju 2021, l-UPPE rreġistra aktar minn 4 000 rapport dwar kriminalità minn Stati Membri parteċipanti tal</w:t>
      </w:r>
      <w:r w:rsidRPr="003D71BC">
        <w:t>-UE u minn partijiet privati u nfetħu aktar minn 929 investigazzjoni (sa Ġunju 2022);</w:t>
      </w:r>
    </w:p>
    <w:p w:rsidR="00AD03EB" w:rsidRPr="003D71BC" w:rsidRDefault="00122BEB" w:rsidP="00AD03EB">
      <w:pPr>
        <w:pStyle w:val="NormalHanging12a"/>
      </w:pPr>
      <w:r w:rsidRPr="003D71BC">
        <w:t>19.</w:t>
      </w:r>
      <w:r w:rsidRPr="003D71BC">
        <w:tab/>
        <w:t>Iħeġġeġ lill-Kummissjoni, barra minn hekk, biex f’każijiet fejn il-livell ta’ salvagwardji għall-fondi pubbliċi jinstab li tbaxxa, minnufih tidħol f’kuntatt mal-Istat</w:t>
      </w:r>
      <w:r w:rsidRPr="003D71BC">
        <w:t xml:space="preserve"> Membru jew l-Istati Membri affettwati, filwaqt li titlob l-implimentazzjoni rapida tal-miżuri meħtieġa biex din is-sitwazzjoni tiġi rettifikata;</w:t>
      </w:r>
    </w:p>
    <w:p w:rsidR="00AD03EB" w:rsidRPr="003D71BC" w:rsidRDefault="00122BEB" w:rsidP="00AD03EB">
      <w:pPr>
        <w:pStyle w:val="NormalHanging12a"/>
        <w:rPr>
          <w:b/>
          <w:i/>
        </w:rPr>
      </w:pPr>
      <w:r w:rsidRPr="003D71BC">
        <w:rPr>
          <w:b/>
          <w:i/>
        </w:rPr>
        <w:t>Soċjetà ċivili</w:t>
      </w:r>
    </w:p>
    <w:p w:rsidR="00AD03EB" w:rsidRPr="003D71BC" w:rsidRDefault="00122BEB" w:rsidP="00AD03EB">
      <w:pPr>
        <w:pStyle w:val="NormalHanging12a"/>
      </w:pPr>
      <w:r w:rsidRPr="003D71BC">
        <w:t>20.</w:t>
      </w:r>
      <w:r w:rsidRPr="003D71BC">
        <w:tab/>
        <w:t xml:space="preserve">Ifakkar fir-riżoluzzjoni tiegħu tal-11 ta’ Novembru 2021 dwar it-tisħiħ tad-demokrazija u </w:t>
      </w:r>
      <w:r w:rsidRPr="003D71BC">
        <w:t>l-libertà u l-pluraliżmu tal-midja fl-Unjoni fejn stieden lill-Kummissjoni tipproponi pakkett ta’ liġijiet kemm vinkolanti kif ukoll mhux vinkolanti biex tindirizza n-numru dejjem akbar ta’ kawżi strateġiċi kontra l-parteċipazzjoni pubblika, jew SLAPPs; ji</w:t>
      </w:r>
      <w:r w:rsidRPr="003D71BC">
        <w:t xml:space="preserve">lqa’ l-proposta leġiżlattiva u r-rakkomandazzjoni tal-Kummissjoni lill-Istati Membri tas-27 ta’ April 2022 li jindirizzaw it-talba tal-Parlament f’dan ir-rigward; jisħaq li s-SLAPPs huma forma partikolari ta’ fastidju użat primarjament kontra l-ġurnalisti </w:t>
      </w:r>
      <w:r w:rsidRPr="003D71BC">
        <w:t>biex jipprevenuhom milli jitkellmu jew jippenalizzawhom talli jitkellmu dwar kwistjonijiet ta’ interess pubbliku billi jiġu soġġetti għal kawżi twal, ta’ piż u li jiswew ħafna flus; jistieden lill-Istati Membri jlaħħqu mal-ambizzjonijiet fil-miżuri propost</w:t>
      </w:r>
      <w:r w:rsidRPr="003D71BC">
        <w:t>i u jżidu l-isforzi biex itejbu s-sikurezza u l-protezzjoni tal-ġurnalisti;</w:t>
      </w:r>
    </w:p>
    <w:p w:rsidR="00AD03EB" w:rsidRPr="003D71BC" w:rsidRDefault="00122BEB" w:rsidP="00AD03EB">
      <w:pPr>
        <w:pStyle w:val="NormalHanging12a"/>
      </w:pPr>
      <w:r w:rsidRPr="003D71BC">
        <w:t>21.</w:t>
      </w:r>
      <w:r w:rsidRPr="003D71BC">
        <w:tab/>
        <w:t>Jinnota bi tħassib kbir it-tiċkin b’mod ġenerali tal-ispazju tas-soċjetà ċivili f’ċerti Stati Membri, li jirrappreżenta theddida serja għall-istat tad-dritt, id-demokrazija, id</w:t>
      </w:r>
      <w:r w:rsidRPr="003D71BC">
        <w:t>-drittijiet fundamentali u valuri oħra tal-UE; jistieden lill-Kummissjoni timmonitorja l-isfidi u l-attakki li tiffaċċja s-soċjetà ċivili bħala parti mill-ħidma annwali tagħha ta’ valutazzjoni u rappurtar tal-istat tad-dritt u tinkludi konklużjonijiet u ra</w:t>
      </w:r>
      <w:r w:rsidRPr="003D71BC">
        <w:t>kkomandazzjonijiet immirati fir-rapport tagħha; itenni t-talba tiegħu, f’dan ir-rigward, li jiġi ddedikat kapitolu separat għall-istat tas-soċjetà ċivili fl-Istati Membri;</w:t>
      </w:r>
    </w:p>
    <w:p w:rsidR="00954850" w:rsidRPr="003D71BC" w:rsidRDefault="00122BEB" w:rsidP="00AD03EB">
      <w:pPr>
        <w:pStyle w:val="NormalHanging12a"/>
      </w:pPr>
      <w:r w:rsidRPr="003D71BC">
        <w:t>22.</w:t>
      </w:r>
      <w:r w:rsidRPr="003D71BC">
        <w:tab/>
        <w:t>Jenfasizza li l-qafas legali attwali fil-livell tal-Unjoni u dak nazzjonali mhuw</w:t>
      </w:r>
      <w:r w:rsidRPr="003D71BC">
        <w:t>iex biżżejjed biex jistabbilixxi u jappoġġja soċjetà ċivili pan-Ewropea b’saħħitha, li l-eżistenza tagħha hija meħtieġa għad-demokrazija; jemmen, għalhekk, li statut għall-assoċjazzjonijiet u l-organizzazzjonijiet mingħajr skop ta’ qligħ transfruntieri tal</w:t>
      </w:r>
      <w:r w:rsidRPr="003D71BC">
        <w:t>-UE se jipprovdi saff addizzjonali ta’ protezzjoni lill-organizzazzjonijiet tas-soċjetà ċivili li qed jiffaċċjaw ostakli indebiti għall-istabbiliment u l-funzjonament tagħhom</w:t>
      </w:r>
      <w:r w:rsidRPr="003D71BC">
        <w:rPr>
          <w:vertAlign w:val="superscript"/>
        </w:rPr>
        <w:footnoteReference w:id="13"/>
      </w:r>
    </w:p>
    <w:p w:rsidR="00954850" w:rsidRPr="003D71BC" w:rsidRDefault="00954850" w:rsidP="00954850">
      <w:pPr>
        <w:pStyle w:val="NormalHanging12a"/>
      </w:pPr>
    </w:p>
    <w:p w:rsidR="00AD03EB" w:rsidRPr="003D71BC" w:rsidRDefault="00122BEB">
      <w:pPr>
        <w:widowControl/>
      </w:pPr>
      <w:r w:rsidRPr="003D71BC">
        <w:br w:type="page"/>
      </w:r>
    </w:p>
    <w:p w:rsidR="00122BEB" w:rsidRDefault="00122BEB" w:rsidP="00122BEB">
      <w:pPr>
        <w:pStyle w:val="PageHeadingNotTOC"/>
        <w:rPr>
          <w:noProof/>
        </w:rPr>
      </w:pPr>
      <w:bookmarkStart w:id="0" w:name="FootprintPageAD"/>
      <w:r>
        <w:rPr>
          <w:noProof/>
        </w:rPr>
        <w:t>ANNESS: ENTITAJIET JEW PERSUNI</w:t>
      </w:r>
      <w:r>
        <w:rPr>
          <w:noProof/>
        </w:rPr>
        <w:br/>
        <w:t>LI R-RAPPORTEUR GĦAL OPINJONI RĊIEVA KONTRIBUT MINGĦANDHOM</w:t>
      </w:r>
    </w:p>
    <w:p w:rsidR="00122BEB" w:rsidRPr="0099178F" w:rsidRDefault="00122BEB" w:rsidP="00122BEB">
      <w:pPr>
        <w:pStyle w:val="Normal24a"/>
      </w:pPr>
      <w:r w:rsidRPr="00FE761F">
        <w:rPr>
          <w:rStyle w:val="HideTWBExt"/>
        </w:rPr>
        <w:t>&lt;FootprintIntro&gt;</w:t>
      </w:r>
      <w:r>
        <w:t>Ir-rapporteur għal opinjoni jiddikjara, taħt ir-responsabbiltà esklużiva tiegħu, li ma rċieva l-ebda kontribut minn entità jew persuna li jrid jissemma f’dan l-Anness f’konformità mal-Artikolu 8 tal-Anness I tar-Regoli ta’ Proċedura.</w:t>
      </w:r>
      <w:r w:rsidRPr="00FE761F">
        <w:rPr>
          <w:rStyle w:val="HideTWBExt"/>
        </w:rPr>
        <w:t>&lt;</w:t>
      </w:r>
      <w:r>
        <w:rPr>
          <w:rStyle w:val="HideTWBExt"/>
        </w:rPr>
        <w:t>/</w:t>
      </w:r>
      <w:r w:rsidRPr="00FE761F">
        <w:rPr>
          <w:rStyle w:val="HideTWBExt"/>
        </w:rPr>
        <w:t>FootprintIntro&gt;</w:t>
      </w:r>
    </w:p>
    <w:p w:rsidR="00122BEB" w:rsidRDefault="00122BEB" w:rsidP="00122BEB"/>
    <w:p w:rsidR="00122BEB" w:rsidRPr="00122BEB" w:rsidRDefault="00122BEB" w:rsidP="00122BEB"/>
    <w:bookmarkEnd w:id="0"/>
    <w:p w:rsidR="00AD03EB" w:rsidRPr="003D71BC" w:rsidRDefault="00AD03EB" w:rsidP="00AD03EB">
      <w:pPr>
        <w:pStyle w:val="NormalHanging12a"/>
      </w:pPr>
    </w:p>
    <w:p w:rsidR="00AD03EB" w:rsidRPr="003D71BC" w:rsidRDefault="00122BEB" w:rsidP="00AD03EB">
      <w:r w:rsidRPr="003D71BC">
        <w:br w:type="page"/>
      </w:r>
    </w:p>
    <w:p w:rsidR="00AD03EB" w:rsidRPr="003D71BC" w:rsidRDefault="00122BEB" w:rsidP="00AD03EB">
      <w:pPr>
        <w:pStyle w:val="PageHeadingNotTOC"/>
      </w:pPr>
      <w:bookmarkStart w:id="1" w:name="ProcPageAD"/>
      <w:r w:rsidRPr="003D71BC">
        <w:t xml:space="preserve">INFORMAZZJONI DWAR </w:t>
      </w:r>
      <w:r w:rsidRPr="003D71BC">
        <w:t>L-ADOZZJONI</w:t>
      </w:r>
      <w:r w:rsidRPr="003D71BC">
        <w:br/>
        <w:t>FIL-KUMITAT LI JINTALAB JAGĦTI OPINJONI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075A18" w:rsidRPr="003D71BC" w:rsidTr="005D67ED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3D71BC">
              <w:rPr>
                <w:b/>
                <w:color w:val="000000"/>
                <w:sz w:val="20"/>
              </w:rPr>
              <w:t>Data tal-adozzjoni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29.11.2023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AD03EB" w:rsidP="005D67ED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AD03EB" w:rsidP="005D67ED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AD03EB" w:rsidP="005D67ED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  <w:szCs w:val="24"/>
              </w:rPr>
            </w:pPr>
          </w:p>
        </w:tc>
      </w:tr>
      <w:tr w:rsidR="00075A18" w:rsidRPr="003D71BC" w:rsidTr="005D67ED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3D71BC">
              <w:rPr>
                <w:b/>
                <w:color w:val="000000"/>
                <w:sz w:val="20"/>
              </w:rPr>
              <w:t>Riżultat tal-votazzjoni finali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+:</w:t>
            </w:r>
          </w:p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–:</w:t>
            </w:r>
          </w:p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20</w:t>
            </w:r>
          </w:p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2</w:t>
            </w:r>
          </w:p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0</w:t>
            </w:r>
          </w:p>
        </w:tc>
      </w:tr>
      <w:tr w:rsidR="00075A18" w:rsidRPr="003D71BC" w:rsidTr="005D67ED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3D71BC">
              <w:rPr>
                <w:b/>
                <w:color w:val="000000"/>
                <w:sz w:val="20"/>
              </w:rPr>
              <w:t>Membri preżenti għall-votazzjoni finali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 xml:space="preserve">Pascal Arimont, Ilana Cicurel, Geoffroy Didier, Ibán García Del Blanco, Virginie </w:t>
            </w:r>
            <w:r w:rsidRPr="003D71BC">
              <w:rPr>
                <w:color w:val="000000"/>
                <w:sz w:val="20"/>
              </w:rPr>
              <w:t>Joron, Pierre Karleskind, Sergey Lagodinsky, Gilles Lebreton, Karen Melchior, Sabrina Pignedoli, Jiří Pospíšil, Raffaele Stancanelli, Adrián Vázquez Lázara, Axel Voss, Marion Walsmann, Tiemo Wölken, Javier Zarzalejos</w:t>
            </w:r>
          </w:p>
        </w:tc>
      </w:tr>
      <w:tr w:rsidR="00075A18" w:rsidRPr="003D71BC" w:rsidTr="005D67ED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3D71BC">
              <w:rPr>
                <w:b/>
                <w:color w:val="000000"/>
                <w:sz w:val="20"/>
              </w:rPr>
              <w:t>Sostituti preżenti għall-votazzjoni fi</w:t>
            </w:r>
            <w:r w:rsidRPr="003D71BC">
              <w:rPr>
                <w:b/>
                <w:color w:val="000000"/>
                <w:sz w:val="20"/>
              </w:rPr>
              <w:t>nali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Daniel Buda, Pascal Durand, Heidi Hautala</w:t>
            </w:r>
          </w:p>
        </w:tc>
      </w:tr>
      <w:tr w:rsidR="00075A18" w:rsidRPr="003D71BC" w:rsidTr="005D67ED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</w:rPr>
            </w:pPr>
            <w:r w:rsidRPr="003D71BC">
              <w:rPr>
                <w:b/>
                <w:color w:val="000000"/>
                <w:sz w:val="20"/>
              </w:rPr>
              <w:t>Sostituti (skont l-Artikolu 209(7)) preżenti għall-votazzjoni finali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AD03EB" w:rsidRPr="003D71BC" w:rsidRDefault="00122BEB" w:rsidP="005D67ED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3D71BC">
              <w:rPr>
                <w:color w:val="000000"/>
                <w:sz w:val="20"/>
              </w:rPr>
              <w:t>Sylvie Guillaume, Pedro Marques, Anne-Sophie Pelletier</w:t>
            </w:r>
          </w:p>
        </w:tc>
      </w:tr>
    </w:tbl>
    <w:p w:rsidR="00AD03EB" w:rsidRPr="003D71BC" w:rsidRDefault="00AD03EB" w:rsidP="00AD03EB"/>
    <w:bookmarkEnd w:id="1"/>
    <w:p w:rsidR="00122BEB" w:rsidRDefault="00122BEB" w:rsidP="00AD03EB">
      <w:pPr>
        <w:sectPr w:rsidR="00122BEB" w:rsidSect="00122BE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  <w:docGrid w:linePitch="326"/>
        </w:sectPr>
      </w:pPr>
    </w:p>
    <w:p w:rsidR="00122BEB" w:rsidRDefault="00122BEB" w:rsidP="00AD03EB">
      <w:bookmarkStart w:id="2" w:name="_GoBack"/>
      <w:bookmarkEnd w:id="2"/>
    </w:p>
    <w:p w:rsidR="00AD03EB" w:rsidRPr="003D71BC" w:rsidRDefault="00122BEB" w:rsidP="00AD03EB">
      <w:pPr>
        <w:pStyle w:val="PageHeadingNotTOC"/>
      </w:pPr>
      <w:bookmarkStart w:id="3" w:name="RollCallPageAD"/>
      <w:r w:rsidRPr="003D71BC">
        <w:t>VOTAZZJONI FINALI B’SEJĦA TAL-ISMIJIET</w:t>
      </w:r>
      <w:r w:rsidRPr="003D71BC">
        <w:br/>
        <w:t>FIL-KUMITAT LI JINTALAB JAGĦTI OPINJONI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075A18" w:rsidRPr="003D71BC" w:rsidTr="005D67E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AD03EB" w:rsidRPr="003D71BC" w:rsidRDefault="00122BEB" w:rsidP="005D67ED">
            <w:pPr>
              <w:pStyle w:val="RollCallVotes"/>
            </w:pPr>
            <w:r w:rsidRPr="003D71BC">
              <w:t>20</w:t>
            </w:r>
          </w:p>
        </w:tc>
        <w:tc>
          <w:tcPr>
            <w:tcW w:w="7371" w:type="dxa"/>
            <w:shd w:val="pct10" w:color="000000" w:fill="FFFFFF"/>
          </w:tcPr>
          <w:p w:rsidR="00AD03EB" w:rsidRPr="003D71BC" w:rsidRDefault="00122BEB" w:rsidP="005D67ED">
            <w:pPr>
              <w:pStyle w:val="RollCallSymbols14pt"/>
            </w:pPr>
            <w:r w:rsidRPr="003D71BC">
              <w:t>+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NI</w:t>
            </w:r>
          </w:p>
        </w:tc>
        <w:tc>
          <w:tcPr>
            <w:tcW w:w="737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Sabrina Pignedoli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PPE</w:t>
            </w:r>
          </w:p>
        </w:tc>
        <w:tc>
          <w:tcPr>
            <w:tcW w:w="737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Pascal Arimont, Daniel Buda, Geoffroy Didier, Jiří Pospíšil, Axel Voss, Marion Walsmann, Javier Zarzalejos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Renew</w:t>
            </w:r>
          </w:p>
        </w:tc>
        <w:tc>
          <w:tcPr>
            <w:tcW w:w="737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Ilana Cicurel, Pierre Karleskind, Karen Melchior, Adrián Vázquez Lázara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S&amp;D</w:t>
            </w:r>
          </w:p>
        </w:tc>
        <w:tc>
          <w:tcPr>
            <w:tcW w:w="737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Pascal Durand, Ibán García Del Blanco, Sylvie Guillaume, Pedro Ma</w:t>
            </w:r>
            <w:r w:rsidRPr="003D71BC">
              <w:t>rques, Tiemo Wölken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The Left</w:t>
            </w:r>
          </w:p>
        </w:tc>
        <w:tc>
          <w:tcPr>
            <w:tcW w:w="737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Anne-Sophie Pelletier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Heidi Hautala, Sergey Lagodinsky</w:t>
            </w:r>
          </w:p>
        </w:tc>
      </w:tr>
    </w:tbl>
    <w:p w:rsidR="00AD03EB" w:rsidRPr="003D71BC" w:rsidRDefault="00AD03EB" w:rsidP="00AD03EB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075A18" w:rsidRPr="003D71BC" w:rsidTr="005D67E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AD03EB" w:rsidRPr="003D71BC" w:rsidRDefault="00122BEB" w:rsidP="005D67ED">
            <w:pPr>
              <w:pStyle w:val="RollCallVotes"/>
            </w:pPr>
            <w:r w:rsidRPr="003D71BC">
              <w:t>2</w:t>
            </w:r>
          </w:p>
        </w:tc>
        <w:tc>
          <w:tcPr>
            <w:tcW w:w="7371" w:type="dxa"/>
            <w:shd w:val="pct10" w:color="000000" w:fill="FFFFFF"/>
          </w:tcPr>
          <w:p w:rsidR="00AD03EB" w:rsidRPr="003D71BC" w:rsidRDefault="00122BEB" w:rsidP="005D67ED">
            <w:pPr>
              <w:pStyle w:val="RollCallSymbols14pt"/>
            </w:pPr>
            <w:r w:rsidRPr="003D71BC">
              <w:t>-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ID</w:t>
            </w:r>
          </w:p>
        </w:tc>
        <w:tc>
          <w:tcPr>
            <w:tcW w:w="7371" w:type="dxa"/>
            <w:shd w:val="clear" w:color="auto" w:fill="FFFFFF"/>
          </w:tcPr>
          <w:p w:rsidR="00AD03EB" w:rsidRPr="003D71BC" w:rsidRDefault="00122BEB" w:rsidP="005D67ED">
            <w:pPr>
              <w:pStyle w:val="RollCallTable"/>
            </w:pPr>
            <w:r w:rsidRPr="003D71BC">
              <w:t>Virginie Joron, Gilles Lebreton</w:t>
            </w:r>
          </w:p>
        </w:tc>
      </w:tr>
    </w:tbl>
    <w:p w:rsidR="00AD03EB" w:rsidRPr="003D71BC" w:rsidRDefault="00AD03EB" w:rsidP="00AD03EB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075A18" w:rsidRPr="003D71BC" w:rsidTr="005D67ED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AD03EB" w:rsidRPr="003D71BC" w:rsidRDefault="00122BEB" w:rsidP="005D67ED">
            <w:pPr>
              <w:pStyle w:val="RollCallVotes"/>
            </w:pPr>
            <w:r w:rsidRPr="003D71BC">
              <w:t>0</w:t>
            </w:r>
          </w:p>
        </w:tc>
        <w:tc>
          <w:tcPr>
            <w:tcW w:w="7371" w:type="dxa"/>
            <w:shd w:val="pct10" w:color="000000" w:fill="FFFFFF"/>
          </w:tcPr>
          <w:p w:rsidR="00AD03EB" w:rsidRPr="003D71BC" w:rsidRDefault="00122BEB" w:rsidP="005D67ED">
            <w:pPr>
              <w:pStyle w:val="RollCallSymbols14pt"/>
            </w:pPr>
            <w:r w:rsidRPr="003D71BC">
              <w:t>0</w:t>
            </w:r>
          </w:p>
        </w:tc>
      </w:tr>
      <w:tr w:rsidR="00075A18" w:rsidRPr="003D71BC" w:rsidTr="005D67ED">
        <w:trPr>
          <w:cantSplit/>
        </w:trPr>
        <w:tc>
          <w:tcPr>
            <w:tcW w:w="1701" w:type="dxa"/>
            <w:shd w:val="clear" w:color="auto" w:fill="FFFFFF"/>
          </w:tcPr>
          <w:p w:rsidR="00AD03EB" w:rsidRPr="003D71BC" w:rsidRDefault="00AD03EB" w:rsidP="005D67ED">
            <w:pPr>
              <w:pStyle w:val="RollCallTable"/>
            </w:pPr>
          </w:p>
        </w:tc>
        <w:tc>
          <w:tcPr>
            <w:tcW w:w="7371" w:type="dxa"/>
            <w:shd w:val="clear" w:color="auto" w:fill="FFFFFF"/>
          </w:tcPr>
          <w:p w:rsidR="00AD03EB" w:rsidRPr="003D71BC" w:rsidRDefault="00AD03EB" w:rsidP="005D67ED">
            <w:pPr>
              <w:pStyle w:val="RollCallTable"/>
            </w:pPr>
          </w:p>
        </w:tc>
      </w:tr>
    </w:tbl>
    <w:p w:rsidR="00AD03EB" w:rsidRPr="003D71BC" w:rsidRDefault="00AD03EB" w:rsidP="00AD03EB">
      <w:pPr>
        <w:pStyle w:val="Normal12a"/>
      </w:pPr>
    </w:p>
    <w:p w:rsidR="00AD03EB" w:rsidRPr="003D71BC" w:rsidRDefault="00122BEB" w:rsidP="00AD03EB">
      <w:r w:rsidRPr="003D71BC">
        <w:t>Tifsira tas-simboli użati:</w:t>
      </w:r>
    </w:p>
    <w:p w:rsidR="00AD03EB" w:rsidRPr="003D71BC" w:rsidRDefault="00122BEB" w:rsidP="00AD03EB">
      <w:pPr>
        <w:pStyle w:val="RollCallTabs"/>
      </w:pPr>
      <w:r w:rsidRPr="003D71BC">
        <w:t>+</w:t>
      </w:r>
      <w:r w:rsidRPr="003D71BC">
        <w:tab/>
        <w:t>:</w:t>
      </w:r>
      <w:r w:rsidRPr="003D71BC">
        <w:tab/>
        <w:t>favur</w:t>
      </w:r>
    </w:p>
    <w:p w:rsidR="00AD03EB" w:rsidRPr="003D71BC" w:rsidRDefault="00122BEB" w:rsidP="00AD03EB">
      <w:pPr>
        <w:pStyle w:val="RollCallTabs"/>
      </w:pPr>
      <w:r w:rsidRPr="003D71BC">
        <w:t>-</w:t>
      </w:r>
      <w:r w:rsidRPr="003D71BC">
        <w:tab/>
        <w:t>:</w:t>
      </w:r>
      <w:r w:rsidRPr="003D71BC">
        <w:tab/>
        <w:t>kontra</w:t>
      </w:r>
    </w:p>
    <w:p w:rsidR="00AD03EB" w:rsidRPr="003D71BC" w:rsidRDefault="00122BEB" w:rsidP="00AD03EB">
      <w:pPr>
        <w:pStyle w:val="RollCallTabs"/>
      </w:pPr>
      <w:r w:rsidRPr="003D71BC">
        <w:t>0</w:t>
      </w:r>
      <w:r w:rsidRPr="003D71BC">
        <w:tab/>
        <w:t>:</w:t>
      </w:r>
      <w:r w:rsidRPr="003D71BC">
        <w:tab/>
        <w:t>astensjoni</w:t>
      </w:r>
    </w:p>
    <w:p w:rsidR="00AD03EB" w:rsidRPr="003D71BC" w:rsidRDefault="00AD03EB" w:rsidP="00AD03EB"/>
    <w:bookmarkEnd w:id="3"/>
    <w:p w:rsidR="00AD03EB" w:rsidRPr="003D71BC" w:rsidRDefault="00AD03EB" w:rsidP="00AD03EB"/>
    <w:p w:rsidR="002E6F98" w:rsidRPr="003D71BC" w:rsidRDefault="002E6F98" w:rsidP="0000468A"/>
    <w:sectPr w:rsidR="002E6F98" w:rsidRPr="003D71BC" w:rsidSect="00122BEB">
      <w:headerReference w:type="even" r:id="rId14"/>
      <w:headerReference w:type="default" r:id="rId15"/>
      <w:headerReference w:type="first" r:id="rId16"/>
      <w:footerReference w:type="first" r:id="rId17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3D71BC" w:rsidRDefault="00122BEB">
      <w:r w:rsidRPr="003D71BC">
        <w:separator/>
      </w:r>
    </w:p>
  </w:endnote>
  <w:endnote w:type="continuationSeparator" w:id="0">
    <w:p w:rsidR="00000000" w:rsidRPr="003D71BC" w:rsidRDefault="00122BEB">
      <w:r w:rsidRPr="003D71B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1BC" w:rsidRPr="003D71BC" w:rsidRDefault="003D71BC" w:rsidP="003D71BC">
    <w:pPr>
      <w:pStyle w:val="EPFooter"/>
    </w:pPr>
    <w:r w:rsidRPr="003D71BC">
      <w:t>PE</w:t>
    </w:r>
    <w:r w:rsidRPr="003D71BC">
      <w:rPr>
        <w:rStyle w:val="HideTWBExt"/>
      </w:rPr>
      <w:t>&lt;NoPE&gt;</w:t>
    </w:r>
    <w:r w:rsidRPr="003D71BC">
      <w:t>754.755</w:t>
    </w:r>
    <w:r w:rsidRPr="003D71BC">
      <w:rPr>
        <w:rStyle w:val="HideTWBExt"/>
      </w:rPr>
      <w:t>&lt;/NoPE&gt;&lt;Version&gt;</w:t>
    </w:r>
    <w:r w:rsidRPr="003D71BC">
      <w:t>v02-00</w:t>
    </w:r>
    <w:r w:rsidRPr="003D71BC">
      <w:rPr>
        <w:rStyle w:val="HideTWBExt"/>
      </w:rPr>
      <w:t>&lt;/Version&gt;</w:t>
    </w:r>
    <w:r w:rsidRPr="003D71BC">
      <w:tab/>
    </w:r>
    <w:r w:rsidRPr="003D71BC">
      <w:fldChar w:fldCharType="begin"/>
    </w:r>
    <w:r w:rsidRPr="003D71BC">
      <w:instrText xml:space="preserve"> PAGE  \* MERGEFORMAT </w:instrText>
    </w:r>
    <w:r w:rsidRPr="003D71BC">
      <w:fldChar w:fldCharType="separate"/>
    </w:r>
    <w:r w:rsidR="00122BEB">
      <w:rPr>
        <w:noProof/>
      </w:rPr>
      <w:t>10</w:t>
    </w:r>
    <w:r w:rsidRPr="003D71BC">
      <w:fldChar w:fldCharType="end"/>
    </w:r>
    <w:r w:rsidRPr="003D71BC">
      <w:t>/</w:t>
    </w:r>
    <w:fldSimple w:instr=" NUMPAGES  \* MERGEFORMAT ">
      <w:r w:rsidR="00122BEB">
        <w:rPr>
          <w:noProof/>
        </w:rPr>
        <w:t>11</w:t>
      </w:r>
    </w:fldSimple>
    <w:r w:rsidRPr="003D71BC">
      <w:tab/>
    </w:r>
    <w:r w:rsidRPr="003D71BC">
      <w:rPr>
        <w:rStyle w:val="HideTWBExt"/>
      </w:rPr>
      <w:t>&lt;PathFdR&gt;</w:t>
    </w:r>
    <w:r w:rsidRPr="003D71BC">
      <w:t>AD\1291636MT.docx</w:t>
    </w:r>
    <w:r w:rsidRPr="003D71BC">
      <w:rPr>
        <w:rStyle w:val="HideTWBExt"/>
      </w:rPr>
      <w:t>&lt;/PathFdR&gt;</w:t>
    </w:r>
  </w:p>
  <w:p w:rsidR="00AD03EB" w:rsidRPr="003D71BC" w:rsidRDefault="003D71BC" w:rsidP="003D71BC">
    <w:pPr>
      <w:pStyle w:val="EPFooter2"/>
    </w:pPr>
    <w:r w:rsidRPr="003D71BC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1BC" w:rsidRPr="003D71BC" w:rsidRDefault="003D71BC" w:rsidP="003D71BC">
    <w:pPr>
      <w:pStyle w:val="EPFooter"/>
    </w:pPr>
    <w:r w:rsidRPr="003D71BC">
      <w:rPr>
        <w:rStyle w:val="HideTWBExt"/>
      </w:rPr>
      <w:t>&lt;PathFdR&gt;</w:t>
    </w:r>
    <w:r w:rsidRPr="003D71BC">
      <w:t>AD\1291636MT.docx</w:t>
    </w:r>
    <w:r w:rsidRPr="003D71BC">
      <w:rPr>
        <w:rStyle w:val="HideTWBExt"/>
      </w:rPr>
      <w:t>&lt;/PathFdR&gt;</w:t>
    </w:r>
    <w:r w:rsidRPr="003D71BC">
      <w:tab/>
    </w:r>
    <w:r w:rsidRPr="003D71BC">
      <w:fldChar w:fldCharType="begin"/>
    </w:r>
    <w:r w:rsidRPr="003D71BC">
      <w:instrText xml:space="preserve"> PAGE  \* MERGEFORMAT </w:instrText>
    </w:r>
    <w:r w:rsidRPr="003D71BC">
      <w:fldChar w:fldCharType="separate"/>
    </w:r>
    <w:r w:rsidR="00122BEB">
      <w:rPr>
        <w:noProof/>
      </w:rPr>
      <w:t>11</w:t>
    </w:r>
    <w:r w:rsidRPr="003D71BC">
      <w:fldChar w:fldCharType="end"/>
    </w:r>
    <w:r w:rsidRPr="003D71BC">
      <w:t>/</w:t>
    </w:r>
    <w:fldSimple w:instr=" NUMPAGES  \* MERGEFORMAT ">
      <w:r w:rsidR="00122BEB">
        <w:rPr>
          <w:noProof/>
        </w:rPr>
        <w:t>11</w:t>
      </w:r>
    </w:fldSimple>
    <w:r w:rsidRPr="003D71BC">
      <w:tab/>
      <w:t>PE</w:t>
    </w:r>
    <w:r w:rsidRPr="003D71BC">
      <w:rPr>
        <w:rStyle w:val="HideTWBExt"/>
      </w:rPr>
      <w:t>&lt;NoPE&gt;</w:t>
    </w:r>
    <w:r w:rsidRPr="003D71BC">
      <w:t>754.755</w:t>
    </w:r>
    <w:r w:rsidRPr="003D71BC">
      <w:rPr>
        <w:rStyle w:val="HideTWBExt"/>
      </w:rPr>
      <w:t>&lt;/NoPE&gt;&lt;Version&gt;</w:t>
    </w:r>
    <w:r w:rsidRPr="003D71BC">
      <w:t>v02-00</w:t>
    </w:r>
    <w:r w:rsidRPr="003D71BC">
      <w:rPr>
        <w:rStyle w:val="HideTWBExt"/>
      </w:rPr>
      <w:t>&lt;/Version&gt;</w:t>
    </w:r>
  </w:p>
  <w:p w:rsidR="00AD03EB" w:rsidRPr="003D71BC" w:rsidRDefault="003D71BC" w:rsidP="003D71BC">
    <w:pPr>
      <w:pStyle w:val="EPFooter2"/>
    </w:pPr>
    <w:r w:rsidRPr="003D71BC">
      <w:tab/>
    </w:r>
    <w:r w:rsidRPr="003D71BC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1BC" w:rsidRPr="003D71BC" w:rsidRDefault="003D71BC" w:rsidP="003D71BC">
    <w:pPr>
      <w:pStyle w:val="EPFooter"/>
    </w:pPr>
    <w:r w:rsidRPr="003D71BC">
      <w:rPr>
        <w:rStyle w:val="HideTWBExt"/>
      </w:rPr>
      <w:t>&lt;PathFdR&gt;</w:t>
    </w:r>
    <w:r w:rsidRPr="003D71BC">
      <w:t>AD\1291636MT.docx</w:t>
    </w:r>
    <w:r w:rsidRPr="003D71BC">
      <w:rPr>
        <w:rStyle w:val="HideTWBExt"/>
      </w:rPr>
      <w:t>&lt;/PathFdR&gt;</w:t>
    </w:r>
    <w:r w:rsidRPr="003D71BC">
      <w:tab/>
    </w:r>
    <w:r w:rsidRPr="003D71BC">
      <w:tab/>
      <w:t>PE</w:t>
    </w:r>
    <w:r w:rsidRPr="003D71BC">
      <w:rPr>
        <w:rStyle w:val="HideTWBExt"/>
      </w:rPr>
      <w:t>&lt;NoPE&gt;</w:t>
    </w:r>
    <w:r w:rsidRPr="003D71BC">
      <w:t>754.755</w:t>
    </w:r>
    <w:r w:rsidRPr="003D71BC">
      <w:rPr>
        <w:rStyle w:val="HideTWBExt"/>
      </w:rPr>
      <w:t>&lt;/NoPE&gt;&lt;Version&gt;</w:t>
    </w:r>
    <w:r w:rsidRPr="003D71BC">
      <w:t>v02-00</w:t>
    </w:r>
    <w:r w:rsidRPr="003D71BC">
      <w:rPr>
        <w:rStyle w:val="HideTWBExt"/>
      </w:rPr>
      <w:t>&lt;/Version&gt;</w:t>
    </w:r>
  </w:p>
  <w:p w:rsidR="00AD03EB" w:rsidRPr="003D71BC" w:rsidRDefault="003D71BC" w:rsidP="003D71BC">
    <w:pPr>
      <w:pStyle w:val="EPFooter2"/>
    </w:pPr>
    <w:r w:rsidRPr="003D71BC">
      <w:t>MT</w:t>
    </w:r>
    <w:r w:rsidRPr="003D71BC">
      <w:tab/>
    </w:r>
    <w:r w:rsidRPr="003D71BC">
      <w:rPr>
        <w:b w:val="0"/>
        <w:i/>
        <w:color w:val="C0C0C0"/>
        <w:sz w:val="22"/>
      </w:rPr>
      <w:t>Magħquda fid-diversità</w:t>
    </w:r>
    <w:r w:rsidRPr="003D71BC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68A" w:rsidRPr="003D71BC" w:rsidRDefault="00122BEB" w:rsidP="0000468A">
    <w:pPr>
      <w:pStyle w:val="EPFooter"/>
    </w:pPr>
    <w:r w:rsidRPr="003D71BC">
      <w:rPr>
        <w:rStyle w:val="HideTWBExt"/>
      </w:rPr>
      <w:t>&lt;PathFdR&gt;</w:t>
    </w:r>
    <w:r w:rsidR="00E73005" w:rsidRPr="003D71BC">
      <w:t>AD\1291636MT.docx</w:t>
    </w:r>
    <w:r w:rsidRPr="003D71BC">
      <w:rPr>
        <w:rStyle w:val="HideTWBExt"/>
      </w:rPr>
      <w:t>&lt;/PathFdR&gt;</w:t>
    </w:r>
    <w:r w:rsidRPr="003D71BC">
      <w:tab/>
    </w:r>
    <w:r w:rsidRPr="003D71BC">
      <w:tab/>
      <w:t>PE</w:t>
    </w:r>
    <w:r w:rsidRPr="003D71BC">
      <w:rPr>
        <w:rStyle w:val="HideTWBExt"/>
      </w:rPr>
      <w:t>&lt;NoPE&gt;</w:t>
    </w:r>
    <w:r w:rsidRPr="003D71BC">
      <w:t>754.755</w:t>
    </w:r>
    <w:r w:rsidRPr="003D71BC">
      <w:rPr>
        <w:rStyle w:val="HideTWBExt"/>
      </w:rPr>
      <w:t>&lt;/NoPE&gt;&lt;Version&gt;</w:t>
    </w:r>
    <w:r w:rsidRPr="003D71BC">
      <w:t>v02-00</w:t>
    </w:r>
    <w:r w:rsidRPr="003D71BC">
      <w:rPr>
        <w:rStyle w:val="HideTWBExt"/>
      </w:rPr>
      <w:t>&lt;/Version&gt;</w:t>
    </w:r>
  </w:p>
  <w:p w:rsidR="002E2F2E" w:rsidRPr="003D71BC" w:rsidRDefault="00122BEB" w:rsidP="0000468A">
    <w:pPr>
      <w:pStyle w:val="EPFooter2"/>
    </w:pPr>
    <w:r w:rsidRPr="003D71BC">
      <w:t>MT</w:t>
    </w:r>
    <w:r w:rsidRPr="003D71BC">
      <w:tab/>
    </w:r>
    <w:r w:rsidRPr="003D71BC">
      <w:rPr>
        <w:b w:val="0"/>
        <w:i/>
        <w:color w:val="C0C0C0"/>
        <w:sz w:val="22"/>
      </w:rPr>
      <w:t>Magħquda fid-diversità</w:t>
    </w:r>
    <w:r w:rsidRPr="003D71BC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17D" w:rsidRPr="003D71BC" w:rsidRDefault="00122BEB">
      <w:r w:rsidRPr="003D71BC">
        <w:separator/>
      </w:r>
    </w:p>
  </w:footnote>
  <w:footnote w:type="continuationSeparator" w:id="0">
    <w:p w:rsidR="0008317D" w:rsidRPr="003D71BC" w:rsidRDefault="00122BEB">
      <w:r w:rsidRPr="003D71BC">
        <w:continuationSeparator/>
      </w:r>
    </w:p>
  </w:footnote>
  <w:footnote w:id="1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Ara l-Opinjoni 2/2013 tal-Qorti tal-Ġustizzja tal-Unjoni Ewropea (Seduta Plenarja) tat-18 ta’ Diċembru 2014, ECLI:UE:C:2014:2454, il-paragrafu 168.</w:t>
      </w:r>
    </w:p>
  </w:footnote>
  <w:footnote w:id="2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Ibid., il-paragrafu 191.</w:t>
      </w:r>
    </w:p>
  </w:footnote>
  <w:footnote w:id="3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Ċikli tal-evalwazzjoni tas-CEPEJ.</w:t>
      </w:r>
    </w:p>
  </w:footnote>
  <w:footnote w:id="4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Briefing — “Council of Europe standards on</w:t>
      </w:r>
      <w:r w:rsidRPr="003D71BC">
        <w:t xml:space="preserve"> judicial independence” (“L-istandards tal-Kunsill tal-Ewropa dwar l-indipendenza ġudizzjarja”), Parlament Ewropew, Direttorat Ġenerali għas-Servizzi ta’ Riċerka Parlamentari, 25 ta’ Mejju 2021.</w:t>
      </w:r>
    </w:p>
  </w:footnote>
  <w:footnote w:id="5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Pereżempju, is-Sentenza tal-Qorti tal-Ġustizzja (Awla Manja</w:t>
      </w:r>
      <w:r w:rsidRPr="003D71BC">
        <w:t xml:space="preserve">) tas-27 ta’ Frar 2018 fil-Kawża C-64/16, </w:t>
      </w:r>
      <w:r w:rsidRPr="003D71BC">
        <w:rPr>
          <w:i/>
        </w:rPr>
        <w:t>Associação Sindical dos Juízes Portugueses</w:t>
      </w:r>
      <w:r w:rsidRPr="003D71BC">
        <w:t xml:space="preserve"> vs </w:t>
      </w:r>
      <w:r w:rsidRPr="003D71BC">
        <w:rPr>
          <w:i/>
        </w:rPr>
        <w:t>Tribunal de Contas</w:t>
      </w:r>
      <w:r w:rsidRPr="003D71BC">
        <w:t xml:space="preserve">, ECLI:EU:C:2018:117, jew is-Sentenza tal-Qorti tal-Ġustizzja (Awla Manja) tad-19 ta’ Novembru 2019, </w:t>
      </w:r>
      <w:r w:rsidRPr="003D71BC">
        <w:rPr>
          <w:i/>
        </w:rPr>
        <w:t>A.K.</w:t>
      </w:r>
      <w:r w:rsidRPr="003D71BC">
        <w:t xml:space="preserve"> vs </w:t>
      </w:r>
      <w:r w:rsidRPr="003D71BC">
        <w:rPr>
          <w:i/>
        </w:rPr>
        <w:t>Krajowa Rada Sądownictwa</w:t>
      </w:r>
      <w:r w:rsidRPr="003D71BC">
        <w:t xml:space="preserve">, Kawżi Magħquda </w:t>
      </w:r>
      <w:r w:rsidRPr="003D71BC">
        <w:t>C-585/18, C-624/18 u C-625/18, ECLI:EU:C:2019:982. Ara wkoll il-Briefing – “European Court of Justice case law on judicial independence” (“Il-ġurisprudenza tal-Qorti Ewropea tal-Ġustizzja dwar l-indipendenza ġudizzjarja”), Parlament Ewropew. Direttorat Ġen</w:t>
      </w:r>
      <w:r w:rsidRPr="003D71BC">
        <w:t>erali għas-Servizzi ta’ Riċerka Parlamentari, 19 ta’ Lulju 2021.</w:t>
      </w:r>
    </w:p>
  </w:footnote>
  <w:footnote w:id="6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Ir-Regolament (UE, Euratom) 2020/2092 tal-Parlament Ewropew u tal-Kunsill tas-16 ta’ Diċembru 2020 dwar reġim ġenerali ta’ kondizzjonalità għall-protezzjoni tal-baġit tal-Unjoni (ĠU L 433 I</w:t>
      </w:r>
      <w:r w:rsidRPr="003D71BC">
        <w:t>, 22.12.2020, p. 1).</w:t>
      </w:r>
    </w:p>
  </w:footnote>
  <w:footnote w:id="7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Ara s-sentenza tal-Qorti tal-Ġustizzja (Seduta Plenarja) tas-16 ta’ Frar 2022, </w:t>
      </w:r>
      <w:r w:rsidRPr="003D71BC">
        <w:rPr>
          <w:i/>
          <w:iCs/>
        </w:rPr>
        <w:t>l-</w:t>
      </w:r>
      <w:r w:rsidRPr="003D71BC">
        <w:rPr>
          <w:i/>
        </w:rPr>
        <w:t>Ungerija</w:t>
      </w:r>
      <w:r w:rsidRPr="003D71BC">
        <w:t xml:space="preserve"> vs </w:t>
      </w:r>
      <w:r w:rsidRPr="003D71BC">
        <w:rPr>
          <w:i/>
        </w:rPr>
        <w:t>il-Parlament Ewropew u l-Kunsill tal-Unjoni Ewropea</w:t>
      </w:r>
      <w:r w:rsidRPr="003D71BC">
        <w:t>, C-156/21, ECLI:EU:C:2022:97 u s-sentenza tal-Qorti tal-Ġustizzja (Seduta Plenarja) tas-</w:t>
      </w:r>
      <w:r w:rsidRPr="003D71BC">
        <w:t xml:space="preserve">16 ta’ Frar 2022, </w:t>
      </w:r>
      <w:r w:rsidRPr="003D71BC">
        <w:rPr>
          <w:i/>
          <w:iCs/>
        </w:rPr>
        <w:t>il-</w:t>
      </w:r>
      <w:r w:rsidRPr="003D71BC">
        <w:rPr>
          <w:i/>
        </w:rPr>
        <w:t>Polonja</w:t>
      </w:r>
      <w:r w:rsidRPr="003D71BC">
        <w:t xml:space="preserve"> vs </w:t>
      </w:r>
      <w:r w:rsidRPr="003D71BC">
        <w:rPr>
          <w:i/>
        </w:rPr>
        <w:t>il-Parlament Ewropew u l-Kunsill tal-Unjoni Ewropea</w:t>
      </w:r>
      <w:r w:rsidRPr="003D71BC">
        <w:t>, C-157/21, ECLI:EU:C:2022:98.</w:t>
      </w:r>
    </w:p>
  </w:footnote>
  <w:footnote w:id="8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Ir-Regolament (UE) 2012/241 tal-Parlament Ewropew u tal-Kunsill tat-12 ta’ Frar 2021 li jistabbilixxi l-Faċilità għall-Irkupru u r-Reżiljenz</w:t>
      </w:r>
      <w:r w:rsidRPr="003D71BC">
        <w:t>a (ĠU L 57, 18.2.2021, p. 17).</w:t>
      </w:r>
    </w:p>
  </w:footnote>
  <w:footnote w:id="9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ĠU L 26, 31.1.2003, p. 41 u r-rettifika tiegħu (ĠU L 32, 7.2.2003, p. 15).</w:t>
      </w:r>
    </w:p>
  </w:footnote>
  <w:footnote w:id="10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Pereżempju, l-Opinjoni Nru 9 tas-17 ta’ Diċembru 2014 tal-Kunsill Konsultattiv ta’ Prosekuturi Ewropej dwar in-normi u l-prinċipji Ewropej li jikk</w:t>
      </w:r>
      <w:r w:rsidRPr="003D71BC">
        <w:t>onċernaw il-prosekuturi.</w:t>
      </w:r>
    </w:p>
  </w:footnote>
  <w:footnote w:id="11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Ara, f’dan il-kuntest, l-Artikolu 3 tal-proposta għal direttiva tal-Parlament Ewropew u tal-Kunsill tat-3 ta’ Mejju 2023 dwar il-ġlieda kontra l-korruzzjoni, li tissostitwixxi d-Deċiżjoni Kwadru tal-Kunsill 2003/568/JHA u l-Konve</w:t>
      </w:r>
      <w:r w:rsidRPr="003D71BC">
        <w:t>nzjoni dwar il-ġlieda kontra l-korruzzjoni li tinvolvi uffiċjali tal-Komunitajiet Ewropej jew uffiċjali tal-Istati Membri tal-Unjoni Ewropea u li temenda d-Direttiva (UE) 2017/1371 tal-Parlament Ewropew u tal-Kunsill (COM(2023)0234).</w:t>
      </w:r>
    </w:p>
  </w:footnote>
  <w:footnote w:id="12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Ir-Regolament (KE) N</w:t>
      </w:r>
      <w:r w:rsidRPr="003D71BC">
        <w:t>ru 1049/2001 tal-Parlament Ewropew u tal-Kunsill tat-30 ta’ Mejju 2001 dwar l-aċċess pubbliku għad-dokumenti tal-Parlament Ewropew, tal-Kunsill u tal-Kummissjoni (ĠU L 145, 31.5.2001, p. 43).</w:t>
      </w:r>
    </w:p>
  </w:footnote>
  <w:footnote w:id="13">
    <w:p w:rsidR="00AD03EB" w:rsidRPr="003D71BC" w:rsidRDefault="00122BEB" w:rsidP="00AD03EB">
      <w:pPr>
        <w:pStyle w:val="FootnoteText"/>
      </w:pPr>
      <w:r w:rsidRPr="003D71BC">
        <w:rPr>
          <w:rStyle w:val="FootnoteReference"/>
        </w:rPr>
        <w:footnoteRef/>
      </w:r>
      <w:r w:rsidRPr="003D71BC">
        <w:t xml:space="preserve"> Ara, f’dan ir-rigward, ir-riżoluzzjoni tiegħu tas-17 ta’ Frar 2022 li tinkludi rakkomandazzjonijiet lill-Kummissjoni dwar statut għall-assoċjazzjonijiet u l-organizzazzjonijiet mingħajr skop ta’ qligħ transfruntieri Ewropej (ĠU C 342, 6.9.2022. p. 225).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BEB" w:rsidRDefault="00122B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BEB" w:rsidRDefault="00122B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BEB" w:rsidRDefault="00122BE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850" w:rsidRPr="003D71BC" w:rsidRDefault="00954850">
    <w:pPr>
      <w:pStyle w:val="Header"/>
    </w:pPr>
  </w:p>
  <w:p w:rsidR="00075A18" w:rsidRPr="003D71BC" w:rsidRDefault="00075A18"/>
  <w:p w:rsidR="00075A18" w:rsidRPr="003D71BC" w:rsidRDefault="00075A1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18" w:rsidRPr="003D71BC" w:rsidRDefault="00075A18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850" w:rsidRDefault="009548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FMNU" w:val=" 1"/>
    <w:docVar w:name="CJMNU" w:val="1"/>
    <w:docVar w:name="CODEMNU" w:val=" 1"/>
    <w:docVar w:name="COM2KEY" w:val="LIBE"/>
    <w:docVar w:name="COMKEY" w:val="JURI"/>
    <w:docVar w:name="CONTRIBUTIONMNU" w:val=" 2"/>
    <w:docVar w:name="FONCTIONMNU" w:val=" 1"/>
    <w:docVar w:name="LastEditedSection" w:val=" 1"/>
    <w:docVar w:name="RepeatBlock-AmendM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5\fbidi \froman\fcharset238\fprq2 Times New Roman CE;}{\f336\fbidi \froman\fcharset204\fprq2 Times New Roman Cyr;}_x000d__x000a_{\f338\fbidi \froman\fcharset161\fprq2 Times New Roman Greek;}{\f339\fbidi \froman\fcharset162\fprq2 Times New Roman Tur;}{\f340\fbidi \froman\fcharset177\fprq2 Times New Roman (Hebrew);}{\f341\fbidi \froman\fcharset178\fprq2 Times New Roman (Arabic);}_x000d__x000a_{\f342\fbidi \froman\fcharset186\fprq2 Times New Roman Baltic;}{\f343\fbidi \froman\fcharset163\fprq2 Times New Roman (Vietnamese);}{\f345\fbidi \fswiss\fcharset238\fprq2 Arial CE;}{\f346\fbidi \fswiss\fcharset204\fprq2 Arial Cyr;}_x000d__x000a_{\f348\fbidi \fswiss\fcharset161\fprq2 Arial Greek;}{\f349\fbidi \fswiss\fcharset162\fprq2 Arial Tur;}{\f350\fbidi \fswiss\fcharset177\fprq2 Arial (Hebrew);}{\f351\fbidi \fswiss\fcharset178\fprq2 Arial (Arabic);}_x000d__x000a_{\f352\fbidi \fswiss\fcharset186\fprq2 Arial Baltic;}{\f353\fbidi \fswiss\fcharset163\fprq2 Arial (Vietnamese);}{\f675\fbidi \froman\fcharset238\fprq2 Cambria Math CE;}{\f676\fbidi \froman\fcharset204\fprq2 Cambria Math Cyr;}_x000d__x000a_{\f678\fbidi \froman\fcharset161\fprq2 Cambria Math Greek;}{\f679\fbidi \froman\fcharset162\fprq2 Cambria Math Tur;}{\f682\fbidi \froman\fcharset186\fprq2 Cambria Math Baltic;}{\f68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13776011 HideTWBInt;}{_x000d__x000a_\s18\ql \fi-567\li567\ri0\sa240\nowidctlpar\wrapdefault\aspalpha\aspnum\faauto\adjustright\rin0\lin567\itap0 \rtlch\fcs1 \af0\afs20\alang1025 \ltrch\fcs0 \fs24\lang1082\langfe2057\cgrid\langnp1082\langfenp2057 _x000d__x000a_\sbasedon0 \snext18 \spriority0 \styrsid13776011 NormalHanging12a;}}{\*\rsidtbl \rsid24658\rsid223860\rsid735077\rsid1718133\rsid2892074\rsid3565327\rsid4666813\rsid4989008\rsid6641733\rsid7823322\rsid9636012\rsid10377208\rsid11215221\rsid11549030_x000d__x000a_\rsid12154954\rsid13776011\rsid14382809\rsid14424199\rsid15204470\rsid15285974\rsid15950462\rsid16324206\rsid16662270}{\mmathPr\mmathFont34\mbrkBin0\mbrkBinSub0\msmallFrac0\mdispDef1\mlMargin0\mrMargin0\mdefJc1\mwrapIndent1440\mintLim0\mnaryLim1}{\info_x000d__x000a_{\author MAGRO Josefa Maria}{\operator MAGRO Josefa Maria}{\creatim\yr2023\mo12\dy20\hr9\min47}{\revtim\yr2023\mo12\dy20\hr9\min47}{\version1}{\edmins0}{\nofpages1}{\nofwords1}{\nofchars12}{\nofcharsws12}{\vern109}}{\*\xmlnstbl {\xmlns1 http://schemas.mic_x000d__x000a_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3776011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jmagr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98900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98900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98900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98900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8\ql \fi-567\li567\ri0\sa240\nowidctlpar\wrapdefault\aspalpha\aspnum\faauto\adjustright\rin0\lin567\itap0\pararsid13776011 \rtlch\fcs1 \af0\afs20\alang1025 \ltrch\fcs0 \fs24\lang1082\langfe2057\cgrid\langnp1082\langfenp2057 {\rtlch\fcs1 \af0 _x000d__x000a_\ltrch\fcs0 \insrsid13776011\charrsid7936426 {\*\bkmkstart restart}#}{\rtlch\fcs1 \af1 \ltrch\fcs0 \cs17\v\f1\fs20\cf15\insrsid13776011\charrsid7936426 NRMSG}{\rtlch\fcs1 \af0 \ltrch\fcs0 \insrsid13776011\charrsid7936426 #.\tab ##}{\rtlch\fcs1 \af0 _x000d__x000a_\ltrch\fcs0 \insrsid13776011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85_x000d__x000a_bf2b2133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5\fbidi \froman\fcharset238\fprq2 Times New Roman CE;}{\f336\fbidi \froman\fcharset204\fprq2 Times New Roman Cyr;}_x000d__x000a_{\f338\fbidi \froman\fcharset161\fprq2 Times New Roman Greek;}{\f339\fbidi \froman\fcharset162\fprq2 Times New Roman Tur;}{\f340\fbidi \froman\fcharset177\fprq2 Times New Roman (Hebrew);}{\f341\fbidi \froman\fcharset178\fprq2 Times New Roman (Arabic);}_x000d__x000a_{\f342\fbidi \froman\fcharset186\fprq2 Times New Roman Baltic;}{\f343\fbidi \froman\fcharset163\fprq2 Times New Roman (Vietnamese);}{\f675\fbidi \froman\fcharset238\fprq2 Cambria Math CE;}{\f676\fbidi \froman\fcharset204\fprq2 Cambria Math Cyr;}_x000d__x000a_{\f678\fbidi \froman\fcharset161\fprq2 Cambria Math Greek;}{\f679\fbidi \froman\fcharset162\fprq2 Cambria Math Tur;}{\f682\fbidi \froman\fcharset186\fprq2 Cambria Math Baltic;}{\f68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s17\ql \fi-567\li567\ri0\sa240\nowidctlpar\wrapdefault\aspalpha\aspnum\faauto\adjustright\rin0\lin567\itap0 \rtlch\fcs1 \af0\afs20\alang1025 \ltrch\fcs0 _x000d__x000a_\fs24\lang2057\langfe2057\cgrid\langnp2057\langfenp2057 \sbasedon0 \snext17 \spriority0 \styrsid4881757 NormalHanging12a;}}{\*\rsidtbl \rsid24658\rsid223860\rsid735077\rsid1718133\rsid2892074\rsid3565327\rsid4666813\rsid4881757\rsid6641733\rsid7823322_x000d__x000a_\rsid9636012\rsid10377208\rsid11215221\rsid11549030\rsid12154954\rsid12717616\rsid14382809\rsid14424199\rsid15204470\rsid15285974\rsid15950462\rsid16324206\rsid16662270}{\mmathPr\mmathFont34\mbrkBin0\mbrkBinSub0\msmallFrac0\mdispDef1\mlMargin0\mrMargin0_x000d__x000a_\mdefJc1\mwrapIndent1440\mintLim0\mnaryLim1}{\info{\author MAGRO Josefa Maria}{\operator MAGRO Josefa Maria}{\creatim\yr2023\mo12\dy20\hr9\min47}{\revtim\yr2023\mo12\dy20\hr9\min47}{\version1}{\edmins0}{\nofpages1}{\nofwords5}{\nofchars30}{\nofcharsws34}_x000d__x000a_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88175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jmagro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717616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71761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71761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717616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_x000d__x000a_\s17\ql \fi-567\li567\ri0\sa240\nowidctlpar\wrapdefault\aspalpha\aspnum\faauto\adjustright\rin0\lin567\itap0\pararsid4881757 \rtlch\fcs1 \af0\afs20\alang1025 \ltrch\fcs0 \fs24\lang2057\langfe2057\cgrid\langnp2057\langfenp2057 {\rtlch\fcs1 \af0 _x000d__x000a_\ltrch\fcs0 \insrsid4881757\charrsid1525456 {\*\bkmkstart restart}[ZSUGGESTIONNR]\tab [ZSUGGESTIONTEXT]}{\rtlch\fcs1 \af0 \ltrch\fcs0 \insrsid4881757\charrsid16324206 {\*\bkmkend restart}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00_x000d__x000a_122e2133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NonLeg"/>
    <w:docVar w:name="strSubDir" w:val="1291"/>
    <w:docVar w:name="TXTLANGUE" w:val="MT"/>
    <w:docVar w:name="TXTLANGUEMIN" w:val="mt"/>
    <w:docVar w:name="TXTNRPE" w:val="754.755"/>
    <w:docVar w:name="TXTNRPROC" w:val="2023/2113"/>
    <w:docVar w:name="TXTPEorAP" w:val="PE"/>
    <w:docVar w:name="TXTROUTE" w:val="AD\1291636MT.docx"/>
    <w:docVar w:name="TXTVERSION" w:val="02-00"/>
  </w:docVars>
  <w:rsids>
    <w:rsidRoot w:val="0008317D"/>
    <w:rsid w:val="0000468A"/>
    <w:rsid w:val="00075A18"/>
    <w:rsid w:val="0008317D"/>
    <w:rsid w:val="000E7EBF"/>
    <w:rsid w:val="00122BEB"/>
    <w:rsid w:val="00124F60"/>
    <w:rsid w:val="00135121"/>
    <w:rsid w:val="00140BE6"/>
    <w:rsid w:val="00147F4E"/>
    <w:rsid w:val="0016635E"/>
    <w:rsid w:val="001746D0"/>
    <w:rsid w:val="001B7393"/>
    <w:rsid w:val="001C6C04"/>
    <w:rsid w:val="001D2ED9"/>
    <w:rsid w:val="001F21C1"/>
    <w:rsid w:val="002D28A7"/>
    <w:rsid w:val="002E2F2E"/>
    <w:rsid w:val="002E6F98"/>
    <w:rsid w:val="00320ADE"/>
    <w:rsid w:val="00325BCB"/>
    <w:rsid w:val="00331944"/>
    <w:rsid w:val="00332AD9"/>
    <w:rsid w:val="00347D2C"/>
    <w:rsid w:val="0035686A"/>
    <w:rsid w:val="0037356F"/>
    <w:rsid w:val="00390EB2"/>
    <w:rsid w:val="00396A0E"/>
    <w:rsid w:val="003D71BC"/>
    <w:rsid w:val="003E2402"/>
    <w:rsid w:val="004C28FB"/>
    <w:rsid w:val="004C44C0"/>
    <w:rsid w:val="0052544E"/>
    <w:rsid w:val="005940C3"/>
    <w:rsid w:val="00594C48"/>
    <w:rsid w:val="005B2F11"/>
    <w:rsid w:val="005C0BDF"/>
    <w:rsid w:val="005D60C6"/>
    <w:rsid w:val="005D67ED"/>
    <w:rsid w:val="006102E7"/>
    <w:rsid w:val="00640C1B"/>
    <w:rsid w:val="00657AFB"/>
    <w:rsid w:val="00670026"/>
    <w:rsid w:val="00691573"/>
    <w:rsid w:val="006D5BF7"/>
    <w:rsid w:val="007E0265"/>
    <w:rsid w:val="008313E7"/>
    <w:rsid w:val="00854CAC"/>
    <w:rsid w:val="008A32C5"/>
    <w:rsid w:val="008C6203"/>
    <w:rsid w:val="008D61E7"/>
    <w:rsid w:val="008F7002"/>
    <w:rsid w:val="00954850"/>
    <w:rsid w:val="0099493F"/>
    <w:rsid w:val="00A16BEA"/>
    <w:rsid w:val="00A312B3"/>
    <w:rsid w:val="00A72C35"/>
    <w:rsid w:val="00A82EF3"/>
    <w:rsid w:val="00AD03EB"/>
    <w:rsid w:val="00AD6DC0"/>
    <w:rsid w:val="00AE180F"/>
    <w:rsid w:val="00B362F7"/>
    <w:rsid w:val="00B5456B"/>
    <w:rsid w:val="00B74B53"/>
    <w:rsid w:val="00B827F0"/>
    <w:rsid w:val="00BC26E4"/>
    <w:rsid w:val="00BD1EAA"/>
    <w:rsid w:val="00C52739"/>
    <w:rsid w:val="00C827FF"/>
    <w:rsid w:val="00C85D0F"/>
    <w:rsid w:val="00CD34AC"/>
    <w:rsid w:val="00DE19FF"/>
    <w:rsid w:val="00E73005"/>
    <w:rsid w:val="00E81BA6"/>
    <w:rsid w:val="00E856A3"/>
    <w:rsid w:val="00E856D2"/>
    <w:rsid w:val="00E929A7"/>
    <w:rsid w:val="00EC5E1F"/>
    <w:rsid w:val="00FC6460"/>
    <w:rsid w:val="00FD0D14"/>
    <w:rsid w:val="00FD4BC4"/>
    <w:rsid w:val="00FF3B84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EB7E1-FABF-48DE-8A21-F7DFF12E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944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pPr>
      <w:spacing w:after="240"/>
    </w:pPr>
  </w:style>
  <w:style w:type="paragraph" w:styleId="TOC1">
    <w:name w:val="toc 1"/>
    <w:basedOn w:val="Normal12a"/>
    <w:next w:val="Normal12a"/>
    <w:autoRedefine/>
    <w:semiHidden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NotTOC">
    <w:name w:val="PageHeadingNotTOC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EPName">
    <w:name w:val="EPName"/>
    <w:basedOn w:val="Normal"/>
    <w:rsid w:val="00E856D2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347D2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styleId="Header">
    <w:name w:val="header"/>
    <w:basedOn w:val="Normal"/>
    <w:link w:val="HeaderChar"/>
    <w:semiHidden/>
    <w:rsid w:val="005C0BDF"/>
    <w:pPr>
      <w:tabs>
        <w:tab w:val="center" w:pos="4513"/>
        <w:tab w:val="right" w:pos="9026"/>
      </w:tabs>
    </w:pPr>
  </w:style>
  <w:style w:type="paragraph" w:customStyle="1" w:styleId="CoverReference">
    <w:name w:val="CoverReference"/>
    <w:basedOn w:val="Normal"/>
    <w:rsid w:val="00E81BA6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347D2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table" w:styleId="TableGrid">
    <w:name w:val="Table Grid"/>
    <w:basedOn w:val="TableNormal"/>
    <w:rsid w:val="00174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6D0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6D0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6D0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E856D2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E856D2"/>
    <w:pPr>
      <w:jc w:val="right"/>
    </w:pPr>
  </w:style>
  <w:style w:type="paragraph" w:customStyle="1" w:styleId="NormalHanging12a">
    <w:name w:val="NormalHanging12a"/>
    <w:basedOn w:val="Normal"/>
    <w:rsid w:val="008313E7"/>
    <w:pPr>
      <w:spacing w:after="240"/>
      <w:ind w:left="567" w:hanging="567"/>
    </w:pPr>
  </w:style>
  <w:style w:type="paragraph" w:customStyle="1" w:styleId="EPFooter">
    <w:name w:val="EPFooter"/>
    <w:basedOn w:val="Normal"/>
    <w:rsid w:val="00347D2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5C0BDF"/>
    <w:rPr>
      <w:sz w:val="24"/>
    </w:rPr>
  </w:style>
  <w:style w:type="paragraph" w:styleId="FootnoteText">
    <w:name w:val="footnote text"/>
    <w:basedOn w:val="Normal"/>
    <w:link w:val="FootnoteTextChar"/>
    <w:unhideWhenUsed/>
    <w:rsid w:val="00954850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54850"/>
  </w:style>
  <w:style w:type="character" w:styleId="FootnoteReference">
    <w:name w:val="footnote reference"/>
    <w:basedOn w:val="DefaultParagraphFont"/>
    <w:unhideWhenUsed/>
    <w:rsid w:val="00954850"/>
    <w:rPr>
      <w:vertAlign w:val="superscript"/>
    </w:rPr>
  </w:style>
  <w:style w:type="character" w:customStyle="1" w:styleId="BoldItalic">
    <w:name w:val="BoldItalic"/>
    <w:uiPriority w:val="1"/>
    <w:rsid w:val="00954850"/>
    <w:rPr>
      <w:b/>
      <w:bCs w:val="0"/>
      <w:i/>
      <w:iCs w:val="0"/>
      <w:strike w:val="0"/>
      <w:dstrike w:val="0"/>
      <w:u w:val="none"/>
      <w:effect w:val="none"/>
    </w:rPr>
  </w:style>
  <w:style w:type="paragraph" w:styleId="Footer">
    <w:name w:val="footer"/>
    <w:basedOn w:val="Normal"/>
    <w:link w:val="FooterChar"/>
    <w:semiHidden/>
    <w:rsid w:val="009548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954850"/>
    <w:rPr>
      <w:sz w:val="24"/>
      <w:lang w:val="mt-MT"/>
    </w:rPr>
  </w:style>
  <w:style w:type="paragraph" w:customStyle="1" w:styleId="RollCallSymbols14pt">
    <w:name w:val="RollCallSymbols14pt"/>
    <w:basedOn w:val="Normal"/>
    <w:rsid w:val="00AD03EB"/>
    <w:pPr>
      <w:spacing w:before="120" w:after="120"/>
      <w:jc w:val="center"/>
    </w:pPr>
    <w:rPr>
      <w:rFonts w:ascii="Arial" w:hAnsi="Arial"/>
      <w:b/>
      <w:bCs/>
      <w:snapToGrid w:val="0"/>
      <w:sz w:val="28"/>
      <w:lang w:eastAsia="en-US"/>
    </w:rPr>
  </w:style>
  <w:style w:type="paragraph" w:customStyle="1" w:styleId="RollCallTabs">
    <w:name w:val="RollCallTabs"/>
    <w:basedOn w:val="Normal"/>
    <w:qFormat/>
    <w:rsid w:val="00AD03EB"/>
    <w:pPr>
      <w:tabs>
        <w:tab w:val="center" w:pos="284"/>
        <w:tab w:val="left" w:pos="426"/>
      </w:tabs>
    </w:pPr>
    <w:rPr>
      <w:snapToGrid w:val="0"/>
      <w:lang w:eastAsia="en-US"/>
    </w:rPr>
  </w:style>
  <w:style w:type="paragraph" w:customStyle="1" w:styleId="RollCallVotes">
    <w:name w:val="RollCallVotes"/>
    <w:basedOn w:val="Normal"/>
    <w:rsid w:val="00AD03EB"/>
    <w:pPr>
      <w:spacing w:before="120" w:after="120"/>
      <w:jc w:val="center"/>
    </w:pPr>
    <w:rPr>
      <w:b/>
      <w:bCs/>
      <w:snapToGrid w:val="0"/>
      <w:sz w:val="16"/>
      <w:lang w:eastAsia="en-US"/>
    </w:rPr>
  </w:style>
  <w:style w:type="paragraph" w:customStyle="1" w:styleId="RollCallTable">
    <w:name w:val="RollCallTable"/>
    <w:basedOn w:val="Normal"/>
    <w:rsid w:val="00AD03EB"/>
    <w:pPr>
      <w:spacing w:before="120" w:after="120"/>
    </w:pPr>
    <w:rPr>
      <w:snapToGrid w:val="0"/>
      <w:sz w:val="16"/>
      <w:lang w:eastAsia="en-US"/>
    </w:rPr>
  </w:style>
  <w:style w:type="character" w:customStyle="1" w:styleId="FormatAM">
    <w:name w:val="FormatAM"/>
    <w:basedOn w:val="DefaultParagraphFont"/>
    <w:rsid w:val="00AD03EB"/>
    <w:rPr>
      <w:rFonts w:ascii="Times New Roman" w:hAnsi="Times New Roman"/>
      <w:noProof w:val="0"/>
      <w:sz w:val="24"/>
      <w:lang w:val="mt-MT"/>
    </w:rPr>
  </w:style>
  <w:style w:type="paragraph" w:customStyle="1" w:styleId="Normal24a">
    <w:name w:val="Normal24a"/>
    <w:basedOn w:val="Normal"/>
    <w:rsid w:val="00122BEB"/>
    <w:pPr>
      <w:spacing w:after="480"/>
    </w:pPr>
    <w:rPr>
      <w:lang w:val="en-GB"/>
    </w:rPr>
  </w:style>
  <w:style w:type="paragraph" w:customStyle="1" w:styleId="NormalBoldCenter">
    <w:name w:val="NormalBoldCenter"/>
    <w:basedOn w:val="Normal"/>
    <w:rsid w:val="00122BEB"/>
    <w:pPr>
      <w:jc w:val="center"/>
    </w:pPr>
    <w:rPr>
      <w:b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2031</Words>
  <Characters>15098</Characters>
  <Application>Microsoft Office Word</Application>
  <DocSecurity>0</DocSecurity>
  <Lines>276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PA_NonLeg</vt:lpstr>
    </vt:vector>
  </TitlesOfParts>
  <Company/>
  <LinksUpToDate>false</LinksUpToDate>
  <CharactersWithSpaces>17036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PA_NonLeg</dc:title>
  <dc:creator>European Parliament</dc:creator>
  <cp:lastModifiedBy>European Parliament</cp:lastModifiedBy>
  <cp:revision>2</cp:revision>
  <cp:lastPrinted>2004-10-28T10:33:00Z</cp:lastPrinted>
  <dcterms:created xsi:type="dcterms:W3CDTF">2024-01-10T10:09:00Z</dcterms:created>
  <dcterms:modified xsi:type="dcterms:W3CDTF">2024-01-10T10:09:00Z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1291636</vt:lpwstr>
  </property>
  <property fmtid="{D5CDD505-2E9C-101B-9397-08002B2CF9AE}" pid="4" name="&lt;Model&gt;">
    <vt:lpwstr>PA_NonLeg</vt:lpwstr>
  </property>
  <property fmtid="{D5CDD505-2E9C-101B-9397-08002B2CF9AE}" pid="5" name="&lt;ModelCod&gt;">
    <vt:lpwstr>\\eiciLUXpr1\pdocep$\DocEP\DOCS\General\PA\PA_NonLeg\PA_NonLeg.dotx(18/09/2023 11:25:02)</vt:lpwstr>
  </property>
  <property fmtid="{D5CDD505-2E9C-101B-9397-08002B2CF9AE}" pid="6" name="&lt;ModelTra&gt;">
    <vt:lpwstr>\\eiciLUXpr1\pdocep$\DocEP\TRANSFIL\MT\PA_NonLeg.MT(18/09/2023 11:08:02)</vt:lpwstr>
  </property>
  <property fmtid="{D5CDD505-2E9C-101B-9397-08002B2CF9AE}" pid="7" name="&lt;Type&gt;">
    <vt:lpwstr>AD</vt:lpwstr>
  </property>
  <property fmtid="{D5CDD505-2E9C-101B-9397-08002B2CF9AE}" pid="8" name="Bookout">
    <vt:lpwstr>OK - 2024/01/10 11:08</vt:lpwstr>
  </property>
  <property fmtid="{D5CDD505-2E9C-101B-9397-08002B2CF9AE}" pid="9" name="Created with">
    <vt:lpwstr>9.16.1 Build [20230915]</vt:lpwstr>
  </property>
  <property fmtid="{D5CDD505-2E9C-101B-9397-08002B2CF9AE}" pid="10" name="FooterPath">
    <vt:lpwstr>AD\1291636MT.docx</vt:lpwstr>
  </property>
  <property fmtid="{D5CDD505-2E9C-101B-9397-08002B2CF9AE}" pid="11" name="LastEdited with">
    <vt:lpwstr>9.17.0 Build [20231101]</vt:lpwstr>
  </property>
  <property fmtid="{D5CDD505-2E9C-101B-9397-08002B2CF9AE}" pid="12" name="PE number">
    <vt:lpwstr>754.755</vt:lpwstr>
  </property>
  <property fmtid="{D5CDD505-2E9C-101B-9397-08002B2CF9AE}" pid="13" name="SDLStudio">
    <vt:lpwstr/>
  </property>
</Properties>
</file>