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854CAC" w:rsidRPr="006B608F" w14:paraId="67AE1F15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681D6D5" w14:textId="77777777" w:rsidR="00854CAC" w:rsidRPr="006B608F" w:rsidRDefault="0007657D" w:rsidP="00C85D0F">
            <w:pPr>
              <w:pStyle w:val="EPName"/>
            </w:pPr>
            <w:bookmarkStart w:id="0" w:name="_GoBack"/>
            <w:bookmarkEnd w:id="0"/>
            <w:r w:rsidRPr="006B608F">
              <w:t>Parlament Europejski</w:t>
            </w:r>
          </w:p>
          <w:p w14:paraId="0E1B7609" w14:textId="77777777" w:rsidR="00854CAC" w:rsidRPr="006B608F" w:rsidRDefault="00B712EA" w:rsidP="00B712EA">
            <w:pPr>
              <w:pStyle w:val="EPTerm"/>
            </w:pPr>
            <w:r w:rsidRPr="006B608F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4E8BE3C7" w14:textId="77777777" w:rsidR="00854CAC" w:rsidRPr="006B608F" w:rsidRDefault="00854CAC" w:rsidP="00C85D0F">
            <w:pPr>
              <w:pStyle w:val="EPLogo"/>
            </w:pPr>
            <w:r w:rsidRPr="006B608F">
              <w:rPr>
                <w:noProof/>
                <w:lang w:val="en-GB"/>
              </w:rPr>
              <w:drawing>
                <wp:inline distT="0" distB="0" distL="0" distR="0" wp14:anchorId="69055615" wp14:editId="0CC455A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DEB6802" w14:textId="77777777" w:rsidR="001746D0" w:rsidRPr="006B608F" w:rsidRDefault="001746D0" w:rsidP="001746D0">
      <w:pPr>
        <w:pStyle w:val="LineTop"/>
      </w:pPr>
    </w:p>
    <w:p w14:paraId="6B01E679" w14:textId="77777777" w:rsidR="001746D0" w:rsidRPr="006B608F" w:rsidRDefault="001746D0" w:rsidP="001746D0">
      <w:pPr>
        <w:pStyle w:val="EPBody"/>
      </w:pPr>
      <w:r w:rsidRPr="006B608F">
        <w:rPr>
          <w:rStyle w:val="HideTWBExt"/>
        </w:rPr>
        <w:t>&lt;</w:t>
      </w:r>
      <w:r w:rsidRPr="006B608F">
        <w:rPr>
          <w:rStyle w:val="HideTWBExt"/>
          <w:i w:val="0"/>
        </w:rPr>
        <w:t>Commission</w:t>
      </w:r>
      <w:r w:rsidRPr="006B608F">
        <w:rPr>
          <w:rStyle w:val="HideTWBExt"/>
        </w:rPr>
        <w:t>&gt;</w:t>
      </w:r>
      <w:r w:rsidRPr="006B608F">
        <w:rPr>
          <w:rStyle w:val="HideTWBInt"/>
        </w:rPr>
        <w:t>{JURI}</w:t>
      </w:r>
      <w:r w:rsidRPr="006B608F">
        <w:t>Komisja Prawna</w:t>
      </w:r>
      <w:r w:rsidRPr="006B608F">
        <w:rPr>
          <w:rStyle w:val="HideTWBExt"/>
        </w:rPr>
        <w:t>&lt;/</w:t>
      </w:r>
      <w:r w:rsidRPr="006B608F">
        <w:rPr>
          <w:rStyle w:val="HideTWBExt"/>
          <w:i w:val="0"/>
        </w:rPr>
        <w:t>Commission</w:t>
      </w:r>
      <w:r w:rsidRPr="006B608F">
        <w:rPr>
          <w:rStyle w:val="HideTWBExt"/>
        </w:rPr>
        <w:t>&gt;</w:t>
      </w:r>
    </w:p>
    <w:p w14:paraId="42F39051" w14:textId="77777777" w:rsidR="001746D0" w:rsidRPr="006B608F" w:rsidRDefault="001746D0" w:rsidP="001746D0">
      <w:pPr>
        <w:pStyle w:val="LineBottom"/>
      </w:pPr>
    </w:p>
    <w:p w14:paraId="14F43DAF" w14:textId="77777777" w:rsidR="002E2F2E" w:rsidRPr="006B608F" w:rsidRDefault="002E2F2E">
      <w:pPr>
        <w:pStyle w:val="CoverReference"/>
      </w:pPr>
      <w:r w:rsidRPr="006B608F">
        <w:rPr>
          <w:rStyle w:val="HideTWBExt"/>
          <w:b w:val="0"/>
        </w:rPr>
        <w:t>&lt;RefProc&gt;</w:t>
      </w:r>
      <w:r w:rsidRPr="006B608F">
        <w:t>2023/2113</w:t>
      </w:r>
      <w:r w:rsidRPr="006B608F">
        <w:rPr>
          <w:rStyle w:val="HideTWBExt"/>
          <w:b w:val="0"/>
        </w:rPr>
        <w:t>&lt;/RefProc&gt;&lt;RefTypeProc&gt;</w:t>
      </w:r>
      <w:r w:rsidRPr="006B608F">
        <w:t>(INI)</w:t>
      </w:r>
      <w:r w:rsidRPr="006B608F">
        <w:rPr>
          <w:rStyle w:val="HideTWBExt"/>
          <w:b w:val="0"/>
        </w:rPr>
        <w:t>&lt;/RefTypeProc&gt;</w:t>
      </w:r>
    </w:p>
    <w:p w14:paraId="78EF1646" w14:textId="56C4A6AE" w:rsidR="002E2F2E" w:rsidRPr="006B608F" w:rsidRDefault="002E2F2E">
      <w:pPr>
        <w:pStyle w:val="CoverDate"/>
      </w:pPr>
      <w:r w:rsidRPr="006B608F">
        <w:rPr>
          <w:rStyle w:val="HideTWBExt"/>
        </w:rPr>
        <w:t>&lt;Date&gt;</w:t>
      </w:r>
      <w:r w:rsidRPr="006B608F">
        <w:rPr>
          <w:rStyle w:val="HideTWBInt"/>
        </w:rPr>
        <w:t>{29/11/2023}</w:t>
      </w:r>
      <w:r w:rsidRPr="006B608F">
        <w:t>29.11.2023</w:t>
      </w:r>
      <w:r w:rsidRPr="006B608F">
        <w:rPr>
          <w:rStyle w:val="HideTWBExt"/>
        </w:rPr>
        <w:t>&lt;/Date&gt;</w:t>
      </w:r>
    </w:p>
    <w:p w14:paraId="07366203" w14:textId="6791BC30" w:rsidR="002E2F2E" w:rsidRPr="006B608F" w:rsidRDefault="002E2F2E">
      <w:pPr>
        <w:pStyle w:val="CoverDocType24a"/>
      </w:pPr>
      <w:r w:rsidRPr="006B608F">
        <w:rPr>
          <w:rStyle w:val="HideTWBExt"/>
          <w:b w:val="0"/>
        </w:rPr>
        <w:t>&lt;TitreType&gt;</w:t>
      </w:r>
      <w:r w:rsidRPr="006B608F">
        <w:t>OPINIA</w:t>
      </w:r>
      <w:r w:rsidRPr="006B608F">
        <w:rPr>
          <w:rStyle w:val="HideTWBExt"/>
          <w:b w:val="0"/>
        </w:rPr>
        <w:t>&lt;/TitreType&gt;</w:t>
      </w:r>
    </w:p>
    <w:p w14:paraId="4C5AB3D4" w14:textId="77777777" w:rsidR="002E2F2E" w:rsidRPr="006B608F" w:rsidRDefault="002E2F2E">
      <w:pPr>
        <w:pStyle w:val="CoverNormal24a"/>
      </w:pPr>
      <w:r w:rsidRPr="006B608F">
        <w:rPr>
          <w:rStyle w:val="HideTWBExt"/>
        </w:rPr>
        <w:t>&lt;CommissionResp&gt;</w:t>
      </w:r>
      <w:r w:rsidRPr="006B608F">
        <w:t>Komisji Prawnej</w:t>
      </w:r>
      <w:r w:rsidRPr="006B608F">
        <w:rPr>
          <w:rStyle w:val="HideTWBExt"/>
        </w:rPr>
        <w:t>&lt;/CommissionResp&gt;</w:t>
      </w:r>
    </w:p>
    <w:p w14:paraId="4EB1A255" w14:textId="77777777" w:rsidR="002E2F2E" w:rsidRPr="006B608F" w:rsidRDefault="002E2F2E">
      <w:pPr>
        <w:pStyle w:val="CoverNormal24a"/>
      </w:pPr>
      <w:r w:rsidRPr="006B608F">
        <w:rPr>
          <w:rStyle w:val="HideTWBExt"/>
        </w:rPr>
        <w:t>&lt;CommissionInt&gt;</w:t>
      </w:r>
      <w:proofErr w:type="gramStart"/>
      <w:r w:rsidRPr="006B608F">
        <w:t>dla</w:t>
      </w:r>
      <w:proofErr w:type="gramEnd"/>
      <w:r w:rsidRPr="006B608F">
        <w:t xml:space="preserve"> Komisji Wolności Obywatelskich, Sprawiedliwości i Spraw Wewnętrznych</w:t>
      </w:r>
      <w:r w:rsidRPr="006B608F">
        <w:rPr>
          <w:rStyle w:val="HideTWBExt"/>
        </w:rPr>
        <w:t>&lt;/CommissionInt&gt;</w:t>
      </w:r>
    </w:p>
    <w:p w14:paraId="0FAD7A50" w14:textId="2D942CA3" w:rsidR="002E2F2E" w:rsidRPr="006B608F" w:rsidRDefault="002E2F2E">
      <w:pPr>
        <w:pStyle w:val="CoverNormal"/>
      </w:pPr>
      <w:r w:rsidRPr="006B608F">
        <w:rPr>
          <w:rStyle w:val="HideTWBExt"/>
        </w:rPr>
        <w:t>&lt;Titre&gt;</w:t>
      </w:r>
      <w:proofErr w:type="gramStart"/>
      <w:r w:rsidRPr="006B608F">
        <w:t>w</w:t>
      </w:r>
      <w:proofErr w:type="gramEnd"/>
      <w:r w:rsidRPr="006B608F">
        <w:t xml:space="preserve"> sprawie sprawozdania Komisji na temat praworządności za rok 2023</w:t>
      </w:r>
      <w:r w:rsidRPr="006B608F">
        <w:rPr>
          <w:rStyle w:val="HideTWBExt"/>
        </w:rPr>
        <w:t>&lt;/Titre&gt;</w:t>
      </w:r>
    </w:p>
    <w:p w14:paraId="0D3A03F7" w14:textId="77777777" w:rsidR="002E2F2E" w:rsidRPr="006B608F" w:rsidRDefault="002E2F2E">
      <w:pPr>
        <w:pStyle w:val="CoverNormal24a"/>
      </w:pPr>
      <w:r w:rsidRPr="006B608F">
        <w:rPr>
          <w:rStyle w:val="HideTWBExt"/>
        </w:rPr>
        <w:t>&lt;DocRef&gt;</w:t>
      </w:r>
      <w:r w:rsidRPr="006B608F">
        <w:t>(2023/2113(INI))</w:t>
      </w:r>
      <w:r w:rsidRPr="006B608F">
        <w:rPr>
          <w:rStyle w:val="HideTWBExt"/>
        </w:rPr>
        <w:t>&lt;/DocRef&gt;</w:t>
      </w:r>
    </w:p>
    <w:p w14:paraId="05B6D75A" w14:textId="77777777" w:rsidR="002E2F2E" w:rsidRPr="006B608F" w:rsidRDefault="0007657D">
      <w:pPr>
        <w:pStyle w:val="CoverNormal24a"/>
      </w:pPr>
      <w:r w:rsidRPr="006B608F">
        <w:t xml:space="preserve">Sprawozdawca komisji opiniodawczej (*): </w:t>
      </w:r>
      <w:r w:rsidRPr="006B608F">
        <w:rPr>
          <w:rStyle w:val="HideTWBExt"/>
        </w:rPr>
        <w:t>&lt;Depute&gt;</w:t>
      </w:r>
      <w:proofErr w:type="spellStart"/>
      <w:r w:rsidRPr="006B608F">
        <w:t>Adrián</w:t>
      </w:r>
      <w:proofErr w:type="spellEnd"/>
      <w:r w:rsidRPr="006B608F">
        <w:t xml:space="preserve"> </w:t>
      </w:r>
      <w:proofErr w:type="spellStart"/>
      <w:r w:rsidRPr="006B608F">
        <w:t>Vázquez</w:t>
      </w:r>
      <w:proofErr w:type="spellEnd"/>
      <w:r w:rsidRPr="006B608F">
        <w:t xml:space="preserve"> </w:t>
      </w:r>
      <w:proofErr w:type="spellStart"/>
      <w:r w:rsidRPr="006B608F">
        <w:t>Lázara</w:t>
      </w:r>
      <w:proofErr w:type="spellEnd"/>
      <w:r w:rsidRPr="006B608F">
        <w:rPr>
          <w:rStyle w:val="HideTWBExt"/>
        </w:rPr>
        <w:t>&lt;/Depute&gt;</w:t>
      </w:r>
    </w:p>
    <w:p w14:paraId="52704926" w14:textId="503C751A" w:rsidR="00B712EA" w:rsidRPr="006B608F" w:rsidRDefault="00B712EA" w:rsidP="00B712EA">
      <w:pPr>
        <w:pStyle w:val="CoverNormal24a"/>
      </w:pPr>
      <w:r w:rsidRPr="006B608F">
        <w:t>(*) Zaangażowana komisja – art. 57 Regulaminu</w:t>
      </w:r>
    </w:p>
    <w:p w14:paraId="38B30C26" w14:textId="77777777" w:rsidR="00A72C35" w:rsidRPr="006B608F" w:rsidRDefault="00A72C35" w:rsidP="00A72C35">
      <w:pPr>
        <w:pStyle w:val="CoverNormal"/>
      </w:pPr>
    </w:p>
    <w:p w14:paraId="47E5E35F" w14:textId="77777777" w:rsidR="002E2F2E" w:rsidRPr="006B608F" w:rsidRDefault="002E2F2E" w:rsidP="00E856D2">
      <w:pPr>
        <w:widowControl/>
        <w:tabs>
          <w:tab w:val="center" w:pos="4677"/>
        </w:tabs>
      </w:pPr>
      <w:r w:rsidRPr="006B608F">
        <w:br w:type="page"/>
      </w:r>
      <w:proofErr w:type="spellStart"/>
      <w:r w:rsidRPr="006B608F">
        <w:lastRenderedPageBreak/>
        <w:t>PA_NonLeg</w:t>
      </w:r>
      <w:proofErr w:type="spellEnd"/>
    </w:p>
    <w:p w14:paraId="59509DFC" w14:textId="77777777" w:rsidR="002E2F2E" w:rsidRPr="006B608F" w:rsidRDefault="002E2F2E">
      <w:pPr>
        <w:pStyle w:val="PageHeadingNotTOC"/>
      </w:pPr>
      <w:r w:rsidRPr="006B608F">
        <w:br w:type="page"/>
      </w:r>
      <w:r w:rsidRPr="006B608F">
        <w:lastRenderedPageBreak/>
        <w:t>WSKAZÓWKI</w:t>
      </w:r>
    </w:p>
    <w:p w14:paraId="04C9AAA9" w14:textId="77777777" w:rsidR="00B712EA" w:rsidRPr="006B608F" w:rsidRDefault="00B712EA" w:rsidP="001C6C04">
      <w:pPr>
        <w:pStyle w:val="Normal12a"/>
        <w:rPr>
          <w:szCs w:val="24"/>
        </w:rPr>
      </w:pPr>
      <w:r w:rsidRPr="006B608F">
        <w:t>Komisja Prawna zwraca się do Komisji Wolności Obywatelskich, Sprawiedliwości i Spraw Wewnętrznych, jako komisji przedmiotowo właściwej, o uwzględnienie w końcowym tekście projektu rezolucji następujących wskazówek:</w:t>
      </w:r>
    </w:p>
    <w:p w14:paraId="002364EA" w14:textId="2F342AFF" w:rsidR="00BB0748" w:rsidRPr="006B608F" w:rsidRDefault="00B712EA" w:rsidP="00BB0748">
      <w:pPr>
        <w:pStyle w:val="NormalHanging12a"/>
        <w:rPr>
          <w:rStyle w:val="BoldItalic"/>
        </w:rPr>
      </w:pPr>
      <w:r w:rsidRPr="006B608F">
        <w:rPr>
          <w:rStyle w:val="BoldItalic"/>
        </w:rPr>
        <w:t>Ogólnie</w:t>
      </w:r>
    </w:p>
    <w:p w14:paraId="199EBC5B" w14:textId="0218C036" w:rsidR="00BB0748" w:rsidRPr="006B608F" w:rsidRDefault="00BB0748" w:rsidP="00BB0748">
      <w:pPr>
        <w:pStyle w:val="NormalHanging12a"/>
      </w:pPr>
      <w:r w:rsidRPr="006B608F">
        <w:t>1.</w:t>
      </w:r>
      <w:r w:rsidRPr="006B608F">
        <w:tab/>
      </w:r>
      <w:proofErr w:type="gramStart"/>
      <w:r w:rsidRPr="006B608F">
        <w:t>przypomina</w:t>
      </w:r>
      <w:proofErr w:type="gramEnd"/>
      <w:r w:rsidRPr="006B608F">
        <w:t>, że struktura prawna Unii opiera się na podstawowym założeniu, że każde państwo członkowskie dzieli z wszystkimi pozostałymi państwami członkowskimi szereg wspólnych wartości, na których opiera się UE, zgodnie z art. 2 Traktatu o Unii Europejskiej</w:t>
      </w:r>
      <w:r w:rsidRPr="006B608F">
        <w:rPr>
          <w:rStyle w:val="FootnoteReference"/>
        </w:rPr>
        <w:footnoteReference w:id="1"/>
      </w:r>
      <w:r w:rsidRPr="006B608F">
        <w:t xml:space="preserve">; przypomina ponadto, że praworządność, zapisana w prawie pierwotnym UE i dokładniej określona w orzecznictwie Trybunału Sprawiedliwości Unii Europejskiej (TSUE), jest wartością pokrewną demokracji i prawom podstawowym; przypomina, że praworządność i międzynarodowy porządek oparty na zasadach mają zasadnicze znaczenie dla walki z rozprzestrzenianiem się reżimów autorytarnych i naruszeniami prawa międzynarodowego, a także dla konsolidacji struktur demokratycznych i ochrony praw człowieka; podkreśla, że erozja praworządności, która opiera </w:t>
      </w:r>
      <w:proofErr w:type="gramStart"/>
      <w:r w:rsidRPr="006B608F">
        <w:t>się</w:t>
      </w:r>
      <w:proofErr w:type="gramEnd"/>
      <w:r w:rsidRPr="006B608F">
        <w:t xml:space="preserve"> na podziale i równowadze władzy, w jednym z państw członkowskich ma znaczący wpływ na wspólną przestrzeń wolności, bezpieczeństwa i sprawiedliwości, a także na wzajemne zaufanie i wzajemne uznawanie, które stanowią główne zasady prawa UE w tej dziedzinie</w:t>
      </w:r>
      <w:r w:rsidRPr="006B608F">
        <w:rPr>
          <w:rStyle w:val="FootnoteReference"/>
        </w:rPr>
        <w:footnoteReference w:id="2"/>
      </w:r>
      <w:r w:rsidRPr="006B608F">
        <w:t>;</w:t>
      </w:r>
    </w:p>
    <w:p w14:paraId="79ACBE68" w14:textId="4DDC2165" w:rsidR="00BB0748" w:rsidRPr="006B608F" w:rsidRDefault="00BB0748" w:rsidP="00BB0748">
      <w:pPr>
        <w:pStyle w:val="NormalHanging12a"/>
      </w:pPr>
      <w:r w:rsidRPr="006B608F">
        <w:t>2.</w:t>
      </w:r>
      <w:r w:rsidRPr="006B608F">
        <w:tab/>
      </w:r>
      <w:proofErr w:type="gramStart"/>
      <w:r w:rsidRPr="006B608F">
        <w:t>z</w:t>
      </w:r>
      <w:proofErr w:type="gramEnd"/>
      <w:r w:rsidRPr="006B608F">
        <w:t xml:space="preserve"> zadowoleniem przyjmuje czwarte sprawozdanie Komisji na temat praworządności (zwane dalej „sprawozdaniem”) i uważa, że okresowy przegląd praworządności jest podstawowym narzędziem monitorowania; podkreśla w tym kontekście znaczenie stosowania przez Komisję jasnych i obiektywnych kryteriów przy dokonywaniu oceny; pozwoli to uniknąć zarzutu nierównego traktowania państw członkowskich lub wykorzystywania wyłącznie wybiórczych danych; w związku z tym pochwala podejście Komisji do przyjmowania wkładów państw członkowskich, które sprzyja wspólnemu dialogowi; z zadowoleniem przyjmuje nową klasyfikację przyjętą przez Komisję w odniesieniu do pomiaru postępów w realizacji wcześniejszych zaleceń; obejmuje ona cztery kategorie: a) brak postępów, b) pewien postęp, c) znaczny postęp oraz d) pełne wdrożenie; mając na uwadze problemy związane z gromadzeniem danych statystycznych przez państwa członkowskie, zwraca uwagę na użyteczność narzędzi Rady Europy, takich jak sprawozdania Europejskiej Komisji na rzecz Efektywności Wymiaru Sprawiedliwości (CEPEJ</w:t>
      </w:r>
      <w:proofErr w:type="gramStart"/>
      <w:r w:rsidRPr="006B608F">
        <w:t>)</w:t>
      </w:r>
      <w:r w:rsidRPr="006B608F">
        <w:rPr>
          <w:rStyle w:val="FootnoteReference"/>
        </w:rPr>
        <w:footnoteReference w:id="3"/>
      </w:r>
      <w:r w:rsidRPr="006B608F">
        <w:t xml:space="preserve"> Rady</w:t>
      </w:r>
      <w:proofErr w:type="gramEnd"/>
      <w:r w:rsidRPr="006B608F">
        <w:t xml:space="preserve"> Europy, które umożliwiają względną zbieżność między różnymi wprowadzanymi danymi;</w:t>
      </w:r>
    </w:p>
    <w:p w14:paraId="73118354" w14:textId="77777777" w:rsidR="00BB0748" w:rsidRPr="006B608F" w:rsidRDefault="00BB0748" w:rsidP="00BB0748">
      <w:pPr>
        <w:pStyle w:val="NormalHanging12a"/>
      </w:pPr>
      <w:r w:rsidRPr="006B608F">
        <w:rPr>
          <w:rStyle w:val="BoldItalic"/>
        </w:rPr>
        <w:t>Wymiar sprawiedliwości</w:t>
      </w:r>
    </w:p>
    <w:p w14:paraId="01E82EEC" w14:textId="77777777" w:rsidR="00BB0748" w:rsidRPr="006B608F" w:rsidRDefault="00BB0748" w:rsidP="00BB0748">
      <w:pPr>
        <w:pStyle w:val="NormalHanging12a"/>
      </w:pPr>
      <w:r w:rsidRPr="006B608F">
        <w:t>3.</w:t>
      </w:r>
      <w:r w:rsidRPr="006B608F">
        <w:tab/>
      </w:r>
      <w:proofErr w:type="gramStart"/>
      <w:r w:rsidRPr="006B608F">
        <w:t>uznaje</w:t>
      </w:r>
      <w:proofErr w:type="gramEnd"/>
      <w:r w:rsidRPr="006B608F">
        <w:t xml:space="preserve"> wagę, jaką w sprawozdaniach na temat praworządności przypisuje się systemom wymiaru sprawiedliwości, w szczególności w odniesieniu do legalności, niezawisłości i </w:t>
      </w:r>
      <w:r w:rsidRPr="006B608F">
        <w:lastRenderedPageBreak/>
        <w:t>bezstronności sędziów, a także powoływania sędziów, awansów, zwolnień i decyzji; przyznaje, że nie istnieje wspólny unijny system mianowania sędziów; przypomina jednak, że wszystkie państwa członkowskie muszą przestrzegać minimalnych standardów Rady Europy</w:t>
      </w:r>
      <w:r w:rsidRPr="006B608F">
        <w:rPr>
          <w:rStyle w:val="FootnoteReference"/>
        </w:rPr>
        <w:footnoteReference w:id="4"/>
      </w:r>
      <w:r w:rsidRPr="006B608F">
        <w:t xml:space="preserve"> i TSUE</w:t>
      </w:r>
      <w:r w:rsidRPr="006B608F">
        <w:rPr>
          <w:rStyle w:val="FootnoteReference"/>
        </w:rPr>
        <w:footnoteReference w:id="5"/>
      </w:r>
      <w:r w:rsidRPr="006B608F">
        <w:t xml:space="preserve">; podkreśla w tym kontekście znaczenie niezależnych rad sądownictwa, które powinny składać się w większości z sędziów wybranych przez innych sędziów, a także posiadać szerokie uprawnienia w zakresie wyboru i awansów sędziów oraz postępowań dyscyplinarnych dotyczących sędziów; głęboko ubolewa, że nie wszystkie państwa członkowskie w pełni wywiązały </w:t>
      </w:r>
      <w:proofErr w:type="gramStart"/>
      <w:r w:rsidRPr="006B608F">
        <w:t>się</w:t>
      </w:r>
      <w:proofErr w:type="gramEnd"/>
      <w:r w:rsidRPr="006B608F">
        <w:t xml:space="preserve"> z zobowiązań w tym zakresie; ubolewa nad druzgocącym wpływem, jaki ma to na niezależność i integralność ich systemów wymiaru sprawiedliwości;</w:t>
      </w:r>
    </w:p>
    <w:p w14:paraId="435CBB85" w14:textId="4CC95742" w:rsidR="00BB0748" w:rsidRPr="006B608F" w:rsidRDefault="00BB0748" w:rsidP="00BB0748">
      <w:pPr>
        <w:pStyle w:val="NormalHanging12a"/>
      </w:pPr>
      <w:r w:rsidRPr="006B608F">
        <w:t>4.</w:t>
      </w:r>
      <w:r w:rsidRPr="006B608F">
        <w:tab/>
      </w:r>
      <w:proofErr w:type="gramStart"/>
      <w:r w:rsidRPr="006B608F">
        <w:t>przyznaje</w:t>
      </w:r>
      <w:proofErr w:type="gramEnd"/>
      <w:r w:rsidRPr="006B608F">
        <w:t>, że prawie dwie trzecie zaleceń wydanych w 2022 r. dotyczących ważnych reform zostało w pewnym stopniu zrealizowane; wyraża jednak zaniepokojenie liczbą problemów wskazanych w poprzednich sprawozdaniach na temat praworządności i dotychczas nierozwiązanych; wzywa Komisję, aby dalej starannie monitorowała ramy prawne państw członkowskich, aby ocenić ich zgodność z wyżej wymienionymi zaleceniami; ponadto wzywa Komisję do położenia większego nacisku na wdrażanie tych kluczowych reform w przypadku gdy systemy państw członkowskich nie spełniają wymaganych norm; apeluje do Komisji o podjęcie dalszych działań, aby w pełni odnieść się do zaleceń przedstawionych przez Parlament w poprzednich rezolucjach;</w:t>
      </w:r>
    </w:p>
    <w:p w14:paraId="5792C877" w14:textId="70DDFE29" w:rsidR="00BB0748" w:rsidRPr="006B608F" w:rsidRDefault="00BB0748" w:rsidP="00BB0748">
      <w:pPr>
        <w:pStyle w:val="NormalHanging12a"/>
      </w:pPr>
      <w:r w:rsidRPr="006B608F">
        <w:t>5.</w:t>
      </w:r>
      <w:r w:rsidRPr="006B608F">
        <w:tab/>
      </w:r>
      <w:proofErr w:type="gramStart"/>
      <w:r w:rsidRPr="006B608F">
        <w:t>z</w:t>
      </w:r>
      <w:proofErr w:type="gramEnd"/>
      <w:r w:rsidRPr="006B608F">
        <w:t xml:space="preserve"> zadowoleniem przyjmuje stałe wsparcie udzielane odpowiednim zainteresowanym stronom za pośrednictwem specjalnych programów, takich jak program „Obywatele, równość, prawa i wartości”; z zadowoleniem przyjmuje finansowanie z programu „Sprawiedliwość” na wsparcie współpracy sądowej w sprawach cywilnych i karnych oraz na przyczynienie się do dalszego rozwoju europejskiego wymiaru sprawiedliwości, co obejmuje umocnienie demokracji, praworządności i praw podstawowych;</w:t>
      </w:r>
    </w:p>
    <w:p w14:paraId="35216455" w14:textId="29268E9C" w:rsidR="00BB0748" w:rsidRPr="006B608F" w:rsidRDefault="00BB0748" w:rsidP="00BB0748">
      <w:pPr>
        <w:pStyle w:val="NormalHanging12a"/>
      </w:pPr>
      <w:r w:rsidRPr="006B608F">
        <w:t>6.</w:t>
      </w:r>
      <w:r w:rsidRPr="006B608F">
        <w:tab/>
      </w:r>
      <w:proofErr w:type="gramStart"/>
      <w:r w:rsidRPr="006B608F">
        <w:t>apeluje</w:t>
      </w:r>
      <w:proofErr w:type="gramEnd"/>
      <w:r w:rsidRPr="006B608F">
        <w:t xml:space="preserve"> do Komisji o większe inwestycje w upowszechnianie wiedzy na temat wartości Unii i stosowanych narzędzi, w tym sprawozdania rocznego, w szczególności w państwach, w których sytuacja budzi poważne zaniepokojenie;</w:t>
      </w:r>
    </w:p>
    <w:p w14:paraId="5D12E852" w14:textId="77D2E824" w:rsidR="00BB0748" w:rsidRPr="006B608F" w:rsidRDefault="00BB0748" w:rsidP="00BB0748">
      <w:pPr>
        <w:pStyle w:val="NormalHanging12a"/>
      </w:pPr>
      <w:r w:rsidRPr="006B608F">
        <w:t>7.</w:t>
      </w:r>
      <w:r w:rsidRPr="006B608F">
        <w:tab/>
      </w:r>
      <w:proofErr w:type="gramStart"/>
      <w:r w:rsidRPr="006B608F">
        <w:t>przyznaje</w:t>
      </w:r>
      <w:proofErr w:type="gramEnd"/>
      <w:r w:rsidRPr="006B608F">
        <w:t>, że w ostatnim sprawozdaniu odnotowano względny postęp w zakresie niezależności sądów w wielu państwach członkowskich; w związku z tym z zadowoleniem przyjmuje wstrzymywanie – w razie potrzeby – unijnych środków w ramach mechanizmu warunkowości</w:t>
      </w:r>
      <w:r w:rsidRPr="006B608F">
        <w:rPr>
          <w:rStyle w:val="FootnoteReference"/>
        </w:rPr>
        <w:footnoteReference w:id="6"/>
      </w:r>
      <w:r w:rsidRPr="006B608F">
        <w:t>, co potwierdził TSUE</w:t>
      </w:r>
      <w:r w:rsidRPr="006B608F">
        <w:rPr>
          <w:rStyle w:val="FootnoteReference"/>
        </w:rPr>
        <w:footnoteReference w:id="7"/>
      </w:r>
      <w:r w:rsidRPr="006B608F">
        <w:t xml:space="preserve">, lub w ramach Instrumentu </w:t>
      </w:r>
      <w:r w:rsidRPr="006B608F">
        <w:lastRenderedPageBreak/>
        <w:t>na rzecz Odbudowy i Zwiększania Odporności</w:t>
      </w:r>
      <w:r w:rsidRPr="006B608F">
        <w:rPr>
          <w:rStyle w:val="FootnoteReference"/>
        </w:rPr>
        <w:footnoteReference w:id="8"/>
      </w:r>
      <w:r w:rsidRPr="006B608F">
        <w:t>; zwraca jednak uwagę, że naruszenia niezależności sądów nadal budzą obawy w niektórych państwach członkowskich; są to toczące się postępowania dyscyplinarne przeciwko sędziom w związku z treścią ich orzeczeń, problemy ze składem rad sądownictwa oraz ze składem najwyższych sądów krajowych w świetle zasady sądu ustanowionego ustawą itp.;</w:t>
      </w:r>
    </w:p>
    <w:p w14:paraId="39676AA8" w14:textId="7120B179" w:rsidR="00BB0748" w:rsidRPr="006B608F" w:rsidRDefault="00BB0748" w:rsidP="00BB0748">
      <w:pPr>
        <w:pStyle w:val="NormalHanging12a"/>
      </w:pPr>
      <w:r w:rsidRPr="006B608F">
        <w:t>8.</w:t>
      </w:r>
      <w:r w:rsidRPr="006B608F">
        <w:tab/>
      </w:r>
      <w:proofErr w:type="gramStart"/>
      <w:r w:rsidRPr="006B608F">
        <w:t>przypomina</w:t>
      </w:r>
      <w:proofErr w:type="gramEnd"/>
      <w:r w:rsidRPr="006B608F">
        <w:t xml:space="preserve">, że skuteczny i sprawiedliwy system wymiaru sprawiedliwości, zapewniający wszystkim dostęp do wymiaru sprawiedliwości, wymaga odpowiedniego budżetu i finansowania organów sądowych; ubolewa, że w sprawozdaniu wskazano na wciąż utrzymujące się poważne niedociągnięcia w tym zakresie, które utrudniają w szczególności rozstrzyganie głośnych spraw korupcyjnych; podkreśla jednak, że również obywatele muszą mieć dostęp do wystarczającej pomocy prawnej i środków odwoławczych; w tym kontekście wzywa Komisję do uwzględnienia w następnym sprawozdaniu na temat praworządności ocen stosowania dorobku prawnego UE w zakresie pomocy prawnej w sprawach cywilnych i karnych, takich jak dyrektywa Rady 2003/8/WE z dnia 27 stycznia 2023 r. w sprawie usprawnienia dostępu do wymiaru </w:t>
      </w:r>
      <w:proofErr w:type="gramStart"/>
      <w:r w:rsidRPr="006B608F">
        <w:t>sprawiedliwości</w:t>
      </w:r>
      <w:proofErr w:type="gramEnd"/>
      <w:r w:rsidRPr="006B608F">
        <w:t xml:space="preserve"> w sporach transgranicznych poprzez ustanowienie minimalnych wspólnych zasad odnoszących się do pomocy prawnej w takich sporach</w:t>
      </w:r>
      <w:r w:rsidRPr="006B608F">
        <w:rPr>
          <w:rStyle w:val="FootnoteReference"/>
        </w:rPr>
        <w:footnoteReference w:id="9"/>
      </w:r>
      <w:r w:rsidRPr="006B608F">
        <w:t>, ponieważ – jak wynika z orzecznictwa TSUE – nadal istnieją wątpliwości co do jej wykładni;</w:t>
      </w:r>
    </w:p>
    <w:p w14:paraId="4F7372D7" w14:textId="0E456DAA" w:rsidR="00BB0748" w:rsidRPr="006B608F" w:rsidRDefault="00BB0748" w:rsidP="00BB0748">
      <w:pPr>
        <w:pStyle w:val="NormalHanging12a"/>
      </w:pPr>
      <w:r w:rsidRPr="006B608F">
        <w:t>9.</w:t>
      </w:r>
      <w:r w:rsidRPr="006B608F">
        <w:tab/>
      </w:r>
      <w:proofErr w:type="gramStart"/>
      <w:r w:rsidRPr="006B608F">
        <w:t>przypomina</w:t>
      </w:r>
      <w:proofErr w:type="gramEnd"/>
      <w:r w:rsidRPr="006B608F">
        <w:t>, że również prokuratura, niezależnie od miejsca, jakie zajmuje w krajowym systemie podziału kompetencji między trzema organami rządowymi, musi być niezależna od nadmiernych nacisków politycznych; zauważa, że niektóre państwa członkowskie dokonały pewnym postępów w tym zakresie; ubolewa jednak, że nadal istnieją systemy, w których rząd może wydawać wiążące decyzje prokuratorom w szczególnych sprawach, gdy kadencja wiąże się z procesem politycznym, lub w których funkcje ministra i prokuratora generalnego sprawuje ta sama osoba, co pozwala na wywieranie nadmiernych wpływów politycznych i stwarza problemy w zakresie wzajemnego uznawania</w:t>
      </w:r>
      <w:r w:rsidRPr="006B608F">
        <w:rPr>
          <w:rStyle w:val="FootnoteReference"/>
        </w:rPr>
        <w:footnoteReference w:id="10"/>
      </w:r>
      <w:r w:rsidRPr="006B608F">
        <w:t>;</w:t>
      </w:r>
    </w:p>
    <w:p w14:paraId="1B098AB5" w14:textId="49E8AA01" w:rsidR="00BB0748" w:rsidRPr="006B608F" w:rsidRDefault="00BB0748" w:rsidP="00BB0748">
      <w:pPr>
        <w:pStyle w:val="NormalHanging12a"/>
      </w:pPr>
      <w:r w:rsidRPr="006B608F">
        <w:t>10.</w:t>
      </w:r>
      <w:r w:rsidRPr="006B608F">
        <w:tab/>
      </w:r>
      <w:proofErr w:type="gramStart"/>
      <w:r w:rsidRPr="006B608F">
        <w:t>podkreśla</w:t>
      </w:r>
      <w:proofErr w:type="gramEnd"/>
      <w:r w:rsidRPr="006B608F">
        <w:t xml:space="preserve"> w szczególności, że kwestia efektu „drzwi obrotowych” nie ogranicza się wyłącznie do obaw dotyczących przechodzenia byłych ministrów do sektora prywatnego po okresie sprawowania stanowisk publicznych, lecz obejmuje także sytuacje, w których osoby fizyczne mogą odgrywać krytyczną role w sądownictwie lub prokuraturze bezpośrednio po zakończeniu pełnienia funkcji ministra lub ze względu na członkostwo w partii politycznej;</w:t>
      </w:r>
    </w:p>
    <w:p w14:paraId="581B0B1C" w14:textId="002834A0" w:rsidR="00BB0748" w:rsidRPr="006B608F" w:rsidRDefault="00BB0748" w:rsidP="00BB0748">
      <w:pPr>
        <w:pStyle w:val="NormalHanging12a"/>
      </w:pPr>
      <w:r w:rsidRPr="006B608F">
        <w:t>11.</w:t>
      </w:r>
      <w:r w:rsidRPr="006B608F">
        <w:tab/>
      </w:r>
      <w:proofErr w:type="gramStart"/>
      <w:r w:rsidRPr="006B608F">
        <w:t>wzywa</w:t>
      </w:r>
      <w:proofErr w:type="gramEnd"/>
      <w:r w:rsidRPr="006B608F">
        <w:t xml:space="preserve"> Komisję do należytego uwzględnienia takich przykładów w przyszłych sprawozdaniach dotyczących praworządności w Unii Europejskiej; wzywa Komisję, aby zdecydowanie zaapelowała do państw członkowskich o powstrzymanie się od tych praktyk, w szczególności poprzez wdrożenie przepisów, które skutecznie uniemożliwiają byłym ministrom i wysokiej rangi politykom zajmowanie stanowisk kierowniczych w sądach wyższej instancji lub w prokuraturze, co gwarantuje </w:t>
      </w:r>
      <w:r w:rsidRPr="006B608F">
        <w:lastRenderedPageBreak/>
        <w:t>niezależność i integralność tych kluczowych instytucji;</w:t>
      </w:r>
    </w:p>
    <w:p w14:paraId="20860458" w14:textId="77777777" w:rsidR="00BB0748" w:rsidRPr="006B608F" w:rsidRDefault="00BB0748" w:rsidP="00BB0748">
      <w:pPr>
        <w:pStyle w:val="NormalHanging12a"/>
      </w:pPr>
      <w:r w:rsidRPr="006B608F">
        <w:rPr>
          <w:rStyle w:val="BoldItalic"/>
        </w:rPr>
        <w:t>Walka z korupcją</w:t>
      </w:r>
    </w:p>
    <w:p w14:paraId="50616F45" w14:textId="05473989" w:rsidR="00BB0748" w:rsidRPr="006B608F" w:rsidRDefault="00BB0748" w:rsidP="00BB0748">
      <w:pPr>
        <w:pStyle w:val="NormalHanging12a"/>
      </w:pPr>
      <w:r w:rsidRPr="006B608F">
        <w:t>12.</w:t>
      </w:r>
      <w:r w:rsidRPr="006B608F">
        <w:tab/>
      </w:r>
      <w:proofErr w:type="gramStart"/>
      <w:r w:rsidRPr="006B608F">
        <w:t>podkreśla</w:t>
      </w:r>
      <w:proofErr w:type="gramEnd"/>
      <w:r w:rsidRPr="006B608F">
        <w:t>, że walka z korupcją ma zasadnicze znaczenie dla utrzymania praworządności oraz dla podtrzymania i zwiększenia zaufania obywateli do instytucji publicznych; przypomina ponadto, że aby walka z korupcją była skuteczna, wymaga solidnych prawnych i administracyjnych ram antykorupcyjnych, które opierałyby się na uczciwości, przejrzystości i rozliczalności, zwłaszcza w życiu publicznym, z naciskiem na ujawnianie deklaracji o braku konfliktu interesów oraz, w stosownych przypadkach, ochronę sygnalistów;</w:t>
      </w:r>
    </w:p>
    <w:p w14:paraId="44F698F6" w14:textId="232E121E" w:rsidR="00BB0748" w:rsidRPr="006B608F" w:rsidRDefault="00BB0748" w:rsidP="00BB0748">
      <w:pPr>
        <w:pStyle w:val="NormalHanging12a"/>
      </w:pPr>
      <w:r w:rsidRPr="006B608F">
        <w:t>13.</w:t>
      </w:r>
      <w:r w:rsidRPr="006B608F">
        <w:tab/>
      </w:r>
      <w:proofErr w:type="gramStart"/>
      <w:r w:rsidRPr="006B608F">
        <w:t>stwierdza</w:t>
      </w:r>
      <w:proofErr w:type="gramEnd"/>
      <w:r w:rsidRPr="006B608F">
        <w:t xml:space="preserve">, że korupcja zagraża demokracji i zmniejsza zaufanie obywateli do instytucji, i dlatego trzeba zwalczać wszystkie jej przejawy; zwraca uwagę, że korupcja jest narzędziem, które przestępczość zorganizowana wykorzystuje najczęściej, aby infiltrować i kontrolować gospodarkę; jest zaniepokojony faktem, że najnowsze sprawozdanie wskazuje na brak postępów lub bardzo powolne postępy w zakresie środków zapobiegania korupcji w kilku państwach członkowskich; jest głęboko zaniepokojony niechęcią do tworzenia rejestrów lobbystów, rejestrów przejrzystości i odpowiednich systemów oświadczeń majątkowych osób pełniących funkcje publiczne i urzędników wyższego szczebla, a także brakiem woli politycznej do wprowadzenia rygorystycznych przepisów w ramach polityki „drzwi obrotowych”; podkreśla w tym kontekście znaczenie przejrzystej </w:t>
      </w:r>
      <w:proofErr w:type="gramStart"/>
      <w:r w:rsidRPr="006B608F">
        <w:t>procedury</w:t>
      </w:r>
      <w:proofErr w:type="gramEnd"/>
      <w:r w:rsidRPr="006B608F">
        <w:t xml:space="preserve"> ustawodawczej zapewniającej szeroko zakrojony dostęp do dokumentów oraz przepisów zapewniających maksymalną przejrzystość i odpowiedzialność w administracji publicznej oraz w procesie podejmowania decyzji publicznych w celu zapobiegania korupcji</w:t>
      </w:r>
      <w:r w:rsidRPr="006B608F">
        <w:rPr>
          <w:rStyle w:val="FootnoteReference"/>
        </w:rPr>
        <w:footnoteReference w:id="11"/>
      </w:r>
      <w:r w:rsidRPr="006B608F">
        <w:t>;</w:t>
      </w:r>
    </w:p>
    <w:p w14:paraId="4356E89D" w14:textId="06B4A423" w:rsidR="00BB0748" w:rsidRPr="006B608F" w:rsidRDefault="00BB0748" w:rsidP="00BB0748">
      <w:pPr>
        <w:pStyle w:val="NormalHanging12a"/>
      </w:pPr>
      <w:r w:rsidRPr="006B608F">
        <w:t>14.</w:t>
      </w:r>
      <w:r w:rsidRPr="006B608F">
        <w:tab/>
      </w:r>
      <w:proofErr w:type="gramStart"/>
      <w:r w:rsidRPr="006B608F">
        <w:t>w</w:t>
      </w:r>
      <w:proofErr w:type="gramEnd"/>
      <w:r w:rsidRPr="006B608F">
        <w:t xml:space="preserve"> tym kontekście wzywa również wszystkie instytucje UE do przestrzegania najwyższych możliwych standardów w celu zapobiegania korupcji, takich jak m.in. utworzenie skutecznego unijnego organu ds. etyki, pełne stosowanie rozporządzenia nr 1049/2001</w:t>
      </w:r>
      <w:r w:rsidRPr="006B608F">
        <w:rPr>
          <w:rStyle w:val="FootnoteReference"/>
        </w:rPr>
        <w:footnoteReference w:id="12"/>
      </w:r>
      <w:r w:rsidRPr="006B608F">
        <w:t xml:space="preserve"> w sprawie dostępu do dokumentów oraz pełne stosowanie zasady warunkowości w odniesieniu do unijnego rejestru służącego przejrzystości; wzywa państwa członkowskie do jak najszybszego osiągnięcia porozumienia w sprawie proponowanej dyrektywy w sprawie zwalczania korupcji, aby ustanowić wspólne i jednolite ramy kodeksów postępowania, standardy zapobiegające konfliktom interesów i zasady zapewniające przejrzystość procedur;</w:t>
      </w:r>
    </w:p>
    <w:p w14:paraId="7826A14E" w14:textId="0F61B35C" w:rsidR="00BB0748" w:rsidRPr="006B608F" w:rsidRDefault="00BB0748" w:rsidP="00BB0748">
      <w:pPr>
        <w:pStyle w:val="NormalHanging12a"/>
      </w:pPr>
      <w:r w:rsidRPr="006B608F">
        <w:t>15.</w:t>
      </w:r>
      <w:r w:rsidRPr="006B608F">
        <w:tab/>
      </w:r>
      <w:proofErr w:type="gramStart"/>
      <w:r w:rsidRPr="006B608F">
        <w:t>dostrzega</w:t>
      </w:r>
      <w:proofErr w:type="gramEnd"/>
      <w:r w:rsidRPr="006B608F">
        <w:t xml:space="preserve"> w ostatnich latach znaczny wzrost znaczenia ilościowego środków przydzielanych przez Unię Europejską, w tym funduszy </w:t>
      </w:r>
      <w:proofErr w:type="spellStart"/>
      <w:r w:rsidRPr="006B608F">
        <w:t>NextGenerationEU</w:t>
      </w:r>
      <w:proofErr w:type="spellEnd"/>
      <w:r w:rsidRPr="006B608F">
        <w:t xml:space="preserve">; przyznaje, że w związku z tym kwestia istnienia w ustawodawstwie państw członkowskich przepisów mających na celu zapobieganie niewłaściwemu wykorzystywaniu tych </w:t>
      </w:r>
      <w:r w:rsidRPr="006B608F">
        <w:lastRenderedPageBreak/>
        <w:t>funduszy nabrała jeszcze większego znaczenia;</w:t>
      </w:r>
    </w:p>
    <w:p w14:paraId="7D07181B" w14:textId="1AC6B916" w:rsidR="00BB0748" w:rsidRPr="006B608F" w:rsidRDefault="00BB0748" w:rsidP="00BB0748">
      <w:pPr>
        <w:pStyle w:val="NormalHanging12a"/>
      </w:pPr>
      <w:r w:rsidRPr="006B608F">
        <w:t>16.</w:t>
      </w:r>
      <w:r w:rsidRPr="006B608F">
        <w:tab/>
      </w:r>
      <w:proofErr w:type="gramStart"/>
      <w:r w:rsidRPr="006B608F">
        <w:t>przypomina</w:t>
      </w:r>
      <w:proofErr w:type="gramEnd"/>
      <w:r w:rsidRPr="006B608F">
        <w:t>, że nie ma sektorów odpornych na ryzyko korupcji, na którą narażone są także te sektory, które zarządzają znacznymi funduszami publicznymi lub dostępem do infrastruktury krytycznej i najważniejszych usług, takich jak opieka zdrowotna i budownictwo; podkreśla, że zorganizowane grupy przestępcze odgrywają coraz większą rolę w takich działaniach jak np. podrabianie, piractwo i naruszenie praw własności intelektualnej, których powszechność gwałtownie wzrosła w środowisku cyfrowym; przypomina, że grupy przestępcze zamieszane w te nielegalne działania często wykorzystują zyski do finansowania innych nielegalnych działań;</w:t>
      </w:r>
    </w:p>
    <w:p w14:paraId="1434BDDF" w14:textId="2440DE29" w:rsidR="00BB0748" w:rsidRPr="006B608F" w:rsidRDefault="00BB0748" w:rsidP="00BB0748">
      <w:pPr>
        <w:pStyle w:val="NormalHanging12a"/>
      </w:pPr>
      <w:r w:rsidRPr="006B608F">
        <w:t>17.</w:t>
      </w:r>
      <w:r w:rsidRPr="006B608F">
        <w:tab/>
      </w:r>
      <w:proofErr w:type="gramStart"/>
      <w:r w:rsidRPr="006B608F">
        <w:t>wzywa</w:t>
      </w:r>
      <w:proofErr w:type="gramEnd"/>
      <w:r w:rsidRPr="006B608F">
        <w:t xml:space="preserve"> Komisję, aby w przyszłych sprawozdaniach na temat praworządności uwzględniła ocenę ewolucji ustawodawstwa państw członkowskich w ostatnich latach w odniesieniu do nadzoru nad odpowiednim wykorzystaniem środków publicznych, a także istniejących mechanizmów prawnych w celu przeciwdziałania niewłaściwemu wykorzystywaniu środków publicznych;</w:t>
      </w:r>
    </w:p>
    <w:p w14:paraId="4664C371" w14:textId="1A4D2771" w:rsidR="00BB0748" w:rsidRPr="006B608F" w:rsidRDefault="00BB0748" w:rsidP="00165FEF">
      <w:pPr>
        <w:pStyle w:val="NormalHanging12a"/>
      </w:pPr>
      <w:r w:rsidRPr="006B608F">
        <w:t>18.</w:t>
      </w:r>
      <w:r w:rsidRPr="006B608F">
        <w:tab/>
      </w:r>
      <w:proofErr w:type="gramStart"/>
      <w:r w:rsidRPr="006B608F">
        <w:t>przypomina</w:t>
      </w:r>
      <w:proofErr w:type="gramEnd"/>
      <w:r w:rsidRPr="006B608F">
        <w:t>, że Parlament zdecydowanie poparł ustanowienie Prokuratury Europejskiej (EPPO); uznaje ważną rolę Prokuratury Europejskiej jako niezależnego organu UE, który prowadzi dochodzenia w sprawie przestępstw naruszających interesy finansowe Unii, a także ściga za takie przestępstwa i stawia przed sądem ich sprawców; podkreśla, że od momentu rozpoczęcia działalności Prokuratury Europejskiej 1 czerwca 2021 r. wpłynęło do niej ponad 4000 zgłoszeń przestępstw od uczestniczących państw członkowskich UE i podmiotów prywatnych oraz wszczęto ponad 929 dochodzeń (według stanu na czerwiec 2022 r.);</w:t>
      </w:r>
    </w:p>
    <w:p w14:paraId="22AA9F11" w14:textId="6835CF67" w:rsidR="00BB0748" w:rsidRPr="006B608F" w:rsidRDefault="00BB0748" w:rsidP="00BB0748">
      <w:pPr>
        <w:pStyle w:val="NormalHanging12a"/>
      </w:pPr>
      <w:r w:rsidRPr="006B608F">
        <w:t>19.</w:t>
      </w:r>
      <w:r w:rsidRPr="006B608F">
        <w:tab/>
      </w:r>
      <w:proofErr w:type="gramStart"/>
      <w:r w:rsidRPr="006B608F">
        <w:t>apeluje</w:t>
      </w:r>
      <w:proofErr w:type="gramEnd"/>
      <w:r w:rsidRPr="006B608F">
        <w:t xml:space="preserve"> także do Komisji, aby w przypadku stwierdzenia obniżonych gwarancji dla środków publicznych niezwłocznie współpracowała z danym państwem członkowskim lub państwami członkowskimi, żądając szybkiego wdrożenia niezbędnych środków w celu zaradzenia tej sytuacji;</w:t>
      </w:r>
    </w:p>
    <w:p w14:paraId="06A520ED" w14:textId="5D433CB0" w:rsidR="00BB0748" w:rsidRPr="006B608F" w:rsidRDefault="00BB0748" w:rsidP="00BB0748">
      <w:pPr>
        <w:pStyle w:val="NormalHanging12a"/>
        <w:ind w:left="0" w:firstLine="0"/>
        <w:rPr>
          <w:b/>
          <w:i/>
        </w:rPr>
      </w:pPr>
      <w:r w:rsidRPr="006B608F">
        <w:rPr>
          <w:b/>
          <w:i/>
        </w:rPr>
        <w:t>Społeczeństwo obywatelskie</w:t>
      </w:r>
    </w:p>
    <w:p w14:paraId="07ECDE19" w14:textId="101BC80C" w:rsidR="00BB0748" w:rsidRPr="006B608F" w:rsidRDefault="00BB0748" w:rsidP="00BB0748">
      <w:pPr>
        <w:pStyle w:val="NormalHanging12a"/>
      </w:pPr>
      <w:r w:rsidRPr="006B608F">
        <w:t>20.</w:t>
      </w:r>
      <w:r w:rsidRPr="006B608F">
        <w:tab/>
      </w:r>
      <w:proofErr w:type="gramStart"/>
      <w:r w:rsidRPr="006B608F">
        <w:t>przypomina</w:t>
      </w:r>
      <w:proofErr w:type="gramEnd"/>
      <w:r w:rsidRPr="006B608F">
        <w:t xml:space="preserve"> swoją rezolucję z dnia 11 listopada 2021 r. w sprawie wzmocnienia demokracji oraz wolności i pluralizmu mediów w UE, w której wezwał Komisję, aby zaproponowała pakiet prawa miękkiego i prawa twardego w celu rozwiązania problemu rosnącej liczby strategicznych powództw zmierzających do stłumienia debaty publicznej, inaczej zwanych SLAPP; z zadowoleniem przyjmuje wniosek ustawodawczy i zalecenie Komisji dla państw członkowskich z 27 kwietnia 2022 r. dotyczące apelu Parlamentu w tym względzie; podkreśla, że SLAPP są szczególną formą nękania stosowaną przede wszystkim przeciwko dziennikarzom, aby uniemożliwić im zabieranie głosu w sprawach leżących w interesie publicznym lub aby ukarać ich za takie wystąpienia, poprzez wytaczanie im długotrwałych, </w:t>
      </w:r>
      <w:proofErr w:type="gramStart"/>
      <w:r w:rsidRPr="006B608F">
        <w:t>uciążliwych</w:t>
      </w:r>
      <w:proofErr w:type="gramEnd"/>
      <w:r w:rsidRPr="006B608F">
        <w:t xml:space="preserve"> i kosztownych procesów sądowych; wzywa państwa członkowskie, aby utrzymały proponowane ambitne środki, oraz aby dołożyły większych starań, by zwiększyć bezpieczeństwo i ochronę dziennikarzy;</w:t>
      </w:r>
    </w:p>
    <w:p w14:paraId="251108D3" w14:textId="3080D38B" w:rsidR="00BB0748" w:rsidRPr="006B608F" w:rsidRDefault="00BB0748" w:rsidP="00BB0748">
      <w:pPr>
        <w:pStyle w:val="NormalHanging12a"/>
      </w:pPr>
      <w:r w:rsidRPr="006B608F">
        <w:t>21.</w:t>
      </w:r>
      <w:r w:rsidRPr="006B608F">
        <w:tab/>
      </w:r>
      <w:proofErr w:type="gramStart"/>
      <w:r w:rsidRPr="006B608F">
        <w:t>z</w:t>
      </w:r>
      <w:proofErr w:type="gramEnd"/>
      <w:r w:rsidRPr="006B608F">
        <w:t xml:space="preserve"> głębokim zaniepokojeniem odnotowuje ogólne kurczenie się przestrzeni działania społeczeństwa obywatelskiego w niektórych państwach członkowskich; jest to </w:t>
      </w:r>
      <w:r w:rsidRPr="006B608F">
        <w:lastRenderedPageBreak/>
        <w:t>zjawisko, które stanowi poważne zagrożenie dla praworządności, demokracji, praw podstawowych i innych wartości UE; wzywa Komisję do monitorowania wyzwań i ataków, z którymi zmaga się społeczeństwo obywatelskie, w ramach corocznej rocznej oceny praworządności i prac z zakresu sprawozdawczości, a także do uwzględnienia w swoim sprawozdaniu wniosków i ukierunkowanych zaleceń; ponawia w związku z tym apel o poświęcenie osobnego rozdziału sytuacji społeczeństwa obywatelskiego w państwach członkowskich;</w:t>
      </w:r>
    </w:p>
    <w:p w14:paraId="198C52C8" w14:textId="33FD0E9B" w:rsidR="00BB0748" w:rsidRPr="006B608F" w:rsidRDefault="00BB0748" w:rsidP="00BB0748">
      <w:pPr>
        <w:pStyle w:val="NormalHanging12a"/>
      </w:pPr>
      <w:r w:rsidRPr="006B608F">
        <w:t>22.</w:t>
      </w:r>
      <w:r w:rsidRPr="006B608F">
        <w:tab/>
      </w:r>
      <w:proofErr w:type="gramStart"/>
      <w:r w:rsidRPr="006B608F">
        <w:t>podkreśla</w:t>
      </w:r>
      <w:proofErr w:type="gramEnd"/>
      <w:r w:rsidRPr="006B608F">
        <w:t>, że obecne ramy prawne na szczeblu unijnym i krajowym są niewystarczające, aby stworzyć i wspierać silne ogólnoeuropejskie społeczeństwo obywatelskie, które jest niezbędne dla demokracji; uważa w związku z tym, że statut unijnych stowarzyszeń transgranicznych i organizacji niekomercyjnych będzie stanowił dodatkową ochronę organizacji społeczeństwa obywatelskiego, które napotykają nadmierne przeszkody podczas rozpoczynania i prowadzenia działalności</w:t>
      </w:r>
      <w:r w:rsidRPr="006B608F">
        <w:rPr>
          <w:rStyle w:val="FootnoteReference"/>
        </w:rPr>
        <w:footnoteReference w:id="13"/>
      </w:r>
      <w:r w:rsidRPr="006B608F">
        <w:t>.</w:t>
      </w:r>
    </w:p>
    <w:p w14:paraId="37508B1D" w14:textId="77777777" w:rsidR="00BB0748" w:rsidRPr="006B608F" w:rsidRDefault="00BB0748" w:rsidP="00BB0748"/>
    <w:p w14:paraId="7570F3AE" w14:textId="77777777" w:rsidR="00BB0748" w:rsidRPr="006B608F" w:rsidRDefault="00BB0748" w:rsidP="00BB0748">
      <w:pPr>
        <w:pStyle w:val="NormalHanging12a"/>
        <w:ind w:left="0" w:firstLine="0"/>
        <w:sectPr w:rsidR="00BB0748" w:rsidRPr="006B608F" w:rsidSect="006B608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14:paraId="21758F85" w14:textId="44ABC76E" w:rsidR="00EB0868" w:rsidRPr="006B608F" w:rsidRDefault="00AB0C34" w:rsidP="00EB0868">
      <w:pPr>
        <w:pStyle w:val="PageHeadingNotTOC"/>
        <w:rPr>
          <w:rFonts w:eastAsia="Calibri"/>
          <w:szCs w:val="24"/>
        </w:rPr>
      </w:pPr>
      <w:r w:rsidRPr="006B608F">
        <w:lastRenderedPageBreak/>
        <w:t>ZAŁĄCZNIK: WYKAZ PODMIOTÓW LUB OSÓB</w:t>
      </w:r>
      <w:proofErr w:type="gramStart"/>
      <w:r w:rsidRPr="006B608F">
        <w:t>,</w:t>
      </w:r>
      <w:r w:rsidRPr="006B608F">
        <w:br/>
        <w:t>OD</w:t>
      </w:r>
      <w:proofErr w:type="gramEnd"/>
      <w:r w:rsidRPr="006B608F">
        <w:t xml:space="preserve"> KTÓRYCH SPRAWOZDAWCA KOMISJI OPNIODAWCZEJ OTRZYMAŁ INFORMACJE</w:t>
      </w:r>
      <w:bookmarkStart w:id="1" w:name="ProcPageAD"/>
    </w:p>
    <w:p w14:paraId="2E2B9F7B" w14:textId="77777777" w:rsidR="00BC7719" w:rsidRPr="006B608F" w:rsidRDefault="00BC7719" w:rsidP="00BC7719">
      <w:pPr>
        <w:spacing w:line="200" w:lineRule="exact"/>
        <w:rPr>
          <w:sz w:val="22"/>
          <w:szCs w:val="22"/>
        </w:rPr>
      </w:pPr>
    </w:p>
    <w:p w14:paraId="5A91F724" w14:textId="77777777" w:rsidR="00BC7719" w:rsidRPr="006B608F" w:rsidRDefault="00BC7719" w:rsidP="00BC7719">
      <w:pPr>
        <w:spacing w:line="200" w:lineRule="exact"/>
        <w:rPr>
          <w:sz w:val="22"/>
          <w:szCs w:val="22"/>
        </w:rPr>
      </w:pPr>
    </w:p>
    <w:p w14:paraId="2CC30888" w14:textId="7B0DF5D3" w:rsidR="00BC7719" w:rsidRPr="006B608F" w:rsidRDefault="00BC7719" w:rsidP="00BC7719">
      <w:pPr>
        <w:spacing w:line="360" w:lineRule="auto"/>
        <w:rPr>
          <w:iCs/>
          <w:sz w:val="22"/>
          <w:szCs w:val="22"/>
        </w:rPr>
      </w:pPr>
      <w:r w:rsidRPr="006B608F">
        <w:rPr>
          <w:sz w:val="22"/>
        </w:rPr>
        <w:t>Sprawozdawca oświadcza na własną odpowiedzialność, że nie otrzymał informacji od żadnego podmiotu ani osoby, które należałoby wymienić w tym załączniku zgodnie z art. 8 załącznika I do Regulaminu.</w:t>
      </w:r>
    </w:p>
    <w:p w14:paraId="512B04D3" w14:textId="77777777" w:rsidR="00BC7719" w:rsidRPr="006B608F" w:rsidRDefault="00BC7719" w:rsidP="00BC7719">
      <w:pPr>
        <w:spacing w:line="360" w:lineRule="auto"/>
        <w:rPr>
          <w:iCs/>
          <w:sz w:val="22"/>
          <w:szCs w:val="22"/>
        </w:rPr>
      </w:pPr>
    </w:p>
    <w:p w14:paraId="7A64EE10" w14:textId="77777777" w:rsidR="00BC7719" w:rsidRPr="006B608F" w:rsidRDefault="00BC7719" w:rsidP="00BC7719"/>
    <w:p w14:paraId="0D0DCCBC" w14:textId="77777777" w:rsidR="00BC7719" w:rsidRPr="006B608F" w:rsidRDefault="00BC7719" w:rsidP="00BC7719"/>
    <w:p w14:paraId="6573F195" w14:textId="77777777" w:rsidR="00BC7719" w:rsidRPr="006B608F" w:rsidRDefault="00BC7719" w:rsidP="00BC7719"/>
    <w:p w14:paraId="2C07BE31" w14:textId="77777777" w:rsidR="00BC7719" w:rsidRPr="006B608F" w:rsidRDefault="00BC7719" w:rsidP="00BC7719"/>
    <w:p w14:paraId="40182834" w14:textId="77777777" w:rsidR="00BC7719" w:rsidRPr="006B608F" w:rsidRDefault="00BC7719" w:rsidP="00BC7719"/>
    <w:p w14:paraId="79CB3AE3" w14:textId="77777777" w:rsidR="00BC7719" w:rsidRPr="006B608F" w:rsidRDefault="00BC7719" w:rsidP="00BC7719"/>
    <w:p w14:paraId="049F1B2B" w14:textId="77777777" w:rsidR="00BC7719" w:rsidRPr="006B608F" w:rsidRDefault="00BC7719" w:rsidP="00BC7719"/>
    <w:p w14:paraId="66E1E81B" w14:textId="77777777" w:rsidR="00BC7719" w:rsidRPr="006B608F" w:rsidRDefault="00BC7719" w:rsidP="00BC7719"/>
    <w:p w14:paraId="03924973" w14:textId="77777777" w:rsidR="00BC7719" w:rsidRPr="006B608F" w:rsidRDefault="00BC7719" w:rsidP="00BC7719"/>
    <w:p w14:paraId="09870AC6" w14:textId="77777777" w:rsidR="00BC7719" w:rsidRPr="006B608F" w:rsidRDefault="00BC7719">
      <w:pPr>
        <w:widowControl/>
      </w:pPr>
    </w:p>
    <w:p w14:paraId="4B3374FF" w14:textId="35293946" w:rsidR="00BC7719" w:rsidRPr="006B608F" w:rsidRDefault="00BC7719">
      <w:pPr>
        <w:widowControl/>
        <w:rPr>
          <w:rFonts w:ascii="Arial" w:hAnsi="Arial" w:cs="Arial"/>
          <w:b/>
        </w:rPr>
      </w:pPr>
      <w:r w:rsidRPr="006B608F">
        <w:br w:type="page"/>
      </w:r>
    </w:p>
    <w:p w14:paraId="01DC83CE" w14:textId="0815E65F" w:rsidR="00AB0C34" w:rsidRPr="006B608F" w:rsidRDefault="00AB0C34" w:rsidP="00AB0C34">
      <w:pPr>
        <w:pStyle w:val="PageHeadingNotTOC"/>
      </w:pPr>
      <w:r w:rsidRPr="006B608F">
        <w:lastRenderedPageBreak/>
        <w:t>INFORMACJE O PRZYJĘCIU W KOMISJI OPINIODAWCZEJ</w:t>
      </w:r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5"/>
        <w:gridCol w:w="1530"/>
        <w:gridCol w:w="1474"/>
        <w:gridCol w:w="1474"/>
        <w:gridCol w:w="1474"/>
      </w:tblGrid>
      <w:tr w:rsidR="00AB0C34" w:rsidRPr="006B608F" w14:paraId="30284431" w14:textId="77777777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03B92E43" w14:textId="77777777" w:rsidR="00AB0C34" w:rsidRPr="006B608F" w:rsidRDefault="00AB0C3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6B608F">
              <w:rPr>
                <w:b/>
                <w:color w:val="000000"/>
                <w:sz w:val="20"/>
              </w:rPr>
              <w:t>Data przyjęcia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72306B33" w14:textId="77777777" w:rsidR="00AB0C34" w:rsidRPr="006B608F" w:rsidRDefault="00AB0C3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6B608F">
              <w:rPr>
                <w:color w:val="000000"/>
                <w:sz w:val="20"/>
              </w:rPr>
              <w:t>29.11.2023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468D7077" w14:textId="77777777" w:rsidR="00AB0C34" w:rsidRPr="006B608F" w:rsidRDefault="00AB0C34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3B2053FB" w14:textId="77777777" w:rsidR="00AB0C34" w:rsidRPr="006B608F" w:rsidRDefault="00AB0C34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62429A59" w14:textId="77777777" w:rsidR="00AB0C34" w:rsidRPr="006B608F" w:rsidRDefault="00AB0C34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</w:tr>
      <w:tr w:rsidR="00AB0C34" w:rsidRPr="006B608F" w14:paraId="7E28EA4F" w14:textId="77777777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13CCC8F2" w14:textId="77777777" w:rsidR="00AB0C34" w:rsidRPr="006B608F" w:rsidRDefault="00AB0C3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6B608F">
              <w:rPr>
                <w:b/>
                <w:color w:val="000000"/>
                <w:sz w:val="20"/>
              </w:rPr>
              <w:t>Wynik głosowania końcowego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3245A7C8" w14:textId="77777777" w:rsidR="00AB0C34" w:rsidRPr="006B608F" w:rsidRDefault="00AB0C3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6B608F">
              <w:rPr>
                <w:color w:val="000000"/>
                <w:sz w:val="20"/>
              </w:rPr>
              <w:t>+:</w:t>
            </w:r>
          </w:p>
          <w:p w14:paraId="35428284" w14:textId="77777777" w:rsidR="00AB0C34" w:rsidRPr="006B608F" w:rsidRDefault="00AB0C3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6B608F">
              <w:rPr>
                <w:color w:val="000000"/>
                <w:sz w:val="20"/>
              </w:rPr>
              <w:t>–:</w:t>
            </w:r>
          </w:p>
          <w:p w14:paraId="5395DA25" w14:textId="77777777" w:rsidR="00AB0C34" w:rsidRPr="006B608F" w:rsidRDefault="00AB0C3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6B608F">
              <w:rPr>
                <w:color w:val="000000"/>
                <w:sz w:val="20"/>
              </w:rPr>
              <w:t>0:</w:t>
            </w:r>
          </w:p>
        </w:tc>
        <w:tc>
          <w:tcPr>
            <w:tcW w:w="442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36DE8F44" w14:textId="77777777" w:rsidR="00AB0C34" w:rsidRPr="006B608F" w:rsidRDefault="00AB0C3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6B608F">
              <w:rPr>
                <w:color w:val="000000"/>
                <w:sz w:val="20"/>
              </w:rPr>
              <w:t>20</w:t>
            </w:r>
          </w:p>
          <w:p w14:paraId="132AE4AB" w14:textId="77777777" w:rsidR="00AB0C34" w:rsidRPr="006B608F" w:rsidRDefault="00AB0C3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6B608F">
              <w:rPr>
                <w:color w:val="000000"/>
                <w:sz w:val="20"/>
              </w:rPr>
              <w:t>2</w:t>
            </w:r>
          </w:p>
          <w:p w14:paraId="6F933A1A" w14:textId="77777777" w:rsidR="00AB0C34" w:rsidRPr="006B608F" w:rsidRDefault="00AB0C3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6B608F">
              <w:rPr>
                <w:color w:val="000000"/>
                <w:sz w:val="20"/>
              </w:rPr>
              <w:t>0</w:t>
            </w:r>
          </w:p>
        </w:tc>
      </w:tr>
      <w:tr w:rsidR="00AB0C34" w:rsidRPr="006B608F" w14:paraId="577F4783" w14:textId="77777777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02B1C413" w14:textId="77777777" w:rsidR="00AB0C34" w:rsidRPr="006B608F" w:rsidRDefault="00AB0C3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6B608F">
              <w:rPr>
                <w:b/>
                <w:color w:val="000000"/>
                <w:sz w:val="20"/>
              </w:rPr>
              <w:t>Posłowie obecni podczas głosowania końcowego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78BBCB9D" w14:textId="77777777" w:rsidR="00AB0C34" w:rsidRPr="006B608F" w:rsidRDefault="00AB0C3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6B608F">
              <w:rPr>
                <w:color w:val="000000"/>
                <w:sz w:val="20"/>
              </w:rPr>
              <w:t xml:space="preserve">Pascal </w:t>
            </w:r>
            <w:proofErr w:type="spellStart"/>
            <w:r w:rsidRPr="006B608F">
              <w:rPr>
                <w:color w:val="000000"/>
                <w:sz w:val="20"/>
              </w:rPr>
              <w:t>Arimont</w:t>
            </w:r>
            <w:proofErr w:type="spellEnd"/>
            <w:r w:rsidRPr="006B608F">
              <w:rPr>
                <w:color w:val="000000"/>
                <w:sz w:val="20"/>
              </w:rPr>
              <w:t xml:space="preserve">, </w:t>
            </w:r>
            <w:proofErr w:type="spellStart"/>
            <w:r w:rsidRPr="006B608F">
              <w:rPr>
                <w:color w:val="000000"/>
                <w:sz w:val="20"/>
              </w:rPr>
              <w:t>Ilana</w:t>
            </w:r>
            <w:proofErr w:type="spellEnd"/>
            <w:r w:rsidRPr="006B608F">
              <w:rPr>
                <w:color w:val="000000"/>
                <w:sz w:val="20"/>
              </w:rPr>
              <w:t xml:space="preserve"> </w:t>
            </w:r>
            <w:proofErr w:type="spellStart"/>
            <w:r w:rsidRPr="006B608F">
              <w:rPr>
                <w:color w:val="000000"/>
                <w:sz w:val="20"/>
              </w:rPr>
              <w:t>Cicurel</w:t>
            </w:r>
            <w:proofErr w:type="spellEnd"/>
            <w:r w:rsidRPr="006B608F">
              <w:rPr>
                <w:color w:val="000000"/>
                <w:sz w:val="20"/>
              </w:rPr>
              <w:t xml:space="preserve">, </w:t>
            </w:r>
            <w:proofErr w:type="spellStart"/>
            <w:r w:rsidRPr="006B608F">
              <w:rPr>
                <w:color w:val="000000"/>
                <w:sz w:val="20"/>
              </w:rPr>
              <w:t>Geoffroy</w:t>
            </w:r>
            <w:proofErr w:type="spellEnd"/>
            <w:r w:rsidRPr="006B608F">
              <w:rPr>
                <w:color w:val="000000"/>
                <w:sz w:val="20"/>
              </w:rPr>
              <w:t xml:space="preserve"> </w:t>
            </w:r>
            <w:proofErr w:type="spellStart"/>
            <w:r w:rsidRPr="006B608F">
              <w:rPr>
                <w:color w:val="000000"/>
                <w:sz w:val="20"/>
              </w:rPr>
              <w:t>Didier</w:t>
            </w:r>
            <w:proofErr w:type="spellEnd"/>
            <w:r w:rsidRPr="006B608F">
              <w:rPr>
                <w:color w:val="000000"/>
                <w:sz w:val="20"/>
              </w:rPr>
              <w:t xml:space="preserve">, </w:t>
            </w:r>
            <w:proofErr w:type="spellStart"/>
            <w:r w:rsidRPr="006B608F">
              <w:rPr>
                <w:color w:val="000000"/>
                <w:sz w:val="20"/>
              </w:rPr>
              <w:t>Ibán</w:t>
            </w:r>
            <w:proofErr w:type="spellEnd"/>
            <w:r w:rsidRPr="006B608F">
              <w:rPr>
                <w:color w:val="000000"/>
                <w:sz w:val="20"/>
              </w:rPr>
              <w:t xml:space="preserve"> </w:t>
            </w:r>
            <w:proofErr w:type="spellStart"/>
            <w:r w:rsidRPr="006B608F">
              <w:rPr>
                <w:color w:val="000000"/>
                <w:sz w:val="20"/>
              </w:rPr>
              <w:t>García</w:t>
            </w:r>
            <w:proofErr w:type="spellEnd"/>
            <w:r w:rsidRPr="006B608F">
              <w:rPr>
                <w:color w:val="000000"/>
                <w:sz w:val="20"/>
              </w:rPr>
              <w:t xml:space="preserve"> Del Blanco, Virginie </w:t>
            </w:r>
            <w:proofErr w:type="spellStart"/>
            <w:r w:rsidRPr="006B608F">
              <w:rPr>
                <w:color w:val="000000"/>
                <w:sz w:val="20"/>
              </w:rPr>
              <w:t>Joron</w:t>
            </w:r>
            <w:proofErr w:type="spellEnd"/>
            <w:r w:rsidRPr="006B608F">
              <w:rPr>
                <w:color w:val="000000"/>
                <w:sz w:val="20"/>
              </w:rPr>
              <w:t xml:space="preserve">, Pierre </w:t>
            </w:r>
            <w:proofErr w:type="spellStart"/>
            <w:r w:rsidRPr="006B608F">
              <w:rPr>
                <w:color w:val="000000"/>
                <w:sz w:val="20"/>
              </w:rPr>
              <w:t>Karleskind</w:t>
            </w:r>
            <w:proofErr w:type="spellEnd"/>
            <w:r w:rsidRPr="006B608F">
              <w:rPr>
                <w:color w:val="000000"/>
                <w:sz w:val="20"/>
              </w:rPr>
              <w:t xml:space="preserve">, </w:t>
            </w:r>
            <w:proofErr w:type="spellStart"/>
            <w:r w:rsidRPr="006B608F">
              <w:rPr>
                <w:color w:val="000000"/>
                <w:sz w:val="20"/>
              </w:rPr>
              <w:t>Sergey</w:t>
            </w:r>
            <w:proofErr w:type="spellEnd"/>
            <w:r w:rsidRPr="006B608F">
              <w:rPr>
                <w:color w:val="000000"/>
                <w:sz w:val="20"/>
              </w:rPr>
              <w:t xml:space="preserve"> </w:t>
            </w:r>
            <w:proofErr w:type="spellStart"/>
            <w:r w:rsidRPr="006B608F">
              <w:rPr>
                <w:color w:val="000000"/>
                <w:sz w:val="20"/>
              </w:rPr>
              <w:t>Lagodinsky</w:t>
            </w:r>
            <w:proofErr w:type="spellEnd"/>
            <w:r w:rsidRPr="006B608F">
              <w:rPr>
                <w:color w:val="000000"/>
                <w:sz w:val="20"/>
              </w:rPr>
              <w:t xml:space="preserve">, </w:t>
            </w:r>
            <w:proofErr w:type="spellStart"/>
            <w:r w:rsidRPr="006B608F">
              <w:rPr>
                <w:color w:val="000000"/>
                <w:sz w:val="20"/>
              </w:rPr>
              <w:t>Gilles</w:t>
            </w:r>
            <w:proofErr w:type="spellEnd"/>
            <w:r w:rsidRPr="006B608F">
              <w:rPr>
                <w:color w:val="000000"/>
                <w:sz w:val="20"/>
              </w:rPr>
              <w:t xml:space="preserve"> </w:t>
            </w:r>
            <w:proofErr w:type="spellStart"/>
            <w:r w:rsidRPr="006B608F">
              <w:rPr>
                <w:color w:val="000000"/>
                <w:sz w:val="20"/>
              </w:rPr>
              <w:t>Lebreton</w:t>
            </w:r>
            <w:proofErr w:type="spellEnd"/>
            <w:r w:rsidRPr="006B608F">
              <w:rPr>
                <w:color w:val="000000"/>
                <w:sz w:val="20"/>
              </w:rPr>
              <w:t xml:space="preserve">, Karen Melchior, </w:t>
            </w:r>
            <w:proofErr w:type="spellStart"/>
            <w:r w:rsidRPr="006B608F">
              <w:rPr>
                <w:color w:val="000000"/>
                <w:sz w:val="20"/>
              </w:rPr>
              <w:t>Sabrina</w:t>
            </w:r>
            <w:proofErr w:type="spellEnd"/>
            <w:r w:rsidRPr="006B608F">
              <w:rPr>
                <w:color w:val="000000"/>
                <w:sz w:val="20"/>
              </w:rPr>
              <w:t xml:space="preserve"> </w:t>
            </w:r>
            <w:proofErr w:type="spellStart"/>
            <w:r w:rsidRPr="006B608F">
              <w:rPr>
                <w:color w:val="000000"/>
                <w:sz w:val="20"/>
              </w:rPr>
              <w:t>Pignedoli</w:t>
            </w:r>
            <w:proofErr w:type="spellEnd"/>
            <w:r w:rsidRPr="006B608F">
              <w:rPr>
                <w:color w:val="000000"/>
                <w:sz w:val="20"/>
              </w:rPr>
              <w:t xml:space="preserve">, </w:t>
            </w:r>
            <w:proofErr w:type="spellStart"/>
            <w:r w:rsidRPr="006B608F">
              <w:rPr>
                <w:color w:val="000000"/>
                <w:sz w:val="20"/>
              </w:rPr>
              <w:t>Jiří</w:t>
            </w:r>
            <w:proofErr w:type="spellEnd"/>
            <w:r w:rsidRPr="006B608F">
              <w:rPr>
                <w:color w:val="000000"/>
                <w:sz w:val="20"/>
              </w:rPr>
              <w:t xml:space="preserve"> </w:t>
            </w:r>
            <w:proofErr w:type="spellStart"/>
            <w:r w:rsidRPr="006B608F">
              <w:rPr>
                <w:color w:val="000000"/>
                <w:sz w:val="20"/>
              </w:rPr>
              <w:t>Pospíšil</w:t>
            </w:r>
            <w:proofErr w:type="spellEnd"/>
            <w:r w:rsidRPr="006B608F">
              <w:rPr>
                <w:color w:val="000000"/>
                <w:sz w:val="20"/>
              </w:rPr>
              <w:t xml:space="preserve">, </w:t>
            </w:r>
            <w:proofErr w:type="spellStart"/>
            <w:r w:rsidRPr="006B608F">
              <w:rPr>
                <w:color w:val="000000"/>
                <w:sz w:val="20"/>
              </w:rPr>
              <w:t>Raffaele</w:t>
            </w:r>
            <w:proofErr w:type="spellEnd"/>
            <w:r w:rsidRPr="006B608F">
              <w:rPr>
                <w:color w:val="000000"/>
                <w:sz w:val="20"/>
              </w:rPr>
              <w:t xml:space="preserve"> </w:t>
            </w:r>
            <w:proofErr w:type="spellStart"/>
            <w:r w:rsidRPr="006B608F">
              <w:rPr>
                <w:color w:val="000000"/>
                <w:sz w:val="20"/>
              </w:rPr>
              <w:t>Stancanelli</w:t>
            </w:r>
            <w:proofErr w:type="spellEnd"/>
            <w:r w:rsidRPr="006B608F">
              <w:rPr>
                <w:color w:val="000000"/>
                <w:sz w:val="20"/>
              </w:rPr>
              <w:t xml:space="preserve">, </w:t>
            </w:r>
            <w:proofErr w:type="spellStart"/>
            <w:r w:rsidRPr="006B608F">
              <w:rPr>
                <w:color w:val="000000"/>
                <w:sz w:val="20"/>
              </w:rPr>
              <w:t>Adrián</w:t>
            </w:r>
            <w:proofErr w:type="spellEnd"/>
            <w:r w:rsidRPr="006B608F">
              <w:rPr>
                <w:color w:val="000000"/>
                <w:sz w:val="20"/>
              </w:rPr>
              <w:t xml:space="preserve"> </w:t>
            </w:r>
            <w:proofErr w:type="spellStart"/>
            <w:r w:rsidRPr="006B608F">
              <w:rPr>
                <w:color w:val="000000"/>
                <w:sz w:val="20"/>
              </w:rPr>
              <w:t>Vázquez</w:t>
            </w:r>
            <w:proofErr w:type="spellEnd"/>
            <w:r w:rsidRPr="006B608F">
              <w:rPr>
                <w:color w:val="000000"/>
                <w:sz w:val="20"/>
              </w:rPr>
              <w:t xml:space="preserve"> </w:t>
            </w:r>
            <w:proofErr w:type="spellStart"/>
            <w:r w:rsidRPr="006B608F">
              <w:rPr>
                <w:color w:val="000000"/>
                <w:sz w:val="20"/>
              </w:rPr>
              <w:t>Lázara</w:t>
            </w:r>
            <w:proofErr w:type="spellEnd"/>
            <w:r w:rsidRPr="006B608F">
              <w:rPr>
                <w:color w:val="000000"/>
                <w:sz w:val="20"/>
              </w:rPr>
              <w:t xml:space="preserve">, Axel </w:t>
            </w:r>
            <w:proofErr w:type="spellStart"/>
            <w:r w:rsidRPr="006B608F">
              <w:rPr>
                <w:color w:val="000000"/>
                <w:sz w:val="20"/>
              </w:rPr>
              <w:t>Voss</w:t>
            </w:r>
            <w:proofErr w:type="spellEnd"/>
            <w:r w:rsidRPr="006B608F">
              <w:rPr>
                <w:color w:val="000000"/>
                <w:sz w:val="20"/>
              </w:rPr>
              <w:t xml:space="preserve">, Marion </w:t>
            </w:r>
            <w:proofErr w:type="spellStart"/>
            <w:r w:rsidRPr="006B608F">
              <w:rPr>
                <w:color w:val="000000"/>
                <w:sz w:val="20"/>
              </w:rPr>
              <w:t>Walsmann</w:t>
            </w:r>
            <w:proofErr w:type="spellEnd"/>
            <w:r w:rsidRPr="006B608F">
              <w:rPr>
                <w:color w:val="000000"/>
                <w:sz w:val="20"/>
              </w:rPr>
              <w:t xml:space="preserve">, </w:t>
            </w:r>
            <w:proofErr w:type="spellStart"/>
            <w:r w:rsidRPr="006B608F">
              <w:rPr>
                <w:color w:val="000000"/>
                <w:sz w:val="20"/>
              </w:rPr>
              <w:t>Tiemo</w:t>
            </w:r>
            <w:proofErr w:type="spellEnd"/>
            <w:r w:rsidRPr="006B608F">
              <w:rPr>
                <w:color w:val="000000"/>
                <w:sz w:val="20"/>
              </w:rPr>
              <w:t xml:space="preserve"> </w:t>
            </w:r>
            <w:proofErr w:type="spellStart"/>
            <w:r w:rsidRPr="006B608F">
              <w:rPr>
                <w:color w:val="000000"/>
                <w:sz w:val="20"/>
              </w:rPr>
              <w:t>Wölken</w:t>
            </w:r>
            <w:proofErr w:type="spellEnd"/>
            <w:r w:rsidRPr="006B608F">
              <w:rPr>
                <w:color w:val="000000"/>
                <w:sz w:val="20"/>
              </w:rPr>
              <w:t xml:space="preserve">, Javier </w:t>
            </w:r>
            <w:proofErr w:type="spellStart"/>
            <w:r w:rsidRPr="006B608F">
              <w:rPr>
                <w:color w:val="000000"/>
                <w:sz w:val="20"/>
              </w:rPr>
              <w:t>Zarzalejos</w:t>
            </w:r>
            <w:proofErr w:type="spellEnd"/>
          </w:p>
        </w:tc>
      </w:tr>
      <w:tr w:rsidR="00AB0C34" w:rsidRPr="006B608F" w14:paraId="1F98FC91" w14:textId="77777777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48E758B6" w14:textId="77777777" w:rsidR="00AB0C34" w:rsidRPr="006B608F" w:rsidRDefault="00AB0C3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6B608F">
              <w:rPr>
                <w:b/>
                <w:color w:val="000000"/>
                <w:sz w:val="20"/>
              </w:rPr>
              <w:t>Zastępcy obecni podczas głosowania końcowego</w:t>
            </w:r>
          </w:p>
        </w:tc>
        <w:tc>
          <w:tcPr>
            <w:tcW w:w="595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6E431C13" w14:textId="77777777" w:rsidR="00AB0C34" w:rsidRPr="006B608F" w:rsidRDefault="00AB0C3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6B608F">
              <w:rPr>
                <w:color w:val="000000"/>
                <w:sz w:val="20"/>
              </w:rPr>
              <w:t xml:space="preserve">Daniel Buda, Pascal Durand, </w:t>
            </w:r>
            <w:proofErr w:type="spellStart"/>
            <w:r w:rsidRPr="006B608F">
              <w:rPr>
                <w:color w:val="000000"/>
                <w:sz w:val="20"/>
              </w:rPr>
              <w:t>Heidi</w:t>
            </w:r>
            <w:proofErr w:type="spellEnd"/>
            <w:r w:rsidRPr="006B608F">
              <w:rPr>
                <w:color w:val="000000"/>
                <w:sz w:val="20"/>
              </w:rPr>
              <w:t xml:space="preserve"> </w:t>
            </w:r>
            <w:proofErr w:type="spellStart"/>
            <w:r w:rsidRPr="006B608F">
              <w:rPr>
                <w:color w:val="000000"/>
                <w:sz w:val="20"/>
              </w:rPr>
              <w:t>Hautala</w:t>
            </w:r>
            <w:proofErr w:type="spellEnd"/>
          </w:p>
        </w:tc>
      </w:tr>
      <w:tr w:rsidR="00AB0C34" w:rsidRPr="00084132" w14:paraId="6FB31FE6" w14:textId="77777777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4B1DFD4C" w14:textId="77777777" w:rsidR="00AB0C34" w:rsidRPr="006B608F" w:rsidRDefault="00AB0C3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6B608F">
              <w:rPr>
                <w:b/>
                <w:color w:val="000000"/>
                <w:sz w:val="20"/>
              </w:rPr>
              <w:t>Zastępcy (art. 209 ust. 7) obecni podczas głosowania końcowego</w:t>
            </w:r>
          </w:p>
        </w:tc>
        <w:tc>
          <w:tcPr>
            <w:tcW w:w="595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588B3668" w14:textId="77777777" w:rsidR="00AB0C34" w:rsidRPr="004148F0" w:rsidRDefault="00AB0C34">
            <w:pPr>
              <w:autoSpaceDE w:val="0"/>
              <w:autoSpaceDN w:val="0"/>
              <w:adjustRightInd w:val="0"/>
              <w:rPr>
                <w:color w:val="000000"/>
                <w:sz w:val="20"/>
                <w:lang w:val="fr-FR"/>
              </w:rPr>
            </w:pPr>
            <w:r w:rsidRPr="004148F0">
              <w:rPr>
                <w:color w:val="000000"/>
                <w:sz w:val="20"/>
                <w:lang w:val="fr-FR"/>
              </w:rPr>
              <w:t>Sylvie Guillaume, Pedro Marques, Anne-Sophie Pelletier</w:t>
            </w:r>
          </w:p>
        </w:tc>
      </w:tr>
    </w:tbl>
    <w:p w14:paraId="45DBBEE1" w14:textId="77777777" w:rsidR="00AB0C34" w:rsidRPr="004148F0" w:rsidRDefault="00AB0C34" w:rsidP="00AB0C34">
      <w:pPr>
        <w:rPr>
          <w:lang w:val="fr-FR"/>
        </w:rPr>
      </w:pPr>
    </w:p>
    <w:bookmarkEnd w:id="1"/>
    <w:p w14:paraId="285ACBCD" w14:textId="77777777" w:rsidR="00AB0C34" w:rsidRPr="004148F0" w:rsidRDefault="00AB0C34" w:rsidP="00AB0C34">
      <w:pPr>
        <w:rPr>
          <w:lang w:val="fr-FR"/>
        </w:rPr>
        <w:sectPr w:rsidR="00AB0C34" w:rsidRPr="004148F0" w:rsidSect="00AB0C34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5F2008A4" w14:textId="57D43A54" w:rsidR="00AB0C34" w:rsidRPr="006B608F" w:rsidRDefault="00AB0C34" w:rsidP="00C36610">
      <w:pPr>
        <w:pStyle w:val="PageHeadingNotTOC"/>
      </w:pPr>
      <w:bookmarkStart w:id="2" w:name="RollCallPageAD"/>
      <w:r w:rsidRPr="006B608F">
        <w:lastRenderedPageBreak/>
        <w:t>GŁOSOWANIE KOŃCOWE W FORMIE GŁOSOWANIA IMIENNEGO W KOMISJI OPINIODAWCZEJ</w:t>
      </w:r>
    </w:p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AB0C34" w:rsidRPr="006B608F" w14:paraId="10DEA3CE" w14:textId="77777777" w:rsidTr="008920AC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14:paraId="6AF86959" w14:textId="1D4DC945" w:rsidR="00AB0C34" w:rsidRPr="006B608F" w:rsidRDefault="00AB0C34" w:rsidP="003858C5">
            <w:pPr>
              <w:pStyle w:val="RollCallVotes"/>
            </w:pPr>
            <w:r w:rsidRPr="006B608F">
              <w:t>20</w:t>
            </w:r>
          </w:p>
        </w:tc>
        <w:tc>
          <w:tcPr>
            <w:tcW w:w="7371" w:type="dxa"/>
            <w:shd w:val="pct10" w:color="000000" w:fill="FFFFFF"/>
          </w:tcPr>
          <w:p w14:paraId="56EE5924" w14:textId="77777777" w:rsidR="00AB0C34" w:rsidRPr="006B608F" w:rsidRDefault="00AB0C34" w:rsidP="003858C5">
            <w:pPr>
              <w:pStyle w:val="RollCallSymbols14pt"/>
            </w:pPr>
            <w:r w:rsidRPr="006B608F">
              <w:t>+</w:t>
            </w:r>
          </w:p>
        </w:tc>
      </w:tr>
      <w:tr w:rsidR="00AB0C34" w:rsidRPr="006B608F" w14:paraId="37F9222D" w14:textId="77777777" w:rsidTr="008920AC">
        <w:trPr>
          <w:cantSplit/>
        </w:trPr>
        <w:tc>
          <w:tcPr>
            <w:tcW w:w="1701" w:type="dxa"/>
            <w:shd w:val="clear" w:color="auto" w:fill="FFFFFF"/>
          </w:tcPr>
          <w:p w14:paraId="483ED4A0" w14:textId="74D20361" w:rsidR="00AB0C34" w:rsidRPr="006B608F" w:rsidRDefault="00AB0C34" w:rsidP="003858C5">
            <w:pPr>
              <w:pStyle w:val="RollCallTable"/>
            </w:pPr>
            <w:r w:rsidRPr="006B608F">
              <w:t>NI</w:t>
            </w:r>
          </w:p>
        </w:tc>
        <w:tc>
          <w:tcPr>
            <w:tcW w:w="7371" w:type="dxa"/>
            <w:shd w:val="clear" w:color="auto" w:fill="FFFFFF"/>
          </w:tcPr>
          <w:p w14:paraId="2D6FE035" w14:textId="447A20EE" w:rsidR="00AB0C34" w:rsidRPr="006B608F" w:rsidRDefault="00AB0C34" w:rsidP="003858C5">
            <w:pPr>
              <w:pStyle w:val="RollCallTable"/>
            </w:pPr>
            <w:proofErr w:type="spellStart"/>
            <w:r w:rsidRPr="006B608F">
              <w:t>Sabrina</w:t>
            </w:r>
            <w:proofErr w:type="spellEnd"/>
            <w:r w:rsidRPr="006B608F">
              <w:t xml:space="preserve"> </w:t>
            </w:r>
            <w:proofErr w:type="spellStart"/>
            <w:r w:rsidRPr="006B608F">
              <w:t>Pignedoli</w:t>
            </w:r>
            <w:proofErr w:type="spellEnd"/>
          </w:p>
        </w:tc>
      </w:tr>
      <w:tr w:rsidR="00AB0C34" w:rsidRPr="006B608F" w14:paraId="7B8C3EB0" w14:textId="77777777" w:rsidTr="008920AC">
        <w:trPr>
          <w:cantSplit/>
        </w:trPr>
        <w:tc>
          <w:tcPr>
            <w:tcW w:w="1701" w:type="dxa"/>
            <w:shd w:val="clear" w:color="auto" w:fill="FFFFFF"/>
          </w:tcPr>
          <w:p w14:paraId="2024371D" w14:textId="3D3A95CD" w:rsidR="00AB0C34" w:rsidRPr="006B608F" w:rsidRDefault="00AB0C34" w:rsidP="003858C5">
            <w:pPr>
              <w:pStyle w:val="RollCallTable"/>
            </w:pPr>
            <w:r w:rsidRPr="006B608F">
              <w:t>PPE</w:t>
            </w:r>
          </w:p>
        </w:tc>
        <w:tc>
          <w:tcPr>
            <w:tcW w:w="7371" w:type="dxa"/>
            <w:shd w:val="clear" w:color="auto" w:fill="FFFFFF"/>
          </w:tcPr>
          <w:p w14:paraId="286310E7" w14:textId="2A80B8A5" w:rsidR="00AB0C34" w:rsidRPr="006B608F" w:rsidRDefault="00AB0C34" w:rsidP="003858C5">
            <w:pPr>
              <w:pStyle w:val="RollCallTable"/>
            </w:pPr>
            <w:r w:rsidRPr="006B608F">
              <w:t xml:space="preserve">Pascal </w:t>
            </w:r>
            <w:proofErr w:type="spellStart"/>
            <w:r w:rsidRPr="006B608F">
              <w:t>Arimont</w:t>
            </w:r>
            <w:proofErr w:type="spellEnd"/>
            <w:r w:rsidRPr="006B608F">
              <w:t xml:space="preserve">, Daniel Buda, </w:t>
            </w:r>
            <w:proofErr w:type="spellStart"/>
            <w:r w:rsidRPr="006B608F">
              <w:t>Geoffroy</w:t>
            </w:r>
            <w:proofErr w:type="spellEnd"/>
            <w:r w:rsidRPr="006B608F">
              <w:t xml:space="preserve"> </w:t>
            </w:r>
            <w:proofErr w:type="spellStart"/>
            <w:r w:rsidRPr="006B608F">
              <w:t>Didier</w:t>
            </w:r>
            <w:proofErr w:type="spellEnd"/>
            <w:r w:rsidRPr="006B608F">
              <w:t xml:space="preserve">, </w:t>
            </w:r>
            <w:proofErr w:type="spellStart"/>
            <w:r w:rsidRPr="006B608F">
              <w:t>Jiří</w:t>
            </w:r>
            <w:proofErr w:type="spellEnd"/>
            <w:r w:rsidRPr="006B608F">
              <w:t xml:space="preserve"> </w:t>
            </w:r>
            <w:proofErr w:type="spellStart"/>
            <w:r w:rsidRPr="006B608F">
              <w:t>Pospíšil</w:t>
            </w:r>
            <w:proofErr w:type="spellEnd"/>
            <w:r w:rsidRPr="006B608F">
              <w:t xml:space="preserve">, Axel </w:t>
            </w:r>
            <w:proofErr w:type="spellStart"/>
            <w:r w:rsidRPr="006B608F">
              <w:t>Voss</w:t>
            </w:r>
            <w:proofErr w:type="spellEnd"/>
            <w:r w:rsidRPr="006B608F">
              <w:t xml:space="preserve">, Marion </w:t>
            </w:r>
            <w:proofErr w:type="spellStart"/>
            <w:r w:rsidRPr="006B608F">
              <w:t>Walsmann</w:t>
            </w:r>
            <w:proofErr w:type="spellEnd"/>
            <w:r w:rsidRPr="006B608F">
              <w:t xml:space="preserve">, Javier </w:t>
            </w:r>
            <w:proofErr w:type="spellStart"/>
            <w:r w:rsidRPr="006B608F">
              <w:t>Zarzalejos</w:t>
            </w:r>
            <w:proofErr w:type="spellEnd"/>
          </w:p>
        </w:tc>
      </w:tr>
      <w:tr w:rsidR="00AB0C34" w:rsidRPr="006B608F" w14:paraId="11B989D8" w14:textId="77777777" w:rsidTr="008920AC">
        <w:trPr>
          <w:cantSplit/>
        </w:trPr>
        <w:tc>
          <w:tcPr>
            <w:tcW w:w="1701" w:type="dxa"/>
            <w:shd w:val="clear" w:color="auto" w:fill="FFFFFF"/>
          </w:tcPr>
          <w:p w14:paraId="04A0C7C6" w14:textId="156125C0" w:rsidR="00AB0C34" w:rsidRPr="006B608F" w:rsidRDefault="00AB0C34" w:rsidP="003858C5">
            <w:pPr>
              <w:pStyle w:val="RollCallTable"/>
            </w:pPr>
            <w:proofErr w:type="spellStart"/>
            <w:r w:rsidRPr="006B608F">
              <w:t>Renew</w:t>
            </w:r>
            <w:proofErr w:type="spellEnd"/>
          </w:p>
        </w:tc>
        <w:tc>
          <w:tcPr>
            <w:tcW w:w="7371" w:type="dxa"/>
            <w:shd w:val="clear" w:color="auto" w:fill="FFFFFF"/>
          </w:tcPr>
          <w:p w14:paraId="271CAA2F" w14:textId="1C8CCC62" w:rsidR="00AB0C34" w:rsidRPr="006B608F" w:rsidRDefault="00AB0C34" w:rsidP="003858C5">
            <w:pPr>
              <w:pStyle w:val="RollCallTable"/>
            </w:pPr>
            <w:proofErr w:type="spellStart"/>
            <w:r w:rsidRPr="006B608F">
              <w:t>Ilana</w:t>
            </w:r>
            <w:proofErr w:type="spellEnd"/>
            <w:r w:rsidRPr="006B608F">
              <w:t xml:space="preserve"> </w:t>
            </w:r>
            <w:proofErr w:type="spellStart"/>
            <w:r w:rsidRPr="006B608F">
              <w:t>Cicurel</w:t>
            </w:r>
            <w:proofErr w:type="spellEnd"/>
            <w:r w:rsidRPr="006B608F">
              <w:t xml:space="preserve">, Pierre </w:t>
            </w:r>
            <w:proofErr w:type="spellStart"/>
            <w:r w:rsidRPr="006B608F">
              <w:t>Karleskind</w:t>
            </w:r>
            <w:proofErr w:type="spellEnd"/>
            <w:r w:rsidRPr="006B608F">
              <w:t xml:space="preserve">, Karen Melchior, </w:t>
            </w:r>
            <w:proofErr w:type="spellStart"/>
            <w:r w:rsidRPr="006B608F">
              <w:t>Adrián</w:t>
            </w:r>
            <w:proofErr w:type="spellEnd"/>
            <w:r w:rsidRPr="006B608F">
              <w:t xml:space="preserve"> </w:t>
            </w:r>
            <w:proofErr w:type="spellStart"/>
            <w:r w:rsidRPr="006B608F">
              <w:t>Vázquez</w:t>
            </w:r>
            <w:proofErr w:type="spellEnd"/>
            <w:r w:rsidRPr="006B608F">
              <w:t xml:space="preserve"> </w:t>
            </w:r>
            <w:proofErr w:type="spellStart"/>
            <w:r w:rsidRPr="006B608F">
              <w:t>Lázara</w:t>
            </w:r>
            <w:proofErr w:type="spellEnd"/>
          </w:p>
        </w:tc>
      </w:tr>
      <w:tr w:rsidR="00AB0C34" w:rsidRPr="006B608F" w14:paraId="5CA77198" w14:textId="77777777" w:rsidTr="008920AC">
        <w:trPr>
          <w:cantSplit/>
        </w:trPr>
        <w:tc>
          <w:tcPr>
            <w:tcW w:w="1701" w:type="dxa"/>
            <w:shd w:val="clear" w:color="auto" w:fill="FFFFFF"/>
          </w:tcPr>
          <w:p w14:paraId="5D9A5212" w14:textId="1F1860CE" w:rsidR="00AB0C34" w:rsidRPr="006B608F" w:rsidRDefault="00AB0C34" w:rsidP="003858C5">
            <w:pPr>
              <w:pStyle w:val="RollCallTable"/>
            </w:pPr>
            <w:r w:rsidRPr="006B608F">
              <w:t>S&amp;D</w:t>
            </w:r>
          </w:p>
        </w:tc>
        <w:tc>
          <w:tcPr>
            <w:tcW w:w="7371" w:type="dxa"/>
            <w:shd w:val="clear" w:color="auto" w:fill="FFFFFF"/>
          </w:tcPr>
          <w:p w14:paraId="044B6D29" w14:textId="231B3D43" w:rsidR="00AB0C34" w:rsidRPr="006B608F" w:rsidRDefault="00AB0C34" w:rsidP="003858C5">
            <w:pPr>
              <w:pStyle w:val="RollCallTable"/>
            </w:pPr>
            <w:r w:rsidRPr="006B608F">
              <w:t xml:space="preserve">Pascal Durand, </w:t>
            </w:r>
            <w:proofErr w:type="spellStart"/>
            <w:r w:rsidRPr="006B608F">
              <w:t>Ibán</w:t>
            </w:r>
            <w:proofErr w:type="spellEnd"/>
            <w:r w:rsidRPr="006B608F">
              <w:t xml:space="preserve"> </w:t>
            </w:r>
            <w:proofErr w:type="spellStart"/>
            <w:r w:rsidRPr="006B608F">
              <w:t>García</w:t>
            </w:r>
            <w:proofErr w:type="spellEnd"/>
            <w:r w:rsidRPr="006B608F">
              <w:t xml:space="preserve"> Del Blanco, Sylvie Guillaume, Pedro Marques, </w:t>
            </w:r>
            <w:proofErr w:type="spellStart"/>
            <w:r w:rsidRPr="006B608F">
              <w:t>Tiemo</w:t>
            </w:r>
            <w:proofErr w:type="spellEnd"/>
            <w:r w:rsidRPr="006B608F">
              <w:t xml:space="preserve"> </w:t>
            </w:r>
            <w:proofErr w:type="spellStart"/>
            <w:r w:rsidRPr="006B608F">
              <w:t>Wölken</w:t>
            </w:r>
            <w:proofErr w:type="spellEnd"/>
          </w:p>
        </w:tc>
      </w:tr>
      <w:tr w:rsidR="00AB0C34" w:rsidRPr="006B608F" w14:paraId="27FF5AB7" w14:textId="77777777" w:rsidTr="008920AC">
        <w:trPr>
          <w:cantSplit/>
        </w:trPr>
        <w:tc>
          <w:tcPr>
            <w:tcW w:w="1701" w:type="dxa"/>
            <w:shd w:val="clear" w:color="auto" w:fill="FFFFFF"/>
          </w:tcPr>
          <w:p w14:paraId="2A6FD5C9" w14:textId="75C96841" w:rsidR="00AB0C34" w:rsidRPr="006B608F" w:rsidRDefault="00AB0C34" w:rsidP="003858C5">
            <w:pPr>
              <w:pStyle w:val="RollCallTable"/>
            </w:pPr>
            <w:r w:rsidRPr="006B608F">
              <w:t xml:space="preserve">The </w:t>
            </w:r>
            <w:proofErr w:type="spellStart"/>
            <w:r w:rsidRPr="006B608F">
              <w:t>Left</w:t>
            </w:r>
            <w:proofErr w:type="spellEnd"/>
          </w:p>
        </w:tc>
        <w:tc>
          <w:tcPr>
            <w:tcW w:w="7371" w:type="dxa"/>
            <w:shd w:val="clear" w:color="auto" w:fill="FFFFFF"/>
          </w:tcPr>
          <w:p w14:paraId="1F695C1C" w14:textId="1D7809BE" w:rsidR="00AB0C34" w:rsidRPr="006B608F" w:rsidRDefault="00AB0C34" w:rsidP="003858C5">
            <w:pPr>
              <w:pStyle w:val="RollCallTable"/>
            </w:pPr>
            <w:proofErr w:type="spellStart"/>
            <w:r w:rsidRPr="006B608F">
              <w:t>Anne-Sophie</w:t>
            </w:r>
            <w:proofErr w:type="spellEnd"/>
            <w:r w:rsidRPr="006B608F">
              <w:t xml:space="preserve"> </w:t>
            </w:r>
            <w:proofErr w:type="spellStart"/>
            <w:r w:rsidRPr="006B608F">
              <w:t>Pelletier</w:t>
            </w:r>
            <w:proofErr w:type="spellEnd"/>
          </w:p>
        </w:tc>
      </w:tr>
      <w:tr w:rsidR="00AB0C34" w:rsidRPr="006B608F" w14:paraId="24E542E3" w14:textId="77777777" w:rsidTr="008920AC">
        <w:trPr>
          <w:cantSplit/>
        </w:trPr>
        <w:tc>
          <w:tcPr>
            <w:tcW w:w="1701" w:type="dxa"/>
            <w:shd w:val="clear" w:color="auto" w:fill="FFFFFF"/>
          </w:tcPr>
          <w:p w14:paraId="3B7F3211" w14:textId="3A5B093C" w:rsidR="00AB0C34" w:rsidRPr="006B608F" w:rsidRDefault="00AB0C34" w:rsidP="003858C5">
            <w:pPr>
              <w:pStyle w:val="RollCallTable"/>
            </w:pPr>
            <w:proofErr w:type="spellStart"/>
            <w:r w:rsidRPr="006B608F">
              <w:t>Verts</w:t>
            </w:r>
            <w:proofErr w:type="spellEnd"/>
            <w:r w:rsidRPr="006B608F">
              <w:t>/ALE</w:t>
            </w:r>
          </w:p>
        </w:tc>
        <w:tc>
          <w:tcPr>
            <w:tcW w:w="7371" w:type="dxa"/>
            <w:shd w:val="clear" w:color="auto" w:fill="FFFFFF"/>
          </w:tcPr>
          <w:p w14:paraId="19B08B86" w14:textId="76F8E2A7" w:rsidR="00AB0C34" w:rsidRPr="006B608F" w:rsidRDefault="00AB0C34" w:rsidP="003858C5">
            <w:pPr>
              <w:pStyle w:val="RollCallTable"/>
            </w:pPr>
            <w:proofErr w:type="spellStart"/>
            <w:r w:rsidRPr="006B608F">
              <w:t>Heidi</w:t>
            </w:r>
            <w:proofErr w:type="spellEnd"/>
            <w:r w:rsidRPr="006B608F">
              <w:t xml:space="preserve"> </w:t>
            </w:r>
            <w:proofErr w:type="spellStart"/>
            <w:r w:rsidRPr="006B608F">
              <w:t>Hautala</w:t>
            </w:r>
            <w:proofErr w:type="spellEnd"/>
            <w:r w:rsidRPr="006B608F">
              <w:t xml:space="preserve">, </w:t>
            </w:r>
            <w:proofErr w:type="spellStart"/>
            <w:r w:rsidRPr="006B608F">
              <w:t>Sergey</w:t>
            </w:r>
            <w:proofErr w:type="spellEnd"/>
            <w:r w:rsidRPr="006B608F">
              <w:t xml:space="preserve"> </w:t>
            </w:r>
            <w:proofErr w:type="spellStart"/>
            <w:r w:rsidRPr="006B608F">
              <w:t>Lagodinsky</w:t>
            </w:r>
            <w:proofErr w:type="spellEnd"/>
          </w:p>
        </w:tc>
      </w:tr>
    </w:tbl>
    <w:p w14:paraId="6BA0F8C7" w14:textId="77777777" w:rsidR="00AB0C34" w:rsidRPr="006B608F" w:rsidRDefault="00AB0C34" w:rsidP="00147FBF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AB0C34" w:rsidRPr="006B608F" w14:paraId="2D58C820" w14:textId="77777777" w:rsidTr="008920AC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14:paraId="1974E1BB" w14:textId="6D08AD27" w:rsidR="00AB0C34" w:rsidRPr="006B608F" w:rsidRDefault="00AB0C34" w:rsidP="003858C5">
            <w:pPr>
              <w:pStyle w:val="RollCallVotes"/>
            </w:pPr>
            <w:r w:rsidRPr="006B608F">
              <w:t>2</w:t>
            </w:r>
          </w:p>
        </w:tc>
        <w:tc>
          <w:tcPr>
            <w:tcW w:w="7371" w:type="dxa"/>
            <w:shd w:val="pct10" w:color="000000" w:fill="FFFFFF"/>
          </w:tcPr>
          <w:p w14:paraId="34048B17" w14:textId="77777777" w:rsidR="00AB0C34" w:rsidRPr="006B608F" w:rsidRDefault="00AB0C34" w:rsidP="003858C5">
            <w:pPr>
              <w:pStyle w:val="RollCallSymbols14pt"/>
            </w:pPr>
            <w:r w:rsidRPr="006B608F">
              <w:t>-</w:t>
            </w:r>
          </w:p>
        </w:tc>
      </w:tr>
      <w:tr w:rsidR="00AB0C34" w:rsidRPr="006B608F" w14:paraId="62A56B43" w14:textId="77777777" w:rsidTr="008920AC">
        <w:trPr>
          <w:cantSplit/>
        </w:trPr>
        <w:tc>
          <w:tcPr>
            <w:tcW w:w="1701" w:type="dxa"/>
            <w:shd w:val="clear" w:color="auto" w:fill="FFFFFF"/>
          </w:tcPr>
          <w:p w14:paraId="42023423" w14:textId="160930DD" w:rsidR="00AB0C34" w:rsidRPr="006B608F" w:rsidRDefault="00AB0C34" w:rsidP="003858C5">
            <w:pPr>
              <w:pStyle w:val="RollCallTable"/>
            </w:pPr>
            <w:r w:rsidRPr="006B608F">
              <w:t>ID</w:t>
            </w:r>
          </w:p>
        </w:tc>
        <w:tc>
          <w:tcPr>
            <w:tcW w:w="7371" w:type="dxa"/>
            <w:shd w:val="clear" w:color="auto" w:fill="FFFFFF"/>
          </w:tcPr>
          <w:p w14:paraId="69970B9D" w14:textId="22890F59" w:rsidR="00AB0C34" w:rsidRPr="006B608F" w:rsidRDefault="00AB0C34" w:rsidP="003858C5">
            <w:pPr>
              <w:pStyle w:val="RollCallTable"/>
            </w:pPr>
            <w:r w:rsidRPr="006B608F">
              <w:t xml:space="preserve">Virginie </w:t>
            </w:r>
            <w:proofErr w:type="spellStart"/>
            <w:r w:rsidRPr="006B608F">
              <w:t>Joron</w:t>
            </w:r>
            <w:proofErr w:type="spellEnd"/>
            <w:r w:rsidRPr="006B608F">
              <w:t xml:space="preserve">, </w:t>
            </w:r>
            <w:proofErr w:type="spellStart"/>
            <w:r w:rsidRPr="006B608F">
              <w:t>Gilles</w:t>
            </w:r>
            <w:proofErr w:type="spellEnd"/>
            <w:r w:rsidRPr="006B608F">
              <w:t xml:space="preserve"> </w:t>
            </w:r>
            <w:proofErr w:type="spellStart"/>
            <w:r w:rsidRPr="006B608F">
              <w:t>Lebreton</w:t>
            </w:r>
            <w:proofErr w:type="spellEnd"/>
          </w:p>
        </w:tc>
      </w:tr>
    </w:tbl>
    <w:p w14:paraId="7F10D263" w14:textId="77777777" w:rsidR="00AB0C34" w:rsidRPr="006B608F" w:rsidRDefault="00AB0C34" w:rsidP="00147FBF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AB0C34" w:rsidRPr="006B608F" w14:paraId="0E6D7489" w14:textId="77777777" w:rsidTr="008920AC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14:paraId="43641321" w14:textId="58CD420F" w:rsidR="00AB0C34" w:rsidRPr="006B608F" w:rsidRDefault="00AB0C34" w:rsidP="003858C5">
            <w:pPr>
              <w:pStyle w:val="RollCallVotes"/>
            </w:pPr>
            <w:r w:rsidRPr="006B608F">
              <w:t>0</w:t>
            </w:r>
          </w:p>
        </w:tc>
        <w:tc>
          <w:tcPr>
            <w:tcW w:w="7371" w:type="dxa"/>
            <w:shd w:val="pct10" w:color="000000" w:fill="FFFFFF"/>
          </w:tcPr>
          <w:p w14:paraId="713EB9DE" w14:textId="77777777" w:rsidR="00AB0C34" w:rsidRPr="006B608F" w:rsidRDefault="00AB0C34" w:rsidP="003858C5">
            <w:pPr>
              <w:pStyle w:val="RollCallSymbols14pt"/>
            </w:pPr>
            <w:r w:rsidRPr="006B608F">
              <w:t>0</w:t>
            </w:r>
          </w:p>
        </w:tc>
      </w:tr>
      <w:tr w:rsidR="00AB0C34" w:rsidRPr="006B608F" w14:paraId="6206AE76" w14:textId="77777777" w:rsidTr="008920AC">
        <w:trPr>
          <w:cantSplit/>
        </w:trPr>
        <w:tc>
          <w:tcPr>
            <w:tcW w:w="1701" w:type="dxa"/>
            <w:shd w:val="clear" w:color="auto" w:fill="FFFFFF"/>
          </w:tcPr>
          <w:p w14:paraId="181C5B0D" w14:textId="1D86127B" w:rsidR="00AB0C34" w:rsidRPr="006B608F" w:rsidRDefault="00AB0C34" w:rsidP="003858C5">
            <w:pPr>
              <w:pStyle w:val="RollCallTable"/>
            </w:pPr>
          </w:p>
        </w:tc>
        <w:tc>
          <w:tcPr>
            <w:tcW w:w="7371" w:type="dxa"/>
            <w:shd w:val="clear" w:color="auto" w:fill="FFFFFF"/>
          </w:tcPr>
          <w:p w14:paraId="12DDCCCE" w14:textId="136FFB12" w:rsidR="00AB0C34" w:rsidRPr="006B608F" w:rsidRDefault="00AB0C34" w:rsidP="003858C5">
            <w:pPr>
              <w:pStyle w:val="RollCallTable"/>
            </w:pPr>
          </w:p>
        </w:tc>
      </w:tr>
    </w:tbl>
    <w:p w14:paraId="355FC47A" w14:textId="77777777" w:rsidR="00AB0C34" w:rsidRPr="006B608F" w:rsidRDefault="00AB0C34" w:rsidP="00147FBF">
      <w:pPr>
        <w:pStyle w:val="Normal12a"/>
      </w:pPr>
    </w:p>
    <w:p w14:paraId="36014D78" w14:textId="67C7D427" w:rsidR="00AB0C34" w:rsidRPr="006B608F" w:rsidRDefault="00AB0C34" w:rsidP="00B735E3">
      <w:r w:rsidRPr="006B608F">
        <w:t>Objaśnienie używanych znaków:</w:t>
      </w:r>
    </w:p>
    <w:p w14:paraId="6B05C391" w14:textId="2BA75C45" w:rsidR="00AB0C34" w:rsidRPr="006B608F" w:rsidRDefault="00AB0C34" w:rsidP="003858C5">
      <w:pPr>
        <w:pStyle w:val="RollCallTabs"/>
      </w:pPr>
      <w:proofErr w:type="gramStart"/>
      <w:r w:rsidRPr="006B608F">
        <w:t>+</w:t>
      </w:r>
      <w:r w:rsidRPr="006B608F">
        <w:tab/>
        <w:t>:</w:t>
      </w:r>
      <w:r w:rsidRPr="006B608F">
        <w:tab/>
        <w:t>za</w:t>
      </w:r>
      <w:proofErr w:type="gramEnd"/>
    </w:p>
    <w:p w14:paraId="572C7CBF" w14:textId="6518A155" w:rsidR="00AB0C34" w:rsidRPr="006B608F" w:rsidRDefault="00AB0C34" w:rsidP="003858C5">
      <w:pPr>
        <w:pStyle w:val="RollCallTabs"/>
      </w:pPr>
      <w:r w:rsidRPr="006B608F">
        <w:t>-</w:t>
      </w:r>
      <w:proofErr w:type="gramStart"/>
      <w:r w:rsidRPr="006B608F">
        <w:tab/>
        <w:t>:</w:t>
      </w:r>
      <w:r w:rsidRPr="006B608F">
        <w:tab/>
        <w:t>przeciw</w:t>
      </w:r>
      <w:proofErr w:type="gramEnd"/>
    </w:p>
    <w:p w14:paraId="60BA9AF4" w14:textId="26C6AFAA" w:rsidR="00AB0C34" w:rsidRPr="006B608F" w:rsidRDefault="00AB0C34" w:rsidP="003858C5">
      <w:pPr>
        <w:pStyle w:val="RollCallTabs"/>
      </w:pPr>
      <w:proofErr w:type="gramStart"/>
      <w:r w:rsidRPr="006B608F">
        <w:t>0</w:t>
      </w:r>
      <w:r w:rsidRPr="006B608F">
        <w:tab/>
        <w:t>:</w:t>
      </w:r>
      <w:r w:rsidRPr="006B608F">
        <w:tab/>
        <w:t>wstrzymało</w:t>
      </w:r>
      <w:proofErr w:type="gramEnd"/>
      <w:r w:rsidRPr="006B608F">
        <w:t xml:space="preserve"> się</w:t>
      </w:r>
    </w:p>
    <w:p w14:paraId="71D76E3C" w14:textId="77777777" w:rsidR="00AB0C34" w:rsidRPr="006B608F" w:rsidRDefault="00AB0C34" w:rsidP="00207509"/>
    <w:bookmarkEnd w:id="2"/>
    <w:p w14:paraId="40FCCF03" w14:textId="2A50A232" w:rsidR="00AB0C34" w:rsidRPr="006B608F" w:rsidRDefault="00AB0C34" w:rsidP="00AB0C34"/>
    <w:sectPr w:rsidR="00AB0C34" w:rsidRPr="006B608F" w:rsidSect="00AB0C34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561EFE" w14:textId="77777777" w:rsidR="0007657D" w:rsidRPr="006B608F" w:rsidRDefault="0007657D">
      <w:r w:rsidRPr="006B608F">
        <w:separator/>
      </w:r>
    </w:p>
  </w:endnote>
  <w:endnote w:type="continuationSeparator" w:id="0">
    <w:p w14:paraId="158AD21E" w14:textId="77777777" w:rsidR="0007657D" w:rsidRPr="006B608F" w:rsidRDefault="0007657D">
      <w:r w:rsidRPr="006B608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ans-serif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A015C8" w14:textId="70402336" w:rsidR="006B608F" w:rsidRPr="006B608F" w:rsidRDefault="006B608F" w:rsidP="006B608F">
    <w:pPr>
      <w:pStyle w:val="EPFooter"/>
    </w:pPr>
    <w:r w:rsidRPr="006B608F">
      <w:t>PE</w:t>
    </w:r>
    <w:r w:rsidRPr="006B608F">
      <w:rPr>
        <w:rStyle w:val="HideTWBExt"/>
      </w:rPr>
      <w:t>&lt;NoPE&gt;</w:t>
    </w:r>
    <w:r w:rsidRPr="006B608F">
      <w:t>754.755</w:t>
    </w:r>
    <w:r w:rsidRPr="006B608F">
      <w:rPr>
        <w:rStyle w:val="HideTWBExt"/>
      </w:rPr>
      <w:t>&lt;/NoPE&gt;&lt;Version&gt;</w:t>
    </w:r>
    <w:proofErr w:type="gramStart"/>
    <w:r w:rsidRPr="006B608F">
      <w:t>v</w:t>
    </w:r>
    <w:proofErr w:type="gramEnd"/>
    <w:r w:rsidRPr="006B608F">
      <w:t>02-00</w:t>
    </w:r>
    <w:r w:rsidRPr="006B608F">
      <w:rPr>
        <w:rStyle w:val="HideTWBExt"/>
      </w:rPr>
      <w:t>&lt;/Version&gt;</w:t>
    </w:r>
    <w:r w:rsidRPr="006B608F">
      <w:tab/>
    </w:r>
    <w:r w:rsidRPr="006B608F">
      <w:fldChar w:fldCharType="begin"/>
    </w:r>
    <w:r w:rsidRPr="006B608F">
      <w:instrText xml:space="preserve"> PAGE  \* MERGEFORMAT </w:instrText>
    </w:r>
    <w:r w:rsidRPr="006B608F">
      <w:fldChar w:fldCharType="separate"/>
    </w:r>
    <w:r w:rsidR="00084132">
      <w:rPr>
        <w:noProof/>
      </w:rPr>
      <w:t>2</w:t>
    </w:r>
    <w:r w:rsidRPr="006B608F">
      <w:fldChar w:fldCharType="end"/>
    </w:r>
    <w:r w:rsidRPr="006B608F">
      <w:t>/</w:t>
    </w:r>
    <w:r w:rsidR="00084132">
      <w:fldChar w:fldCharType="begin"/>
    </w:r>
    <w:r w:rsidR="00084132">
      <w:instrText xml:space="preserve"> NUMPAGES  \* MERGEFORMAT </w:instrText>
    </w:r>
    <w:r w:rsidR="00084132">
      <w:fldChar w:fldCharType="separate"/>
    </w:r>
    <w:r w:rsidR="00084132">
      <w:rPr>
        <w:noProof/>
      </w:rPr>
      <w:t>11</w:t>
    </w:r>
    <w:r w:rsidR="00084132">
      <w:rPr>
        <w:noProof/>
      </w:rPr>
      <w:fldChar w:fldCharType="end"/>
    </w:r>
    <w:r w:rsidRPr="006B608F">
      <w:tab/>
    </w:r>
    <w:r w:rsidRPr="006B608F">
      <w:rPr>
        <w:rStyle w:val="HideTWBExt"/>
      </w:rPr>
      <w:t>&lt;PathFdR&gt;</w:t>
    </w:r>
    <w:r w:rsidRPr="006B608F">
      <w:t>AD\1291636PL.docx</w:t>
    </w:r>
    <w:r w:rsidRPr="006B608F">
      <w:rPr>
        <w:rStyle w:val="HideTWBExt"/>
      </w:rPr>
      <w:t>&lt;/PathFdR&gt;</w:t>
    </w:r>
  </w:p>
  <w:p w14:paraId="4D0863FD" w14:textId="03C86A39" w:rsidR="002E2F2E" w:rsidRPr="006B608F" w:rsidRDefault="006B608F" w:rsidP="006B608F">
    <w:pPr>
      <w:pStyle w:val="EPFooter2"/>
    </w:pPr>
    <w:r w:rsidRPr="006B608F"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D576E7" w14:textId="7C012944" w:rsidR="006B608F" w:rsidRPr="006B608F" w:rsidRDefault="006B608F" w:rsidP="006B608F">
    <w:pPr>
      <w:pStyle w:val="EPFooter"/>
    </w:pPr>
    <w:r w:rsidRPr="006B608F">
      <w:rPr>
        <w:rStyle w:val="HideTWBExt"/>
      </w:rPr>
      <w:t>&lt;PathFdR&gt;</w:t>
    </w:r>
    <w:r w:rsidRPr="006B608F">
      <w:t>AD\1291636PL.docx</w:t>
    </w:r>
    <w:r w:rsidRPr="006B608F">
      <w:rPr>
        <w:rStyle w:val="HideTWBExt"/>
      </w:rPr>
      <w:t>&lt;/PathFdR&gt;</w:t>
    </w:r>
    <w:r w:rsidRPr="006B608F">
      <w:tab/>
    </w:r>
    <w:r w:rsidRPr="006B608F">
      <w:fldChar w:fldCharType="begin"/>
    </w:r>
    <w:r w:rsidRPr="006B608F">
      <w:instrText xml:space="preserve"> PAGE  \* MERGEFORMAT </w:instrText>
    </w:r>
    <w:r w:rsidRPr="006B608F">
      <w:fldChar w:fldCharType="separate"/>
    </w:r>
    <w:r w:rsidR="00084132">
      <w:rPr>
        <w:noProof/>
      </w:rPr>
      <w:t>5</w:t>
    </w:r>
    <w:r w:rsidRPr="006B608F">
      <w:fldChar w:fldCharType="end"/>
    </w:r>
    <w:r w:rsidRPr="006B608F">
      <w:t>/</w:t>
    </w:r>
    <w:r w:rsidR="00084132">
      <w:fldChar w:fldCharType="begin"/>
    </w:r>
    <w:r w:rsidR="00084132">
      <w:instrText xml:space="preserve"> NUMPAGES  \* MERGEFORMAT </w:instrText>
    </w:r>
    <w:r w:rsidR="00084132">
      <w:fldChar w:fldCharType="separate"/>
    </w:r>
    <w:r w:rsidR="00084132">
      <w:rPr>
        <w:noProof/>
      </w:rPr>
      <w:t>5</w:t>
    </w:r>
    <w:r w:rsidR="00084132">
      <w:rPr>
        <w:noProof/>
      </w:rPr>
      <w:fldChar w:fldCharType="end"/>
    </w:r>
    <w:r w:rsidRPr="006B608F">
      <w:tab/>
      <w:t>PE</w:t>
    </w:r>
    <w:r w:rsidRPr="006B608F">
      <w:rPr>
        <w:rStyle w:val="HideTWBExt"/>
      </w:rPr>
      <w:t>&lt;NoPE&gt;</w:t>
    </w:r>
    <w:r w:rsidRPr="006B608F">
      <w:t>754.755</w:t>
    </w:r>
    <w:r w:rsidRPr="006B608F">
      <w:rPr>
        <w:rStyle w:val="HideTWBExt"/>
      </w:rPr>
      <w:t>&lt;/NoPE&gt;&lt;Version&gt;</w:t>
    </w:r>
    <w:proofErr w:type="gramStart"/>
    <w:r w:rsidRPr="006B608F">
      <w:t>v</w:t>
    </w:r>
    <w:proofErr w:type="gramEnd"/>
    <w:r w:rsidRPr="006B608F">
      <w:t>02-00</w:t>
    </w:r>
    <w:r w:rsidRPr="006B608F">
      <w:rPr>
        <w:rStyle w:val="HideTWBExt"/>
      </w:rPr>
      <w:t>&lt;/Version&gt;</w:t>
    </w:r>
  </w:p>
  <w:p w14:paraId="070C36E6" w14:textId="105DFA7D" w:rsidR="002E2F2E" w:rsidRPr="006B608F" w:rsidRDefault="006B608F" w:rsidP="006B608F">
    <w:pPr>
      <w:pStyle w:val="EPFooter2"/>
    </w:pPr>
    <w:r w:rsidRPr="006B608F">
      <w:tab/>
    </w:r>
    <w:r w:rsidRPr="006B608F">
      <w:tab/>
      <w:t>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412AE7" w14:textId="77777777" w:rsidR="006B608F" w:rsidRPr="006B608F" w:rsidRDefault="006B608F" w:rsidP="006B608F">
    <w:pPr>
      <w:pStyle w:val="EPFooter"/>
    </w:pPr>
    <w:r w:rsidRPr="006B608F">
      <w:rPr>
        <w:rStyle w:val="HideTWBExt"/>
      </w:rPr>
      <w:t>&lt;PathFdR&gt;</w:t>
    </w:r>
    <w:r w:rsidRPr="006B608F">
      <w:t>AD\1291636PL.docx</w:t>
    </w:r>
    <w:r w:rsidRPr="006B608F">
      <w:rPr>
        <w:rStyle w:val="HideTWBExt"/>
      </w:rPr>
      <w:t>&lt;/PathFdR&gt;</w:t>
    </w:r>
    <w:r w:rsidRPr="006B608F">
      <w:tab/>
    </w:r>
    <w:r w:rsidRPr="006B608F">
      <w:tab/>
      <w:t>PE</w:t>
    </w:r>
    <w:r w:rsidRPr="006B608F">
      <w:rPr>
        <w:rStyle w:val="HideTWBExt"/>
      </w:rPr>
      <w:t>&lt;NoPE&gt;</w:t>
    </w:r>
    <w:r w:rsidRPr="006B608F">
      <w:t>754.755</w:t>
    </w:r>
    <w:r w:rsidRPr="006B608F">
      <w:rPr>
        <w:rStyle w:val="HideTWBExt"/>
      </w:rPr>
      <w:t>&lt;/NoPE&gt;&lt;Version&gt;</w:t>
    </w:r>
    <w:proofErr w:type="gramStart"/>
    <w:r w:rsidRPr="006B608F">
      <w:t>v</w:t>
    </w:r>
    <w:proofErr w:type="gramEnd"/>
    <w:r w:rsidRPr="006B608F">
      <w:t>02-00</w:t>
    </w:r>
    <w:r w:rsidRPr="006B608F">
      <w:rPr>
        <w:rStyle w:val="HideTWBExt"/>
      </w:rPr>
      <w:t>&lt;/Version&gt;</w:t>
    </w:r>
  </w:p>
  <w:p w14:paraId="2CAF1864" w14:textId="0FAD2030" w:rsidR="002E2F2E" w:rsidRPr="006B608F" w:rsidRDefault="006B608F" w:rsidP="006B608F">
    <w:pPr>
      <w:pStyle w:val="EPFooter2"/>
    </w:pPr>
    <w:r w:rsidRPr="006B608F">
      <w:t>PL</w:t>
    </w:r>
    <w:r w:rsidRPr="006B608F">
      <w:tab/>
    </w:r>
    <w:r w:rsidRPr="006B608F">
      <w:rPr>
        <w:b w:val="0"/>
        <w:i/>
        <w:color w:val="C0C0C0"/>
        <w:sz w:val="22"/>
      </w:rPr>
      <w:t>Zjednoczona w różnorodności</w:t>
    </w:r>
    <w:r w:rsidRPr="006B608F">
      <w:tab/>
      <w:t>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E4DF05" w14:textId="77777777" w:rsidR="0007657D" w:rsidRPr="006B608F" w:rsidRDefault="0007657D">
      <w:r w:rsidRPr="006B608F">
        <w:separator/>
      </w:r>
    </w:p>
  </w:footnote>
  <w:footnote w:type="continuationSeparator" w:id="0">
    <w:p w14:paraId="3CD1ABF2" w14:textId="77777777" w:rsidR="0007657D" w:rsidRPr="006B608F" w:rsidRDefault="0007657D">
      <w:r w:rsidRPr="006B608F">
        <w:continuationSeparator/>
      </w:r>
    </w:p>
  </w:footnote>
  <w:footnote w:id="1">
    <w:p w14:paraId="27F5A3D0" w14:textId="77777777" w:rsidR="00BB0748" w:rsidRPr="006B608F" w:rsidRDefault="00BB0748" w:rsidP="00BB0748">
      <w:pPr>
        <w:pStyle w:val="FootnoteText"/>
      </w:pPr>
      <w:r w:rsidRPr="006B608F">
        <w:rPr>
          <w:rStyle w:val="FootnoteReference"/>
        </w:rPr>
        <w:footnoteRef/>
      </w:r>
      <w:r w:rsidRPr="006B608F">
        <w:t xml:space="preserve"> Zob. opinia Trybunału Sprawiedliwości Unii Europejskiej (pełny skład) nr 2/2013 z dnia 18 grudnia 2014 r., ECLI</w:t>
      </w:r>
      <w:proofErr w:type="gramStart"/>
      <w:r w:rsidRPr="006B608F">
        <w:t>:EU</w:t>
      </w:r>
      <w:proofErr w:type="gramEnd"/>
      <w:r w:rsidRPr="006B608F">
        <w:t>:C:2014:2454, pkt 168.</w:t>
      </w:r>
    </w:p>
  </w:footnote>
  <w:footnote w:id="2">
    <w:p w14:paraId="159A38F5" w14:textId="77777777" w:rsidR="00BB0748" w:rsidRPr="006B608F" w:rsidRDefault="00BB0748" w:rsidP="00BB0748">
      <w:pPr>
        <w:pStyle w:val="FootnoteText"/>
      </w:pPr>
      <w:r w:rsidRPr="006B608F">
        <w:rPr>
          <w:rStyle w:val="FootnoteReference"/>
        </w:rPr>
        <w:footnoteRef/>
      </w:r>
      <w:r w:rsidRPr="006B608F">
        <w:t xml:space="preserve"> Ibid., pkt 191.</w:t>
      </w:r>
    </w:p>
  </w:footnote>
  <w:footnote w:id="3">
    <w:p w14:paraId="5887D30A" w14:textId="77777777" w:rsidR="00BB0748" w:rsidRPr="006B608F" w:rsidRDefault="00BB0748" w:rsidP="00BB0748">
      <w:pPr>
        <w:pStyle w:val="FootnoteText"/>
      </w:pPr>
      <w:r w:rsidRPr="006B608F">
        <w:rPr>
          <w:rStyle w:val="FootnoteReference"/>
        </w:rPr>
        <w:footnoteRef/>
      </w:r>
      <w:r w:rsidRPr="006B608F">
        <w:t xml:space="preserve"> Cykle oceny CEPEJ.</w:t>
      </w:r>
    </w:p>
  </w:footnote>
  <w:footnote w:id="4">
    <w:p w14:paraId="6DB7FDC6" w14:textId="66F0AABE" w:rsidR="00BB0748" w:rsidRPr="006B608F" w:rsidRDefault="00BB0748" w:rsidP="00BB0748">
      <w:pPr>
        <w:pStyle w:val="FootnoteText"/>
      </w:pPr>
      <w:r w:rsidRPr="006B608F">
        <w:rPr>
          <w:rStyle w:val="FootnoteReference"/>
        </w:rPr>
        <w:footnoteRef/>
      </w:r>
      <w:r w:rsidRPr="006B608F">
        <w:t xml:space="preserve"> Briefing pt. „</w:t>
      </w:r>
      <w:proofErr w:type="spellStart"/>
      <w:r w:rsidRPr="006B608F">
        <w:t>Council</w:t>
      </w:r>
      <w:proofErr w:type="spellEnd"/>
      <w:r w:rsidRPr="006B608F">
        <w:t xml:space="preserve"> of Europe </w:t>
      </w:r>
      <w:proofErr w:type="spellStart"/>
      <w:r w:rsidRPr="006B608F">
        <w:t>Standards</w:t>
      </w:r>
      <w:proofErr w:type="spellEnd"/>
      <w:r w:rsidRPr="006B608F">
        <w:t xml:space="preserve"> on </w:t>
      </w:r>
      <w:proofErr w:type="spellStart"/>
      <w:r w:rsidRPr="006B608F">
        <w:t>judicial</w:t>
      </w:r>
      <w:proofErr w:type="spellEnd"/>
      <w:r w:rsidRPr="006B608F">
        <w:t xml:space="preserve"> </w:t>
      </w:r>
      <w:proofErr w:type="spellStart"/>
      <w:r w:rsidRPr="006B608F">
        <w:t>independence</w:t>
      </w:r>
      <w:proofErr w:type="spellEnd"/>
      <w:r w:rsidRPr="006B608F">
        <w:t>” [Normy Rady Europy dotyczące niezależności sądów], Parlament Europejski, Dyrekcja Generalna ds. Analiz Parlamentarnych, 25 maja 2021 r.</w:t>
      </w:r>
    </w:p>
  </w:footnote>
  <w:footnote w:id="5">
    <w:p w14:paraId="468F7849" w14:textId="26469EAF" w:rsidR="00BB0748" w:rsidRPr="006B608F" w:rsidRDefault="00BB0748" w:rsidP="00BB0748">
      <w:pPr>
        <w:pStyle w:val="FootnoteText"/>
      </w:pPr>
      <w:r w:rsidRPr="006B608F">
        <w:rPr>
          <w:rStyle w:val="FootnoteReference"/>
        </w:rPr>
        <w:footnoteRef/>
      </w:r>
      <w:r w:rsidRPr="006B608F">
        <w:t xml:space="preserve"> Na przykład wyrok Trybunału (wielka izba) z dnia 27 lutego 2018 r. w sprawie C-64/16, </w:t>
      </w:r>
      <w:proofErr w:type="spellStart"/>
      <w:r w:rsidRPr="006B608F">
        <w:t>Associação</w:t>
      </w:r>
      <w:proofErr w:type="spellEnd"/>
      <w:r w:rsidRPr="006B608F">
        <w:t xml:space="preserve"> </w:t>
      </w:r>
      <w:proofErr w:type="spellStart"/>
      <w:r w:rsidRPr="006B608F">
        <w:t>Sindical</w:t>
      </w:r>
      <w:proofErr w:type="spellEnd"/>
      <w:r w:rsidRPr="006B608F">
        <w:t xml:space="preserve"> </w:t>
      </w:r>
      <w:proofErr w:type="spellStart"/>
      <w:r w:rsidRPr="006B608F">
        <w:t>dos</w:t>
      </w:r>
      <w:proofErr w:type="spellEnd"/>
      <w:r w:rsidRPr="006B608F">
        <w:t xml:space="preserve"> </w:t>
      </w:r>
      <w:proofErr w:type="spellStart"/>
      <w:r w:rsidRPr="006B608F">
        <w:t>Juízes</w:t>
      </w:r>
      <w:proofErr w:type="spellEnd"/>
      <w:r w:rsidRPr="006B608F">
        <w:t xml:space="preserve"> </w:t>
      </w:r>
      <w:proofErr w:type="spellStart"/>
      <w:r w:rsidRPr="006B608F">
        <w:t>Portugueses</w:t>
      </w:r>
      <w:proofErr w:type="spellEnd"/>
      <w:r w:rsidRPr="006B608F">
        <w:t xml:space="preserve"> przeciwko </w:t>
      </w:r>
      <w:proofErr w:type="spellStart"/>
      <w:r w:rsidRPr="006B608F">
        <w:t>Tribunal</w:t>
      </w:r>
      <w:proofErr w:type="spellEnd"/>
      <w:r w:rsidRPr="006B608F">
        <w:t xml:space="preserve"> de </w:t>
      </w:r>
      <w:proofErr w:type="spellStart"/>
      <w:r w:rsidRPr="006B608F">
        <w:t>Contas</w:t>
      </w:r>
      <w:proofErr w:type="spellEnd"/>
      <w:r w:rsidRPr="006B608F">
        <w:t>, ECLI</w:t>
      </w:r>
      <w:proofErr w:type="gramStart"/>
      <w:r w:rsidRPr="006B608F">
        <w:t>:EU</w:t>
      </w:r>
      <w:proofErr w:type="gramEnd"/>
      <w:r w:rsidRPr="006B608F">
        <w:t>:C:2018:117 lub wyrok Trybunału (wielka izba) z dnia 19 listopada 2019 r. A.K. przeciwko Krajowej Radzie Sądownictwa, sprawy połączone C-585/18, C-624/18 i C-625/18, ECLI</w:t>
      </w:r>
      <w:proofErr w:type="gramStart"/>
      <w:r w:rsidRPr="006B608F">
        <w:t>:EU</w:t>
      </w:r>
      <w:proofErr w:type="gramEnd"/>
      <w:r w:rsidRPr="006B608F">
        <w:t>:C:2019:982. Zob. także briefing pt. „</w:t>
      </w:r>
      <w:proofErr w:type="spellStart"/>
      <w:r w:rsidRPr="006B608F">
        <w:t>European</w:t>
      </w:r>
      <w:proofErr w:type="spellEnd"/>
      <w:r w:rsidRPr="006B608F">
        <w:t xml:space="preserve"> Court of </w:t>
      </w:r>
      <w:proofErr w:type="spellStart"/>
      <w:r w:rsidRPr="006B608F">
        <w:t>Justice</w:t>
      </w:r>
      <w:proofErr w:type="spellEnd"/>
      <w:r w:rsidRPr="006B608F">
        <w:t xml:space="preserve"> </w:t>
      </w:r>
      <w:proofErr w:type="spellStart"/>
      <w:r w:rsidRPr="006B608F">
        <w:t>case</w:t>
      </w:r>
      <w:proofErr w:type="spellEnd"/>
      <w:r w:rsidRPr="006B608F">
        <w:t xml:space="preserve"> law on </w:t>
      </w:r>
      <w:proofErr w:type="spellStart"/>
      <w:r w:rsidRPr="006B608F">
        <w:t>judicial</w:t>
      </w:r>
      <w:proofErr w:type="spellEnd"/>
      <w:r w:rsidRPr="006B608F">
        <w:t xml:space="preserve"> </w:t>
      </w:r>
      <w:proofErr w:type="spellStart"/>
      <w:r w:rsidRPr="006B608F">
        <w:t>independence</w:t>
      </w:r>
      <w:proofErr w:type="spellEnd"/>
      <w:r w:rsidRPr="006B608F">
        <w:t>” [Orzecznictwo Trybunału Sprawiedliwości Unii Europejskiej w sprawie niezależności sądów], Parlament Europejski, Dyrekcja Generalna ds. Analiz Parlamentarnych, 19 lipca 2021 r.</w:t>
      </w:r>
    </w:p>
  </w:footnote>
  <w:footnote w:id="6">
    <w:p w14:paraId="09065CF8" w14:textId="77777777" w:rsidR="00BB0748" w:rsidRPr="006B608F" w:rsidRDefault="00BB0748" w:rsidP="00BB0748">
      <w:pPr>
        <w:pStyle w:val="FootnoteText"/>
      </w:pPr>
      <w:r w:rsidRPr="006B608F">
        <w:rPr>
          <w:rStyle w:val="FootnoteReference"/>
        </w:rPr>
        <w:footnoteRef/>
      </w:r>
      <w:r w:rsidRPr="006B608F">
        <w:t xml:space="preserve"> Rozporządzenie Parlamentu Europejskiego i Rady (UE, </w:t>
      </w:r>
      <w:proofErr w:type="spellStart"/>
      <w:r w:rsidRPr="006B608F">
        <w:t>Euratom</w:t>
      </w:r>
      <w:proofErr w:type="spellEnd"/>
      <w:r w:rsidRPr="006B608F">
        <w:t xml:space="preserve">) 2020/2092 z dnia 16 grudnia 2020 r. w sprawie ogólnego systemu warunkowości służącego ochronie budżetu Unii, Dz.U. L 433 I z 22.12.2020, </w:t>
      </w:r>
      <w:proofErr w:type="gramStart"/>
      <w:r w:rsidRPr="006B608F">
        <w:t>s</w:t>
      </w:r>
      <w:proofErr w:type="gramEnd"/>
      <w:r w:rsidRPr="006B608F">
        <w:t>. 1.</w:t>
      </w:r>
    </w:p>
  </w:footnote>
  <w:footnote w:id="7">
    <w:p w14:paraId="54293E67" w14:textId="12C62657" w:rsidR="00BB0748" w:rsidRPr="006B608F" w:rsidRDefault="00BB0748" w:rsidP="00BB0748">
      <w:pPr>
        <w:pStyle w:val="FootnoteText"/>
      </w:pPr>
      <w:r w:rsidRPr="006B608F">
        <w:rPr>
          <w:rStyle w:val="FootnoteReference"/>
        </w:rPr>
        <w:footnoteRef/>
      </w:r>
      <w:r w:rsidRPr="006B608F">
        <w:t xml:space="preserve"> Zob. wyrok Trybunału (w pełnym składzie) z dnia 16 lutego 2022 r., Węgry przeciwko Parlamentowi Europejskiemu i Radzie Unii Europejskiej, C-156/21, ECLI</w:t>
      </w:r>
      <w:proofErr w:type="gramStart"/>
      <w:r w:rsidRPr="006B608F">
        <w:t>:EU</w:t>
      </w:r>
      <w:proofErr w:type="gramEnd"/>
      <w:r w:rsidRPr="006B608F">
        <w:t>:C:2022:97, oraz wyrok Trybunału (w pełnym składzie) z dnia 16 lutego 2022 r., Rzeczpospolita Polska przeciwko Parlamentowi Europejskiemu i Radzie Unii Europejskiej, C-157/21, ECLI:EU:C:2022:98.</w:t>
      </w:r>
    </w:p>
  </w:footnote>
  <w:footnote w:id="8">
    <w:p w14:paraId="4D4BEAFB" w14:textId="77777777" w:rsidR="00BB0748" w:rsidRPr="006B608F" w:rsidRDefault="00BB0748" w:rsidP="00BB0748">
      <w:pPr>
        <w:pStyle w:val="FootnoteText"/>
      </w:pPr>
      <w:r w:rsidRPr="006B608F">
        <w:rPr>
          <w:rStyle w:val="FootnoteReference"/>
        </w:rPr>
        <w:footnoteRef/>
      </w:r>
      <w:r w:rsidRPr="006B608F">
        <w:t xml:space="preserve"> Rozporządzenie Parlamentu Europejskiego i Rady (UE</w:t>
      </w:r>
      <w:proofErr w:type="gramStart"/>
      <w:r w:rsidRPr="006B608F">
        <w:t>) 2021/241 z</w:t>
      </w:r>
      <w:proofErr w:type="gramEnd"/>
      <w:r w:rsidRPr="006B608F">
        <w:t xml:space="preserve"> dnia 12 lutego 2021 r. ustanawiające Instrument na rzecz Odbudowy i Zwiększania Odporności (Dz.U. L 57 z 18.2021, </w:t>
      </w:r>
      <w:proofErr w:type="gramStart"/>
      <w:r w:rsidRPr="006B608F">
        <w:t>s</w:t>
      </w:r>
      <w:proofErr w:type="gramEnd"/>
      <w:r w:rsidRPr="006B608F">
        <w:t>. 17).</w:t>
      </w:r>
    </w:p>
  </w:footnote>
  <w:footnote w:id="9">
    <w:p w14:paraId="748278CC" w14:textId="77777777" w:rsidR="00BB0748" w:rsidRPr="006B608F" w:rsidRDefault="00BB0748" w:rsidP="00BB0748">
      <w:pPr>
        <w:pStyle w:val="FootnoteText"/>
      </w:pPr>
      <w:r w:rsidRPr="006B608F">
        <w:rPr>
          <w:rStyle w:val="FootnoteReference"/>
        </w:rPr>
        <w:footnoteRef/>
      </w:r>
      <w:r w:rsidRPr="006B608F">
        <w:t xml:space="preserve"> L 26 z 31.1.2003, </w:t>
      </w:r>
      <w:proofErr w:type="gramStart"/>
      <w:r w:rsidRPr="006B608F">
        <w:t>s</w:t>
      </w:r>
      <w:proofErr w:type="gramEnd"/>
      <w:r w:rsidRPr="006B608F">
        <w:t xml:space="preserve">. 41 (oraz sprostowanie w Dz.U. L 32 z 7.2.2003, </w:t>
      </w:r>
      <w:proofErr w:type="gramStart"/>
      <w:r w:rsidRPr="006B608F">
        <w:t>s</w:t>
      </w:r>
      <w:proofErr w:type="gramEnd"/>
      <w:r w:rsidRPr="006B608F">
        <w:t>. 15).</w:t>
      </w:r>
    </w:p>
  </w:footnote>
  <w:footnote w:id="10">
    <w:p w14:paraId="4C610D3D" w14:textId="77777777" w:rsidR="00BB0748" w:rsidRPr="006B608F" w:rsidRDefault="00BB0748" w:rsidP="00BB0748">
      <w:pPr>
        <w:pStyle w:val="FootnoteText"/>
      </w:pPr>
      <w:r w:rsidRPr="006B608F">
        <w:rPr>
          <w:rStyle w:val="FootnoteReference"/>
        </w:rPr>
        <w:footnoteRef/>
      </w:r>
      <w:r w:rsidRPr="006B608F">
        <w:t xml:space="preserve"> Na przykład opinia nr 9 Rady Konsultacyjnej Prokuratorów Europejskich z 17 grudnia 2014 r. w sprawie europejskich norm i zasad dotyczących prokuratorów.</w:t>
      </w:r>
    </w:p>
  </w:footnote>
  <w:footnote w:id="11">
    <w:p w14:paraId="4245C2FD" w14:textId="77777777" w:rsidR="00BB0748" w:rsidRPr="006B608F" w:rsidRDefault="00BB0748" w:rsidP="00BB0748">
      <w:pPr>
        <w:pStyle w:val="FootnoteText"/>
      </w:pPr>
      <w:r w:rsidRPr="006B608F">
        <w:rPr>
          <w:rStyle w:val="FootnoteReference"/>
        </w:rPr>
        <w:footnoteRef/>
      </w:r>
      <w:r w:rsidRPr="006B608F">
        <w:t xml:space="preserve"> Zob. w tym kontekście art. 3 wniosku dotyczącego dyrektywy Parlamentu Europejskiego i Rady z dnia 3 maja 2023 r. w sprawie zwalczania korupcji, zastępującej decyzję ramową Rady 2003/568/</w:t>
      </w:r>
      <w:proofErr w:type="spellStart"/>
      <w:r w:rsidRPr="006B608F">
        <w:t>WSiSW</w:t>
      </w:r>
      <w:proofErr w:type="spellEnd"/>
      <w:r w:rsidRPr="006B608F">
        <w:t xml:space="preserve"> oraz Konwencję w sprawie zwalczania korupcji urzędników Wspólnot Europejskich i urzędników państw członkowskich Unii Europejskiej oraz zmieniającej dyrektywę Parlamentu Europejskiego i Rady (UE) 2017/1371 (COM(2023)0234).</w:t>
      </w:r>
    </w:p>
  </w:footnote>
  <w:footnote w:id="12">
    <w:p w14:paraId="095637FC" w14:textId="77777777" w:rsidR="00BB0748" w:rsidRPr="006B608F" w:rsidRDefault="00BB0748" w:rsidP="00BB0748">
      <w:pPr>
        <w:pStyle w:val="FootnoteText"/>
      </w:pPr>
      <w:r w:rsidRPr="006B608F">
        <w:rPr>
          <w:rStyle w:val="FootnoteReference"/>
        </w:rPr>
        <w:footnoteRef/>
      </w:r>
      <w:r w:rsidRPr="006B608F">
        <w:t xml:space="preserve"> Rozporządzenie (WE) nr 1049/2001 Parlamentu Europejskiego i Rady z dnia 30 maja 2001 r. w sprawie publicznego dostępu do dokumentów Parlamentu Europejskiego, Rady i Komisji, Dz.U. L 145 z 31.5.2001, </w:t>
      </w:r>
      <w:proofErr w:type="gramStart"/>
      <w:r w:rsidRPr="006B608F">
        <w:t>s</w:t>
      </w:r>
      <w:proofErr w:type="gramEnd"/>
      <w:r w:rsidRPr="006B608F">
        <w:t>. 43.</w:t>
      </w:r>
    </w:p>
  </w:footnote>
  <w:footnote w:id="13">
    <w:p w14:paraId="4BAE6A61" w14:textId="3BBBEC22" w:rsidR="00BB0748" w:rsidRPr="006B608F" w:rsidRDefault="00BB0748" w:rsidP="00BB0748">
      <w:pPr>
        <w:pStyle w:val="FootnoteText"/>
      </w:pPr>
      <w:r w:rsidRPr="006B608F">
        <w:rPr>
          <w:rStyle w:val="FootnoteReference"/>
        </w:rPr>
        <w:footnoteRef/>
      </w:r>
      <w:r w:rsidRPr="006B608F">
        <w:t xml:space="preserve"> Zob. rezolucję Parlamentu Europejskiego z 17 lutego 2022 r. zawierającą zalecenia dla Komisji w sprawie statusu europejskich stowarzyszeń transgranicznych i organizacji niekomercyjnych (Dz.U. C 342, 6.9.2022. </w:t>
      </w:r>
      <w:proofErr w:type="gramStart"/>
      <w:r w:rsidRPr="006B608F">
        <w:t>s</w:t>
      </w:r>
      <w:proofErr w:type="gramEnd"/>
      <w:r w:rsidRPr="006B608F">
        <w:t>. 225).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04E1D4" w14:textId="77777777" w:rsidR="004148F0" w:rsidRDefault="004148F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170848" w14:textId="77777777" w:rsidR="004148F0" w:rsidRDefault="004148F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54DA30" w14:textId="77777777" w:rsidR="004148F0" w:rsidRDefault="004148F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8673"/>
  </w:hdrShapeDefaults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MDOCINIMNU" w:val=" 1"/>
    <w:docVar w:name="CJMNU" w:val="1"/>
    <w:docVar w:name="CODEMNU" w:val=" 1"/>
    <w:docVar w:name="COM2KEY" w:val="LIBE"/>
    <w:docVar w:name="COMKEY" w:val="JURI"/>
    <w:docVar w:name="DOCREFINIMNU" w:val=" 1"/>
    <w:docVar w:name="LastEditedSection" w:val=" 1"/>
    <w:docVar w:name="RepeatBlock-Amend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32\fbidi \froman\fcharset238\fprq2 Times New Roman CE;}{\f333\fbidi \froman\fcharset204\fprq2 Times New Roman Cyr;}_x000d__x000a_{\f335\fbidi \froman\fcharset161\fprq2 Times New Roman Greek;}{\f336\fbidi \froman\fcharset162\fprq2 Times New Roman Tur;}{\f337\fbidi \froman\fcharset177\fprq2 Times New Roman (Hebrew);}{\f338\fbidi \froman\fcharset178\fprq2 Times New Roman (Arabic);}_x000d__x000a_{\f339\fbidi \froman\fcharset186\fprq2 Times New Roman Baltic;}{\f340\fbidi \froman\fcharset163\fprq2 Times New Roman (Vietnamese);}{\f342\fbidi \fswiss\fcharset238\fprq2 Arial CE;}{\f343\fbidi \fswiss\fcharset204\fprq2 Arial Cyr;}_x000d__x000a_{\f345\fbidi \fswiss\fcharset161\fprq2 Arial Greek;}{\f346\fbidi \fswiss\fcharset162\fprq2 Arial Tur;}{\f347\fbidi \fswiss\fcharset177\fprq2 Arial (Hebrew);}{\f348\fbidi \fswiss\fcharset178\fprq2 Arial (Arabic);}_x000d__x000a_{\f349\fbidi \fswiss\fcharset186\fprq2 Arial Baltic;}{\f350\fbidi \fswiss\fcharset163\fprq2 Arial (Vietnamese);}{\f672\fbidi \froman\fcharset238\fprq2 Cambria Math CE;}{\f673\fbidi \froman\fcharset204\fprq2 Cambria Math Cyr;}_x000d__x000a_{\f675\fbidi \froman\fcharset161\fprq2 Cambria Math Greek;}{\f676\fbidi \froman\fcharset162\fprq2 Cambria Math Tur;}{\f679\fbidi \froman\fcharset186\fprq2 Cambria Math Baltic;}{\f680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15 \spriority0 \styrsid2425836 HideTWBInt;}{_x000d__x000a_\s18\ql \fi-567\li567\ri0\sa240\nowidctlpar\wrapdefault\aspalpha\aspnum\faauto\adjustright\rin0\lin567\itap0 \rtlch\fcs1 \af0\afs20\alang1025 \ltrch\fcs0 \fs24\lang2057\langfe2057\cgrid\langnp2057\langfenp2057 _x000d__x000a_\sbasedon0 \snext18 \spriority0 \styrsid2425836 NormalHanging12a;}}{\*\rsidtbl \rsid24658\rsid223860\rsid735077\rsid1718133\rsid2425836\rsid2892074\rsid3565327\rsid4666813\rsid5074274\rsid6641733\rsid7823322\rsid9636012\rsid10377208\rsid11215221_x000d__x000a_\rsid11549030\rsid12154954\rsid14382809\rsid14424199\rsid15204470\rsid15285974\rsid15950462\rsid16324206\rsid16662270}{\mmathPr\mmathFont34\mbrkBin0\mbrkBinSub0\msmallFrac0\mdispDef1\mlMargin0\mrMargin0\mdefJc1\mwrapIndent1440\mintLim0\mnaryLim1}{\info_x000d__x000a_{\author PALCAU Mihaela}{\operator PALCAU Mihaela}{\creatim\yr2023\mo11\dy29\hr11\min37}{\revtim\yr2023\mo11\dy29\hr11\min37}{\version1}{\edmins0}{\nofpages1}{\nofwords2}{\nofchars11}{\nofcharsws12}{\vern109}}{\*\xmlnstbl {\xmlns1 http://schemas.microsoft_x000d__x000a_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viewnobound1\snaptogridincell\allowfieldendsel_x000d__x000a_\wrppunct\asianbrkrule\nojkernpunct\rsidroot2425836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mpalcau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5074274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5074274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5074274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5074274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_x000d__x000a_\s18\ql \fi-567\li567\ri0\sa240\nowidctlpar\wrapdefault\aspalpha\aspnum\faauto\adjustright\rin0\lin567\itap0\pararsid2425836 \rtlch\fcs1 \af0\afs20\alang1025 \ltrch\fcs0 \fs24\lang2057\langfe2057\cgrid\langnp2057\langfenp2057 {\rtlch\fcs1 \af0 _x000d__x000a_\ltrch\fcs0 \insrsid2425836\charrsid7021133 {\*\bkmkstart restart}#}{\rtlch\fcs1 \af1 \ltrch\fcs0 \cs17\v\f1\fs20\cf15\insrsid2425836\charrsid7021133 NRMSG}{\rtlch\fcs1 \af0 \ltrch\fcs0 \insrsid2425836\charrsid7021133 #.\tab ##}{\rtlch\fcs1 \af0 _x000d__x000a_\ltrch\fcs0 \insrsid2425836\charrsid16324206 {\*\bkmkend restart}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46_x000d__x000a_ce1cb022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1108{\fonttbl{\f0\fbidi \froman\fcharset0\fprq2{\*\panose 02020603050405020304}Times New Roman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32\fbidi \froman\fcharset238\fprq2 Times New Roman CE;}{\f333\fbidi \froman\fcharset204\fprq2 Times New Roman Cyr;}_x000d__x000a_{\f335\fbidi \froman\fcharset161\fprq2 Times New Roman Greek;}{\f336\fbidi \froman\fcharset162\fprq2 Times New Roman Tur;}{\f337\fbidi \froman\fcharset177\fprq2 Times New Roman (Hebrew);}{\f338\fbidi \froman\fcharset178\fprq2 Times New Roman (Arabic);}_x000d__x000a_{\f339\fbidi \froman\fcharset186\fprq2 Times New Roman Baltic;}{\f340\fbidi \froman\fcharset163\fprq2 Times New Roman (Vietnamese);}{\f672\fbidi \froman\fcharset238\fprq2 Cambria Math CE;}{\f673\fbidi \froman\fcharset204\fprq2 Cambria Math Cyr;}_x000d__x000a_{\f675\fbidi \froman\fcharset161\fprq2 Cambria Math Greek;}{\f676\fbidi \froman\fcharset162\fprq2 Cambria Math Tur;}{\f679\fbidi \froman\fcharset186\fprq2 Cambria Math Baltic;}{\f680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s17\ql \fi-567\li567\ri0\sa240\nowidctlpar\wrapdefault\aspalpha\aspnum\faauto\adjustright\rin0\lin567\itap0 \rtlch\fcs1 \af0\afs20\alang1025 \ltrch\fcs0 _x000d__x000a_\fs24\lang2057\langfe2057\cgrid\langnp2057\langfenp2057 \sbasedon0 \snext17 \spriority0 \styrsid7953631 NormalHanging12a;}}{\*\rsidtbl \rsid24658\rsid223860\rsid735077\rsid1718133\rsid2892074\rsid3565327\rsid4666813\rsid6641733\rsid6711582\rsid7823322_x000d__x000a_\rsid7953631\rsid9636012\rsid10377208\rsid11215221\rsid11549030\rsid12154954\rsid14382809\rsid14424199\rsid15204470\rsid15285974\rsid15950462\rsid16324206\rsid16662270}{\mmathPr\mmathFont34\mbrkBin0\mbrkBinSub0\msmallFrac0\mdispDef1\mlMargin0\mrMargin0_x000d__x000a_\mdefJc1\mwrapIndent1440\mintLim0\mnaryLim1}{\info{\author PALCAU Mihaela}{\operator PALCAU Mihaela}{\creatim\yr2023\mo11\dy29\hr11\min37}{\revtim\yr2023\mo11\dy29\hr11\min37}{\version1}{\edmins0}{\nofpages1}{\nofwords5}{\nofchars30}{\nofcharsws34}_x000d__x000a_{\vern109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viewnobound1\snaptogridincell\allowfieldendsel_x000d__x000a_\wrppunct\asianbrkrule\nojkernpunct\rsidroot7953631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mpalcau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6711582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6711582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6711582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6711582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_x000d__x000a_\s17\ql \fi-567\li567\ri0\sa240\nowidctlpar\wrapdefault\aspalpha\aspnum\faauto\adjustright\rin0\lin567\itap0\pararsid7953631 \rtlch\fcs1 \af0\afs20\alang1025 \ltrch\fcs0 \fs24\lang2057\langfe2057\cgrid\langnp2057\langfenp2057 {\rtlch\fcs1 \af0 _x000d__x000a_\ltrch\fcs0 \insrsid7953631\charrsid1525456 {\*\bkmkstart restart}[ZSUGGESTIONNR]\tab [ZSUGGESTIONTEXT]}{\rtlch\fcs1 \af0 \ltrch\fcs0 \insrsid7953631\charrsid16324206 {\*\bkmkend restart}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4f_x000d__x000a_7c1fb022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PA_NonLeg"/>
    <w:docVar w:name="strSubDir" w:val="1291"/>
    <w:docVar w:name="TITLEMNU" w:val=" 1"/>
    <w:docVar w:name="TXTLANGUE" w:val="PL"/>
    <w:docVar w:name="TXTLANGUEMIN" w:val="pl"/>
    <w:docVar w:name="TXTNRPE" w:val="754.755"/>
    <w:docVar w:name="TXTNRPROC" w:val="2023/2113"/>
    <w:docVar w:name="TXTPEorAP" w:val="PE"/>
    <w:docVar w:name="TXTROUTE" w:val="AD\1291636PL.docx"/>
    <w:docVar w:name="TXTTITLE" w:val="xxx"/>
    <w:docVar w:name="TXTVERSION" w:val="02-00"/>
  </w:docVars>
  <w:rsids>
    <w:rsidRoot w:val="0007657D"/>
    <w:rsid w:val="0007657D"/>
    <w:rsid w:val="000800B3"/>
    <w:rsid w:val="00084132"/>
    <w:rsid w:val="000E0507"/>
    <w:rsid w:val="000E7EBF"/>
    <w:rsid w:val="00101877"/>
    <w:rsid w:val="0011784F"/>
    <w:rsid w:val="00124F60"/>
    <w:rsid w:val="00135121"/>
    <w:rsid w:val="00140BE6"/>
    <w:rsid w:val="00140DFD"/>
    <w:rsid w:val="00140FE5"/>
    <w:rsid w:val="00147F4E"/>
    <w:rsid w:val="00157DFE"/>
    <w:rsid w:val="00165FEF"/>
    <w:rsid w:val="0016635E"/>
    <w:rsid w:val="001746D0"/>
    <w:rsid w:val="001B7393"/>
    <w:rsid w:val="001C52D7"/>
    <w:rsid w:val="001C6C04"/>
    <w:rsid w:val="001D2ED9"/>
    <w:rsid w:val="001E30DD"/>
    <w:rsid w:val="001F21C1"/>
    <w:rsid w:val="00283435"/>
    <w:rsid w:val="002B6C3C"/>
    <w:rsid w:val="002D28A7"/>
    <w:rsid w:val="002E2F2E"/>
    <w:rsid w:val="002E6F98"/>
    <w:rsid w:val="00325BCB"/>
    <w:rsid w:val="00331944"/>
    <w:rsid w:val="00332AD9"/>
    <w:rsid w:val="00347D2C"/>
    <w:rsid w:val="0037356F"/>
    <w:rsid w:val="00390EB2"/>
    <w:rsid w:val="00396A0E"/>
    <w:rsid w:val="003E2402"/>
    <w:rsid w:val="004148F0"/>
    <w:rsid w:val="00440DC6"/>
    <w:rsid w:val="004764CF"/>
    <w:rsid w:val="004B1EAD"/>
    <w:rsid w:val="004C28FB"/>
    <w:rsid w:val="004C44C0"/>
    <w:rsid w:val="004F315C"/>
    <w:rsid w:val="004F4B98"/>
    <w:rsid w:val="004F5F73"/>
    <w:rsid w:val="0052544E"/>
    <w:rsid w:val="00542DFA"/>
    <w:rsid w:val="005940C3"/>
    <w:rsid w:val="00594C48"/>
    <w:rsid w:val="005B2F11"/>
    <w:rsid w:val="005C0BDF"/>
    <w:rsid w:val="005D60C6"/>
    <w:rsid w:val="006102E7"/>
    <w:rsid w:val="006116EA"/>
    <w:rsid w:val="00640C1B"/>
    <w:rsid w:val="00657AFB"/>
    <w:rsid w:val="0066742A"/>
    <w:rsid w:val="006906BB"/>
    <w:rsid w:val="006B608F"/>
    <w:rsid w:val="006D5BF7"/>
    <w:rsid w:val="00746FB4"/>
    <w:rsid w:val="007A637C"/>
    <w:rsid w:val="008313E7"/>
    <w:rsid w:val="00854CAC"/>
    <w:rsid w:val="00885FB1"/>
    <w:rsid w:val="008A32C5"/>
    <w:rsid w:val="008C6203"/>
    <w:rsid w:val="008D61E7"/>
    <w:rsid w:val="008F7002"/>
    <w:rsid w:val="009173BB"/>
    <w:rsid w:val="0098190D"/>
    <w:rsid w:val="0099493F"/>
    <w:rsid w:val="00A1045C"/>
    <w:rsid w:val="00A16BEA"/>
    <w:rsid w:val="00A312B3"/>
    <w:rsid w:val="00A72C35"/>
    <w:rsid w:val="00A93D90"/>
    <w:rsid w:val="00AB0C34"/>
    <w:rsid w:val="00AB17DB"/>
    <w:rsid w:val="00AB4D11"/>
    <w:rsid w:val="00AE180F"/>
    <w:rsid w:val="00B1226B"/>
    <w:rsid w:val="00B329CC"/>
    <w:rsid w:val="00B362F7"/>
    <w:rsid w:val="00B40C21"/>
    <w:rsid w:val="00B5456B"/>
    <w:rsid w:val="00B712EA"/>
    <w:rsid w:val="00B730E0"/>
    <w:rsid w:val="00B74B53"/>
    <w:rsid w:val="00BB0748"/>
    <w:rsid w:val="00BC26E4"/>
    <w:rsid w:val="00BC7719"/>
    <w:rsid w:val="00BC7DBC"/>
    <w:rsid w:val="00BD1EAA"/>
    <w:rsid w:val="00C52739"/>
    <w:rsid w:val="00C67F26"/>
    <w:rsid w:val="00C827FF"/>
    <w:rsid w:val="00CD34AC"/>
    <w:rsid w:val="00CE5015"/>
    <w:rsid w:val="00D7712D"/>
    <w:rsid w:val="00DE19FF"/>
    <w:rsid w:val="00E6632E"/>
    <w:rsid w:val="00E81BA6"/>
    <w:rsid w:val="00E856D2"/>
    <w:rsid w:val="00E90EC3"/>
    <w:rsid w:val="00E929A7"/>
    <w:rsid w:val="00EA7582"/>
    <w:rsid w:val="00EB0868"/>
    <w:rsid w:val="00EC5E1F"/>
    <w:rsid w:val="00ED375F"/>
    <w:rsid w:val="00EF1E40"/>
    <w:rsid w:val="00F42799"/>
    <w:rsid w:val="00FB4670"/>
    <w:rsid w:val="00FC6460"/>
    <w:rsid w:val="00FC73C7"/>
    <w:rsid w:val="00FD0D14"/>
    <w:rsid w:val="00FD4BC4"/>
    <w:rsid w:val="00FF4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,"/>
  <w:listSeparator w:val=";"/>
  <w14:docId w14:val="6A9C6BB2"/>
  <w15:chartTrackingRefBased/>
  <w15:docId w15:val="{B47286E4-81AE-4324-88E1-9835149D1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1944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pPr>
      <w:spacing w:after="240"/>
    </w:pPr>
  </w:style>
  <w:style w:type="paragraph" w:styleId="TOC1">
    <w:name w:val="toc 1"/>
    <w:basedOn w:val="Normal12a"/>
    <w:next w:val="Normal12a"/>
    <w:autoRedefine/>
    <w:semiHidden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NotTOC">
    <w:name w:val="PageHeadingNotTOC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EPName">
    <w:name w:val="EPName"/>
    <w:basedOn w:val="Normal"/>
    <w:rsid w:val="00E856D2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347D2C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styleId="Header">
    <w:name w:val="header"/>
    <w:basedOn w:val="Normal"/>
    <w:link w:val="HeaderChar"/>
    <w:semiHidden/>
    <w:rsid w:val="005C0BDF"/>
    <w:pPr>
      <w:tabs>
        <w:tab w:val="center" w:pos="4513"/>
        <w:tab w:val="right" w:pos="9026"/>
      </w:tabs>
    </w:pPr>
  </w:style>
  <w:style w:type="paragraph" w:customStyle="1" w:styleId="CoverReference">
    <w:name w:val="CoverReference"/>
    <w:basedOn w:val="Normal"/>
    <w:rsid w:val="00E81BA6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347D2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table" w:styleId="TableGrid">
    <w:name w:val="Table Grid"/>
    <w:basedOn w:val="TableNormal"/>
    <w:rsid w:val="001746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1746D0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1746D0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1746D0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E856D2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E856D2"/>
    <w:pPr>
      <w:jc w:val="right"/>
    </w:pPr>
  </w:style>
  <w:style w:type="paragraph" w:customStyle="1" w:styleId="NormalHanging12a">
    <w:name w:val="NormalHanging12a"/>
    <w:basedOn w:val="Normal"/>
    <w:rsid w:val="008313E7"/>
    <w:pPr>
      <w:spacing w:after="240"/>
      <w:ind w:left="567" w:hanging="567"/>
    </w:pPr>
  </w:style>
  <w:style w:type="paragraph" w:customStyle="1" w:styleId="EPFooter">
    <w:name w:val="EPFooter"/>
    <w:basedOn w:val="Normal"/>
    <w:rsid w:val="00347D2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5C0BDF"/>
    <w:rPr>
      <w:sz w:val="24"/>
    </w:rPr>
  </w:style>
  <w:style w:type="paragraph" w:styleId="FootnoteText">
    <w:name w:val="footnote text"/>
    <w:basedOn w:val="Normal"/>
    <w:link w:val="FootnoteTextChar"/>
    <w:unhideWhenUsed/>
    <w:rsid w:val="00B712EA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B712EA"/>
  </w:style>
  <w:style w:type="character" w:styleId="FootnoteReference">
    <w:name w:val="footnote reference"/>
    <w:basedOn w:val="DefaultParagraphFont"/>
    <w:unhideWhenUsed/>
    <w:rsid w:val="00B712EA"/>
    <w:rPr>
      <w:vertAlign w:val="superscript"/>
    </w:rPr>
  </w:style>
  <w:style w:type="character" w:customStyle="1" w:styleId="BoldItalic">
    <w:name w:val="BoldItalic"/>
    <w:uiPriority w:val="1"/>
    <w:rsid w:val="00B712EA"/>
    <w:rPr>
      <w:b/>
      <w:bCs w:val="0"/>
      <w:i/>
      <w:iCs w:val="0"/>
      <w:strike w:val="0"/>
      <w:dstrike w:val="0"/>
      <w:u w:val="none"/>
      <w:effect w:val="none"/>
    </w:rPr>
  </w:style>
  <w:style w:type="paragraph" w:styleId="Footer">
    <w:name w:val="footer"/>
    <w:basedOn w:val="Normal"/>
    <w:link w:val="FooterChar"/>
    <w:semiHidden/>
    <w:rsid w:val="00B712E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B712EA"/>
    <w:rPr>
      <w:sz w:val="24"/>
    </w:rPr>
  </w:style>
  <w:style w:type="paragraph" w:styleId="BalloonText">
    <w:name w:val="Balloon Text"/>
    <w:basedOn w:val="Normal"/>
    <w:link w:val="BalloonTextChar"/>
    <w:semiHidden/>
    <w:unhideWhenUsed/>
    <w:rsid w:val="000800B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800B3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rsid w:val="00440DC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40DC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40DC6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40D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40DC6"/>
    <w:rPr>
      <w:b/>
      <w:bCs/>
    </w:rPr>
  </w:style>
  <w:style w:type="paragraph" w:styleId="Revision">
    <w:name w:val="Revision"/>
    <w:hidden/>
    <w:uiPriority w:val="99"/>
    <w:semiHidden/>
    <w:rsid w:val="004B1EAD"/>
    <w:rPr>
      <w:sz w:val="24"/>
    </w:rPr>
  </w:style>
  <w:style w:type="paragraph" w:customStyle="1" w:styleId="RollCallSymbols14pt">
    <w:name w:val="RollCallSymbols14pt"/>
    <w:basedOn w:val="Normal"/>
    <w:rsid w:val="00AB0C34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AB0C34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AB0C34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AB0C34"/>
    <w:pPr>
      <w:spacing w:before="120" w:after="120"/>
    </w:pPr>
    <w:rPr>
      <w:snapToGrid w:val="0"/>
      <w:sz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21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6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2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5126CC-5B50-4710-BEB0-6147F0DC5C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2131</Words>
  <Characters>14842</Characters>
  <Application>Microsoft Office Word</Application>
  <DocSecurity>0</DocSecurity>
  <Lines>309</Lines>
  <Paragraphs>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PA_NonLeg</vt:lpstr>
    </vt:vector>
  </TitlesOfParts>
  <Company/>
  <LinksUpToDate>false</LinksUpToDate>
  <CharactersWithSpaces>16876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PA_NonLeg</dc:title>
  <dc:subject/>
  <dc:creator>European Parliament</dc:creator>
  <cp:keywords/>
  <dc:description/>
  <cp:lastModifiedBy>European Parliament</cp:lastModifiedBy>
  <cp:revision>2</cp:revision>
  <cp:lastPrinted>2023-12-04T07:53:00Z</cp:lastPrinted>
  <dcterms:created xsi:type="dcterms:W3CDTF">2024-01-08T15:44:00Z</dcterms:created>
  <dcterms:modified xsi:type="dcterms:W3CDTF">2024-01-08T15:44:00Z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Created with">
    <vt:lpwstr>9.16.1 Build [20230915]</vt:lpwstr>
  </property>
  <property fmtid="{D5CDD505-2E9C-101B-9397-08002B2CF9AE}" pid="4" name="LastEdited with">
    <vt:lpwstr>9.17.0 Build [20231101]</vt:lpwstr>
  </property>
  <property fmtid="{D5CDD505-2E9C-101B-9397-08002B2CF9AE}" pid="5" name="&lt;FdR&gt;">
    <vt:lpwstr>1291636</vt:lpwstr>
  </property>
  <property fmtid="{D5CDD505-2E9C-101B-9397-08002B2CF9AE}" pid="6" name="&lt;Type&gt;">
    <vt:lpwstr>AD</vt:lpwstr>
  </property>
  <property fmtid="{D5CDD505-2E9C-101B-9397-08002B2CF9AE}" pid="7" name="&lt;ModelCod&gt;">
    <vt:lpwstr>\\eiciBRUpr1\pdocep$\DocEP\DOCS\General\PA\PA_NonLeg\PA_NonLeg.dotx(18/09/2023 11:25:02)</vt:lpwstr>
  </property>
  <property fmtid="{D5CDD505-2E9C-101B-9397-08002B2CF9AE}" pid="8" name="&lt;ModelTra&gt;">
    <vt:lpwstr>\\eiciBRUpr1\pdocep$\DocEP\TRANSFIL\EN\PA_NonLeg.EN(18/09/2023 11:08:01)</vt:lpwstr>
  </property>
  <property fmtid="{D5CDD505-2E9C-101B-9397-08002B2CF9AE}" pid="9" name="&lt;Model&gt;">
    <vt:lpwstr>PA_NonLeg</vt:lpwstr>
  </property>
  <property fmtid="{D5CDD505-2E9C-101B-9397-08002B2CF9AE}" pid="10" name="FooterPath">
    <vt:lpwstr>AD\1291636PL.docx</vt:lpwstr>
  </property>
  <property fmtid="{D5CDD505-2E9C-101B-9397-08002B2CF9AE}" pid="11" name="PE number">
    <vt:lpwstr>754.755</vt:lpwstr>
  </property>
  <property fmtid="{D5CDD505-2E9C-101B-9397-08002B2CF9AE}" pid="12" name="SendToEpades">
    <vt:lpwstr>OK - 2023/12/01 09:53</vt:lpwstr>
  </property>
  <property fmtid="{D5CDD505-2E9C-101B-9397-08002B2CF9AE}" pid="13" name="Bookout">
    <vt:lpwstr>OK - 2023/12/07 09:06</vt:lpwstr>
  </property>
  <property fmtid="{D5CDD505-2E9C-101B-9397-08002B2CF9AE}" pid="14" name="SDLStudio">
    <vt:lpwstr/>
  </property>
</Properties>
</file>