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A80CB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DE208C" w:rsidRDefault="00BF7363" w:rsidP="00C85D0F">
            <w:pPr>
              <w:pStyle w:val="EPName"/>
            </w:pPr>
            <w:bookmarkStart w:id="0" w:name="_GoBack"/>
            <w:bookmarkEnd w:id="0"/>
            <w:r>
              <w:t>Parlamento Europeu</w:t>
            </w:r>
          </w:p>
          <w:p w:rsidR="00854CAC" w:rsidRPr="00DE208C" w:rsidRDefault="00BF7363" w:rsidP="00B712EA">
            <w:pPr>
              <w:pStyle w:val="EPTerm"/>
            </w:pPr>
            <w:r>
              <w:t>2019</w:t>
            </w:r>
            <w:r>
              <w:noBreakHyphen/>
            </w:r>
            <w:r>
              <w:t>2024</w:t>
            </w:r>
          </w:p>
        </w:tc>
        <w:tc>
          <w:tcPr>
            <w:tcW w:w="2268" w:type="dxa"/>
            <w:shd w:val="clear" w:color="auto" w:fill="auto"/>
          </w:tcPr>
          <w:p w:rsidR="00854CAC" w:rsidRPr="00DE208C" w:rsidRDefault="00BF7363" w:rsidP="00C85D0F">
            <w:pPr>
              <w:pStyle w:val="EPLogo"/>
            </w:pPr>
            <w:r w:rsidRPr="00DE208C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DE208C" w:rsidRDefault="001746D0" w:rsidP="001746D0">
      <w:pPr>
        <w:pStyle w:val="LineTop"/>
      </w:pPr>
    </w:p>
    <w:p w:rsidR="001746D0" w:rsidRPr="00DE208C" w:rsidRDefault="00BF7363" w:rsidP="001746D0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{JURI}</w:t>
      </w:r>
      <w:r>
        <w:t>Comissão dos Assuntos Jurídicos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1746D0" w:rsidRPr="00DE208C" w:rsidRDefault="001746D0" w:rsidP="001746D0">
      <w:pPr>
        <w:pStyle w:val="LineBottom"/>
      </w:pPr>
    </w:p>
    <w:p w:rsidR="002E2F2E" w:rsidRPr="00DE208C" w:rsidRDefault="00BF7363">
      <w:pPr>
        <w:pStyle w:val="CoverReference"/>
      </w:pPr>
      <w:r>
        <w:rPr>
          <w:rStyle w:val="HideTWBExt"/>
          <w:b w:val="0"/>
        </w:rPr>
        <w:t>&lt;RefProc&gt;</w:t>
      </w:r>
      <w:r>
        <w:t>2023/2113</w:t>
      </w:r>
      <w:r>
        <w:rPr>
          <w:rStyle w:val="HideTWBExt"/>
          <w:b w:val="0"/>
        </w:rPr>
        <w:t>&lt;/RefProc&gt;&lt;RefTypeProc&gt;</w:t>
      </w:r>
      <w:r>
        <w:t>(INI)</w:t>
      </w:r>
      <w:r>
        <w:rPr>
          <w:rStyle w:val="HideTWBExt"/>
          <w:b w:val="0"/>
        </w:rPr>
        <w:t>&lt;/RefTypeProc&gt;</w:t>
      </w:r>
    </w:p>
    <w:p w:rsidR="002E2F2E" w:rsidRPr="00DE208C" w:rsidRDefault="00BF7363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{29/11/2023}</w:t>
      </w:r>
      <w:r>
        <w:t>29.11.2023</w:t>
      </w:r>
      <w:r>
        <w:rPr>
          <w:rStyle w:val="HideTWBExt"/>
        </w:rPr>
        <w:t>&lt;/Date&gt;</w:t>
      </w:r>
    </w:p>
    <w:p w:rsidR="002E2F2E" w:rsidRPr="00DE208C" w:rsidRDefault="00BF7363">
      <w:pPr>
        <w:pStyle w:val="CoverDocType24a"/>
      </w:pPr>
      <w:r>
        <w:rPr>
          <w:rStyle w:val="HideTWBExt"/>
          <w:b w:val="0"/>
        </w:rPr>
        <w:t>&lt;TitreType&gt;</w:t>
      </w:r>
      <w:r>
        <w:t>PARECER</w:t>
      </w:r>
      <w:r>
        <w:rPr>
          <w:rStyle w:val="HideTWBExt"/>
          <w:b w:val="0"/>
        </w:rPr>
        <w:t>&lt;/TitreType&gt;</w:t>
      </w:r>
    </w:p>
    <w:p w:rsidR="002E2F2E" w:rsidRPr="00DE208C" w:rsidRDefault="00BF7363">
      <w:pPr>
        <w:pStyle w:val="CoverNormal24a"/>
      </w:pPr>
      <w:r>
        <w:rPr>
          <w:rStyle w:val="HideTWBExt"/>
        </w:rPr>
        <w:t>&lt;CommissionResp&gt;</w:t>
      </w:r>
      <w:r>
        <w:t xml:space="preserve">da Comissão </w:t>
      </w:r>
      <w:r>
        <w:t>dos Assuntos Jurídicos</w:t>
      </w:r>
      <w:r>
        <w:rPr>
          <w:rStyle w:val="HideTWBExt"/>
        </w:rPr>
        <w:t>&lt;/CommissionResp&gt;</w:t>
      </w:r>
    </w:p>
    <w:p w:rsidR="002E2F2E" w:rsidRPr="00DE208C" w:rsidRDefault="00BF7363">
      <w:pPr>
        <w:pStyle w:val="CoverNormal24a"/>
      </w:pPr>
      <w:r>
        <w:rPr>
          <w:rStyle w:val="HideTWBExt"/>
        </w:rPr>
        <w:t>&lt;CommissionInt&gt;</w:t>
      </w:r>
      <w:r>
        <w:t>dirigido à Comissão das Liberdades Cívicas, da Justiça e dos Assuntos Internos</w:t>
      </w:r>
      <w:r>
        <w:rPr>
          <w:rStyle w:val="HideTWBExt"/>
        </w:rPr>
        <w:t>&lt;/CommissionInt&gt;</w:t>
      </w:r>
    </w:p>
    <w:p w:rsidR="002E2F2E" w:rsidRPr="00DE208C" w:rsidRDefault="00BF7363">
      <w:pPr>
        <w:pStyle w:val="CoverNormal"/>
      </w:pPr>
      <w:r>
        <w:rPr>
          <w:rStyle w:val="HideTWBExt"/>
        </w:rPr>
        <w:t>&lt;Titre&gt;</w:t>
      </w:r>
      <w:r>
        <w:t>sobre o relatório de 2023 da Comissão sobre o Estado de direito</w:t>
      </w:r>
      <w:r>
        <w:rPr>
          <w:rStyle w:val="HideTWBExt"/>
        </w:rPr>
        <w:t>&lt;/Titre&gt;</w:t>
      </w:r>
    </w:p>
    <w:p w:rsidR="002E2F2E" w:rsidRPr="00DE208C" w:rsidRDefault="00BF7363">
      <w:pPr>
        <w:pStyle w:val="CoverNormal24a"/>
      </w:pPr>
      <w:r>
        <w:rPr>
          <w:rStyle w:val="HideTWBExt"/>
        </w:rPr>
        <w:t>&lt;DocRef&gt;</w:t>
      </w:r>
      <w:r>
        <w:t>(2023/2113(INI))</w:t>
      </w:r>
      <w:r>
        <w:rPr>
          <w:rStyle w:val="HideTWBExt"/>
        </w:rPr>
        <w:t>&lt;/D</w:t>
      </w:r>
      <w:r>
        <w:rPr>
          <w:rStyle w:val="HideTWBExt"/>
        </w:rPr>
        <w:t>ocRef&gt;</w:t>
      </w:r>
    </w:p>
    <w:p w:rsidR="002E2F2E" w:rsidRPr="00DE208C" w:rsidRDefault="00BF7363">
      <w:pPr>
        <w:pStyle w:val="CoverNormal24a"/>
      </w:pPr>
      <w:r>
        <w:t xml:space="preserve">Relator de parecer (*): </w:t>
      </w:r>
      <w:r>
        <w:rPr>
          <w:rStyle w:val="HideTWBExt"/>
        </w:rPr>
        <w:t>&lt;Depute&gt;</w:t>
      </w:r>
      <w:r>
        <w:t>Adrián Vázquez Lázara</w:t>
      </w:r>
      <w:r>
        <w:rPr>
          <w:rStyle w:val="HideTWBExt"/>
        </w:rPr>
        <w:t>&lt;/Depute&gt;</w:t>
      </w:r>
    </w:p>
    <w:p w:rsidR="00B712EA" w:rsidRPr="00DE208C" w:rsidRDefault="00BF7363" w:rsidP="00B712EA">
      <w:pPr>
        <w:pStyle w:val="CoverNormal24a"/>
      </w:pPr>
      <w:r>
        <w:t>(*) Comissão associada – Artigo 57.º do Regimento</w:t>
      </w:r>
    </w:p>
    <w:p w:rsidR="00A72C35" w:rsidRPr="00DE208C" w:rsidRDefault="00A72C35" w:rsidP="00A72C35">
      <w:pPr>
        <w:pStyle w:val="CoverNormal"/>
      </w:pPr>
    </w:p>
    <w:p w:rsidR="002E2F2E" w:rsidRPr="00DE208C" w:rsidRDefault="00BF7363" w:rsidP="00E856D2">
      <w:pPr>
        <w:widowControl/>
        <w:tabs>
          <w:tab w:val="center" w:pos="4677"/>
        </w:tabs>
      </w:pPr>
      <w:r>
        <w:br w:type="page"/>
      </w:r>
      <w:r>
        <w:lastRenderedPageBreak/>
        <w:t>PA_NonLeg</w:t>
      </w:r>
    </w:p>
    <w:p w:rsidR="002E2F2E" w:rsidRPr="00DE208C" w:rsidRDefault="00BF7363">
      <w:pPr>
        <w:pStyle w:val="PageHeadingNotTOC"/>
      </w:pPr>
      <w:r>
        <w:br w:type="page"/>
      </w:r>
      <w:r>
        <w:lastRenderedPageBreak/>
        <w:t>SUGESTÕES</w:t>
      </w:r>
    </w:p>
    <w:p w:rsidR="00B712EA" w:rsidRPr="00DE208C" w:rsidRDefault="00BF7363" w:rsidP="001C6C04">
      <w:pPr>
        <w:pStyle w:val="Normal12a"/>
        <w:rPr>
          <w:szCs w:val="24"/>
        </w:rPr>
      </w:pPr>
      <w:r>
        <w:t xml:space="preserve">A Comissão dos Assuntos Jurídicos insta a Comissão das Liberdades Cívicas, da Justiça e dos Assuntos Internos, </w:t>
      </w:r>
      <w:r>
        <w:t>competente quanto à matéria de fundo, a incorporar as seguintes sugestões na proposta de resolução que aprovar:</w:t>
      </w:r>
    </w:p>
    <w:p w:rsidR="00B712EA" w:rsidRPr="00DE208C" w:rsidRDefault="00BF7363" w:rsidP="001C6C04">
      <w:pPr>
        <w:pStyle w:val="NormalHanging12a"/>
      </w:pPr>
      <w:r>
        <w:rPr>
          <w:rStyle w:val="BoldItalic"/>
        </w:rPr>
        <w:t>Considerações gerais</w:t>
      </w:r>
    </w:p>
    <w:p w:rsidR="0007758F" w:rsidRPr="00DE208C" w:rsidRDefault="00BF7363" w:rsidP="0007758F">
      <w:pPr>
        <w:pStyle w:val="NormalHanging12a"/>
      </w:pPr>
      <w:r>
        <w:t>1.</w:t>
      </w:r>
      <w:r>
        <w:tab/>
        <w:t>Recorda que a estrutura jurídica da União assenta na premissa fundamental de que cada Estado</w:t>
      </w:r>
      <w:r>
        <w:noBreakHyphen/>
      </w:r>
      <w:r>
        <w:t xml:space="preserve">Membro partilha com todos </w:t>
      </w:r>
      <w:r>
        <w:t>os outros Estados</w:t>
      </w:r>
      <w:r>
        <w:noBreakHyphen/>
      </w:r>
      <w:r>
        <w:t>Membros um conjunto de valores comuns em que a UE se funda, conforme estabelecido no artigo 2.º do Tratado da União Europeia</w:t>
      </w:r>
      <w:r>
        <w:rPr>
          <w:rStyle w:val="FootnoteReference"/>
        </w:rPr>
        <w:footnoteReference w:id="1"/>
      </w:r>
      <w:r>
        <w:t>; recorda ainda que o Estado de direito, tal como consagrado no direito primário da UE e definido mais pormenoriz</w:t>
      </w:r>
      <w:r>
        <w:t>adamente na jurisprudência do Tribunal de Justiça da União Europeia (TJUE), está associado à democracia e aos direitos fundamentais; recorda que o Estado de direito e a ordem internacional assente em regras são fundamentais para combater a propagação de re</w:t>
      </w:r>
      <w:r>
        <w:t>gimes autoritários e a violação do direito internacional, bem como para ajudar a consolidar as estruturas democráticas e a proteger os direitos humanos; salienta que qualquer retrocesso em matéria de Estado de direito, que se baseia na separação e no equil</w:t>
      </w:r>
      <w:r>
        <w:t>íbrio de poderes, num determinado Estado</w:t>
      </w:r>
      <w:r>
        <w:noBreakHyphen/>
      </w:r>
      <w:r>
        <w:t>Membro afeta significativamente o espaço comum de liberdade, segurança e justiça, bem como a confiança mútua e o reconhecimento mútuo enquanto princípios orientadores do direito da UE neste domínio</w:t>
      </w:r>
      <w:r>
        <w:rPr>
          <w:rStyle w:val="FootnoteReference"/>
        </w:rPr>
        <w:footnoteReference w:id="2"/>
      </w:r>
      <w:r>
        <w:t>;</w:t>
      </w:r>
    </w:p>
    <w:p w:rsidR="0007758F" w:rsidRPr="00DE208C" w:rsidRDefault="00BF7363" w:rsidP="0007758F">
      <w:pPr>
        <w:pStyle w:val="NormalHanging12a"/>
      </w:pPr>
      <w:r>
        <w:t>2.</w:t>
      </w:r>
      <w:r>
        <w:tab/>
        <w:t>Congratula</w:t>
      </w:r>
      <w:r>
        <w:noBreakHyphen/>
      </w:r>
      <w:r>
        <w:t>s</w:t>
      </w:r>
      <w:r>
        <w:t>e com o quarto relatório da Comissão sobre o Estado de direito («relatório») e considera que a avaliação periódica do Estado de direito é um instrumento essencial de acompanhamento; salienta, neste contexto, a importância de a Comissão utilizar critérios c</w:t>
      </w:r>
      <w:r>
        <w:t>laros e objetivos quando procede à sua avaliação, a fim de evitar alegações de tratamento desigual dos Estados</w:t>
      </w:r>
      <w:r>
        <w:noBreakHyphen/>
      </w:r>
      <w:r>
        <w:t>Membros ou a mera utilização seletiva dos dados; congratula</w:t>
      </w:r>
      <w:r>
        <w:noBreakHyphen/>
      </w:r>
      <w:r>
        <w:t>se, a este respeito, com a abordagem da Comissão de receber os contributos dos Estado</w:t>
      </w:r>
      <w:r>
        <w:t>s</w:t>
      </w:r>
      <w:r>
        <w:noBreakHyphen/>
      </w:r>
      <w:r>
        <w:t>Membros, promovendo assim um diálogo comum; congratula</w:t>
      </w:r>
      <w:r>
        <w:noBreakHyphen/>
      </w:r>
      <w:r>
        <w:t>se com a nova classificação adotada pela Comissão no que respeita à medição dos progressos alcançados em relação a recomendações anteriores, composta por quatro categorias: a) ausência de progressos,</w:t>
      </w:r>
      <w:r>
        <w:t xml:space="preserve"> b) alguns progressos, c) progressos significativos e d) plena aplicação; sublinha, tendo em conta os problemas na recolha de dados estatísticos pelos Estados</w:t>
      </w:r>
      <w:r>
        <w:noBreakHyphen/>
      </w:r>
      <w:r>
        <w:t>Membros, a utilidade de instrumentos do Conselho da Europa, como os relatórios da Comissão Europe</w:t>
      </w:r>
      <w:r>
        <w:t>ia para a Eficiência da Justiça (CEPEJ) do Conselho da Europa</w:t>
      </w:r>
      <w:r>
        <w:rPr>
          <w:rStyle w:val="FootnoteReference"/>
        </w:rPr>
        <w:footnoteReference w:id="3"/>
      </w:r>
      <w:r>
        <w:t>, que permitem, na medida do possível, criar uma convergência entre as diferentes entradas de dados;</w:t>
      </w:r>
    </w:p>
    <w:p w:rsidR="0007758F" w:rsidRPr="00DE208C" w:rsidRDefault="00BF7363" w:rsidP="0007758F">
      <w:pPr>
        <w:pStyle w:val="NormalHanging12a"/>
      </w:pPr>
      <w:r>
        <w:rPr>
          <w:rStyle w:val="BoldItalic"/>
        </w:rPr>
        <w:t>Justiça</w:t>
      </w:r>
    </w:p>
    <w:p w:rsidR="0007758F" w:rsidRPr="00DE208C" w:rsidRDefault="00BF7363" w:rsidP="0007758F">
      <w:pPr>
        <w:pStyle w:val="NormalHanging12a"/>
      </w:pPr>
      <w:r>
        <w:t>3.</w:t>
      </w:r>
      <w:r>
        <w:tab/>
        <w:t>Reconhece a importância atribuída aos sistemas de justiça pelos relatórios sobre o</w:t>
      </w:r>
      <w:r>
        <w:t xml:space="preserve"> Estado de direito, nomeadamente no que respeita à legalidade, independência e </w:t>
      </w:r>
      <w:r>
        <w:lastRenderedPageBreak/>
        <w:t>imparcialidade dos juízes e às nomeações, promoções, destituições e decisões em matéria judicial; reconhece que não existe um sistema comum da UE de nomeação de juízes; recorda,</w:t>
      </w:r>
      <w:r>
        <w:t xml:space="preserve"> no entanto, que todos os Estados</w:t>
      </w:r>
      <w:r>
        <w:noBreakHyphen/>
      </w:r>
      <w:r>
        <w:t>Membros têm de respeitar as normas mínimas do Conselho da Europa</w:t>
      </w:r>
      <w:r>
        <w:rPr>
          <w:rStyle w:val="FootnoteReference"/>
        </w:rPr>
        <w:footnoteReference w:id="4"/>
      </w:r>
      <w:r>
        <w:t xml:space="preserve"> e do TJUE</w:t>
      </w:r>
      <w:r>
        <w:rPr>
          <w:rStyle w:val="FootnoteReference"/>
        </w:rPr>
        <w:footnoteReference w:id="5"/>
      </w:r>
      <w:r>
        <w:t>; salienta, neste contexto, a importância de conselhos da magistratura independentes, que devem ser compostos por uma maioria significativa de juí</w:t>
      </w:r>
      <w:r>
        <w:t>zes eleitos pelos seus pares e ter uma autoridade efetiva em matéria de seleção, progressão e processos disciplinares no que respeita aos juízes; lamenta profundamente que nem todos os Estados</w:t>
      </w:r>
      <w:r>
        <w:noBreakHyphen/>
      </w:r>
      <w:r>
        <w:t>Membros tenham cumprido plenamente as suas obrigações a este re</w:t>
      </w:r>
      <w:r>
        <w:t>speito; deplora o efeito devastador que esta situação tem na independência e integridade dos seus sistemas judiciais;</w:t>
      </w:r>
    </w:p>
    <w:p w:rsidR="0007758F" w:rsidRPr="00DE208C" w:rsidRDefault="00BF7363" w:rsidP="0007758F">
      <w:pPr>
        <w:pStyle w:val="NormalHanging12a"/>
      </w:pPr>
      <w:r>
        <w:t>4.</w:t>
      </w:r>
      <w:r>
        <w:tab/>
        <w:t>Reconhece que quase dois terços das recomendações emitidas em 2022 relativamente a reformas importantes foram seguidas até certo ponto;</w:t>
      </w:r>
      <w:r>
        <w:t xml:space="preserve"> manifesta, no entanto, a sua preocupação com o número de problemas identificados em relatórios anteriores sobre o Estado de direito que continuam por resolver; insta a Comissão a continuar a acompanhar de forma diligente os quadros jurídicos dos Estados</w:t>
      </w:r>
      <w:r>
        <w:noBreakHyphen/>
      </w:r>
      <w:r>
        <w:t>M</w:t>
      </w:r>
      <w:r>
        <w:t>embros, a fim de avaliar a sua adequação às recomendações acima referidas, e exorta ainda a Comissão a ser mais insistente no que respeita à aplicação destas reformas críticas nos casos em que os sistemas dos Estados</w:t>
      </w:r>
      <w:r>
        <w:noBreakHyphen/>
      </w:r>
      <w:r>
        <w:t>Membros não cumpram as normas prescrita</w:t>
      </w:r>
      <w:r>
        <w:t>s; insta a Comissão a adotar novas medidas para ter plenamente em conta as recomendações formuladas pelo Parlamento nas suas anteriores resoluções;</w:t>
      </w:r>
    </w:p>
    <w:p w:rsidR="0007758F" w:rsidRPr="00DE208C" w:rsidRDefault="00BF7363" w:rsidP="0007758F">
      <w:pPr>
        <w:pStyle w:val="NormalHanging12a"/>
      </w:pPr>
      <w:r>
        <w:t>5.</w:t>
      </w:r>
      <w:r>
        <w:tab/>
        <w:t>Congratula</w:t>
      </w:r>
      <w:r>
        <w:noBreakHyphen/>
      </w:r>
      <w:r>
        <w:t>se com o apoio contínuo prestado às partes interessadas pertinentes através de programas espec</w:t>
      </w:r>
      <w:r>
        <w:t>íficos, como o Programa Cidadãos, Igualdade, Direitos e Valores; congratula</w:t>
      </w:r>
      <w:r>
        <w:noBreakHyphen/>
      </w:r>
      <w:r>
        <w:t>se com o financiamento, através do Programa Justiça, destinado a apoiar a cooperação judiciária em matéria civil e penal e a contribuir para um maior desenvolvimento da justiça eur</w:t>
      </w:r>
      <w:r>
        <w:t>opeia, implicando o reforço da democracia, do Estado de direito e dos direitos fundamentais;</w:t>
      </w:r>
    </w:p>
    <w:p w:rsidR="0007758F" w:rsidRPr="00DE208C" w:rsidRDefault="00BF7363" w:rsidP="0007758F">
      <w:pPr>
        <w:pStyle w:val="NormalHanging12a"/>
      </w:pPr>
      <w:r>
        <w:t>6.</w:t>
      </w:r>
      <w:r>
        <w:tab/>
        <w:t>Insta a Comissão a investir mais na sensibilização para os valores da União e os respetivos instrumentos aplicáveis, incluindo o relatório anual, particularment</w:t>
      </w:r>
      <w:r>
        <w:t>e nos países que suscitam sérias preocupações;</w:t>
      </w:r>
    </w:p>
    <w:p w:rsidR="0007758F" w:rsidRPr="00DE208C" w:rsidRDefault="00BF7363" w:rsidP="0007758F">
      <w:pPr>
        <w:pStyle w:val="NormalHanging12a"/>
      </w:pPr>
      <w:r>
        <w:t>7.</w:t>
      </w:r>
      <w:r>
        <w:tab/>
        <w:t>Reconhece que, no último relatório, é possível observar alguns progressos em diferentes Estados</w:t>
      </w:r>
      <w:r>
        <w:noBreakHyphen/>
      </w:r>
      <w:r>
        <w:t>Membros relativamente à independência judicial; congratula</w:t>
      </w:r>
      <w:r>
        <w:noBreakHyphen/>
      </w:r>
      <w:r>
        <w:t>se, a este respeito, com a retenção de fundos da UE</w:t>
      </w:r>
      <w:r>
        <w:t xml:space="preserve">, se necessário, ao abrigo do mecanismo de </w:t>
      </w:r>
      <w:r>
        <w:lastRenderedPageBreak/>
        <w:t>condicionalidade</w:t>
      </w:r>
      <w:r>
        <w:rPr>
          <w:rStyle w:val="FootnoteReference"/>
        </w:rPr>
        <w:footnoteReference w:id="6"/>
      </w:r>
      <w:r>
        <w:t>, tal como confirmado pelo TJUE</w:t>
      </w:r>
      <w:r>
        <w:rPr>
          <w:rStyle w:val="FootnoteReference"/>
        </w:rPr>
        <w:footnoteReference w:id="7"/>
      </w:r>
      <w:r>
        <w:t>, ou ao abrigo do Mecanismo de Recuperação e Resiliência</w:t>
      </w:r>
      <w:r>
        <w:rPr>
          <w:rStyle w:val="FootnoteReference"/>
        </w:rPr>
        <w:footnoteReference w:id="8"/>
      </w:r>
      <w:r>
        <w:t>; salienta, no entanto, que as violações da independência judicial continuam a ser motivo de preocupação em</w:t>
      </w:r>
      <w:r>
        <w:t xml:space="preserve"> alguns Estados</w:t>
      </w:r>
      <w:r>
        <w:noBreakHyphen/>
      </w:r>
      <w:r>
        <w:t>Membros, nomeadamente, a existência de processos disciplinares em curso contra juízes devido ao conteúdo das suas decisões e os problemas com a composição dos conselhos de magistratura e dos mais altos tribunais nacionais à luz do princípio</w:t>
      </w:r>
      <w:r>
        <w:t xml:space="preserve"> de um tribunal estabelecido por lei, etc.;</w:t>
      </w:r>
    </w:p>
    <w:p w:rsidR="0007758F" w:rsidRPr="00DE208C" w:rsidRDefault="00BF7363" w:rsidP="0007758F">
      <w:pPr>
        <w:pStyle w:val="NormalHanging12a"/>
      </w:pPr>
      <w:r>
        <w:t>8.</w:t>
      </w:r>
      <w:r>
        <w:tab/>
        <w:t>Recorda que um sistema judicial eficiente e justo que garanta o acesso à justiça para todos exige um orçamento e um financiamento adequados dos órgãos jurisdicionais; lamenta que o relatório continue a revelar</w:t>
      </w:r>
      <w:r>
        <w:t xml:space="preserve"> a existência de graves deficiências a este respeito, que dificultam especificamente, ao que parece, o julgamento de casos de corrupção muito mediáticos; salienta, no entanto, que os cidadãos também devem dispor de apoio judiciário e de vias de recurso suf</w:t>
      </w:r>
      <w:r>
        <w:t>icientes; insta, neste contexto, a Comissão a incluir no próximo relatório sobre o Estado de direito avaliações da aplicação do acervo da UE no que respeita ao apoio judiciário em matéria civil e penal, como a Diretiva 2003/8/CE do Conselho, de 27 de janei</w:t>
      </w:r>
      <w:r>
        <w:t>ro de 2023, relativa à melhoria do acesso à justiça nos litígios transfronteiriços, através do estabelecimento de regras mínimas comuns relativas ao apoio judiciário no âmbito desses litígios</w:t>
      </w:r>
      <w:r>
        <w:rPr>
          <w:rStyle w:val="FootnoteReference"/>
        </w:rPr>
        <w:footnoteReference w:id="9"/>
      </w:r>
      <w:r>
        <w:t xml:space="preserve">, uma vez que a jurisprudência do TJUE revela que ainda existem </w:t>
      </w:r>
      <w:r>
        <w:t>questões sobre a sua interpretação;</w:t>
      </w:r>
    </w:p>
    <w:p w:rsidR="0007758F" w:rsidRPr="00DE208C" w:rsidRDefault="00BF7363" w:rsidP="0007758F">
      <w:pPr>
        <w:pStyle w:val="NormalHanging12a"/>
      </w:pPr>
      <w:r>
        <w:t>9.</w:t>
      </w:r>
      <w:r>
        <w:tab/>
        <w:t>Recorda que também o Ministério Público, independentemente do lugar que ocupe no sistema nacional de repartição de competências entre três ramos do governo, tem de ser independente de pressões políticas indevidas; obs</w:t>
      </w:r>
      <w:r>
        <w:t>erva que foram alcançados alguns progressos em determinados Estados</w:t>
      </w:r>
      <w:r>
        <w:noBreakHyphen/>
      </w:r>
      <w:r>
        <w:t>Membros; lamenta, no entanto, que ainda existam sistemas em que o governo pode impor decisões vinculativas aos procuradores em casos específicos, em que o mandato está vinculado a um proce</w:t>
      </w:r>
      <w:r>
        <w:t>sso político ou em que as funções de ministro e de procurador</w:t>
      </w:r>
      <w:r>
        <w:noBreakHyphen/>
      </w:r>
      <w:r>
        <w:t>geral são cumulativas, permitindo assim uma influência política indevida e criando problemas de reconhecimento mútuo</w:t>
      </w:r>
      <w:r>
        <w:rPr>
          <w:rStyle w:val="FootnoteReference"/>
        </w:rPr>
        <w:footnoteReference w:id="10"/>
      </w:r>
      <w:r>
        <w:t>;</w:t>
      </w:r>
    </w:p>
    <w:p w:rsidR="0007758F" w:rsidRPr="00DE208C" w:rsidRDefault="00BF7363" w:rsidP="0007758F">
      <w:pPr>
        <w:pStyle w:val="NormalHanging12a"/>
      </w:pPr>
      <w:r>
        <w:t>10.</w:t>
      </w:r>
      <w:r>
        <w:tab/>
        <w:t>Sublinha, em particular, que a questão das «portas giratórias» não se l</w:t>
      </w:r>
      <w:r>
        <w:t xml:space="preserve">imita apenas ao problema da transição de antigos ministros para o setor privado após o término do seu mandato para o exercício de funções públicas, mas também às situações em que as pessoas podem assumir funções de elevada importância no poder judicial ou </w:t>
      </w:r>
      <w:r>
        <w:t>no Ministério Público imediatamente após terem desempenhado funções ministeriais ou terem estado filiadas num partido político;</w:t>
      </w:r>
    </w:p>
    <w:p w:rsidR="0007758F" w:rsidRPr="00DE208C" w:rsidRDefault="00BF7363" w:rsidP="0007758F">
      <w:pPr>
        <w:pStyle w:val="NormalHanging12a"/>
      </w:pPr>
      <w:r>
        <w:lastRenderedPageBreak/>
        <w:t>11.</w:t>
      </w:r>
      <w:r>
        <w:tab/>
        <w:t>Insta a Comissão a ter devidamente em conta esses exemplos nos seus próximos relatórios sobre o Estado de direito na União E</w:t>
      </w:r>
      <w:r>
        <w:t>uropeia; exorta a Comissão a insistir com os Estados</w:t>
      </w:r>
      <w:r>
        <w:noBreakHyphen/>
      </w:r>
      <w:r>
        <w:t>Membros para se absterem de tais práticas, nomeadamente através da aplicação de disposições legais que impeçam proativamente antigos ministros e figuras políticas de topo de assumirem cargos de liderança</w:t>
      </w:r>
      <w:r>
        <w:t xml:space="preserve"> nos tribunais superiores de justiça ou no Ministério Público, salvaguardando assim a independência e a integridade destas instituições de importância fundamental;</w:t>
      </w:r>
    </w:p>
    <w:p w:rsidR="0007758F" w:rsidRPr="00DE208C" w:rsidRDefault="00BF7363" w:rsidP="0007758F">
      <w:pPr>
        <w:pStyle w:val="NormalHanging12a"/>
      </w:pPr>
      <w:r>
        <w:rPr>
          <w:rStyle w:val="BoldItalic"/>
        </w:rPr>
        <w:t>Luta contra a corrupção</w:t>
      </w:r>
    </w:p>
    <w:p w:rsidR="0007758F" w:rsidRPr="00DE208C" w:rsidRDefault="00BF7363" w:rsidP="0007758F">
      <w:pPr>
        <w:pStyle w:val="NormalHanging12a"/>
      </w:pPr>
      <w:r>
        <w:t>12.</w:t>
      </w:r>
      <w:r>
        <w:tab/>
        <w:t xml:space="preserve">Recorda que a luta contra a corrupção é essencial para manter o </w:t>
      </w:r>
      <w:r>
        <w:t>Estado de direito e preservar e fomentar a confiança dos cidadãos nas instituições públicas; recorda, além disso, que, para ser eficaz, é necessário um quadro jurídico e administrativo sólido de luta contra a corrupção, baseado na integridade, na transparê</w:t>
      </w:r>
      <w:r>
        <w:t>ncia e na responsabilização, nomeadamente na vida pública, enfatizando a divulgação de declarações de interesses e a proteção dos denunciantes, se for caso disso;</w:t>
      </w:r>
    </w:p>
    <w:p w:rsidR="0007758F" w:rsidRPr="00DE208C" w:rsidRDefault="00BF7363" w:rsidP="0007758F">
      <w:pPr>
        <w:pStyle w:val="NormalHanging12a"/>
      </w:pPr>
      <w:r>
        <w:t>13.</w:t>
      </w:r>
      <w:r>
        <w:tab/>
        <w:t xml:space="preserve">Afirma que a corrupção é uma ameaça que pode destruir as democracias e minar a confiança </w:t>
      </w:r>
      <w:r>
        <w:t>dos cidadãos nas instituições, e tem de ser combatida em todas as suas formas; assinala que a corrupção é o instrumento preferido da criminalidade organizada para se infiltrar na economia e a controlar; manifesta preocupação pelo facto de o mais recente re</w:t>
      </w:r>
      <w:r>
        <w:t>latório revelar que não se registaram progressos ou que estes foram muito lentos no que se refere às medidas de prevenção da corrupção em vários Estados</w:t>
      </w:r>
      <w:r>
        <w:noBreakHyphen/>
      </w:r>
      <w:r>
        <w:t>Membros; manifesta profunda preocupação com a relutância que existe quanto à criação de registos de lob</w:t>
      </w:r>
      <w:r>
        <w:t>istas, registos de transparência e sistemas adequados de declarações de património dos titulares de cargos públicos e dos altos funcionários, bem como com a falta de vontade política para introduzir regras rigorosas nas políticas relativas às «portas girat</w:t>
      </w:r>
      <w:r>
        <w:t>órias»; salienta, neste contexto, a importância de um processo legislativo transparente, com um amplo acesso aos documentos, e de regras que garantam o mais elevado grau de transparência e de responsabilidade nas administrações públicas e na tomada de deci</w:t>
      </w:r>
      <w:r>
        <w:t>sões públicas, a fim de prevenir a corrupção</w:t>
      </w:r>
      <w:r>
        <w:rPr>
          <w:rStyle w:val="FootnoteReference"/>
        </w:rPr>
        <w:footnoteReference w:id="11"/>
      </w:r>
      <w:r>
        <w:t>;</w:t>
      </w:r>
    </w:p>
    <w:p w:rsidR="0007758F" w:rsidRPr="00DE208C" w:rsidRDefault="00BF7363" w:rsidP="0007758F">
      <w:pPr>
        <w:pStyle w:val="NormalHanging12a"/>
      </w:pPr>
      <w:r>
        <w:t>14.</w:t>
      </w:r>
      <w:r>
        <w:tab/>
        <w:t xml:space="preserve">Insta também, neste contexto, todas as instituições da UE a respeitarem as normas mais elevadas possíveis tendo em vista a prevenção da corrupção, nomeadamente, através da criação de um Organismo de Ética </w:t>
      </w:r>
      <w:r>
        <w:t>da UE eficaz, da aplicação plena do Regulamento n.º 1049/2001</w:t>
      </w:r>
      <w:r>
        <w:rPr>
          <w:rStyle w:val="FootnoteReference"/>
        </w:rPr>
        <w:footnoteReference w:id="12"/>
      </w:r>
      <w:r>
        <w:t>, relativo ao acesso aos documentos, e da aplicação plena do princípio da condicionalidade no que respeita ao Registo de Transparência da UE; insta os Estados‑Membros a tentarem chegar o mais ra</w:t>
      </w:r>
      <w:r>
        <w:t xml:space="preserve">pidamente possível a um acordo sobre a proposta de diretiva relativa à luta contra a corrupção, tendo em vista estabelecer um quadro comum harmonizado de códigos de conduta, normas para prevenir conflitos de </w:t>
      </w:r>
      <w:r>
        <w:lastRenderedPageBreak/>
        <w:t>interesses e regras que visem assegurar a transp</w:t>
      </w:r>
      <w:r>
        <w:t>arência dos procedimentos;</w:t>
      </w:r>
    </w:p>
    <w:p w:rsidR="0007758F" w:rsidRPr="00DE208C" w:rsidRDefault="00BF7363" w:rsidP="0007758F">
      <w:pPr>
        <w:pStyle w:val="NormalHanging12a"/>
      </w:pPr>
      <w:r>
        <w:t>15.</w:t>
      </w:r>
      <w:r>
        <w:tab/>
        <w:t xml:space="preserve">Reconhece que nos últimos anos se verificou um aumento substancial da importância quantitativa dos fundos atribuídos pela União Europeia, incluindo os fundos do instrumento Próxima Geração UE; reconhece que, por esse motivo, </w:t>
      </w:r>
      <w:r>
        <w:t>a existência de normas jurídicas na legislação dos Estados</w:t>
      </w:r>
      <w:r>
        <w:noBreakHyphen/>
      </w:r>
      <w:r>
        <w:t>Membros destinadas a evitar a utilização abusiva desses fundos assumiu uma enorme importância;</w:t>
      </w:r>
    </w:p>
    <w:p w:rsidR="0007758F" w:rsidRPr="00DE208C" w:rsidRDefault="00BF7363" w:rsidP="0007758F">
      <w:pPr>
        <w:pStyle w:val="NormalHanging12a"/>
      </w:pPr>
      <w:r>
        <w:t>16.</w:t>
      </w:r>
      <w:r>
        <w:tab/>
        <w:t>Recorda que nenhum setor é seguro em termos de risco de corrupção, incluindo os que gerem fundos p</w:t>
      </w:r>
      <w:r>
        <w:t>úblicos significativos ou o acesso a infraestruturas e serviços críticos, como os cuidados de saúde e a construção; salienta que os grupos de criminalidade organizada desempenham um papel cada vez mais importante em atividades como a contrafação, a piratar</w:t>
      </w:r>
      <w:r>
        <w:t>ia e as violações dos direitos de propriedade intelectual, que se multiplicaram no ambiente digital; recorda que os grupos criminosos envolvidos nestas atividades ilegais utilizam frequentemente os lucros para financiar outras atividades ilegais;</w:t>
      </w:r>
    </w:p>
    <w:p w:rsidR="0007758F" w:rsidRPr="00DE208C" w:rsidRDefault="00BF7363" w:rsidP="0007758F">
      <w:pPr>
        <w:pStyle w:val="NormalHanging12a"/>
      </w:pPr>
      <w:r>
        <w:t>17.</w:t>
      </w:r>
      <w:r>
        <w:tab/>
        <w:t>Insta</w:t>
      </w:r>
      <w:r>
        <w:t xml:space="preserve"> a Comissão, no âmbito dos seus próximos relatórios sobre o Estado de direito, a incluir uma avaliação da evolução da legislação dos Estados</w:t>
      </w:r>
      <w:r>
        <w:noBreakHyphen/>
      </w:r>
      <w:r>
        <w:t>Membros nos últimos anos no que respeita à supervisão da utilização adequada dos fundos públicos, bem como os mecan</w:t>
      </w:r>
      <w:r>
        <w:t>ismos jurídicos em vigor para fazer face a qualquer utilização indevida de fundos públicos;</w:t>
      </w:r>
    </w:p>
    <w:p w:rsidR="0007758F" w:rsidRPr="00DE208C" w:rsidRDefault="00BF7363" w:rsidP="0007758F">
      <w:pPr>
        <w:pStyle w:val="NormalHanging12a"/>
      </w:pPr>
      <w:r>
        <w:t>18.</w:t>
      </w:r>
      <w:r>
        <w:tab/>
        <w:t>Recorda o forte apoio do Parlamento à criação da Procuradoria Europeia; reconhece o importante papel da Procuradoria Europeia enquanto organismo independente da</w:t>
      </w:r>
      <w:r>
        <w:t xml:space="preserve"> UE na investigação, na ação penal e no julgamento de crimes lesivos dos interesses financeiros da União; salienta que, desde o início das suas atividades em 1 de junho de 2021, a Procuradoria Europeia registou mais de 4 000 denúncias de crimes proveniente</w:t>
      </w:r>
      <w:r>
        <w:t>s de Estados</w:t>
      </w:r>
      <w:r>
        <w:noBreakHyphen/>
      </w:r>
      <w:r>
        <w:t>Membros da UE participantes e de entidades privadas e que foram abertos mais de 929 inquéritos (em junho de 2022);</w:t>
      </w:r>
    </w:p>
    <w:p w:rsidR="0007758F" w:rsidRPr="00DE208C" w:rsidRDefault="00BF7363" w:rsidP="0007758F">
      <w:pPr>
        <w:pStyle w:val="NormalHanging12a"/>
      </w:pPr>
      <w:r>
        <w:t>19.</w:t>
      </w:r>
      <w:r>
        <w:tab/>
        <w:t>Insta igualmente a Comissão, nos casos em que se verifique que o nível de salvaguardas dos fundos públicos foi reduzido, a c</w:t>
      </w:r>
      <w:r>
        <w:t>ontactar imediatamente o Estado</w:t>
      </w:r>
      <w:r>
        <w:noBreakHyphen/>
      </w:r>
      <w:r>
        <w:t>Membro ou os Estados</w:t>
      </w:r>
      <w:r>
        <w:noBreakHyphen/>
      </w:r>
      <w:r>
        <w:t>Membros em causa, solicitando a rápida adoção das medidas necessárias para corrigir esta situação;</w:t>
      </w:r>
    </w:p>
    <w:p w:rsidR="0007758F" w:rsidRPr="00DE208C" w:rsidRDefault="00BF7363" w:rsidP="0007758F">
      <w:pPr>
        <w:pStyle w:val="NormalHanging12a"/>
        <w:ind w:left="0" w:firstLine="0"/>
        <w:rPr>
          <w:b/>
          <w:i/>
        </w:rPr>
      </w:pPr>
      <w:r>
        <w:rPr>
          <w:b/>
          <w:i/>
        </w:rPr>
        <w:t>Sociedade civil</w:t>
      </w:r>
    </w:p>
    <w:p w:rsidR="0007758F" w:rsidRPr="00DE208C" w:rsidRDefault="00BF7363" w:rsidP="0007758F">
      <w:pPr>
        <w:pStyle w:val="NormalHanging12a"/>
      </w:pPr>
      <w:r>
        <w:t>20.</w:t>
      </w:r>
      <w:r>
        <w:tab/>
        <w:t xml:space="preserve">Recorda a sua resolução, de 11 de novembro de 2021, sobre o reforço da democracia e </w:t>
      </w:r>
      <w:r>
        <w:t>da liberdade e do pluralismo dos meios de comunicação social na União, na qual instou a Comissão a propor um pacote de legislação não vinculativa e vinculativa para fazer face ao número crescente de ações judiciais estratégicas contra a participação públic</w:t>
      </w:r>
      <w:r>
        <w:t>a; congratula</w:t>
      </w:r>
      <w:r>
        <w:noBreakHyphen/>
      </w:r>
      <w:r>
        <w:t>se com a proposta legislativa e a recomendação da Comissão aos Estados</w:t>
      </w:r>
      <w:r>
        <w:noBreakHyphen/>
      </w:r>
      <w:r>
        <w:t xml:space="preserve">Membros, de 27 de abril de 2022, dando resposta ao apelo do Parlamento a este respeito; salienta que as ações judiciais estratégicas contra a participação pública são uma </w:t>
      </w:r>
      <w:r>
        <w:t>forma específica de assédio utilizada principalmente contra jornalistas para prevenir ou penalizar a sua intervenção em questões de interesse público, sujeitando</w:t>
      </w:r>
      <w:r>
        <w:noBreakHyphen/>
      </w:r>
      <w:r>
        <w:t>os a processos morosos, onerosos e dispendiosos; insta os Estados</w:t>
      </w:r>
      <w:r>
        <w:noBreakHyphen/>
      </w:r>
      <w:r>
        <w:t>Membros a acompanharem as am</w:t>
      </w:r>
      <w:r>
        <w:t xml:space="preserve">bições das medidas propostas e a intensificarem os esforços para </w:t>
      </w:r>
      <w:r>
        <w:lastRenderedPageBreak/>
        <w:t>melhorar a segurança e a proteção dos jornalistas;</w:t>
      </w:r>
    </w:p>
    <w:p w:rsidR="0007758F" w:rsidRPr="00DE208C" w:rsidRDefault="00BF7363" w:rsidP="0007758F">
      <w:pPr>
        <w:pStyle w:val="NormalHanging12a"/>
      </w:pPr>
      <w:r>
        <w:t>21.</w:t>
      </w:r>
      <w:r>
        <w:tab/>
        <w:t>Regista com profunda preocupação a redução global do espaço reservado à sociedade civil em alguns Estados</w:t>
      </w:r>
      <w:r>
        <w:noBreakHyphen/>
      </w:r>
      <w:r>
        <w:t xml:space="preserve">Membros, o que representa uma </w:t>
      </w:r>
      <w:r>
        <w:t>séria ameaça ao Estado de direito, à democracia, aos direitos fundamentais e a outros valores da UE; insta a Comissão a acompanhar os desafios e os ataques enfrentados pela sociedade civil no âmbito do seu trabalho anual de avaliação e comunicação de infor</w:t>
      </w:r>
      <w:r>
        <w:t>mações sobre o Estado de direito e a incluir conclusões e recomendações específicas no seu relatório; reitera, a este respeito, o seu apelo para que seja dedicado um capítulo separado à situação da sociedade civil nos Estados</w:t>
      </w:r>
      <w:r>
        <w:noBreakHyphen/>
      </w:r>
      <w:r>
        <w:t>Membros;</w:t>
      </w:r>
    </w:p>
    <w:p w:rsidR="0007758F" w:rsidRPr="00DE208C" w:rsidRDefault="00BF7363" w:rsidP="0007758F">
      <w:pPr>
        <w:pStyle w:val="NormalHanging12a"/>
      </w:pPr>
      <w:r>
        <w:t>22.</w:t>
      </w:r>
      <w:r>
        <w:tab/>
        <w:t>Salienta que o at</w:t>
      </w:r>
      <w:r>
        <w:t>ual quadro jurídico à escala nacional e da União é insuficiente para criar e apoiar uma sociedade civil pan</w:t>
      </w:r>
      <w:r>
        <w:noBreakHyphen/>
      </w:r>
      <w:r>
        <w:t>europeia robusta, cuja existência é necessária para a democracia; entende, por isso, que um estatuto para associações transfronteiriças e organizaçõ</w:t>
      </w:r>
      <w:r>
        <w:t>es sem fins lucrativos da UE proporcionará um nível adicional de proteção às organizações da sociedade civil confrontadas com obstáculos indevidos à sua criação e funcionamento</w:t>
      </w:r>
      <w:r>
        <w:rPr>
          <w:rStyle w:val="FootnoteReference"/>
        </w:rPr>
        <w:footnoteReference w:id="13"/>
      </w:r>
      <w:r>
        <w:t>.</w:t>
      </w:r>
    </w:p>
    <w:p w:rsidR="0007758F" w:rsidRPr="00DE208C" w:rsidRDefault="0007758F" w:rsidP="0007758F"/>
    <w:p w:rsidR="0007758F" w:rsidRPr="00DE208C" w:rsidRDefault="0007758F" w:rsidP="0007758F">
      <w:pPr>
        <w:pStyle w:val="NormalHanging12a"/>
        <w:ind w:left="0" w:firstLine="0"/>
        <w:sectPr w:rsidR="0007758F" w:rsidRPr="00DE208C" w:rsidSect="00DE20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DE208C" w:rsidRPr="00DE208C" w:rsidRDefault="00BF7363" w:rsidP="00DE208C">
      <w:pPr>
        <w:pStyle w:val="PageHeadingNotTOC"/>
        <w:rPr>
          <w:rFonts w:eastAsia="Calibri"/>
          <w:szCs w:val="24"/>
        </w:rPr>
      </w:pPr>
      <w:r>
        <w:lastRenderedPageBreak/>
        <w:t>ANEXO: LISTA DE ENTIDADES OU PESSOAS SINGULARES</w:t>
      </w:r>
      <w:r>
        <w:br/>
        <w:t xml:space="preserve">DE QUEM O RELATOR DE </w:t>
      </w:r>
      <w:r>
        <w:t>PARECER RECEBEU CONTRIBUTOS</w:t>
      </w:r>
    </w:p>
    <w:p w:rsidR="00DE208C" w:rsidRPr="00DE208C" w:rsidRDefault="00DE208C" w:rsidP="00DE208C">
      <w:pPr>
        <w:spacing w:line="200" w:lineRule="exact"/>
        <w:rPr>
          <w:sz w:val="22"/>
          <w:szCs w:val="22"/>
        </w:rPr>
      </w:pPr>
    </w:p>
    <w:p w:rsidR="00DE208C" w:rsidRPr="00DE208C" w:rsidRDefault="00DE208C" w:rsidP="00DE208C">
      <w:pPr>
        <w:spacing w:line="200" w:lineRule="exact"/>
        <w:rPr>
          <w:sz w:val="22"/>
          <w:szCs w:val="22"/>
        </w:rPr>
      </w:pPr>
    </w:p>
    <w:p w:rsidR="00DE208C" w:rsidRPr="00DE208C" w:rsidRDefault="00BF7363" w:rsidP="00DE208C">
      <w:pPr>
        <w:spacing w:line="360" w:lineRule="auto"/>
        <w:rPr>
          <w:iCs/>
          <w:sz w:val="22"/>
          <w:szCs w:val="22"/>
        </w:rPr>
      </w:pPr>
      <w:r>
        <w:rPr>
          <w:sz w:val="22"/>
        </w:rPr>
        <w:t>O relator declara, sob sua exclusiva responsabilidade, que não recebeu contributos de nenhuma entidade ou pessoa a mencionar no presente anexo, nos termos do artigo 8.º do anexo I do Regimento.</w:t>
      </w:r>
    </w:p>
    <w:p w:rsidR="00D120CA" w:rsidRPr="00DE208C" w:rsidRDefault="00BF7363" w:rsidP="00DE208C">
      <w:pPr>
        <w:pStyle w:val="PageHeadingNotTOC"/>
        <w:jc w:val="left"/>
      </w:pPr>
      <w:r>
        <w:br w:type="page"/>
      </w:r>
    </w:p>
    <w:p w:rsidR="00D120CA" w:rsidRPr="00DE208C" w:rsidRDefault="00BF7363" w:rsidP="00D120CA">
      <w:pPr>
        <w:pStyle w:val="PageHeadingNotTOC"/>
      </w:pPr>
      <w:bookmarkStart w:id="1" w:name="ProcPageAD"/>
      <w:r>
        <w:lastRenderedPageBreak/>
        <w:t>INFORMAÇÕES SOBRE A APROVAÇÃO</w:t>
      </w:r>
      <w:r>
        <w:br/>
      </w:r>
      <w:r>
        <w:t>NA COMISSÃO ENCARREGADA DE EMITIR PARECER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A80CB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Data de aprovação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29.11.2023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D120C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D120C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D120CA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A80CB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Resultado da votação final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+:</w:t>
            </w:r>
          </w:p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–:</w:t>
            </w:r>
          </w:p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</w:tr>
      <w:tr w:rsidR="00A80CB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Deputados presentes no momento da votação final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Pascal Arimont, Ilana Cicurel, Geoffroy Didier, Ibán García Del Blanco, Virginie Joron, </w:t>
            </w:r>
            <w:r>
              <w:rPr>
                <w:color w:val="000000"/>
                <w:sz w:val="20"/>
              </w:rPr>
              <w:t>Pierre Karleskind, Sergey Lagodinsky, Gilles Lebreton, Karen Melchior, Sabrina Pignedoli, Jiří Pospíšil, Raffaele Stancanelli, Adrián Vázquez Lázara, Axel Voss, Marion Walsmann, Tiemo Wölken, Javier Zarzalejos</w:t>
            </w:r>
          </w:p>
        </w:tc>
      </w:tr>
      <w:tr w:rsidR="00A80CB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Suplentes presentes no momento da votação </w:t>
            </w:r>
            <w:r>
              <w:rPr>
                <w:b/>
                <w:color w:val="000000"/>
                <w:sz w:val="20"/>
              </w:rPr>
              <w:t>final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Daniel Buda, Pascal Durand, Heidi Hautala</w:t>
            </w:r>
          </w:p>
        </w:tc>
      </w:tr>
      <w:tr w:rsidR="00A80CB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Suplentes (art. 209.º, n.º 7) presentes no momento da votação final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D120CA" w:rsidRPr="00DE208C" w:rsidRDefault="00BF7363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Sylvie Guillaume, Pedro Marques, Anne</w:t>
            </w:r>
            <w:r>
              <w:rPr>
                <w:color w:val="000000"/>
                <w:sz w:val="20"/>
              </w:rPr>
              <w:noBreakHyphen/>
            </w:r>
            <w:r>
              <w:rPr>
                <w:color w:val="000000"/>
                <w:sz w:val="20"/>
              </w:rPr>
              <w:t>Sophie Pelletier</w:t>
            </w:r>
          </w:p>
        </w:tc>
      </w:tr>
    </w:tbl>
    <w:p w:rsidR="00D120CA" w:rsidRPr="00DE208C" w:rsidRDefault="00D120CA" w:rsidP="00DE208C"/>
    <w:bookmarkEnd w:id="1"/>
    <w:p w:rsidR="00DE208C" w:rsidRPr="00DE208C" w:rsidRDefault="00DE208C" w:rsidP="00DE208C">
      <w:pPr>
        <w:sectPr w:rsidR="00DE208C" w:rsidRPr="00DE208C" w:rsidSect="00DE208C">
          <w:headerReference w:type="even" r:id="rId15"/>
          <w:headerReference w:type="default" r:id="rId16"/>
          <w:headerReference w:type="first" r:id="rId17"/>
          <w:footerReference w:type="first" r:id="rId18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DE208C" w:rsidRPr="00DE208C" w:rsidRDefault="00BF7363" w:rsidP="00C36610">
      <w:pPr>
        <w:pStyle w:val="PageHeadingNotTOC"/>
      </w:pPr>
      <w:bookmarkStart w:id="2" w:name="RollCallPageAD"/>
      <w:r>
        <w:lastRenderedPageBreak/>
        <w:t>VOTAÇÃO NOMINAL FINAL</w:t>
      </w:r>
      <w:r>
        <w:br/>
        <w:t>NA COMISSÃO ENCARREGADA DE EMITIR PARECER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80CB7" w:rsidTr="006C6A13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08C" w:rsidRPr="00DE208C" w:rsidRDefault="00BF7363" w:rsidP="006C6A13">
            <w:pPr>
              <w:pStyle w:val="RollCallVotes"/>
            </w:pPr>
            <w:r>
              <w:t>20</w:t>
            </w:r>
          </w:p>
        </w:tc>
        <w:tc>
          <w:tcPr>
            <w:tcW w:w="7371" w:type="dxa"/>
            <w:shd w:val="pct10" w:color="000000" w:fill="FFFFFF"/>
          </w:tcPr>
          <w:p w:rsidR="00DE208C" w:rsidRPr="00DE208C" w:rsidRDefault="00BF7363" w:rsidP="006C6A13">
            <w:pPr>
              <w:pStyle w:val="RollCallSymbols14pt"/>
            </w:pPr>
            <w:r>
              <w:t>+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Sabrina Pignedoli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 xml:space="preserve">Pascal Arimont, Daniel Buda, Geoffroy Didier, Jiří Pospíšil, Axel Voss, Marion Walsmann, </w:t>
            </w:r>
            <w:r>
              <w:t>Javier Zarzalejos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Renew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Ilana Cicurel, Pierre Karleskind, Karen Melchior, Adrián Vázquez Lázara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S&amp;D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Pascal Durand, Ibán García Del Blanco, Sylvie Guillaume, Pedro Marques, Tiemo Wölken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The Left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Anne</w:t>
            </w:r>
            <w:r>
              <w:noBreakHyphen/>
            </w:r>
            <w:r>
              <w:t>Sophie Pelletier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Heidi Hautala, Sergey Lago</w:t>
            </w:r>
            <w:r>
              <w:t>dinsky</w:t>
            </w:r>
          </w:p>
        </w:tc>
      </w:tr>
    </w:tbl>
    <w:p w:rsidR="00DE208C" w:rsidRPr="00DE208C" w:rsidRDefault="00DE208C" w:rsidP="00DE208C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80CB7" w:rsidTr="006C6A13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08C" w:rsidRPr="00DE208C" w:rsidRDefault="00BF7363" w:rsidP="006C6A13">
            <w:pPr>
              <w:pStyle w:val="RollCallVotes"/>
            </w:pPr>
            <w:r>
              <w:t>2</w:t>
            </w:r>
          </w:p>
        </w:tc>
        <w:tc>
          <w:tcPr>
            <w:tcW w:w="7371" w:type="dxa"/>
            <w:shd w:val="pct10" w:color="000000" w:fill="FFFFFF"/>
          </w:tcPr>
          <w:p w:rsidR="00DE208C" w:rsidRPr="00DE208C" w:rsidRDefault="00BF7363" w:rsidP="006C6A13">
            <w:pPr>
              <w:pStyle w:val="RollCallSymbols14pt"/>
            </w:pPr>
            <w:r>
              <w:noBreakHyphen/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ID</w:t>
            </w:r>
          </w:p>
        </w:tc>
        <w:tc>
          <w:tcPr>
            <w:tcW w:w="7371" w:type="dxa"/>
            <w:shd w:val="clear" w:color="auto" w:fill="FFFFFF"/>
          </w:tcPr>
          <w:p w:rsidR="00DE208C" w:rsidRPr="00DE208C" w:rsidRDefault="00BF7363" w:rsidP="006C6A13">
            <w:pPr>
              <w:pStyle w:val="RollCallTable"/>
            </w:pPr>
            <w:r>
              <w:t>Virginie Joron, Gilles Lebreton</w:t>
            </w:r>
          </w:p>
        </w:tc>
      </w:tr>
    </w:tbl>
    <w:p w:rsidR="00DE208C" w:rsidRPr="00DE208C" w:rsidRDefault="00DE208C" w:rsidP="00DE208C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80CB7" w:rsidTr="006C6A13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08C" w:rsidRPr="00DE208C" w:rsidRDefault="00BF7363" w:rsidP="006C6A13">
            <w:pPr>
              <w:pStyle w:val="RollCallVotes"/>
            </w:pPr>
            <w:r>
              <w:t>0</w:t>
            </w:r>
          </w:p>
        </w:tc>
        <w:tc>
          <w:tcPr>
            <w:tcW w:w="7371" w:type="dxa"/>
            <w:shd w:val="pct10" w:color="000000" w:fill="FFFFFF"/>
          </w:tcPr>
          <w:p w:rsidR="00DE208C" w:rsidRPr="00DE208C" w:rsidRDefault="00BF7363" w:rsidP="006C6A13">
            <w:pPr>
              <w:pStyle w:val="RollCallSymbols14pt"/>
            </w:pPr>
            <w:r>
              <w:t>0</w:t>
            </w:r>
          </w:p>
        </w:tc>
      </w:tr>
      <w:tr w:rsidR="00A80CB7" w:rsidTr="006C6A13">
        <w:trPr>
          <w:cantSplit/>
        </w:trPr>
        <w:tc>
          <w:tcPr>
            <w:tcW w:w="1701" w:type="dxa"/>
            <w:shd w:val="clear" w:color="auto" w:fill="FFFFFF"/>
          </w:tcPr>
          <w:p w:rsidR="00DE208C" w:rsidRPr="00DE208C" w:rsidRDefault="00DE208C" w:rsidP="006C6A13">
            <w:pPr>
              <w:pStyle w:val="RollCallTable"/>
            </w:pPr>
          </w:p>
        </w:tc>
        <w:tc>
          <w:tcPr>
            <w:tcW w:w="7371" w:type="dxa"/>
            <w:shd w:val="clear" w:color="auto" w:fill="FFFFFF"/>
          </w:tcPr>
          <w:p w:rsidR="00DE208C" w:rsidRPr="00DE208C" w:rsidRDefault="00DE208C" w:rsidP="006C6A13">
            <w:pPr>
              <w:pStyle w:val="RollCallTable"/>
            </w:pPr>
          </w:p>
        </w:tc>
      </w:tr>
    </w:tbl>
    <w:p w:rsidR="00DE208C" w:rsidRPr="00DE208C" w:rsidRDefault="00DE208C" w:rsidP="00147FBF">
      <w:pPr>
        <w:pStyle w:val="Normal12a"/>
      </w:pPr>
    </w:p>
    <w:p w:rsidR="00DE208C" w:rsidRPr="00DE208C" w:rsidRDefault="00BF7363" w:rsidP="00B735E3">
      <w:r>
        <w:t>Legenda dos símbolos utilizados:</w:t>
      </w:r>
    </w:p>
    <w:p w:rsidR="00DE208C" w:rsidRPr="00DE208C" w:rsidRDefault="00BF7363" w:rsidP="003858C5">
      <w:pPr>
        <w:pStyle w:val="RollCallTabs"/>
      </w:pPr>
      <w:r>
        <w:t>+</w:t>
      </w:r>
      <w:r>
        <w:tab/>
        <w:t>:</w:t>
      </w:r>
      <w:r>
        <w:tab/>
        <w:t>votos a favor</w:t>
      </w:r>
    </w:p>
    <w:p w:rsidR="00DE208C" w:rsidRPr="00DE208C" w:rsidRDefault="00BF7363" w:rsidP="003858C5">
      <w:pPr>
        <w:pStyle w:val="RollCallTabs"/>
      </w:pPr>
      <w:r>
        <w:noBreakHyphen/>
      </w:r>
      <w:r>
        <w:tab/>
        <w:t>:</w:t>
      </w:r>
      <w:r>
        <w:tab/>
        <w:t>votos contra</w:t>
      </w:r>
    </w:p>
    <w:p w:rsidR="00DE208C" w:rsidRPr="00DE208C" w:rsidRDefault="00BF7363" w:rsidP="003858C5">
      <w:pPr>
        <w:pStyle w:val="RollCallTabs"/>
      </w:pPr>
      <w:r>
        <w:t>0</w:t>
      </w:r>
      <w:r>
        <w:tab/>
        <w:t>:</w:t>
      </w:r>
      <w:r>
        <w:tab/>
        <w:t>abstenções</w:t>
      </w:r>
    </w:p>
    <w:p w:rsidR="00DE208C" w:rsidRPr="00DE208C" w:rsidRDefault="00DE208C" w:rsidP="00207509"/>
    <w:bookmarkEnd w:id="2"/>
    <w:p w:rsidR="001C6C04" w:rsidRPr="00DE208C" w:rsidRDefault="001C6C04" w:rsidP="00DE208C"/>
    <w:sectPr w:rsidR="001C6C04" w:rsidRPr="00DE208C" w:rsidSect="00DE208C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F7363">
      <w:r>
        <w:separator/>
      </w:r>
    </w:p>
  </w:endnote>
  <w:endnote w:type="continuationSeparator" w:id="0">
    <w:p w:rsidR="00000000" w:rsidRDefault="00BF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8C" w:rsidRPr="00DE208C" w:rsidRDefault="00BF7363" w:rsidP="00DE208C">
    <w:pPr>
      <w:pStyle w:val="EPFooter"/>
    </w:pPr>
    <w:r w:rsidRPr="00DE208C">
      <w:t>PE</w:t>
    </w:r>
    <w:r w:rsidRPr="00DE208C">
      <w:rPr>
        <w:rStyle w:val="HideTWBExt"/>
      </w:rPr>
      <w:t>&lt;NoPE&gt;</w:t>
    </w:r>
    <w:r w:rsidRPr="00DE208C">
      <w:t>754.755</w:t>
    </w:r>
    <w:r w:rsidRPr="00DE208C">
      <w:rPr>
        <w:rStyle w:val="HideTWBExt"/>
      </w:rPr>
      <w:t>&lt;/NoPE&gt;&lt;Version&gt;</w:t>
    </w:r>
    <w:r w:rsidRPr="00DE208C">
      <w:t>v02</w:t>
    </w:r>
    <w:r>
      <w:noBreakHyphen/>
    </w:r>
    <w:r w:rsidRPr="00DE208C">
      <w:t>00</w:t>
    </w:r>
    <w:r w:rsidRPr="00DE208C">
      <w:rPr>
        <w:rStyle w:val="HideTWBExt"/>
      </w:rPr>
      <w:t>&lt;/Version&gt;</w:t>
    </w:r>
    <w:r w:rsidRPr="00DE208C">
      <w:tab/>
    </w:r>
    <w:r w:rsidRPr="00DE208C">
      <w:fldChar w:fldCharType="begin"/>
    </w:r>
    <w:r w:rsidRPr="00DE208C">
      <w:instrText xml:space="preserve"> PAGE  \* MERGEFORMAT </w:instrText>
    </w:r>
    <w:r w:rsidRPr="00DE208C">
      <w:fldChar w:fldCharType="separate"/>
    </w:r>
    <w:r>
      <w:rPr>
        <w:noProof/>
      </w:rPr>
      <w:t>2</w:t>
    </w:r>
    <w:r w:rsidRPr="00DE208C">
      <w:fldChar w:fldCharType="end"/>
    </w:r>
    <w:r w:rsidRPr="00DE208C">
      <w:t>/</w:t>
    </w:r>
    <w:r w:rsidR="004F3A68">
      <w:fldChar w:fldCharType="begin"/>
    </w:r>
    <w:r>
      <w:instrText xml:space="preserve"> NUMPAGES  \* MERGEFORMAT </w:instrText>
    </w:r>
    <w:r w:rsidR="004F3A68">
      <w:fldChar w:fldCharType="separate"/>
    </w:r>
    <w:r>
      <w:rPr>
        <w:noProof/>
      </w:rPr>
      <w:t>11</w:t>
    </w:r>
    <w:r w:rsidR="004F3A68">
      <w:rPr>
        <w:noProof/>
      </w:rPr>
      <w:fldChar w:fldCharType="end"/>
    </w:r>
    <w:r w:rsidRPr="00DE208C">
      <w:tab/>
    </w:r>
    <w:r w:rsidRPr="00DE208C">
      <w:rPr>
        <w:rStyle w:val="HideTWBExt"/>
      </w:rPr>
      <w:t>&lt;PathFdR&gt;</w:t>
    </w:r>
    <w:r w:rsidRPr="00DE208C">
      <w:t>AD\1291636PT.docx</w:t>
    </w:r>
    <w:r w:rsidRPr="00DE208C">
      <w:rPr>
        <w:rStyle w:val="HideTWBExt"/>
      </w:rPr>
      <w:t>&lt;/PathFdR&gt;</w:t>
    </w:r>
  </w:p>
  <w:p w:rsidR="0007758F" w:rsidRPr="00DE208C" w:rsidRDefault="00BF7363" w:rsidP="00DE208C">
    <w:pPr>
      <w:pStyle w:val="EPFooter2"/>
    </w:pPr>
    <w:r w:rsidRPr="00DE208C"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8C" w:rsidRPr="00DE208C" w:rsidRDefault="00BF7363" w:rsidP="00DE208C">
    <w:pPr>
      <w:pStyle w:val="EPFooter"/>
    </w:pPr>
    <w:r w:rsidRPr="00DE208C">
      <w:rPr>
        <w:rStyle w:val="HideTWBExt"/>
      </w:rPr>
      <w:t>&lt;PathFdR&gt;</w:t>
    </w:r>
    <w:r w:rsidRPr="00DE208C">
      <w:t>AD\1291636PT.docx</w:t>
    </w:r>
    <w:r w:rsidRPr="00DE208C">
      <w:rPr>
        <w:rStyle w:val="HideTWBExt"/>
      </w:rPr>
      <w:t>&lt;/PathFdR&gt;</w:t>
    </w:r>
    <w:r w:rsidRPr="00DE208C">
      <w:tab/>
    </w:r>
    <w:r w:rsidRPr="00DE208C">
      <w:fldChar w:fldCharType="begin"/>
    </w:r>
    <w:r w:rsidRPr="00DE208C">
      <w:instrText xml:space="preserve"> PAGE  \* MERGEFORMAT </w:instrText>
    </w:r>
    <w:r w:rsidRPr="00DE208C">
      <w:fldChar w:fldCharType="separate"/>
    </w:r>
    <w:r>
      <w:rPr>
        <w:noProof/>
      </w:rPr>
      <w:t>11</w:t>
    </w:r>
    <w:r w:rsidRPr="00DE208C">
      <w:fldChar w:fldCharType="end"/>
    </w:r>
    <w:r w:rsidRPr="00DE208C">
      <w:t>/</w:t>
    </w:r>
    <w:r w:rsidR="004F3A68">
      <w:fldChar w:fldCharType="begin"/>
    </w:r>
    <w:r>
      <w:instrText xml:space="preserve"> NUMPAGES  \* MERGEFORMAT </w:instrText>
    </w:r>
    <w:r w:rsidR="004F3A68">
      <w:fldChar w:fldCharType="separate"/>
    </w:r>
    <w:r>
      <w:rPr>
        <w:noProof/>
      </w:rPr>
      <w:t>11</w:t>
    </w:r>
    <w:r w:rsidR="004F3A68">
      <w:rPr>
        <w:noProof/>
      </w:rPr>
      <w:fldChar w:fldCharType="end"/>
    </w:r>
    <w:r w:rsidRPr="00DE208C">
      <w:tab/>
      <w:t>PE</w:t>
    </w:r>
    <w:r w:rsidRPr="00DE208C">
      <w:rPr>
        <w:rStyle w:val="HideTWBExt"/>
      </w:rPr>
      <w:t>&lt;NoPE&gt;</w:t>
    </w:r>
    <w:r w:rsidRPr="00DE208C">
      <w:t>754.75</w:t>
    </w:r>
    <w:r w:rsidRPr="00DE208C">
      <w:t>5</w:t>
    </w:r>
    <w:r w:rsidRPr="00DE208C">
      <w:rPr>
        <w:rStyle w:val="HideTWBExt"/>
      </w:rPr>
      <w:t>&lt;/NoPE&gt;&lt;Version&gt;</w:t>
    </w:r>
    <w:r w:rsidRPr="00DE208C">
      <w:t>v02</w:t>
    </w:r>
    <w:r>
      <w:noBreakHyphen/>
    </w:r>
    <w:r w:rsidRPr="00DE208C">
      <w:t>00</w:t>
    </w:r>
    <w:r w:rsidRPr="00DE208C">
      <w:rPr>
        <w:rStyle w:val="HideTWBExt"/>
      </w:rPr>
      <w:t>&lt;/Version&gt;</w:t>
    </w:r>
  </w:p>
  <w:p w:rsidR="0007758F" w:rsidRPr="00DE208C" w:rsidRDefault="00BF7363" w:rsidP="00DE208C">
    <w:pPr>
      <w:pStyle w:val="EPFooter2"/>
    </w:pPr>
    <w:r w:rsidRPr="00DE208C">
      <w:tab/>
    </w:r>
    <w:r w:rsidRPr="00DE208C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8C" w:rsidRPr="00DE208C" w:rsidRDefault="00BF7363" w:rsidP="00DE208C">
    <w:pPr>
      <w:pStyle w:val="EPFooter"/>
    </w:pPr>
    <w:r w:rsidRPr="00DE208C">
      <w:rPr>
        <w:rStyle w:val="HideTWBExt"/>
      </w:rPr>
      <w:t>&lt;PathFdR&gt;</w:t>
    </w:r>
    <w:r w:rsidRPr="00DE208C">
      <w:t>AD\1291636PT.docx</w:t>
    </w:r>
    <w:r w:rsidRPr="00DE208C">
      <w:rPr>
        <w:rStyle w:val="HideTWBExt"/>
      </w:rPr>
      <w:t>&lt;/PathFdR&gt;</w:t>
    </w:r>
    <w:r w:rsidRPr="00DE208C">
      <w:tab/>
    </w:r>
    <w:r w:rsidRPr="00DE208C">
      <w:tab/>
      <w:t>PE</w:t>
    </w:r>
    <w:r w:rsidRPr="00DE208C">
      <w:rPr>
        <w:rStyle w:val="HideTWBExt"/>
      </w:rPr>
      <w:t>&lt;NoPE&gt;</w:t>
    </w:r>
    <w:r w:rsidRPr="00DE208C">
      <w:t>754.755</w:t>
    </w:r>
    <w:r w:rsidRPr="00DE208C">
      <w:rPr>
        <w:rStyle w:val="HideTWBExt"/>
      </w:rPr>
      <w:t>&lt;/NoPE&gt;&lt;Version&gt;</w:t>
    </w:r>
    <w:r w:rsidRPr="00DE208C">
      <w:t>v02</w:t>
    </w:r>
    <w:r>
      <w:noBreakHyphen/>
    </w:r>
    <w:r w:rsidRPr="00DE208C">
      <w:t>00</w:t>
    </w:r>
    <w:r w:rsidRPr="00DE208C">
      <w:rPr>
        <w:rStyle w:val="HideTWBExt"/>
      </w:rPr>
      <w:t>&lt;/Version&gt;</w:t>
    </w:r>
  </w:p>
  <w:p w:rsidR="0007758F" w:rsidRPr="00DE208C" w:rsidRDefault="00BF7363" w:rsidP="00DE208C">
    <w:pPr>
      <w:pStyle w:val="EPFooter2"/>
    </w:pPr>
    <w:r w:rsidRPr="00DE208C">
      <w:t>PT</w:t>
    </w:r>
    <w:r w:rsidRPr="00DE208C">
      <w:tab/>
    </w:r>
    <w:r w:rsidRPr="00DE208C">
      <w:rPr>
        <w:b w:val="0"/>
        <w:i/>
        <w:color w:val="C0C0C0"/>
        <w:sz w:val="22"/>
      </w:rPr>
      <w:t>Unida na diversidade</w:t>
    </w:r>
    <w:r w:rsidRPr="00DE208C">
      <w:tab/>
      <w:t>PT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CA" w:rsidRPr="00DE208C" w:rsidRDefault="00BF7363" w:rsidP="00D120CA">
    <w:pPr>
      <w:pStyle w:val="EPFooter"/>
    </w:pPr>
    <w:r w:rsidRPr="00DE208C">
      <w:rPr>
        <w:rStyle w:val="HideTWBExt"/>
      </w:rPr>
      <w:t>&lt;PathFdR&gt;</w:t>
    </w:r>
    <w:r w:rsidRPr="00DE208C">
      <w:t>AD\1291636PT.docx</w:t>
    </w:r>
    <w:r w:rsidRPr="00DE208C">
      <w:rPr>
        <w:rStyle w:val="HideTWBExt"/>
      </w:rPr>
      <w:t>&lt;/PathFdR&gt;</w:t>
    </w:r>
    <w:r w:rsidRPr="00DE208C">
      <w:tab/>
    </w:r>
    <w:r w:rsidRPr="00DE208C">
      <w:tab/>
      <w:t>PE</w:t>
    </w:r>
    <w:r w:rsidRPr="00DE208C">
      <w:rPr>
        <w:rStyle w:val="HideTWBExt"/>
      </w:rPr>
      <w:t>&lt;NoPE&gt;</w:t>
    </w:r>
    <w:r w:rsidRPr="00DE208C">
      <w:t>754.755</w:t>
    </w:r>
    <w:r w:rsidRPr="00DE208C">
      <w:rPr>
        <w:rStyle w:val="HideTWBExt"/>
      </w:rPr>
      <w:t>&lt;/NoPE&gt;&lt;Version&gt;</w:t>
    </w:r>
    <w:r w:rsidRPr="00DE208C">
      <w:t>v02</w:t>
    </w:r>
    <w:r>
      <w:noBreakHyphen/>
    </w:r>
    <w:r w:rsidRPr="00DE208C">
      <w:t>00</w:t>
    </w:r>
    <w:r w:rsidRPr="00DE208C">
      <w:rPr>
        <w:rStyle w:val="HideTWBExt"/>
      </w:rPr>
      <w:t>&lt;/Version&gt;</w:t>
    </w:r>
  </w:p>
  <w:p w:rsidR="002E2F2E" w:rsidRPr="00DE208C" w:rsidRDefault="00BF7363" w:rsidP="00D120CA">
    <w:pPr>
      <w:pStyle w:val="EPFooter2"/>
    </w:pPr>
    <w:r w:rsidRPr="00DE208C">
      <w:t>PT</w:t>
    </w:r>
    <w:r w:rsidRPr="00DE208C">
      <w:tab/>
    </w:r>
    <w:r w:rsidRPr="00DE208C">
      <w:rPr>
        <w:b w:val="0"/>
        <w:i/>
        <w:color w:val="C0C0C0"/>
        <w:sz w:val="22"/>
      </w:rPr>
      <w:t>Unida na diversidade</w:t>
    </w:r>
    <w:r w:rsidRPr="00DE208C"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57D" w:rsidRPr="00DE208C" w:rsidRDefault="00BF7363">
      <w:r w:rsidRPr="00DE208C">
        <w:separator/>
      </w:r>
    </w:p>
  </w:footnote>
  <w:footnote w:type="continuationSeparator" w:id="0">
    <w:p w:rsidR="0007657D" w:rsidRPr="00DE208C" w:rsidRDefault="00BF7363">
      <w:r w:rsidRPr="00DE208C">
        <w:continuationSeparator/>
      </w:r>
    </w:p>
  </w:footnote>
  <w:footnote w:id="1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Ver Parecer 2/2013 do Tribunal de Justiça da União Europeia (Tribunal Pleno) de 18 de dezembro de 2014, ECLI:EU:C:2014:2454, n.º 168.</w:t>
      </w:r>
    </w:p>
  </w:footnote>
  <w:footnote w:id="2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Ibid., n.º 191.</w:t>
      </w:r>
    </w:p>
  </w:footnote>
  <w:footnote w:id="3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Ciclos de avaliação da CEPEJ.</w:t>
      </w:r>
    </w:p>
  </w:footnote>
  <w:footnote w:id="4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Briefing – «Council of Europe standards on judicial independence» [Normas do Conselho da Europa em matéria de independência judicial], Parlamento Europeu, Direção</w:t>
      </w:r>
      <w:r>
        <w:noBreakHyphen/>
      </w:r>
      <w:r>
        <w:t>Geral dos Serviços de Estudos do Parlamento Europeu, 25 de maio de 2021.</w:t>
      </w:r>
    </w:p>
  </w:footnote>
  <w:footnote w:id="5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Por exemplo, Acór</w:t>
      </w:r>
      <w:r>
        <w:t>dão do Tribunal de Justiça (Grande Secção) de 27 de fevereiro de 2018, C</w:t>
      </w:r>
      <w:r>
        <w:noBreakHyphen/>
      </w:r>
      <w:r>
        <w:t xml:space="preserve">64/16, Associação Sindical dos Juízes Portugueses/Tribunal de Contas, ECLI:EU:C:2018:117, Acórdão do Tribunal de Justiça (Grande Secção) de 19 de novembro de 2019, A.K. /Krajowa Rada </w:t>
      </w:r>
      <w:r>
        <w:t>Sądownictwa, processos apensos C</w:t>
      </w:r>
      <w:r>
        <w:noBreakHyphen/>
      </w:r>
      <w:r>
        <w:t>585/18, C</w:t>
      </w:r>
      <w:r>
        <w:noBreakHyphen/>
      </w:r>
      <w:r>
        <w:t>624/18 e C</w:t>
      </w:r>
      <w:r>
        <w:noBreakHyphen/>
      </w:r>
      <w:r>
        <w:t>625/18, ECLI:EU:C:2019:982. Ver igualmente Briefing – «European Court of Justice case law on judicial» [Jurisprudência do Tribunal de Justiça da União Europeia sobre a independência do sistema judicial]</w:t>
      </w:r>
      <w:r>
        <w:t>, Parlamento Europeu. Direção</w:t>
      </w:r>
      <w:r>
        <w:noBreakHyphen/>
      </w:r>
      <w:r>
        <w:t>Geral dos Serviços de Estudos do Parlamento Europeu, 19 de julho de 2021.</w:t>
      </w:r>
    </w:p>
  </w:footnote>
  <w:footnote w:id="6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Regulamento (UE, Euratom) 2020/2092 do Parlamento Europeu e do Conselho, de 16 de dezembro de 2020, relativo a um regime geral de condicionalidade par</w:t>
      </w:r>
      <w:r>
        <w:t>a a proteção do orçamento da União (JO L 433 I de 22.12.2020, p. 1).</w:t>
      </w:r>
    </w:p>
  </w:footnote>
  <w:footnote w:id="7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Ver, Acórdão do Tribunal de Justiça (Tribunal Pleno) de 16 de fevereiro de 2022, Hungria/Parlamento Europeu e Conselho da União Europeia, C</w:t>
      </w:r>
      <w:r>
        <w:noBreakHyphen/>
      </w:r>
      <w:r>
        <w:t>156/21, ECLI:EU:C:2022:97, e Acórdão do Tribunal de Justiça (Tribunal Pleno) de 16 de fevereiro de 2022, Polónia/Pa</w:t>
      </w:r>
      <w:r>
        <w:t>rlamento Europeu e Conselho da União Europeia, C</w:t>
      </w:r>
      <w:r>
        <w:noBreakHyphen/>
      </w:r>
      <w:r>
        <w:t>157/21, ECLI:EU:C:2022:98.</w:t>
      </w:r>
    </w:p>
  </w:footnote>
  <w:footnote w:id="8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Regulamento (UE) 2021/241 do Parlamento Europeu e do Conselho, de 12 de fevereiro de 2021, que cria o Mecanismo de Recuperação e Resiliência (JO L 57 de 18.2.2021, p. 17).</w:t>
      </w:r>
    </w:p>
  </w:footnote>
  <w:footnote w:id="9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JO L</w:t>
      </w:r>
      <w:r>
        <w:t> 26 de 31.1.2003, p. 41, e retificação no JO L 32 de 7.2.2003, p. 15.</w:t>
      </w:r>
    </w:p>
  </w:footnote>
  <w:footnote w:id="10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Por exemplo, Parecer n.º 9, de 17 de dezembro de 2014, do Conselho Consultivo dos Procuradores Europeus sobre as normas e princípios europeus relativos aos procuradores.</w:t>
      </w:r>
    </w:p>
  </w:footnote>
  <w:footnote w:id="11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Ver, neste c</w:t>
      </w:r>
      <w:r>
        <w:t>ontexto, artigo 3.º da proposta de diretiva do Parlamento Europeu e do Conselho, de 3 de maio de 2023, relativa à luta contra a corrupção, que substitui a Decisão‑Quadro 2003/568/JAI do Conselho e a Convenção relativa à luta contra a corrupção em que estej</w:t>
      </w:r>
      <w:r>
        <w:t>am implicados funcionários das Comunidades Europeias ou dos Estados‑Membros da União Europeia e que altera a Diretiva (UE) 2017/1371 do Parlamento Europeu e do Conselho (COM(2023)0234).</w:t>
      </w:r>
    </w:p>
  </w:footnote>
  <w:footnote w:id="12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Regulamento (CE) n.º 1049/2001 do Parlamento Europeu e do Conselho, </w:t>
      </w:r>
      <w:r>
        <w:t>de 30 de maio de 2001, relativo ao acesso do público aos documentos do Parlamento Europeu, do Conselho e da Comissão (JO L 145 de 31.5.2001, p. 43).</w:t>
      </w:r>
    </w:p>
  </w:footnote>
  <w:footnote w:id="13">
    <w:p w:rsidR="0007758F" w:rsidRPr="00DE208C" w:rsidRDefault="00BF7363" w:rsidP="0007758F">
      <w:pPr>
        <w:pStyle w:val="FootnoteText"/>
      </w:pPr>
      <w:r>
        <w:rPr>
          <w:rStyle w:val="FootnoteReference"/>
        </w:rPr>
        <w:footnoteRef/>
      </w:r>
      <w:r>
        <w:t xml:space="preserve"> Ver, a este respeito, a sua Resolução de 17 de fevereiro de 2022, que contém recomendações à Comissão sob</w:t>
      </w:r>
      <w:r>
        <w:t>re um estatuto para as associações europeias transfronteiriças e as organizações sem fins lucrativos (JO C 342 de 6.9.2022. p. 225).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A68" w:rsidRDefault="004F3A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A68" w:rsidRDefault="004F3A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A68" w:rsidRDefault="004F3A6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DC3" w:rsidRDefault="00CB7DC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DC3" w:rsidRDefault="00CB7DC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DC3" w:rsidRDefault="00CB7D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DOCINIMNU" w:val=" 1"/>
    <w:docVar w:name="CJMNU" w:val="1"/>
    <w:docVar w:name="CODEMNU" w:val=" 1"/>
    <w:docVar w:name="COM2KEY" w:val="LIBE"/>
    <w:docVar w:name="COMKEY" w:val="JURI"/>
    <w:docVar w:name="DOCREFINIMNU" w:val=" 1"/>
    <w:docVar w:name="LastEditedSection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339\fbidi \fswiss\fcharset238\fprq2 Arial CE;}{\f340\fbidi \fswiss\fcharset204\fprq2 Arial Cyr;}_x000d__x000a_{\f342\fbidi \fswiss\fcharset161\fprq2 Arial Greek;}{\f343\fbidi \fswiss\fcharset162\fprq2 Arial Tur;}{\f344\fbidi \fswiss\fcharset177\fprq2 Arial (Hebrew);}{\f345\fbidi \fswiss\fcharset178\fprq2 Arial (Arabic);}_x000d__x000a_{\f346\fbidi \fswiss\fcharset186\fprq2 Arial Baltic;}{\f347\fbidi \fswiss\fcharset163\fprq2 Arial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2389287 HideTWBInt;}{_x000d__x000a_\s18\ql \fi-567\li567\ri0\sa240\nowidctlpar\wrapdefault\aspalpha\aspnum\faauto\adjustright\rin0\lin567\itap0 \rtlch\fcs1 \af0\afs20\alang1025 \ltrch\fcs0 \fs24\lang2057\langfe2057\cgrid\langnp2057\langfenp2057 _x000d__x000a_\sbasedon0 \snext18 \spriority0 \styrsid2389287 NormalHanging12a;}}{\*\rsidtbl \rsid24658\rsid223860\rsid735077\rsid922861\rsid1718133\rsid2389287\rsid2892074\rsid3565327\rsid4666813\rsid6641733\rsid7823322\rsid9636012\rsid10377208\rsid11215221_x000d__x000a_\rsid11549030\rsid12154954\rsid14382809\rsid14424199\rsid15204470\rsid15285974\rsid15950462\rsid16324206\rsid16662270}{\mmathPr\mmathFont34\mbrkBin0\mbrkBinSub0\msmallFrac0\mdispDef1\mlMargin0\mrMargin0\mdefJc1\mwrapIndent1440\mintLim0\mnaryLim1}{\info_x000d__x000a_{\author CORISCO Vasco}{\operator CORISCO Vasco}{\creatim\yr2023\mo12\dy12\hr9\min51}{\revtim\yr2023\mo12\dy12\hr9\min51}{\version1}{\edmins0}{\nofpages1}{\nofwords1}{\nofchars12}{\nofcharsws12}{\vern109}}{\*\xmlnstbl {\xmlns1 http://schemas.microsoft.com_x000d__x000a_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10\pgbrdrhead\pgbrdrfoot\splytwnine\ftnlytwnine\htmautsp\nolnhtadjtbl\useltbaln\alntblind\lytcalctblwd\lyttblrtgr\lnbrkrule\nobrkwrptbl\snaptogridincell\allowfieldendsel\wrppunct_x000d__x000a_\asianbrkrule\nojkernpunct\rsidroot238928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228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228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228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228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2389287 \rtlch\fcs1 \af0\afs20\alang1025 \ltrch\fcs0 \fs24\lang2057\langfe2057\cgrid\langnp2057\langfenp2057 {\rtlch\fcs1 \af0 _x000d__x000a_\ltrch\fcs0 \insrsid2389287\charrsid7021133 {\*\bkmkstart restart}#}{\rtlch\fcs1 \af1 \ltrch\fcs0 \cs17\v\f1\fs20\cf15\insrsid2389287\charrsid7021133 NRMSG}{\rtlch\fcs1 \af0 \ltrch\fcs0 \insrsid2389287\charrsid7021133 #.\tab ##}{\rtlch\fcs1 \af0 _x000d__x000a_\ltrch\fcs0 \insrsid2389287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9e_x000d__x000a_6c72d8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15078754 NormalHanging12a;}}{\*\rsidtbl \rsid24658\rsid223860\rsid735077\rsid1718133\rsid2892074\rsid3565327\rsid4666813\rsid6641733\rsid7823322\rsid9636012_x000d__x000a_\rsid10377208\rsid11215221\rsid11549030\rsid12154954\rsid14382809\rsid14424199\rsid15078754\rsid15204470\rsid15228870\rsid15285974\rsid15950462\rsid16324206\rsid16662270}{\mmathPr\mmathFont34\mbrkBin0\mbrkBinSub0\msmallFrac0\mdispDef1\mlMargin0\mrMargin0_x000d__x000a_\mdefJc1\mwrapIndent1440\mintLim0\mnaryLim1}{\info{\author CORISCO Vasco}{\operator CORISCO Vasco}{\creatim\yr2023\mo12\dy12\hr9\min51}{\revtim\yr2023\mo12\dy12\hr9\min51}{\version1}{\edmins0}{\nofpages1}{\nofwords5}{\nofchars30}{\nofcharsws34}{\vern109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10\pgbrdrhead\pgbrdrfoot\splytwnine\ftnlytwnine\htmautsp\nolnhtadjtbl\useltbaln\alntblind\lytcalctblwd\lyttblrtgr\lnbrkrule\nobrkwrptbl\snaptogridincell\allowfieldendsel\wrppunct_x000d__x000a_\asianbrkrule\nojkernpunct\rsidroot1507875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22887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2288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2288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22887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15078754 \rtlch\fcs1 \af0\afs20\alang1025 \ltrch\fcs0 \fs24\lang2057\langfe2057\cgrid\langnp2057\langfenp2057 {\rtlch\fcs1 \af0 _x000d__x000a_\ltrch\fcs0 \insrsid15078754\charrsid1525456 {\*\bkmkstart restart}[ZSUGGESTIONNR]\tab [ZSUGGESTIONTEXT]}{\rtlch\fcs1 \af0 \ltrch\fcs0 \insrsid15078754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a_x000d__x000a_1475d8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NonLeg"/>
    <w:docVar w:name="strSubDir" w:val="1291"/>
    <w:docVar w:name="TITLEMNU" w:val=" 1"/>
    <w:docVar w:name="TXTLANGUE" w:val="PT"/>
    <w:docVar w:name="TXTLANGUEMIN" w:val="pt"/>
    <w:docVar w:name="TXTNRPE" w:val="754.755"/>
    <w:docVar w:name="TXTNRPROC" w:val="2023/2113"/>
    <w:docVar w:name="TXTPEorAP" w:val="PE"/>
    <w:docVar w:name="TXTROUTE" w:val="AD\1291636PT.docx"/>
    <w:docVar w:name="TXTTITLE" w:val="xxx"/>
    <w:docVar w:name="TXTVERSION" w:val="02-00"/>
  </w:docVars>
  <w:rsids>
    <w:rsidRoot w:val="0007657D"/>
    <w:rsid w:val="0007657D"/>
    <w:rsid w:val="0007758F"/>
    <w:rsid w:val="000800B3"/>
    <w:rsid w:val="000E7EBF"/>
    <w:rsid w:val="0011784F"/>
    <w:rsid w:val="00124F60"/>
    <w:rsid w:val="00135121"/>
    <w:rsid w:val="00140BE6"/>
    <w:rsid w:val="00143233"/>
    <w:rsid w:val="00147F4E"/>
    <w:rsid w:val="00147FBF"/>
    <w:rsid w:val="0016635E"/>
    <w:rsid w:val="001746D0"/>
    <w:rsid w:val="001B7393"/>
    <w:rsid w:val="001C6C04"/>
    <w:rsid w:val="001D2ED9"/>
    <w:rsid w:val="001F21C1"/>
    <w:rsid w:val="00207509"/>
    <w:rsid w:val="00283435"/>
    <w:rsid w:val="002B6C3C"/>
    <w:rsid w:val="002D28A7"/>
    <w:rsid w:val="002E2F2E"/>
    <w:rsid w:val="002E6F98"/>
    <w:rsid w:val="00325BCB"/>
    <w:rsid w:val="00331944"/>
    <w:rsid w:val="00332AD9"/>
    <w:rsid w:val="00347D2C"/>
    <w:rsid w:val="0037356F"/>
    <w:rsid w:val="003858C5"/>
    <w:rsid w:val="00390EB2"/>
    <w:rsid w:val="00396A0E"/>
    <w:rsid w:val="003E2402"/>
    <w:rsid w:val="00440DC6"/>
    <w:rsid w:val="004764CF"/>
    <w:rsid w:val="004B1EAD"/>
    <w:rsid w:val="004C28FB"/>
    <w:rsid w:val="004C44C0"/>
    <w:rsid w:val="004F3A68"/>
    <w:rsid w:val="004F5F73"/>
    <w:rsid w:val="0052544E"/>
    <w:rsid w:val="005940C3"/>
    <w:rsid w:val="00594C48"/>
    <w:rsid w:val="005B2F11"/>
    <w:rsid w:val="005C0BDF"/>
    <w:rsid w:val="005D60C6"/>
    <w:rsid w:val="006102E7"/>
    <w:rsid w:val="006116EA"/>
    <w:rsid w:val="00640C1B"/>
    <w:rsid w:val="00657AFB"/>
    <w:rsid w:val="006C6A13"/>
    <w:rsid w:val="006D5BF7"/>
    <w:rsid w:val="008313E7"/>
    <w:rsid w:val="00854CAC"/>
    <w:rsid w:val="00885FB1"/>
    <w:rsid w:val="008A32C5"/>
    <w:rsid w:val="008C6203"/>
    <w:rsid w:val="008D61E7"/>
    <w:rsid w:val="008F7002"/>
    <w:rsid w:val="009173BB"/>
    <w:rsid w:val="0098190D"/>
    <w:rsid w:val="0099493F"/>
    <w:rsid w:val="00A16BEA"/>
    <w:rsid w:val="00A312B3"/>
    <w:rsid w:val="00A72C35"/>
    <w:rsid w:val="00A80CB7"/>
    <w:rsid w:val="00A93D90"/>
    <w:rsid w:val="00AE180F"/>
    <w:rsid w:val="00B362F7"/>
    <w:rsid w:val="00B5456B"/>
    <w:rsid w:val="00B712EA"/>
    <w:rsid w:val="00B730E0"/>
    <w:rsid w:val="00B735E3"/>
    <w:rsid w:val="00B74B53"/>
    <w:rsid w:val="00BC26E4"/>
    <w:rsid w:val="00BD1EAA"/>
    <w:rsid w:val="00BF7363"/>
    <w:rsid w:val="00C36610"/>
    <w:rsid w:val="00C52739"/>
    <w:rsid w:val="00C67F26"/>
    <w:rsid w:val="00C827FF"/>
    <w:rsid w:val="00C85D0F"/>
    <w:rsid w:val="00CB7DC3"/>
    <w:rsid w:val="00CD34AC"/>
    <w:rsid w:val="00D120CA"/>
    <w:rsid w:val="00DA30DB"/>
    <w:rsid w:val="00DE19FF"/>
    <w:rsid w:val="00DE1FD8"/>
    <w:rsid w:val="00DE208C"/>
    <w:rsid w:val="00E81BA6"/>
    <w:rsid w:val="00E856D2"/>
    <w:rsid w:val="00E929A7"/>
    <w:rsid w:val="00EC127E"/>
    <w:rsid w:val="00EF1E40"/>
    <w:rsid w:val="00FB4670"/>
    <w:rsid w:val="00FC6460"/>
    <w:rsid w:val="00FD0D14"/>
    <w:rsid w:val="00FD4BC4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286E4-81AE-4324-88E1-9835149D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noteText">
    <w:name w:val="footnote text"/>
    <w:basedOn w:val="Normal"/>
    <w:link w:val="FootnoteTextChar"/>
    <w:unhideWhenUsed/>
    <w:rsid w:val="00B712E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B712EA"/>
  </w:style>
  <w:style w:type="character" w:styleId="FootnoteReference">
    <w:name w:val="footnote reference"/>
    <w:basedOn w:val="DefaultParagraphFont"/>
    <w:unhideWhenUsed/>
    <w:rsid w:val="00B712EA"/>
    <w:rPr>
      <w:vertAlign w:val="superscript"/>
    </w:rPr>
  </w:style>
  <w:style w:type="character" w:customStyle="1" w:styleId="BoldItalic">
    <w:name w:val="BoldItalic"/>
    <w:uiPriority w:val="1"/>
    <w:rsid w:val="00B712EA"/>
    <w:rPr>
      <w:b/>
      <w:bCs w:val="0"/>
      <w:i/>
      <w:iCs w:val="0"/>
      <w:strike w:val="0"/>
      <w:dstrike w:val="0"/>
      <w:u w:val="none"/>
      <w:effect w:val="none"/>
    </w:rPr>
  </w:style>
  <w:style w:type="paragraph" w:styleId="Footer">
    <w:name w:val="footer"/>
    <w:basedOn w:val="Normal"/>
    <w:link w:val="FooterChar"/>
    <w:semiHidden/>
    <w:rsid w:val="00B712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B712EA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0800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00B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440D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40DC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40D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40D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40DC6"/>
    <w:rPr>
      <w:b/>
      <w:bCs/>
    </w:rPr>
  </w:style>
  <w:style w:type="paragraph" w:styleId="Revision">
    <w:name w:val="Revision"/>
    <w:hidden/>
    <w:uiPriority w:val="99"/>
    <w:semiHidden/>
    <w:rsid w:val="004B1EAD"/>
    <w:rPr>
      <w:sz w:val="24"/>
    </w:rPr>
  </w:style>
  <w:style w:type="paragraph" w:customStyle="1" w:styleId="RollCallSymbols14pt">
    <w:name w:val="RollCallSymbols14pt"/>
    <w:basedOn w:val="Normal"/>
    <w:rsid w:val="00DE208C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DE208C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DE208C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DE208C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93932-A9C7-4574-AD8B-DA1725D97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2584</Words>
  <Characters>14532</Characters>
  <Application>Microsoft Office Word</Application>
  <DocSecurity>0</DocSecurity>
  <Lines>285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2023-10-16T10:47:00Z</cp:lastPrinted>
  <dcterms:created xsi:type="dcterms:W3CDTF">2024-01-09T14:40:00Z</dcterms:created>
  <dcterms:modified xsi:type="dcterms:W3CDTF">2024-01-09T14:40:00Z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1291636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\\eiciBRUpr1\pdocep$\DocEP\DOCS\General\PA\PA_NonLeg\PA_NonLeg.dotx(18/09/2023 11:25:02)</vt:lpwstr>
  </property>
  <property fmtid="{D5CDD505-2E9C-101B-9397-08002B2CF9AE}" pid="6" name="&lt;ModelTra&gt;">
    <vt:lpwstr>\\eiciBRUpr1\pdocep$\DocEP\TRANSFIL\EN\PA_NonLeg.EN(18/09/2023 11:08:01)</vt:lpwstr>
  </property>
  <property fmtid="{D5CDD505-2E9C-101B-9397-08002B2CF9AE}" pid="7" name="&lt;Type&gt;">
    <vt:lpwstr>AD</vt:lpwstr>
  </property>
  <property fmtid="{D5CDD505-2E9C-101B-9397-08002B2CF9AE}" pid="8" name="Bookout">
    <vt:lpwstr>OK - 2024/01/09 15:40</vt:lpwstr>
  </property>
  <property fmtid="{D5CDD505-2E9C-101B-9397-08002B2CF9AE}" pid="9" name="Created with">
    <vt:lpwstr>9.16.1 Build [20230915]</vt:lpwstr>
  </property>
  <property fmtid="{D5CDD505-2E9C-101B-9397-08002B2CF9AE}" pid="10" name="FooterPath">
    <vt:lpwstr>AD\1291636PT.docx</vt:lpwstr>
  </property>
  <property fmtid="{D5CDD505-2E9C-101B-9397-08002B2CF9AE}" pid="11" name="LastEdited with">
    <vt:lpwstr>9.17.0 Build [20231101]</vt:lpwstr>
  </property>
  <property fmtid="{D5CDD505-2E9C-101B-9397-08002B2CF9AE}" pid="12" name="PE number">
    <vt:lpwstr>754.755</vt:lpwstr>
  </property>
  <property fmtid="{D5CDD505-2E9C-101B-9397-08002B2CF9AE}" pid="13" name="SDLStudio">
    <vt:lpwstr/>
  </property>
  <property fmtid="{D5CDD505-2E9C-101B-9397-08002B2CF9AE}" pid="14" name="SendToEpades">
    <vt:lpwstr>OK - 2023/10/13 15:25</vt:lpwstr>
  </property>
</Properties>
</file>