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1D42A4" w:rsidRPr="00077612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854CAC" w:rsidRPr="00077612" w:rsidRDefault="00D64133" w:rsidP="00C85D0F">
            <w:pPr>
              <w:pStyle w:val="EPName"/>
            </w:pPr>
            <w:bookmarkStart w:id="0" w:name="_GoBack"/>
            <w:bookmarkEnd w:id="0"/>
            <w:r w:rsidRPr="00077612">
              <w:t>Európsky parlament</w:t>
            </w:r>
          </w:p>
          <w:p w:rsidR="00854CAC" w:rsidRPr="00077612" w:rsidRDefault="00D64133" w:rsidP="00B712EA">
            <w:pPr>
              <w:pStyle w:val="EPTerm"/>
            </w:pPr>
            <w:r w:rsidRPr="00077612">
              <w:t>2019 – 2024</w:t>
            </w:r>
          </w:p>
        </w:tc>
        <w:tc>
          <w:tcPr>
            <w:tcW w:w="2268" w:type="dxa"/>
            <w:shd w:val="clear" w:color="auto" w:fill="auto"/>
          </w:tcPr>
          <w:p w:rsidR="00854CAC" w:rsidRPr="00077612" w:rsidRDefault="00D64133" w:rsidP="00C85D0F">
            <w:pPr>
              <w:pStyle w:val="EPLogo"/>
            </w:pPr>
            <w:r w:rsidRPr="00077612">
              <w:rPr>
                <w:noProof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746D0" w:rsidRPr="00077612" w:rsidRDefault="001746D0" w:rsidP="001746D0">
      <w:pPr>
        <w:pStyle w:val="LineTop"/>
      </w:pPr>
    </w:p>
    <w:p w:rsidR="001746D0" w:rsidRPr="00077612" w:rsidRDefault="00D64133" w:rsidP="001746D0">
      <w:pPr>
        <w:pStyle w:val="EPBody"/>
      </w:pPr>
      <w:r w:rsidRPr="00077612">
        <w:rPr>
          <w:rStyle w:val="HideTWBExt"/>
        </w:rPr>
        <w:t>&lt;</w:t>
      </w:r>
      <w:r w:rsidRPr="00077612">
        <w:rPr>
          <w:rStyle w:val="HideTWBExt"/>
          <w:i w:val="0"/>
        </w:rPr>
        <w:t>Commission</w:t>
      </w:r>
      <w:r w:rsidRPr="00077612">
        <w:rPr>
          <w:rStyle w:val="HideTWBExt"/>
        </w:rPr>
        <w:t>&gt;</w:t>
      </w:r>
      <w:r w:rsidRPr="00077612">
        <w:rPr>
          <w:rStyle w:val="HideTWBInt"/>
          <w:color w:val="auto"/>
        </w:rPr>
        <w:t>{JURI}</w:t>
      </w:r>
      <w:r w:rsidRPr="00077612">
        <w:t>Výbor pre právne veci</w:t>
      </w:r>
      <w:r w:rsidRPr="00077612">
        <w:rPr>
          <w:rStyle w:val="HideTWBExt"/>
        </w:rPr>
        <w:t>&lt;/</w:t>
      </w:r>
      <w:r w:rsidRPr="00077612">
        <w:rPr>
          <w:rStyle w:val="HideTWBExt"/>
          <w:i w:val="0"/>
        </w:rPr>
        <w:t>Commission</w:t>
      </w:r>
      <w:r w:rsidRPr="00077612">
        <w:rPr>
          <w:rStyle w:val="HideTWBExt"/>
        </w:rPr>
        <w:t>&gt;</w:t>
      </w:r>
    </w:p>
    <w:p w:rsidR="001746D0" w:rsidRPr="00077612" w:rsidRDefault="001746D0" w:rsidP="001746D0">
      <w:pPr>
        <w:pStyle w:val="LineBottom"/>
      </w:pPr>
    </w:p>
    <w:p w:rsidR="002E2F2E" w:rsidRPr="00077612" w:rsidRDefault="00D64133">
      <w:pPr>
        <w:pStyle w:val="CoverReference"/>
      </w:pPr>
      <w:r w:rsidRPr="00077612">
        <w:rPr>
          <w:rStyle w:val="HideTWBExt"/>
          <w:b w:val="0"/>
        </w:rPr>
        <w:t>&lt;RefProc&gt;</w:t>
      </w:r>
      <w:r w:rsidRPr="00077612">
        <w:t>2023/2113</w:t>
      </w:r>
      <w:r w:rsidRPr="00077612">
        <w:rPr>
          <w:rStyle w:val="HideTWBExt"/>
          <w:b w:val="0"/>
        </w:rPr>
        <w:t>&lt;/RefProc&gt;&lt;RefTypeProc&gt;</w:t>
      </w:r>
      <w:r w:rsidRPr="00077612">
        <w:t>(INI)</w:t>
      </w:r>
      <w:r w:rsidRPr="00077612">
        <w:rPr>
          <w:rStyle w:val="HideTWBExt"/>
          <w:b w:val="0"/>
        </w:rPr>
        <w:t>&lt;/RefTypeProc&gt;</w:t>
      </w:r>
    </w:p>
    <w:p w:rsidR="002E2F2E" w:rsidRPr="00077612" w:rsidRDefault="00D64133">
      <w:pPr>
        <w:pStyle w:val="CoverDate"/>
      </w:pPr>
      <w:r w:rsidRPr="00077612">
        <w:rPr>
          <w:rStyle w:val="HideTWBExt"/>
        </w:rPr>
        <w:t>&lt;Date&gt;</w:t>
      </w:r>
      <w:r w:rsidRPr="00077612">
        <w:rPr>
          <w:rStyle w:val="HideTWBInt"/>
          <w:color w:val="auto"/>
        </w:rPr>
        <w:t>{29/11/2023}</w:t>
      </w:r>
      <w:r w:rsidRPr="00077612">
        <w:t>29.11.2023</w:t>
      </w:r>
      <w:r w:rsidRPr="00077612">
        <w:rPr>
          <w:rStyle w:val="HideTWBExt"/>
        </w:rPr>
        <w:t>&lt;/Date&gt;</w:t>
      </w:r>
    </w:p>
    <w:p w:rsidR="002E2F2E" w:rsidRPr="00077612" w:rsidRDefault="00D64133">
      <w:pPr>
        <w:pStyle w:val="CoverDocType24a"/>
      </w:pPr>
      <w:r w:rsidRPr="00077612">
        <w:rPr>
          <w:rStyle w:val="HideTWBExt"/>
          <w:b w:val="0"/>
        </w:rPr>
        <w:t>&lt;TitreType&gt;</w:t>
      </w:r>
      <w:r w:rsidRPr="00077612">
        <w:t>STANOVISKO</w:t>
      </w:r>
      <w:r w:rsidRPr="00077612">
        <w:rPr>
          <w:rStyle w:val="HideTWBExt"/>
          <w:b w:val="0"/>
        </w:rPr>
        <w:t>&lt;/TitreType&gt;</w:t>
      </w:r>
    </w:p>
    <w:p w:rsidR="002E2F2E" w:rsidRPr="00077612" w:rsidRDefault="00D64133">
      <w:pPr>
        <w:pStyle w:val="CoverNormal24a"/>
      </w:pPr>
      <w:r w:rsidRPr="00077612">
        <w:rPr>
          <w:rStyle w:val="HideTWBExt"/>
        </w:rPr>
        <w:t>&lt;CommissionResp&gt;</w:t>
      </w:r>
      <w:r w:rsidRPr="00077612">
        <w:t xml:space="preserve">Výboru pre právne </w:t>
      </w:r>
      <w:r w:rsidRPr="00077612">
        <w:t>veci</w:t>
      </w:r>
      <w:r w:rsidRPr="00077612">
        <w:rPr>
          <w:rStyle w:val="HideTWBExt"/>
        </w:rPr>
        <w:t>&lt;/CommissionResp&gt;</w:t>
      </w:r>
    </w:p>
    <w:p w:rsidR="002E2F2E" w:rsidRPr="00077612" w:rsidRDefault="00D64133">
      <w:pPr>
        <w:pStyle w:val="CoverNormal24a"/>
      </w:pPr>
      <w:r w:rsidRPr="00077612">
        <w:rPr>
          <w:rStyle w:val="HideTWBExt"/>
        </w:rPr>
        <w:t>&lt;CommissionInt&gt;</w:t>
      </w:r>
      <w:r w:rsidRPr="00077612">
        <w:t>pre Výbor pre občianske slobody, spravodlivosť a vnútorné veci</w:t>
      </w:r>
      <w:r w:rsidRPr="00077612">
        <w:rPr>
          <w:rStyle w:val="HideTWBExt"/>
        </w:rPr>
        <w:t>&lt;/CommissionInt&gt;</w:t>
      </w:r>
    </w:p>
    <w:p w:rsidR="002E2F2E" w:rsidRPr="00077612" w:rsidRDefault="00D64133">
      <w:pPr>
        <w:pStyle w:val="CoverNormal"/>
      </w:pPr>
      <w:r w:rsidRPr="00077612">
        <w:rPr>
          <w:rStyle w:val="HideTWBExt"/>
        </w:rPr>
        <w:t>&lt;Titre&gt;</w:t>
      </w:r>
      <w:r w:rsidRPr="00077612">
        <w:t>k správe Komisie o právnom štáte za rok 2023</w:t>
      </w:r>
      <w:r w:rsidRPr="00077612">
        <w:rPr>
          <w:rStyle w:val="HideTWBExt"/>
        </w:rPr>
        <w:t>&lt;/Titre&gt;</w:t>
      </w:r>
    </w:p>
    <w:p w:rsidR="002E2F2E" w:rsidRPr="00077612" w:rsidRDefault="00D64133">
      <w:pPr>
        <w:pStyle w:val="CoverNormal24a"/>
      </w:pPr>
      <w:r w:rsidRPr="00077612">
        <w:rPr>
          <w:rStyle w:val="HideTWBExt"/>
        </w:rPr>
        <w:t>&lt;DocRef&gt;</w:t>
      </w:r>
      <w:r w:rsidRPr="00077612">
        <w:t>(2023/2113(INI))</w:t>
      </w:r>
      <w:r w:rsidRPr="00077612">
        <w:rPr>
          <w:rStyle w:val="HideTWBExt"/>
        </w:rPr>
        <w:t>&lt;/DocRef&gt;</w:t>
      </w:r>
    </w:p>
    <w:p w:rsidR="002E2F2E" w:rsidRPr="00077612" w:rsidRDefault="00D64133">
      <w:pPr>
        <w:pStyle w:val="CoverNormal24a"/>
      </w:pPr>
      <w:r w:rsidRPr="00077612">
        <w:t>Spravodajca výboru požiadaného o stanovisko (*</w:t>
      </w:r>
      <w:r w:rsidRPr="00077612">
        <w:t xml:space="preserve">): </w:t>
      </w:r>
      <w:r w:rsidRPr="00077612">
        <w:rPr>
          <w:rStyle w:val="HideTWBExt"/>
        </w:rPr>
        <w:t>&lt;Depute&gt;</w:t>
      </w:r>
      <w:r w:rsidRPr="00077612">
        <w:t>Adrián Vázquez Lázara</w:t>
      </w:r>
      <w:r w:rsidRPr="00077612">
        <w:rPr>
          <w:rStyle w:val="HideTWBExt"/>
        </w:rPr>
        <w:t>&lt;/Depute&gt;</w:t>
      </w:r>
    </w:p>
    <w:p w:rsidR="00B712EA" w:rsidRPr="00077612" w:rsidRDefault="00D64133" w:rsidP="00B712EA">
      <w:pPr>
        <w:pStyle w:val="CoverNormal24a"/>
      </w:pPr>
      <w:r w:rsidRPr="00077612">
        <w:t>(*) Pridružený výbor – článok 57 rokovacieho poriadku</w:t>
      </w:r>
    </w:p>
    <w:p w:rsidR="00A72C35" w:rsidRPr="00077612" w:rsidRDefault="00A72C35" w:rsidP="00A72C35">
      <w:pPr>
        <w:pStyle w:val="CoverNormal"/>
      </w:pPr>
    </w:p>
    <w:p w:rsidR="002E2F2E" w:rsidRPr="00077612" w:rsidRDefault="00D64133" w:rsidP="00E856D2">
      <w:pPr>
        <w:widowControl/>
        <w:tabs>
          <w:tab w:val="center" w:pos="4677"/>
        </w:tabs>
      </w:pPr>
      <w:r w:rsidRPr="00077612">
        <w:br w:type="page"/>
      </w:r>
      <w:r w:rsidRPr="00077612">
        <w:lastRenderedPageBreak/>
        <w:t>PA_NonLeg</w:t>
      </w:r>
    </w:p>
    <w:p w:rsidR="002E2F2E" w:rsidRPr="00077612" w:rsidRDefault="00D64133">
      <w:pPr>
        <w:pStyle w:val="PageHeadingNotTOC"/>
      </w:pPr>
      <w:r w:rsidRPr="00077612">
        <w:br w:type="page"/>
      </w:r>
      <w:r w:rsidRPr="00077612">
        <w:lastRenderedPageBreak/>
        <w:t>NÁVRHY</w:t>
      </w:r>
    </w:p>
    <w:p w:rsidR="00B712EA" w:rsidRPr="00077612" w:rsidRDefault="00D64133" w:rsidP="001C6C04">
      <w:pPr>
        <w:pStyle w:val="Normal12a"/>
        <w:rPr>
          <w:szCs w:val="24"/>
        </w:rPr>
      </w:pPr>
      <w:r w:rsidRPr="00077612">
        <w:t xml:space="preserve">Výbor pre právne veci vyzýva Výbor pre občianske slobody, spravodlivosť a vnútorné veci, aby ako gestorský výbor zaradil do návrhu </w:t>
      </w:r>
      <w:r w:rsidRPr="00077612">
        <w:t>uznesenia, ktorý prijme, tieto návrhy:</w:t>
      </w:r>
    </w:p>
    <w:p w:rsidR="00BB0748" w:rsidRPr="00077612" w:rsidRDefault="00D64133" w:rsidP="00BB0748">
      <w:pPr>
        <w:pStyle w:val="NormalHanging12a"/>
        <w:rPr>
          <w:rStyle w:val="BoldItalic"/>
        </w:rPr>
      </w:pPr>
      <w:r w:rsidRPr="00077612">
        <w:rPr>
          <w:rStyle w:val="BoldItalic"/>
        </w:rPr>
        <w:t>Všeobecné opatrenia</w:t>
      </w:r>
    </w:p>
    <w:p w:rsidR="00BB0748" w:rsidRPr="00077612" w:rsidRDefault="00D64133" w:rsidP="00BB0748">
      <w:pPr>
        <w:pStyle w:val="NormalHanging12a"/>
      </w:pPr>
      <w:r w:rsidRPr="00077612">
        <w:t>1.</w:t>
      </w:r>
      <w:r w:rsidRPr="00077612">
        <w:tab/>
        <w:t xml:space="preserve">pripomína, že právna štruktúra Únie je založená na základnom predpoklade, že každý členský štát zdieľa so všetkými ostatnými členskými štátmi súbor spoločných hodnôt, na ktorých je založená EÚ, </w:t>
      </w:r>
      <w:r w:rsidRPr="00077612">
        <w:t>ako sa uvádza v článku 2 Zmluvy o Európskej únii</w:t>
      </w:r>
      <w:r w:rsidRPr="00077612">
        <w:rPr>
          <w:rStyle w:val="FootnoteReference"/>
        </w:rPr>
        <w:footnoteReference w:id="1"/>
      </w:r>
      <w:r w:rsidRPr="00077612">
        <w:t>; pripomína, že právny štát, ako je zakotvený v primárnom práve EÚ a bližšie vymedzený v judikatúre Súdneho dvora Európskej únie, je blízky demokracii a základným právam; pripomína, že právny štát a medzinár</w:t>
      </w:r>
      <w:r w:rsidRPr="00077612">
        <w:t>odný poriadok založený na pravidlách sú kľúčom v boji proti šíreniu autoritárskych režimov a porušovaniu medzinárodného práva a pomáhajú upevňovať demokratické štruktúry a chrániť ľudské práva; zdôrazňuje, že akékoľvek zhoršenie situácie v oblasti právneho</w:t>
      </w:r>
      <w:r w:rsidRPr="00077612">
        <w:t xml:space="preserve"> štátu, pokiaľ ide o deľbu a rovnováhu moci, v ktoromkoľvek členskom štáte významne ovplyvňuje spoločný priestor slobody, bezpečnosti a spravodlivosti, ako aj vzájomnú dôveru a vzájomné uznávanie, ktoré sú hlavnými zásadami právnych predpisov EÚ v tejto ob</w:t>
      </w:r>
      <w:r w:rsidRPr="00077612">
        <w:t>lasti</w:t>
      </w:r>
      <w:r w:rsidRPr="00077612">
        <w:rPr>
          <w:rStyle w:val="FootnoteReference"/>
        </w:rPr>
        <w:footnoteReference w:id="2"/>
      </w:r>
      <w:r w:rsidRPr="00077612">
        <w:t>;</w:t>
      </w:r>
    </w:p>
    <w:p w:rsidR="00BB0748" w:rsidRPr="00077612" w:rsidRDefault="00D64133" w:rsidP="00BB0748">
      <w:pPr>
        <w:pStyle w:val="NormalHanging12a"/>
      </w:pPr>
      <w:r w:rsidRPr="00077612">
        <w:t>2.</w:t>
      </w:r>
      <w:r w:rsidRPr="00077612">
        <w:tab/>
        <w:t>víta štvrtú správu Komisie o právnom štáte (ďalej len „správa“) a domnieva sa, že pravidelné preskúmanie situácie v oblasti právneho štátu je základným nástrojom monitorovania; v danom kontexte zdôrazňuje význam používania jasných a objektívnych</w:t>
      </w:r>
      <w:r w:rsidRPr="00077612">
        <w:t xml:space="preserve"> kritérií Komisie pri poskytovaní posúdenia, čím sa zabráni tvrdeniam o nerovnakom zaobchádzaní s členskými štátmi alebo používaniu len vybraných údajov; v tejto súvislosti víta prístup Komisie prijímať príspevky členských štátov s cieľom posilniť spoločný</w:t>
      </w:r>
      <w:r w:rsidRPr="00077612">
        <w:t xml:space="preserve"> dialóg; víta novú klasifikáciu, ktorú prijala Komisia, pokiaľ ide o meranie pokroku dosiahnutého v súvislosti s predchádzajúcimi odporúčaniami, ktorá má štyri kategórie: a) žiadny pokrok, b) určitý pokrok, c) značný pokrok a d) úplne vykonané; vzhľadom na</w:t>
      </w:r>
      <w:r w:rsidRPr="00077612">
        <w:t xml:space="preserve"> problémy spojené so zhromažďovaním štatistických údajov členskými štátmi poukazuje na užitočnosť nástrojov Rady Európy, ako sú správy Komisie Rady Európy pre hodnotenie efektívnosti justície (CEPEJ)</w:t>
      </w:r>
      <w:r w:rsidRPr="00077612">
        <w:rPr>
          <w:rStyle w:val="FootnoteReference"/>
        </w:rPr>
        <w:footnoteReference w:id="3"/>
      </w:r>
      <w:r w:rsidRPr="00077612">
        <w:t>, čím sa v čo najväčšej miere vytvára konvergencia medzi</w:t>
      </w:r>
      <w:r w:rsidRPr="00077612">
        <w:t xml:space="preserve"> rôznymi vstupmi údajov;</w:t>
      </w:r>
    </w:p>
    <w:p w:rsidR="00BB0748" w:rsidRPr="00077612" w:rsidRDefault="00D64133" w:rsidP="00BB0748">
      <w:pPr>
        <w:pStyle w:val="NormalHanging12a"/>
      </w:pPr>
      <w:r w:rsidRPr="00077612">
        <w:rPr>
          <w:rStyle w:val="BoldItalic"/>
        </w:rPr>
        <w:t>Spravodlivosť</w:t>
      </w:r>
    </w:p>
    <w:p w:rsidR="00BB0748" w:rsidRPr="00077612" w:rsidRDefault="00D64133" w:rsidP="00BB0748">
      <w:pPr>
        <w:pStyle w:val="NormalHanging12a"/>
      </w:pPr>
      <w:r w:rsidRPr="00077612">
        <w:t>3.</w:t>
      </w:r>
      <w:r w:rsidRPr="00077612">
        <w:tab/>
        <w:t>uznáva význam, ktorý pripisujú správy o právnom štáte justičným systémom, najmä pokiaľ ide o zákonnosť, nezávislosť a nestrannosť sudcov a vymenúvanie sudcov, ich povyšovanie, prepúšťanie a súdne rozhodnutia; uznáv</w:t>
      </w:r>
      <w:r w:rsidRPr="00077612">
        <w:t>a, že v EÚ neexistuje jednotný systém menovania sudcov; pripomína však, že všetky členské štáty musia dodržiavať minimálne normy Rady Európy</w:t>
      </w:r>
      <w:r w:rsidRPr="00077612">
        <w:rPr>
          <w:rStyle w:val="FootnoteReference"/>
        </w:rPr>
        <w:footnoteReference w:id="4"/>
      </w:r>
      <w:r w:rsidRPr="00077612">
        <w:t xml:space="preserve"> a Súdneho dvora Európskej únie</w:t>
      </w:r>
      <w:r w:rsidRPr="00077612">
        <w:rPr>
          <w:rStyle w:val="FootnoteReference"/>
        </w:rPr>
        <w:footnoteReference w:id="5"/>
      </w:r>
      <w:r w:rsidRPr="00077612">
        <w:t>; v tejto súvislosti zdôrazňuje význam nezávislých súdnych rád, ktoré sa musia skla</w:t>
      </w:r>
      <w:r w:rsidRPr="00077612">
        <w:t>dať z veľkej väčšiny sudcov zvolených ich kolegami a musia mať značnú právomoc nad výberom, postupom a disciplinárnymi konaniami týkajúcimi sa sudcov; vyjadruje hlboké poľutovanie nad tým, že nie všetky členské štáty si v tejto súvislosti v plnej miere spl</w:t>
      </w:r>
      <w:r w:rsidRPr="00077612">
        <w:t>nili svoje povinnosti; mrzí ho ničivý vplyv, ktorý to má na nezávislosť a integritu ich justičných systémov;</w:t>
      </w:r>
    </w:p>
    <w:p w:rsidR="00BB0748" w:rsidRPr="00077612" w:rsidRDefault="00D64133" w:rsidP="00BB0748">
      <w:pPr>
        <w:pStyle w:val="NormalHanging12a"/>
      </w:pPr>
      <w:r w:rsidRPr="00077612">
        <w:t>4.</w:t>
      </w:r>
      <w:r w:rsidRPr="00077612">
        <w:tab/>
        <w:t>berie na vedomie, že pri takmer dvoch tretinách odporúčaní vydaných v roku 2022, ktoré sa týkali dôležitých reforiem, boli prijaté isté následné</w:t>
      </w:r>
      <w:r w:rsidRPr="00077612">
        <w:t xml:space="preserve"> opatrenia; je však znepokojený množstvom problémov identifikovaných v predchádzajúcich správach o právnom štáte, ktoré zostali nevyriešené; naliehavo vyzýva Komisiu, aby aj naďalej dôsledne monitorovala právne rámce členských štátov s cieľom posúdiť ich s</w:t>
      </w:r>
      <w:r w:rsidRPr="00077612">
        <w:t>úlad s uvedenými odporúčaniami, a ďalej vyzýva Komisiu, aby viac trvala na vykonávaní týchto kritických reforiem v prípadoch, keď systémy členských štátov nespĺňajú predpísané normy; vyzýva Komisiu, aby podnikla ďalšie kroky na doriešenie odporúčaní Parlam</w:t>
      </w:r>
      <w:r w:rsidRPr="00077612">
        <w:t>entu uvedených v jeho predchádzajúcich uzneseniach;</w:t>
      </w:r>
    </w:p>
    <w:p w:rsidR="00BB0748" w:rsidRPr="00077612" w:rsidRDefault="00D64133" w:rsidP="00BB0748">
      <w:pPr>
        <w:pStyle w:val="NormalHanging12a"/>
      </w:pPr>
      <w:r w:rsidRPr="00077612">
        <w:t>5.</w:t>
      </w:r>
      <w:r w:rsidRPr="00077612">
        <w:tab/>
        <w:t>víta sústavnú podporu poskytovanú príslušným zainteresovaným stranám v podobe špecializovaných programov, ako je program Občania, rovnosť, práva a hodnoty; víta poskytnutie finančných prostriedkov z pr</w:t>
      </w:r>
      <w:r w:rsidRPr="00077612">
        <w:t>ogramu Spravodlivosť na podporu justičnej spolupráce v občianskych a trestných veciach a na pomoc pri ďalšom rozvoji európskej justície vrátane posilňovania demokracie, právneho štátu a základných práv;</w:t>
      </w:r>
    </w:p>
    <w:p w:rsidR="00BB0748" w:rsidRPr="00077612" w:rsidRDefault="00D64133" w:rsidP="00BB0748">
      <w:pPr>
        <w:pStyle w:val="NormalHanging12a"/>
      </w:pPr>
      <w:r w:rsidRPr="00077612">
        <w:t>6.</w:t>
      </w:r>
      <w:r w:rsidRPr="00077612">
        <w:tab/>
        <w:t xml:space="preserve">naliehavo vyzýva Komisiu, aby viac investovala do </w:t>
      </w:r>
      <w:r w:rsidRPr="00077612">
        <w:t>zvyšovania povedomia o hodnotách Únie a príslušných nástrojov, vrátane výročnej správy, a to najmä v krajinách, v ktorých existujú vážne obavy;</w:t>
      </w:r>
    </w:p>
    <w:p w:rsidR="00BB0748" w:rsidRPr="00077612" w:rsidRDefault="00D64133" w:rsidP="00BB0748">
      <w:pPr>
        <w:pStyle w:val="NormalHanging12a"/>
      </w:pPr>
      <w:r w:rsidRPr="00077612">
        <w:t>7.</w:t>
      </w:r>
      <w:r w:rsidRPr="00077612">
        <w:tab/>
        <w:t>uznáva, že v poslednej správe možno vo viacerých členských štátoch pozorovať určitý pokrok, pokiaľ ide o nezá</w:t>
      </w:r>
      <w:r w:rsidRPr="00077612">
        <w:t>vislosť súdnej moci; v tejto súvislosti víta zadržanie finančných prostriedkov EÚ v prípade potreby, či už v rámci mechanizmu podmienenosti</w:t>
      </w:r>
      <w:r w:rsidRPr="00077612">
        <w:rPr>
          <w:rStyle w:val="FootnoteReference"/>
        </w:rPr>
        <w:footnoteReference w:id="6"/>
      </w:r>
      <w:r w:rsidRPr="00077612">
        <w:t>, ako potvrdil Súdny dvor Európskej únie</w:t>
      </w:r>
      <w:r w:rsidRPr="00077612">
        <w:rPr>
          <w:rStyle w:val="FootnoteReference"/>
        </w:rPr>
        <w:footnoteReference w:id="7"/>
      </w:r>
      <w:r w:rsidRPr="00077612">
        <w:t>, alebo v rámci mechanizmu na podporu obnovy a odolnosti</w:t>
      </w:r>
      <w:r w:rsidRPr="00077612">
        <w:rPr>
          <w:rStyle w:val="FootnoteReference"/>
        </w:rPr>
        <w:footnoteReference w:id="8"/>
      </w:r>
      <w:r w:rsidRPr="00077612">
        <w:t>; poukazuje však n</w:t>
      </w:r>
      <w:r w:rsidRPr="00077612">
        <w:t>a to, že porušovanie nezávislosti súdnictva je v niektorých členských štátoch stále problémom, ako sú prebiehajúce disciplinárne konania proti sudcom za obsah ich rozhodnutí, problémy so zložením súdnych rád a najvyšších vnútroštátnych súdov vzhľadom na zá</w:t>
      </w:r>
      <w:r w:rsidRPr="00077612">
        <w:t>sadu súdu zriadeného zákonom atď.;</w:t>
      </w:r>
    </w:p>
    <w:p w:rsidR="00BB0748" w:rsidRPr="00077612" w:rsidRDefault="00D64133" w:rsidP="00BB0748">
      <w:pPr>
        <w:pStyle w:val="NormalHanging12a"/>
      </w:pPr>
      <w:r w:rsidRPr="00077612">
        <w:t>8.</w:t>
      </w:r>
      <w:r w:rsidRPr="00077612">
        <w:tab/>
        <w:t xml:space="preserve">pripomína, že účinný a spravodlivý justičný systém zabezpečujúci prístup k spravodlivosti pre všetkých si vyžaduje primeraný rozpočet a financovanie súdnych orgánov; vyjadruje poľutovanie nad tým, že v správe sa stále </w:t>
      </w:r>
      <w:r w:rsidRPr="00077612">
        <w:t>poukazuje na existenciu závažných nedostatkov, ktoré – ako sa zdá – konkrétne narúšajú riešenie prípadov korupcie na vysokej úrovni; zdôrazňuje však, že adekvátna právna pomoc a prostriedky nápravy musia byť dostupné aj pre občanov; v tejto súvislosti vyzý</w:t>
      </w:r>
      <w:r w:rsidRPr="00077612">
        <w:t xml:space="preserve">va Komisiu, aby do ďalšej správy o právnom štáte zahrnula posúdenie uplatňovania </w:t>
      </w:r>
      <w:r w:rsidRPr="00077612">
        <w:rPr>
          <w:i/>
          <w:iCs/>
        </w:rPr>
        <w:t>acquis</w:t>
      </w:r>
      <w:r w:rsidRPr="00077612">
        <w:t xml:space="preserve"> EÚ v oblasti právnej pomoci v občianskych a trestných veciach, ako je smernica Rady 2003/8/ES z 27. januára 2023 o zlepšení prístupu k spravodlivosti pri cezhraničných </w:t>
      </w:r>
      <w:r w:rsidRPr="00077612">
        <w:t>sporoch stanovením minimálnych spoločných pravidiel týkajúcich sa právnej pomoci pri takýchto sporoch</w:t>
      </w:r>
      <w:r w:rsidRPr="00077612">
        <w:rPr>
          <w:rStyle w:val="FootnoteReference"/>
        </w:rPr>
        <w:footnoteReference w:id="9"/>
      </w:r>
      <w:r w:rsidRPr="00077612">
        <w:t>, keďže z judikatúry Súdneho dvora Európskej únie vyplýva, že stále existujú otázky týkajúce sa jej výkladu;</w:t>
      </w:r>
    </w:p>
    <w:p w:rsidR="00BB0748" w:rsidRPr="00077612" w:rsidRDefault="00D64133" w:rsidP="00BB0748">
      <w:pPr>
        <w:pStyle w:val="NormalHanging12a"/>
      </w:pPr>
      <w:r w:rsidRPr="00077612">
        <w:t>9.</w:t>
      </w:r>
      <w:r w:rsidRPr="00077612">
        <w:tab/>
        <w:t>pripomína, že aj prokuratúry, bez ohľadu n</w:t>
      </w:r>
      <w:r w:rsidRPr="00077612">
        <w:t>a ich pozíciu vo vnútroštátnom systéme deľby štátnej moci do troch zložiek, musia byť nezávislé od neprimeraného politického tlaku; konštatuje, že v niektorých členských štátoch sa dosiahol určitý pokrok; vyjadruje však poľutovanie nad tým, že stále existu</w:t>
      </w:r>
      <w:r w:rsidRPr="00077612">
        <w:t>jú systémy, v ktorých môže vláda v určitých prípadoch vydávať záväzné rozhodnutia týkajúce sa prokurátorov, keď je ich funkčné obdobie viazané na politický proces alebo keď sa funkcie ministra a generálneho prokurátora spájajú, čo umožňuje získať neprimera</w:t>
      </w:r>
      <w:r w:rsidRPr="00077612">
        <w:t>ný politický vplyv a vedie k problémom so vzájomným uznávaním</w:t>
      </w:r>
      <w:r w:rsidRPr="00077612">
        <w:rPr>
          <w:rStyle w:val="FootnoteReference"/>
        </w:rPr>
        <w:footnoteReference w:id="10"/>
      </w:r>
      <w:r w:rsidRPr="00077612">
        <w:t>;</w:t>
      </w:r>
    </w:p>
    <w:p w:rsidR="00BB0748" w:rsidRPr="00077612" w:rsidRDefault="00D64133" w:rsidP="00BB0748">
      <w:pPr>
        <w:pStyle w:val="NormalHanging12a"/>
      </w:pPr>
      <w:r w:rsidRPr="00077612">
        <w:t>10.</w:t>
      </w:r>
      <w:r w:rsidRPr="00077612">
        <w:tab/>
        <w:t xml:space="preserve">zdôrazňuje najmä, že otázka tzv. fenoménu otáčavých dverí sa neobmedzuje len na obavy z prechodu bývalých ministrov do súkromného sektora po výkone verejnej funkcie, ale vzťahuje sa aj na </w:t>
      </w:r>
      <w:r w:rsidRPr="00077612">
        <w:t>situácie, keď jednotlivci môžu obsadiť významné pozície v súdnictve alebo prokuratúre bezprostredne po tom, ako vykonávali funkciu ministra alebo boli členmi politickej strany;</w:t>
      </w:r>
    </w:p>
    <w:p w:rsidR="00BB0748" w:rsidRPr="00077612" w:rsidRDefault="00D64133" w:rsidP="00BB0748">
      <w:pPr>
        <w:pStyle w:val="NormalHanging12a"/>
      </w:pPr>
      <w:r w:rsidRPr="00077612">
        <w:t>11.</w:t>
      </w:r>
      <w:r w:rsidRPr="00077612">
        <w:tab/>
        <w:t>vyzýva Komisiu, aby vo svojich nadchádzajúcich správach o právnom štáte v E</w:t>
      </w:r>
      <w:r w:rsidRPr="00077612">
        <w:t xml:space="preserve">urópskej únii venovala náležitú pozornosť takýmto prípadom; naliehavo vyzýva Komisiu, aby dôrazne vyzvala členské štáty, aby sa zdržali týchto praktík, najmä vykonávaním právnych ustanovení, ktoré proaktívne bránia bývalým ministrom a popredným politickým </w:t>
      </w:r>
      <w:r w:rsidRPr="00077612">
        <w:t>predstaviteľom prevziať vedúce pozície na najvyšších súdoch alebo prokuratúre, čím sa zabezpečí nezávislosť a integrita týchto dôležitých inštitúcií;</w:t>
      </w:r>
    </w:p>
    <w:p w:rsidR="00BB0748" w:rsidRPr="00077612" w:rsidRDefault="00D64133" w:rsidP="00BB0748">
      <w:pPr>
        <w:pStyle w:val="NormalHanging12a"/>
      </w:pPr>
      <w:r w:rsidRPr="00077612">
        <w:rPr>
          <w:rStyle w:val="BoldItalic"/>
        </w:rPr>
        <w:t>Boj proti korupcii</w:t>
      </w:r>
    </w:p>
    <w:p w:rsidR="00BB0748" w:rsidRPr="00077612" w:rsidRDefault="00D64133" w:rsidP="00BB0748">
      <w:pPr>
        <w:pStyle w:val="NormalHanging12a"/>
      </w:pPr>
      <w:r w:rsidRPr="00077612">
        <w:t>12.</w:t>
      </w:r>
      <w:r w:rsidRPr="00077612">
        <w:tab/>
        <w:t>pripomína, že boj proti korupcii je základom zachovania právneho štátu a zvyšovania</w:t>
      </w:r>
      <w:r w:rsidRPr="00077612">
        <w:t xml:space="preserve"> dôvery občanov vo verejné inštitúcie; zároveň pripomína, že účinný boj s korupciou si vyžaduje spoľahlivý právny a administratívny protikorupčný rámec založený na integrite, transparentnosti a zodpovednosti, najmä vo verejnom živote, s dôrazom na zverejňo</w:t>
      </w:r>
      <w:r w:rsidRPr="00077612">
        <w:t>vanie vyhlásení o záujmoch a v prípade potreby aj na ochranu oznamovateľov protispoločenskej činnosti;</w:t>
      </w:r>
    </w:p>
    <w:p w:rsidR="00BB0748" w:rsidRPr="00077612" w:rsidRDefault="00D64133" w:rsidP="00BB0748">
      <w:pPr>
        <w:pStyle w:val="NormalHanging12a"/>
      </w:pPr>
      <w:r w:rsidRPr="00077612">
        <w:t>13.</w:t>
      </w:r>
      <w:r w:rsidRPr="00077612">
        <w:tab/>
        <w:t>konštatuje, že korupcia je hrozbou, ktorá môže zničiť demokraciu a podkopať dôveru občanov vo verejné inštitúcie, a preto treba bojovať proti všetkým</w:t>
      </w:r>
      <w:r w:rsidRPr="00077612">
        <w:t xml:space="preserve"> jej formám; poukazuje na to, že korupcia je najjednoduchšou cestou, ktorú organizovaný zločin využíva na infiltráciu a ovládnutie hospodárstva; vyjadruje znepokojenie nad tým, že z najnovšej správy vyplýva, že vo viacerých členských štátoch sa nedosiahol </w:t>
      </w:r>
      <w:r w:rsidRPr="00077612">
        <w:t>žiadny alebo len veľmi malý pokrok v súvislosti s opatreniami na predchádzanie korupcii; je mimoriadne znepokojený neochotou vytvoriť registre lobistov, registre transparentnosti a adekvátne systémy majetkových priznaní zo strany verejných činiteľov a vyšš</w:t>
      </w:r>
      <w:r w:rsidRPr="00077612">
        <w:t>ích úradníkov, ako aj nedostatočnou politickou vôľou zaviesť prísne pravidlá v rámci politík fenoménu otáčavých dverí; v tejto súvislosti zdôrazňuje význam transparentného legislatívneho postupu s ďalekosiahlym prístupom k dokumentom, ako aj pravidiel na z</w:t>
      </w:r>
      <w:r w:rsidRPr="00077612">
        <w:t>abezpečenie najvyššej miery transparentnosti a zodpovednosti vo verejnej správe a pri verejnom rozhodovaní s cieľom predchádzať korupcii</w:t>
      </w:r>
      <w:r w:rsidRPr="00077612">
        <w:rPr>
          <w:rStyle w:val="FootnoteReference"/>
        </w:rPr>
        <w:footnoteReference w:id="11"/>
      </w:r>
      <w:r w:rsidRPr="00077612">
        <w:t>;</w:t>
      </w:r>
    </w:p>
    <w:p w:rsidR="00BB0748" w:rsidRPr="00077612" w:rsidRDefault="00D64133" w:rsidP="00BB0748">
      <w:pPr>
        <w:pStyle w:val="NormalHanging12a"/>
      </w:pPr>
      <w:r w:rsidRPr="00077612">
        <w:t>14.</w:t>
      </w:r>
      <w:r w:rsidRPr="00077612">
        <w:tab/>
        <w:t>v tejto súvislosti vyzýva všetky inštitúcie EÚ, aby dodržiavali najvyššie možné normy s cieľom predchádzať korupc</w:t>
      </w:r>
      <w:r w:rsidRPr="00077612">
        <w:t>ii, ako sú okrem iného zriadenie účinného etického orgánu EÚ, úplné uplatňovanie nariadenia 1049/2001 o prístupe k dokumentom</w:t>
      </w:r>
      <w:r w:rsidRPr="00077612">
        <w:rPr>
          <w:rStyle w:val="FootnoteReference"/>
        </w:rPr>
        <w:footnoteReference w:id="12"/>
      </w:r>
      <w:r w:rsidRPr="00077612">
        <w:t xml:space="preserve"> a úplné uplatňovanie zásady podmienenosti, pokiaľ ide o register transparentnosti EÚ; vyzýva členské štáty, aby sa pokúsili čo na</w:t>
      </w:r>
      <w:r w:rsidRPr="00077612">
        <w:t>jskôr dohodnúť na znení navrhovanej smernice o boji proti korupcii s cieľom vytvoriť spoločný a jednotný rámec kódexov správania, noriem prevencie konfliktov záujmov a pravidiel zaručujúcich transparentnosť postupov;</w:t>
      </w:r>
    </w:p>
    <w:p w:rsidR="00BB0748" w:rsidRPr="00077612" w:rsidRDefault="00D64133" w:rsidP="00BB0748">
      <w:pPr>
        <w:pStyle w:val="NormalHanging12a"/>
      </w:pPr>
      <w:r w:rsidRPr="00077612">
        <w:t>15.</w:t>
      </w:r>
      <w:r w:rsidRPr="00077612">
        <w:tab/>
        <w:t>uznáva, že kvantitatívny význam fin</w:t>
      </w:r>
      <w:r w:rsidRPr="00077612">
        <w:t xml:space="preserve">ančných prostriedkov pridelených Európskou úniou vrátane finančných prostriedkov z nástroja NextGenerationEU v posledných rokoch výrazne vzrástol; uznáva, že v dôsledku toho majú v právnych predpisoch členských štátov mimoriadny význam právne ustanovenia, </w:t>
      </w:r>
      <w:r w:rsidRPr="00077612">
        <w:t>ktoré majú zabrániť zneužívaniu týchto finančných prostriedkov;</w:t>
      </w:r>
    </w:p>
    <w:p w:rsidR="00BB0748" w:rsidRPr="00077612" w:rsidRDefault="00D64133" w:rsidP="00BB0748">
      <w:pPr>
        <w:pStyle w:val="NormalHanging12a"/>
      </w:pPr>
      <w:r w:rsidRPr="00077612">
        <w:t>16.</w:t>
      </w:r>
      <w:r w:rsidRPr="00077612">
        <w:tab/>
        <w:t xml:space="preserve">pripomína, že neexistuje odvetvie bez rizika korupcie a už vôbec nie, ak ide o správu nemalých verejných finančných prostriedkov alebo o prístup ku kritickej infraštruktúre a službám, ako </w:t>
      </w:r>
      <w:r w:rsidRPr="00077612">
        <w:t>sú zdravotná starostlivosť či stavebníctvo; zdôrazňuje, že organizované zločinecké skupiny zohrávajú čoraz významnejšiu úlohu pri činnostiach zahŕňajúcich falšovanie, pirátstvo a porušovanie práv duševného vlastníctva, ktorých počet sa v digitálnom prostre</w:t>
      </w:r>
      <w:r w:rsidRPr="00077612">
        <w:t>dí prudko zvýšil; pripomína, že zločinecké skupiny často využívajú zisky z týchto nelegálnych činností na financovanie iných ilegálnych činností;</w:t>
      </w:r>
    </w:p>
    <w:p w:rsidR="00BB0748" w:rsidRPr="00077612" w:rsidRDefault="00D64133" w:rsidP="00BB0748">
      <w:pPr>
        <w:pStyle w:val="NormalHanging12a"/>
      </w:pPr>
      <w:r w:rsidRPr="00077612">
        <w:t>17.</w:t>
      </w:r>
      <w:r w:rsidRPr="00077612">
        <w:tab/>
        <w:t>vyzýva Komisiu, aby do svojich nadchádzajúcich správ o právnom štáte zahrnula hodnotenie vývoja právnych p</w:t>
      </w:r>
      <w:r w:rsidRPr="00077612">
        <w:t>redpisov členských štátov v posledných rokoch, pokiaľ ide o dohľad nad správnym využívaním verejných finančných prostriedkov, ako aj o zavedené právne mechanizmy na riešenie akéhokoľvek nevhodného využívania verejných zdrojov;</w:t>
      </w:r>
    </w:p>
    <w:p w:rsidR="00BB0748" w:rsidRPr="00077612" w:rsidRDefault="00D64133" w:rsidP="00165FEF">
      <w:pPr>
        <w:pStyle w:val="NormalHanging12a"/>
      </w:pPr>
      <w:r w:rsidRPr="00077612">
        <w:t>18.</w:t>
      </w:r>
      <w:r w:rsidRPr="00077612">
        <w:tab/>
        <w:t xml:space="preserve">pripomína silnú podporu </w:t>
      </w:r>
      <w:r w:rsidRPr="00077612">
        <w:t>Európskeho parlamentu pri zriadení Európskej prokuratúry (EPPO); uznáva dôležitú úlohu EPPO ako nezávislého orgánu EÚ pri vyšetrovaní, stíhaní a podávaní žalôb v prípade trestných činov poškodzujúcich finančné záujmy Únie; zdôrazňuje, že EPPO od začatia sv</w:t>
      </w:r>
      <w:r w:rsidRPr="00077612">
        <w:t>ojej činnosti 1. júna 2021 zaregistrovala viac ako 4 000 hlásení trestnej činnosti od zúčastnených členských štátov EÚ a súkromných subjektov a iniciovala viac ako 929 vyšetrovaní (stav z júna 2022);</w:t>
      </w:r>
    </w:p>
    <w:p w:rsidR="00BB0748" w:rsidRPr="00077612" w:rsidRDefault="00D64133" w:rsidP="00BB0748">
      <w:pPr>
        <w:pStyle w:val="NormalHanging12a"/>
      </w:pPr>
      <w:r w:rsidRPr="00077612">
        <w:t>19.</w:t>
      </w:r>
      <w:r w:rsidRPr="00077612">
        <w:tab/>
        <w:t>okrem toho naliehavo vyzýva Komisiu, aby v prípadoch</w:t>
      </w:r>
      <w:r w:rsidRPr="00077612">
        <w:t>, keď sa zistí zníženie úrovne záruk pre verejné finančné prostriedky, okamžite spolupracovala s dotknutým členským štátom alebo členskými štátmi a požiadala o urýchlené vykonanie potrebných opatrení na nápravu tejto situácie.</w:t>
      </w:r>
    </w:p>
    <w:p w:rsidR="00BB0748" w:rsidRPr="00077612" w:rsidRDefault="00D64133" w:rsidP="00BB0748">
      <w:pPr>
        <w:pStyle w:val="NormalHanging12a"/>
        <w:ind w:left="0" w:firstLine="0"/>
        <w:rPr>
          <w:b/>
          <w:i/>
        </w:rPr>
      </w:pPr>
      <w:r w:rsidRPr="00077612">
        <w:rPr>
          <w:b/>
          <w:i/>
        </w:rPr>
        <w:t>Občianska spoločnosť</w:t>
      </w:r>
    </w:p>
    <w:p w:rsidR="00BB0748" w:rsidRPr="00077612" w:rsidRDefault="00D64133" w:rsidP="00BB0748">
      <w:pPr>
        <w:pStyle w:val="NormalHanging12a"/>
      </w:pPr>
      <w:r w:rsidRPr="00077612">
        <w:t>20.</w:t>
      </w:r>
      <w:r w:rsidRPr="00077612">
        <w:tab/>
        <w:t>prip</w:t>
      </w:r>
      <w:r w:rsidRPr="00077612">
        <w:t>omína svoje uznesenie z 11. novembra 2021 o posilnení demokracie a slobody a plurality médií v Únii, v ktorom vyzval Komisiu, aby navrhla balík tak právne nezáväzných, ako aj záväzných predpisov na riešenie rastúceho počtu strategických žalôb proti verejne</w:t>
      </w:r>
      <w:r w:rsidRPr="00077612">
        <w:t>j účasti alebo strategických žalôb proti verejnej účasti; víta legislatívny návrh, ako aj odporúčanie Komisie členským štátom z 27. apríla 2022, ktoré reagujú na výzvu Parlamentu v tejto súvislosti; zdôrazňuje, že strategické žaloby proti verejnej účasti s</w:t>
      </w:r>
      <w:r w:rsidRPr="00077612">
        <w:t>ú špecifickou formou obťažovania, ktorá sa používa predovšetkým proti novinárom s cieľom zabrániť im v odkrývaní tém verejného záujmu, alebo ich trestať tým, že sú vystavovaní zdĺhavým, zaťažujúcim a nákladným súdnym sporom; vyzýva členské štáty, aby nezni</w:t>
      </w:r>
      <w:r w:rsidRPr="00077612">
        <w:t>žovali ambicióznosť navrhovaných opatrení a zintenzívnili snahy o zvýšenie bezpečnosti a ochrany novinárov;</w:t>
      </w:r>
    </w:p>
    <w:p w:rsidR="00BB0748" w:rsidRPr="00077612" w:rsidRDefault="00D64133" w:rsidP="00BB0748">
      <w:pPr>
        <w:pStyle w:val="NormalHanging12a"/>
      </w:pPr>
      <w:r w:rsidRPr="00077612">
        <w:t>21.</w:t>
      </w:r>
      <w:r w:rsidRPr="00077612">
        <w:tab/>
        <w:t>s hlbokým znepokojením berie na vedomie celkové zmenšovanie priestoru pre zástupcov občianskej spoločnosti v niektorých členských štátoch, ktoré</w:t>
      </w:r>
      <w:r w:rsidRPr="00077612">
        <w:t xml:space="preserve"> vážne ohrozuje právny štát, demokraciu, základné práva a iné hodnoty EÚ; vyzýva Komisiu, aby monitorovala výzvy a útoky, ktorým čelia zástupcovia občianskej spoločnosti pri ich každoročnom hodnotení a správach o stave právneho štátu, a aby do svojej správ</w:t>
      </w:r>
      <w:r w:rsidRPr="00077612">
        <w:t>y zahrnula závery a cielené odporúčania; v tejto súvislosti opakuje svoju výzvu, aby sa osobitná kapitola venovala stavu občianskej spoločnosti v členských štátoch;</w:t>
      </w:r>
    </w:p>
    <w:p w:rsidR="00BB0748" w:rsidRPr="00077612" w:rsidRDefault="00D64133" w:rsidP="00BB0748">
      <w:pPr>
        <w:pStyle w:val="NormalHanging12a"/>
      </w:pPr>
      <w:r w:rsidRPr="00077612">
        <w:t>22.</w:t>
      </w:r>
      <w:r w:rsidRPr="00077612">
        <w:tab/>
        <w:t>zdôrazňuje, že súčasný právny rámec na úrovni Únie a na vnútroštátnej úrovni nepostačuj</w:t>
      </w:r>
      <w:r w:rsidRPr="00077612">
        <w:t>e na vytvorenie a podporu silnej celoeurópskej občianskej spoločnosti, ktorej existencia je pre demokraciu nevyhnutná; domnieva sa preto, že štatút cezhraničných združení a neziskových organizácií EÚ poskytne organizáciám občianskej spoločnosti, ktoré čeli</w:t>
      </w:r>
      <w:r w:rsidRPr="00077612">
        <w:t>a neprimeraným prekážkam pri svojom vzniku a fungovaní</w:t>
      </w:r>
      <w:r w:rsidRPr="00077612">
        <w:rPr>
          <w:rStyle w:val="FootnoteReference"/>
        </w:rPr>
        <w:footnoteReference w:id="13"/>
      </w:r>
      <w:r w:rsidRPr="00077612">
        <w:t>, dodatočnú úroveň ochrany;</w:t>
      </w:r>
    </w:p>
    <w:p w:rsidR="00BB0748" w:rsidRPr="00077612" w:rsidRDefault="00BB0748" w:rsidP="00BB0748"/>
    <w:p w:rsidR="00BB0748" w:rsidRPr="00077612" w:rsidRDefault="00BB0748" w:rsidP="00BB0748">
      <w:pPr>
        <w:pStyle w:val="NormalHanging12a"/>
        <w:ind w:left="0" w:firstLine="0"/>
        <w:sectPr w:rsidR="00BB0748" w:rsidRPr="00077612" w:rsidSect="0007761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</w:sectPr>
      </w:pPr>
    </w:p>
    <w:p w:rsidR="00EB0868" w:rsidRPr="00077612" w:rsidRDefault="00D64133" w:rsidP="00EB0868">
      <w:pPr>
        <w:pStyle w:val="PageHeadingNotTOC"/>
        <w:rPr>
          <w:rFonts w:eastAsia="Calibri"/>
          <w:szCs w:val="24"/>
        </w:rPr>
      </w:pPr>
      <w:r w:rsidRPr="00077612">
        <w:t>PRÍLOHA: ZOZNAM SUBJEKTOV ALEBO OSÔB, KTORÉ SPRAVODAJCOVI VÝBORU POŽIADANÉHO O STANOVISKO POSKYTLI INFORMÁCIE</w:t>
      </w:r>
      <w:bookmarkStart w:id="1" w:name="ProcPageAD"/>
    </w:p>
    <w:p w:rsidR="00BC7719" w:rsidRPr="00077612" w:rsidRDefault="00BC7719" w:rsidP="00BC7719">
      <w:pPr>
        <w:spacing w:line="200" w:lineRule="exact"/>
        <w:rPr>
          <w:sz w:val="22"/>
          <w:szCs w:val="22"/>
        </w:rPr>
      </w:pPr>
    </w:p>
    <w:p w:rsidR="00BC7719" w:rsidRPr="00077612" w:rsidRDefault="00BC7719" w:rsidP="00BC7719">
      <w:pPr>
        <w:spacing w:line="200" w:lineRule="exact"/>
        <w:rPr>
          <w:sz w:val="22"/>
          <w:szCs w:val="22"/>
        </w:rPr>
      </w:pPr>
    </w:p>
    <w:p w:rsidR="00BC7719" w:rsidRPr="00077612" w:rsidRDefault="00D64133" w:rsidP="00BC7719">
      <w:pPr>
        <w:spacing w:line="360" w:lineRule="auto"/>
        <w:rPr>
          <w:iCs/>
          <w:sz w:val="22"/>
          <w:szCs w:val="22"/>
        </w:rPr>
      </w:pPr>
      <w:r w:rsidRPr="00077612">
        <w:rPr>
          <w:sz w:val="22"/>
        </w:rPr>
        <w:t xml:space="preserve">Spravodajca na vlastnú zodpovednosť </w:t>
      </w:r>
      <w:r w:rsidRPr="00077612">
        <w:rPr>
          <w:sz w:val="22"/>
        </w:rPr>
        <w:t>vyhlasuje, že informácie mu neposkytol žiadny subjekt ani osoba, ktoré treba uviesť v tejto prílohe podľa článku 8 prílohy I k rokovaciemu poriadku.</w:t>
      </w:r>
    </w:p>
    <w:p w:rsidR="00BC7719" w:rsidRPr="00077612" w:rsidRDefault="00BC7719" w:rsidP="00BC7719">
      <w:pPr>
        <w:spacing w:line="360" w:lineRule="auto"/>
        <w:rPr>
          <w:iCs/>
          <w:sz w:val="22"/>
          <w:szCs w:val="22"/>
        </w:rPr>
      </w:pPr>
    </w:p>
    <w:p w:rsidR="00BC7719" w:rsidRPr="00077612" w:rsidRDefault="00BC7719" w:rsidP="00BC7719"/>
    <w:p w:rsidR="00BC7719" w:rsidRPr="00077612" w:rsidRDefault="00BC7719" w:rsidP="00BC7719"/>
    <w:p w:rsidR="00BC7719" w:rsidRPr="00077612" w:rsidRDefault="00BC7719" w:rsidP="00BC7719"/>
    <w:p w:rsidR="00BC7719" w:rsidRPr="00077612" w:rsidRDefault="00BC7719" w:rsidP="00BC7719"/>
    <w:p w:rsidR="00BC7719" w:rsidRPr="00077612" w:rsidRDefault="00BC7719" w:rsidP="00BC7719"/>
    <w:p w:rsidR="00BC7719" w:rsidRPr="00077612" w:rsidRDefault="00BC7719" w:rsidP="00BC7719"/>
    <w:p w:rsidR="00BC7719" w:rsidRPr="00077612" w:rsidRDefault="00BC7719" w:rsidP="00BC7719"/>
    <w:p w:rsidR="00BC7719" w:rsidRPr="00077612" w:rsidRDefault="00BC7719" w:rsidP="00BC7719"/>
    <w:p w:rsidR="00BC7719" w:rsidRPr="00077612" w:rsidRDefault="00BC7719" w:rsidP="00BC7719"/>
    <w:p w:rsidR="00BC7719" w:rsidRPr="00077612" w:rsidRDefault="00BC7719">
      <w:pPr>
        <w:widowControl/>
      </w:pPr>
    </w:p>
    <w:p w:rsidR="00BC7719" w:rsidRPr="00077612" w:rsidRDefault="00D64133">
      <w:pPr>
        <w:widowControl/>
        <w:rPr>
          <w:rFonts w:ascii="Arial" w:hAnsi="Arial" w:cs="Arial"/>
          <w:b/>
        </w:rPr>
      </w:pPr>
      <w:r w:rsidRPr="00077612">
        <w:br w:type="page"/>
      </w:r>
    </w:p>
    <w:p w:rsidR="00AB0C34" w:rsidRPr="00077612" w:rsidRDefault="00D64133" w:rsidP="00AB0C34">
      <w:pPr>
        <w:pStyle w:val="PageHeadingNotTOC"/>
      </w:pPr>
      <w:r w:rsidRPr="00077612">
        <w:t>INFORMÁCIE O PRIJATÍ VO VÝBORE POŽIADANOM O STANOVISKO</w:t>
      </w:r>
    </w:p>
    <w:tbl>
      <w:tblPr>
        <w:tblW w:w="0" w:type="auto"/>
        <w:tblInd w:w="-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85"/>
        <w:gridCol w:w="1530"/>
        <w:gridCol w:w="1474"/>
        <w:gridCol w:w="1474"/>
        <w:gridCol w:w="1474"/>
      </w:tblGrid>
      <w:tr w:rsidR="001D42A4" w:rsidRPr="00077612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AB0C34" w:rsidRPr="00077612" w:rsidRDefault="00D64133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077612">
              <w:rPr>
                <w:b/>
                <w:color w:val="000000"/>
                <w:sz w:val="20"/>
              </w:rPr>
              <w:t>Dátum prijatia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AB0C34" w:rsidRPr="00077612" w:rsidRDefault="00D64133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077612">
              <w:rPr>
                <w:color w:val="000000"/>
                <w:sz w:val="20"/>
              </w:rPr>
              <w:t>29.11.2023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AB0C34" w:rsidRPr="00077612" w:rsidRDefault="00AB0C34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AB0C34" w:rsidRPr="00077612" w:rsidRDefault="00AB0C34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AB0C34" w:rsidRPr="00077612" w:rsidRDefault="00AB0C34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</w:tr>
      <w:tr w:rsidR="001D42A4" w:rsidRPr="00077612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AB0C34" w:rsidRPr="00077612" w:rsidRDefault="00D64133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077612">
              <w:rPr>
                <w:b/>
                <w:color w:val="000000"/>
                <w:sz w:val="20"/>
              </w:rPr>
              <w:t xml:space="preserve">Výsledok </w:t>
            </w:r>
            <w:r w:rsidRPr="00077612">
              <w:rPr>
                <w:b/>
                <w:color w:val="000000"/>
                <w:sz w:val="20"/>
              </w:rPr>
              <w:t>záverečného hlasovania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AB0C34" w:rsidRPr="00077612" w:rsidRDefault="00D64133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077612">
              <w:rPr>
                <w:color w:val="000000"/>
                <w:sz w:val="20"/>
              </w:rPr>
              <w:t>+:</w:t>
            </w:r>
          </w:p>
          <w:p w:rsidR="00AB0C34" w:rsidRPr="00077612" w:rsidRDefault="00D64133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077612">
              <w:rPr>
                <w:color w:val="000000"/>
                <w:sz w:val="20"/>
              </w:rPr>
              <w:t>–:</w:t>
            </w:r>
          </w:p>
          <w:p w:rsidR="00AB0C34" w:rsidRPr="00077612" w:rsidRDefault="00D64133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077612">
              <w:rPr>
                <w:color w:val="000000"/>
                <w:sz w:val="20"/>
              </w:rPr>
              <w:t>0:</w:t>
            </w:r>
          </w:p>
        </w:tc>
        <w:tc>
          <w:tcPr>
            <w:tcW w:w="442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AB0C34" w:rsidRPr="00077612" w:rsidRDefault="00D64133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077612">
              <w:rPr>
                <w:color w:val="000000"/>
                <w:sz w:val="20"/>
              </w:rPr>
              <w:t>20</w:t>
            </w:r>
          </w:p>
          <w:p w:rsidR="00AB0C34" w:rsidRPr="00077612" w:rsidRDefault="00D64133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077612">
              <w:rPr>
                <w:color w:val="000000"/>
                <w:sz w:val="20"/>
              </w:rPr>
              <w:t>2</w:t>
            </w:r>
          </w:p>
          <w:p w:rsidR="00AB0C34" w:rsidRPr="00077612" w:rsidRDefault="00D64133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077612">
              <w:rPr>
                <w:color w:val="000000"/>
                <w:sz w:val="20"/>
              </w:rPr>
              <w:t>0</w:t>
            </w:r>
          </w:p>
        </w:tc>
      </w:tr>
      <w:tr w:rsidR="001D42A4" w:rsidRPr="00077612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AB0C34" w:rsidRPr="00077612" w:rsidRDefault="00D64133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077612">
              <w:rPr>
                <w:b/>
                <w:color w:val="000000"/>
                <w:sz w:val="20"/>
              </w:rPr>
              <w:t>Poslanci prítomní na záverečnom hlasovaní</w:t>
            </w:r>
          </w:p>
        </w:tc>
        <w:tc>
          <w:tcPr>
            <w:tcW w:w="59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AB0C34" w:rsidRPr="00077612" w:rsidRDefault="00D64133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077612">
              <w:rPr>
                <w:color w:val="000000"/>
                <w:sz w:val="20"/>
              </w:rPr>
              <w:t xml:space="preserve">Pascal Arimont, Ilana Cicurel, Geoffroy Didier, Ibán García Del Blanco, Virginie Joron, Pierre Karleskind, Sergey Lagodinsky, Gilles Lebreton, Karen Melchior, Sabrina </w:t>
            </w:r>
            <w:r w:rsidRPr="00077612">
              <w:rPr>
                <w:color w:val="000000"/>
                <w:sz w:val="20"/>
              </w:rPr>
              <w:t>Pignedoli, Jiří Pospíšil, Raffaele Stancanelli, Adrián Vázquez Lázara, Axel Voss, Marion Walsmann, Tiemo Wölken, Javier Zarzalejos</w:t>
            </w:r>
          </w:p>
        </w:tc>
      </w:tr>
      <w:tr w:rsidR="001D42A4" w:rsidRPr="00077612"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AB0C34" w:rsidRPr="00077612" w:rsidRDefault="00D64133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077612">
              <w:rPr>
                <w:b/>
                <w:color w:val="000000"/>
                <w:sz w:val="20"/>
              </w:rPr>
              <w:t>Náhradníci prítomní na záverečnom hlasovaní</w:t>
            </w:r>
          </w:p>
        </w:tc>
        <w:tc>
          <w:tcPr>
            <w:tcW w:w="5952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AB0C34" w:rsidRPr="00077612" w:rsidRDefault="00D64133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077612">
              <w:rPr>
                <w:color w:val="000000"/>
                <w:sz w:val="20"/>
              </w:rPr>
              <w:t>Daniel Buda, Pascal Durand, Heidi Hautala</w:t>
            </w:r>
          </w:p>
        </w:tc>
      </w:tr>
      <w:tr w:rsidR="001D42A4" w:rsidRPr="00077612"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AB0C34" w:rsidRPr="00077612" w:rsidRDefault="00D64133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077612">
              <w:rPr>
                <w:b/>
                <w:color w:val="000000"/>
                <w:sz w:val="20"/>
              </w:rPr>
              <w:t xml:space="preserve">Náhradníci (čl. 209 ods. 7) prítomní </w:t>
            </w:r>
            <w:r w:rsidRPr="00077612">
              <w:rPr>
                <w:b/>
                <w:color w:val="000000"/>
                <w:sz w:val="20"/>
              </w:rPr>
              <w:t>na záverečnom hlasovaní</w:t>
            </w:r>
          </w:p>
        </w:tc>
        <w:tc>
          <w:tcPr>
            <w:tcW w:w="5952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AB0C34" w:rsidRPr="00077612" w:rsidRDefault="00D64133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077612">
              <w:rPr>
                <w:color w:val="000000"/>
                <w:sz w:val="20"/>
              </w:rPr>
              <w:t>Sylvie Guillaume, Pedro Marques, Anne-Sophie Pelletier</w:t>
            </w:r>
          </w:p>
        </w:tc>
      </w:tr>
    </w:tbl>
    <w:p w:rsidR="00AB0C34" w:rsidRPr="00077612" w:rsidRDefault="00AB0C34" w:rsidP="00AB0C34"/>
    <w:bookmarkEnd w:id="1"/>
    <w:p w:rsidR="00AB0C34" w:rsidRPr="00077612" w:rsidRDefault="00AB0C34" w:rsidP="00AB0C34">
      <w:pPr>
        <w:sectPr w:rsidR="00AB0C34" w:rsidRPr="00077612" w:rsidSect="00AB0C34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AB0C34" w:rsidRPr="00077612" w:rsidRDefault="00D64133" w:rsidP="00C36610">
      <w:pPr>
        <w:pStyle w:val="PageHeadingNotTOC"/>
      </w:pPr>
      <w:bookmarkStart w:id="2" w:name="RollCallPageAD"/>
      <w:r w:rsidRPr="00077612">
        <w:t>ZÁVEREČNÉ HLASOVANIE PODĽA MIEN VO VÝBORE POŽIADANOM O STANOVISKO</w:t>
      </w:r>
    </w:p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1D42A4" w:rsidRPr="00077612" w:rsidTr="008920AC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:rsidR="00AB0C34" w:rsidRPr="00077612" w:rsidRDefault="00D64133" w:rsidP="003858C5">
            <w:pPr>
              <w:pStyle w:val="RollCallVotes"/>
            </w:pPr>
            <w:r w:rsidRPr="00077612">
              <w:t>20</w:t>
            </w:r>
          </w:p>
        </w:tc>
        <w:tc>
          <w:tcPr>
            <w:tcW w:w="7371" w:type="dxa"/>
            <w:shd w:val="pct10" w:color="000000" w:fill="FFFFFF"/>
          </w:tcPr>
          <w:p w:rsidR="00AB0C34" w:rsidRPr="00077612" w:rsidRDefault="00D64133" w:rsidP="003858C5">
            <w:pPr>
              <w:pStyle w:val="RollCallSymbols14pt"/>
            </w:pPr>
            <w:r w:rsidRPr="00077612">
              <w:t>+</w:t>
            </w:r>
          </w:p>
        </w:tc>
      </w:tr>
      <w:tr w:rsidR="001D42A4" w:rsidRPr="00077612" w:rsidTr="008920AC">
        <w:trPr>
          <w:cantSplit/>
        </w:trPr>
        <w:tc>
          <w:tcPr>
            <w:tcW w:w="1701" w:type="dxa"/>
            <w:shd w:val="clear" w:color="auto" w:fill="FFFFFF"/>
          </w:tcPr>
          <w:p w:rsidR="00AB0C34" w:rsidRPr="00077612" w:rsidRDefault="00D64133" w:rsidP="003858C5">
            <w:pPr>
              <w:pStyle w:val="RollCallTable"/>
            </w:pPr>
            <w:r w:rsidRPr="00077612">
              <w:t>NI</w:t>
            </w:r>
          </w:p>
        </w:tc>
        <w:tc>
          <w:tcPr>
            <w:tcW w:w="7371" w:type="dxa"/>
            <w:shd w:val="clear" w:color="auto" w:fill="FFFFFF"/>
          </w:tcPr>
          <w:p w:rsidR="00AB0C34" w:rsidRPr="00077612" w:rsidRDefault="00D64133" w:rsidP="003858C5">
            <w:pPr>
              <w:pStyle w:val="RollCallTable"/>
            </w:pPr>
            <w:r w:rsidRPr="00077612">
              <w:t>Sabrina Pignedoli</w:t>
            </w:r>
          </w:p>
        </w:tc>
      </w:tr>
      <w:tr w:rsidR="001D42A4" w:rsidRPr="00077612" w:rsidTr="008920AC">
        <w:trPr>
          <w:cantSplit/>
        </w:trPr>
        <w:tc>
          <w:tcPr>
            <w:tcW w:w="1701" w:type="dxa"/>
            <w:shd w:val="clear" w:color="auto" w:fill="FFFFFF"/>
          </w:tcPr>
          <w:p w:rsidR="00AB0C34" w:rsidRPr="00077612" w:rsidRDefault="00D64133" w:rsidP="003858C5">
            <w:pPr>
              <w:pStyle w:val="RollCallTable"/>
            </w:pPr>
            <w:r w:rsidRPr="00077612">
              <w:t>PPE</w:t>
            </w:r>
          </w:p>
        </w:tc>
        <w:tc>
          <w:tcPr>
            <w:tcW w:w="7371" w:type="dxa"/>
            <w:shd w:val="clear" w:color="auto" w:fill="FFFFFF"/>
          </w:tcPr>
          <w:p w:rsidR="00AB0C34" w:rsidRPr="00077612" w:rsidRDefault="00D64133" w:rsidP="003858C5">
            <w:pPr>
              <w:pStyle w:val="RollCallTable"/>
            </w:pPr>
            <w:r w:rsidRPr="00077612">
              <w:t xml:space="preserve">Pascal Arimont, Daniel Buda, Geoffroy Didier, </w:t>
            </w:r>
            <w:r w:rsidRPr="00077612">
              <w:t>Jiří Pospíšil, Axel Voss, Marion Walsmann, Javier Zarzalejos</w:t>
            </w:r>
          </w:p>
        </w:tc>
      </w:tr>
      <w:tr w:rsidR="001D42A4" w:rsidRPr="00077612" w:rsidTr="008920AC">
        <w:trPr>
          <w:cantSplit/>
        </w:trPr>
        <w:tc>
          <w:tcPr>
            <w:tcW w:w="1701" w:type="dxa"/>
            <w:shd w:val="clear" w:color="auto" w:fill="FFFFFF"/>
          </w:tcPr>
          <w:p w:rsidR="00AB0C34" w:rsidRPr="00077612" w:rsidRDefault="00D64133" w:rsidP="003858C5">
            <w:pPr>
              <w:pStyle w:val="RollCallTable"/>
            </w:pPr>
            <w:r w:rsidRPr="00077612">
              <w:t>Renew</w:t>
            </w:r>
          </w:p>
        </w:tc>
        <w:tc>
          <w:tcPr>
            <w:tcW w:w="7371" w:type="dxa"/>
            <w:shd w:val="clear" w:color="auto" w:fill="FFFFFF"/>
          </w:tcPr>
          <w:p w:rsidR="00AB0C34" w:rsidRPr="00077612" w:rsidRDefault="00D64133" w:rsidP="003858C5">
            <w:pPr>
              <w:pStyle w:val="RollCallTable"/>
            </w:pPr>
            <w:r w:rsidRPr="00077612">
              <w:t>Ilana Cicurel, Pierre Karleskind, Karen Melchior, Adrián Vázquez Lázara</w:t>
            </w:r>
          </w:p>
        </w:tc>
      </w:tr>
      <w:tr w:rsidR="001D42A4" w:rsidRPr="00077612" w:rsidTr="008920AC">
        <w:trPr>
          <w:cantSplit/>
        </w:trPr>
        <w:tc>
          <w:tcPr>
            <w:tcW w:w="1701" w:type="dxa"/>
            <w:shd w:val="clear" w:color="auto" w:fill="FFFFFF"/>
          </w:tcPr>
          <w:p w:rsidR="00AB0C34" w:rsidRPr="00077612" w:rsidRDefault="00D64133" w:rsidP="003858C5">
            <w:pPr>
              <w:pStyle w:val="RollCallTable"/>
            </w:pPr>
            <w:r w:rsidRPr="00077612">
              <w:t>S&amp;D</w:t>
            </w:r>
          </w:p>
        </w:tc>
        <w:tc>
          <w:tcPr>
            <w:tcW w:w="7371" w:type="dxa"/>
            <w:shd w:val="clear" w:color="auto" w:fill="FFFFFF"/>
          </w:tcPr>
          <w:p w:rsidR="00AB0C34" w:rsidRPr="00077612" w:rsidRDefault="00D64133" w:rsidP="003858C5">
            <w:pPr>
              <w:pStyle w:val="RollCallTable"/>
            </w:pPr>
            <w:r w:rsidRPr="00077612">
              <w:t>Pascal Durand, Ibán García Del Blanco, Sylvie Guillaume, Pedro Marques, Tiemo Wölken</w:t>
            </w:r>
          </w:p>
        </w:tc>
      </w:tr>
      <w:tr w:rsidR="001D42A4" w:rsidRPr="00077612" w:rsidTr="008920AC">
        <w:trPr>
          <w:cantSplit/>
        </w:trPr>
        <w:tc>
          <w:tcPr>
            <w:tcW w:w="1701" w:type="dxa"/>
            <w:shd w:val="clear" w:color="auto" w:fill="FFFFFF"/>
          </w:tcPr>
          <w:p w:rsidR="00AB0C34" w:rsidRPr="00077612" w:rsidRDefault="00D64133" w:rsidP="003858C5">
            <w:pPr>
              <w:pStyle w:val="RollCallTable"/>
            </w:pPr>
            <w:r w:rsidRPr="00077612">
              <w:t>The Left</w:t>
            </w:r>
          </w:p>
        </w:tc>
        <w:tc>
          <w:tcPr>
            <w:tcW w:w="7371" w:type="dxa"/>
            <w:shd w:val="clear" w:color="auto" w:fill="FFFFFF"/>
          </w:tcPr>
          <w:p w:rsidR="00AB0C34" w:rsidRPr="00077612" w:rsidRDefault="00D64133" w:rsidP="003858C5">
            <w:pPr>
              <w:pStyle w:val="RollCallTable"/>
            </w:pPr>
            <w:r w:rsidRPr="00077612">
              <w:t xml:space="preserve">Anne-Sophie </w:t>
            </w:r>
            <w:r w:rsidRPr="00077612">
              <w:t>Pelletier</w:t>
            </w:r>
          </w:p>
        </w:tc>
      </w:tr>
      <w:tr w:rsidR="001D42A4" w:rsidRPr="00077612" w:rsidTr="008920AC">
        <w:trPr>
          <w:cantSplit/>
        </w:trPr>
        <w:tc>
          <w:tcPr>
            <w:tcW w:w="1701" w:type="dxa"/>
            <w:shd w:val="clear" w:color="auto" w:fill="FFFFFF"/>
          </w:tcPr>
          <w:p w:rsidR="00AB0C34" w:rsidRPr="00077612" w:rsidRDefault="00D64133" w:rsidP="003858C5">
            <w:pPr>
              <w:pStyle w:val="RollCallTable"/>
            </w:pPr>
            <w:r w:rsidRPr="00077612">
              <w:t>Verts/ALE</w:t>
            </w:r>
          </w:p>
        </w:tc>
        <w:tc>
          <w:tcPr>
            <w:tcW w:w="7371" w:type="dxa"/>
            <w:shd w:val="clear" w:color="auto" w:fill="FFFFFF"/>
          </w:tcPr>
          <w:p w:rsidR="00AB0C34" w:rsidRPr="00077612" w:rsidRDefault="00D64133" w:rsidP="003858C5">
            <w:pPr>
              <w:pStyle w:val="RollCallTable"/>
            </w:pPr>
            <w:r w:rsidRPr="00077612">
              <w:t>Heidi Hautala, Sergey Lagodinsky</w:t>
            </w:r>
          </w:p>
        </w:tc>
      </w:tr>
    </w:tbl>
    <w:p w:rsidR="00AB0C34" w:rsidRPr="00077612" w:rsidRDefault="00AB0C34" w:rsidP="00147FBF"/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1D42A4" w:rsidRPr="00077612" w:rsidTr="008920AC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:rsidR="00AB0C34" w:rsidRPr="00077612" w:rsidRDefault="00D64133" w:rsidP="003858C5">
            <w:pPr>
              <w:pStyle w:val="RollCallVotes"/>
            </w:pPr>
            <w:r w:rsidRPr="00077612">
              <w:t>2</w:t>
            </w:r>
          </w:p>
        </w:tc>
        <w:tc>
          <w:tcPr>
            <w:tcW w:w="7371" w:type="dxa"/>
            <w:shd w:val="pct10" w:color="000000" w:fill="FFFFFF"/>
          </w:tcPr>
          <w:p w:rsidR="00AB0C34" w:rsidRPr="00077612" w:rsidRDefault="00D64133" w:rsidP="003858C5">
            <w:pPr>
              <w:pStyle w:val="RollCallSymbols14pt"/>
            </w:pPr>
            <w:r w:rsidRPr="00077612">
              <w:t>-</w:t>
            </w:r>
          </w:p>
        </w:tc>
      </w:tr>
      <w:tr w:rsidR="001D42A4" w:rsidRPr="00077612" w:rsidTr="008920AC">
        <w:trPr>
          <w:cantSplit/>
        </w:trPr>
        <w:tc>
          <w:tcPr>
            <w:tcW w:w="1701" w:type="dxa"/>
            <w:shd w:val="clear" w:color="auto" w:fill="FFFFFF"/>
          </w:tcPr>
          <w:p w:rsidR="00AB0C34" w:rsidRPr="00077612" w:rsidRDefault="00D64133" w:rsidP="003858C5">
            <w:pPr>
              <w:pStyle w:val="RollCallTable"/>
            </w:pPr>
            <w:r w:rsidRPr="00077612">
              <w:t>ID</w:t>
            </w:r>
          </w:p>
        </w:tc>
        <w:tc>
          <w:tcPr>
            <w:tcW w:w="7371" w:type="dxa"/>
            <w:shd w:val="clear" w:color="auto" w:fill="FFFFFF"/>
          </w:tcPr>
          <w:p w:rsidR="00AB0C34" w:rsidRPr="00077612" w:rsidRDefault="00D64133" w:rsidP="003858C5">
            <w:pPr>
              <w:pStyle w:val="RollCallTable"/>
            </w:pPr>
            <w:r w:rsidRPr="00077612">
              <w:t>Virginie Joron, Gilles Lebreton</w:t>
            </w:r>
          </w:p>
        </w:tc>
      </w:tr>
    </w:tbl>
    <w:p w:rsidR="00AB0C34" w:rsidRPr="00077612" w:rsidRDefault="00AB0C34" w:rsidP="00147FBF"/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1D42A4" w:rsidRPr="00077612" w:rsidTr="008920AC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:rsidR="00AB0C34" w:rsidRPr="00077612" w:rsidRDefault="00D64133" w:rsidP="003858C5">
            <w:pPr>
              <w:pStyle w:val="RollCallVotes"/>
            </w:pPr>
            <w:r w:rsidRPr="00077612">
              <w:t>0</w:t>
            </w:r>
          </w:p>
        </w:tc>
        <w:tc>
          <w:tcPr>
            <w:tcW w:w="7371" w:type="dxa"/>
            <w:shd w:val="pct10" w:color="000000" w:fill="FFFFFF"/>
          </w:tcPr>
          <w:p w:rsidR="00AB0C34" w:rsidRPr="00077612" w:rsidRDefault="00D64133" w:rsidP="003858C5">
            <w:pPr>
              <w:pStyle w:val="RollCallSymbols14pt"/>
            </w:pPr>
            <w:r w:rsidRPr="00077612">
              <w:t>0</w:t>
            </w:r>
          </w:p>
        </w:tc>
      </w:tr>
      <w:tr w:rsidR="001D42A4" w:rsidRPr="00077612" w:rsidTr="008920AC">
        <w:trPr>
          <w:cantSplit/>
        </w:trPr>
        <w:tc>
          <w:tcPr>
            <w:tcW w:w="1701" w:type="dxa"/>
            <w:shd w:val="clear" w:color="auto" w:fill="FFFFFF"/>
          </w:tcPr>
          <w:p w:rsidR="00AB0C34" w:rsidRPr="00077612" w:rsidRDefault="00AB0C34" w:rsidP="003858C5">
            <w:pPr>
              <w:pStyle w:val="RollCallTable"/>
            </w:pPr>
          </w:p>
        </w:tc>
        <w:tc>
          <w:tcPr>
            <w:tcW w:w="7371" w:type="dxa"/>
            <w:shd w:val="clear" w:color="auto" w:fill="FFFFFF"/>
          </w:tcPr>
          <w:p w:rsidR="00AB0C34" w:rsidRPr="00077612" w:rsidRDefault="00AB0C34" w:rsidP="003858C5">
            <w:pPr>
              <w:pStyle w:val="RollCallTable"/>
            </w:pPr>
          </w:p>
        </w:tc>
      </w:tr>
    </w:tbl>
    <w:p w:rsidR="00AB0C34" w:rsidRPr="00077612" w:rsidRDefault="00AB0C34" w:rsidP="00147FBF">
      <w:pPr>
        <w:pStyle w:val="Normal12a"/>
      </w:pPr>
    </w:p>
    <w:p w:rsidR="00AB0C34" w:rsidRPr="00077612" w:rsidRDefault="00D64133" w:rsidP="00B735E3">
      <w:r w:rsidRPr="00077612">
        <w:t>Vysvetlenie použitých znakov:</w:t>
      </w:r>
    </w:p>
    <w:p w:rsidR="00AB0C34" w:rsidRPr="00077612" w:rsidRDefault="00D64133" w:rsidP="003858C5">
      <w:pPr>
        <w:pStyle w:val="RollCallTabs"/>
      </w:pPr>
      <w:r w:rsidRPr="00077612">
        <w:t>+</w:t>
      </w:r>
      <w:r w:rsidRPr="00077612">
        <w:tab/>
        <w:t>:</w:t>
      </w:r>
      <w:r w:rsidRPr="00077612">
        <w:tab/>
        <w:t>za</w:t>
      </w:r>
    </w:p>
    <w:p w:rsidR="00AB0C34" w:rsidRPr="00077612" w:rsidRDefault="00D64133" w:rsidP="003858C5">
      <w:pPr>
        <w:pStyle w:val="RollCallTabs"/>
      </w:pPr>
      <w:r w:rsidRPr="00077612">
        <w:t>-</w:t>
      </w:r>
      <w:r w:rsidRPr="00077612">
        <w:tab/>
        <w:t>:</w:t>
      </w:r>
      <w:r w:rsidRPr="00077612">
        <w:tab/>
        <w:t>proti</w:t>
      </w:r>
    </w:p>
    <w:p w:rsidR="00AB0C34" w:rsidRPr="00077612" w:rsidRDefault="00D64133" w:rsidP="003858C5">
      <w:pPr>
        <w:pStyle w:val="RollCallTabs"/>
      </w:pPr>
      <w:r w:rsidRPr="00077612">
        <w:t>0</w:t>
      </w:r>
      <w:r w:rsidRPr="00077612">
        <w:tab/>
        <w:t>:</w:t>
      </w:r>
      <w:r w:rsidRPr="00077612">
        <w:tab/>
        <w:t>zdržali sa hlasovania</w:t>
      </w:r>
    </w:p>
    <w:p w:rsidR="00AB0C34" w:rsidRPr="00077612" w:rsidRDefault="00AB0C34" w:rsidP="00207509"/>
    <w:bookmarkEnd w:id="2"/>
    <w:p w:rsidR="00AB0C34" w:rsidRPr="00077612" w:rsidRDefault="00AB0C34" w:rsidP="00AB0C34"/>
    <w:sectPr w:rsidR="00AB0C34" w:rsidRPr="00077612" w:rsidSect="00AB0C34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Pr="00077612" w:rsidRDefault="00D64133">
      <w:r w:rsidRPr="00077612">
        <w:separator/>
      </w:r>
    </w:p>
  </w:endnote>
  <w:endnote w:type="continuationSeparator" w:id="0">
    <w:p w:rsidR="00000000" w:rsidRPr="00077612" w:rsidRDefault="00D64133">
      <w:r w:rsidRPr="0007761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ans-serif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7612" w:rsidRPr="00077612" w:rsidRDefault="00077612" w:rsidP="00077612">
    <w:pPr>
      <w:pStyle w:val="EPFooter"/>
    </w:pPr>
    <w:r w:rsidRPr="00077612">
      <w:t>PE</w:t>
    </w:r>
    <w:r w:rsidRPr="00077612">
      <w:rPr>
        <w:rStyle w:val="HideTWBExt"/>
      </w:rPr>
      <w:t>&lt;NoPE&gt;</w:t>
    </w:r>
    <w:r w:rsidRPr="00077612">
      <w:t>754.755</w:t>
    </w:r>
    <w:r w:rsidRPr="00077612">
      <w:rPr>
        <w:rStyle w:val="HideTWBExt"/>
      </w:rPr>
      <w:t>&lt;/NoPE&gt;&lt;Version&gt;</w:t>
    </w:r>
    <w:r w:rsidRPr="00077612">
      <w:t>v02-00</w:t>
    </w:r>
    <w:r w:rsidRPr="00077612">
      <w:rPr>
        <w:rStyle w:val="HideTWBExt"/>
      </w:rPr>
      <w:t>&lt;/Version&gt;</w:t>
    </w:r>
    <w:r w:rsidRPr="00077612">
      <w:tab/>
    </w:r>
    <w:r w:rsidRPr="00077612">
      <w:fldChar w:fldCharType="begin"/>
    </w:r>
    <w:r w:rsidRPr="00077612">
      <w:instrText xml:space="preserve"> PAGE  \* MERGEFORMAT </w:instrText>
    </w:r>
    <w:r w:rsidRPr="00077612">
      <w:fldChar w:fldCharType="separate"/>
    </w:r>
    <w:r w:rsidR="00D64133">
      <w:rPr>
        <w:noProof/>
      </w:rPr>
      <w:t>2</w:t>
    </w:r>
    <w:r w:rsidRPr="00077612">
      <w:fldChar w:fldCharType="end"/>
    </w:r>
    <w:r w:rsidRPr="00077612">
      <w:t>/</w:t>
    </w:r>
    <w:fldSimple w:instr=" NUMPAGES  \* MERGEFORMAT ">
      <w:r w:rsidR="00D64133">
        <w:rPr>
          <w:noProof/>
        </w:rPr>
        <w:t>10</w:t>
      </w:r>
    </w:fldSimple>
    <w:r w:rsidRPr="00077612">
      <w:tab/>
    </w:r>
    <w:r w:rsidRPr="00077612">
      <w:rPr>
        <w:rStyle w:val="HideTWBExt"/>
      </w:rPr>
      <w:t>&lt;PathFdR&gt;</w:t>
    </w:r>
    <w:r w:rsidRPr="00077612">
      <w:t>AD\1291636SK.docx</w:t>
    </w:r>
    <w:r w:rsidRPr="00077612">
      <w:rPr>
        <w:rStyle w:val="HideTWBExt"/>
      </w:rPr>
      <w:t>&lt;/PathFdR&gt;</w:t>
    </w:r>
  </w:p>
  <w:p w:rsidR="002E2F2E" w:rsidRPr="00077612" w:rsidRDefault="00077612" w:rsidP="00077612">
    <w:pPr>
      <w:pStyle w:val="EPFooter2"/>
    </w:pPr>
    <w:r w:rsidRPr="00077612">
      <w:t>SK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7612" w:rsidRPr="00077612" w:rsidRDefault="00077612" w:rsidP="00077612">
    <w:pPr>
      <w:pStyle w:val="EPFooter"/>
    </w:pPr>
    <w:r w:rsidRPr="00077612">
      <w:rPr>
        <w:rStyle w:val="HideTWBExt"/>
      </w:rPr>
      <w:t>&lt;PathFdR&gt;</w:t>
    </w:r>
    <w:r w:rsidRPr="00077612">
      <w:t>AD\1291636SK.docx</w:t>
    </w:r>
    <w:r w:rsidRPr="00077612">
      <w:rPr>
        <w:rStyle w:val="HideTWBExt"/>
      </w:rPr>
      <w:t>&lt;/PathFdR&gt;</w:t>
    </w:r>
    <w:r w:rsidRPr="00077612">
      <w:tab/>
    </w:r>
    <w:r w:rsidRPr="00077612">
      <w:fldChar w:fldCharType="begin"/>
    </w:r>
    <w:r w:rsidRPr="00077612">
      <w:instrText xml:space="preserve"> PAGE  \* MERGEFORMAT </w:instrText>
    </w:r>
    <w:r w:rsidRPr="00077612">
      <w:fldChar w:fldCharType="separate"/>
    </w:r>
    <w:r w:rsidR="00D64133">
      <w:rPr>
        <w:noProof/>
      </w:rPr>
      <w:t>10</w:t>
    </w:r>
    <w:r w:rsidRPr="00077612">
      <w:fldChar w:fldCharType="end"/>
    </w:r>
    <w:r w:rsidRPr="00077612">
      <w:t>/</w:t>
    </w:r>
    <w:fldSimple w:instr=" NUMPAGES  \* MERGEFORMAT ">
      <w:r w:rsidR="00D64133">
        <w:rPr>
          <w:noProof/>
        </w:rPr>
        <w:t>10</w:t>
      </w:r>
    </w:fldSimple>
    <w:r w:rsidRPr="00077612">
      <w:tab/>
      <w:t>PE</w:t>
    </w:r>
    <w:r w:rsidRPr="00077612">
      <w:rPr>
        <w:rStyle w:val="HideTWBExt"/>
      </w:rPr>
      <w:t>&lt;NoPE&gt;</w:t>
    </w:r>
    <w:r w:rsidRPr="00077612">
      <w:t>754.755</w:t>
    </w:r>
    <w:r w:rsidRPr="00077612">
      <w:rPr>
        <w:rStyle w:val="HideTWBExt"/>
      </w:rPr>
      <w:t>&lt;/NoPE&gt;&lt;Version&gt;</w:t>
    </w:r>
    <w:r w:rsidRPr="00077612">
      <w:t>v02-00</w:t>
    </w:r>
    <w:r w:rsidRPr="00077612">
      <w:rPr>
        <w:rStyle w:val="HideTWBExt"/>
      </w:rPr>
      <w:t>&lt;/Version&gt;</w:t>
    </w:r>
  </w:p>
  <w:p w:rsidR="002E2F2E" w:rsidRPr="00077612" w:rsidRDefault="00077612" w:rsidP="00077612">
    <w:pPr>
      <w:pStyle w:val="EPFooter2"/>
    </w:pPr>
    <w:r w:rsidRPr="00077612">
      <w:tab/>
    </w:r>
    <w:r w:rsidRPr="00077612">
      <w:tab/>
      <w:t>SK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7612" w:rsidRPr="00077612" w:rsidRDefault="00077612" w:rsidP="00077612">
    <w:pPr>
      <w:pStyle w:val="EPFooter"/>
    </w:pPr>
    <w:r w:rsidRPr="00077612">
      <w:rPr>
        <w:rStyle w:val="HideTWBExt"/>
      </w:rPr>
      <w:t>&lt;PathFdR&gt;</w:t>
    </w:r>
    <w:r w:rsidRPr="00077612">
      <w:t>AD\1291636SK.docx</w:t>
    </w:r>
    <w:r w:rsidRPr="00077612">
      <w:rPr>
        <w:rStyle w:val="HideTWBExt"/>
      </w:rPr>
      <w:t>&lt;/PathFdR&gt;</w:t>
    </w:r>
    <w:r w:rsidRPr="00077612">
      <w:tab/>
    </w:r>
    <w:r w:rsidRPr="00077612">
      <w:tab/>
      <w:t>PE</w:t>
    </w:r>
    <w:r w:rsidRPr="00077612">
      <w:rPr>
        <w:rStyle w:val="HideTWBExt"/>
      </w:rPr>
      <w:t>&lt;NoPE&gt;</w:t>
    </w:r>
    <w:r w:rsidRPr="00077612">
      <w:t>754.755</w:t>
    </w:r>
    <w:r w:rsidRPr="00077612">
      <w:rPr>
        <w:rStyle w:val="HideTWBExt"/>
      </w:rPr>
      <w:t>&lt;/NoPE&gt;&lt;Version&gt;</w:t>
    </w:r>
    <w:r w:rsidRPr="00077612">
      <w:t>v02-00</w:t>
    </w:r>
    <w:r w:rsidRPr="00077612">
      <w:rPr>
        <w:rStyle w:val="HideTWBExt"/>
      </w:rPr>
      <w:t>&lt;/Version&gt;</w:t>
    </w:r>
  </w:p>
  <w:p w:rsidR="002E2F2E" w:rsidRPr="00077612" w:rsidRDefault="00077612" w:rsidP="00077612">
    <w:pPr>
      <w:pStyle w:val="EPFooter2"/>
    </w:pPr>
    <w:r w:rsidRPr="00077612">
      <w:t>SK</w:t>
    </w:r>
    <w:r w:rsidRPr="00077612">
      <w:tab/>
    </w:r>
    <w:r w:rsidRPr="00077612">
      <w:rPr>
        <w:b w:val="0"/>
        <w:i/>
        <w:color w:val="C0C0C0"/>
        <w:sz w:val="22"/>
      </w:rPr>
      <w:t>Zjednotení v rozmanitosti</w:t>
    </w:r>
    <w:r w:rsidRPr="00077612">
      <w:tab/>
      <w:t>SK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657D" w:rsidRPr="00077612" w:rsidRDefault="00D64133">
      <w:r w:rsidRPr="00077612">
        <w:separator/>
      </w:r>
    </w:p>
  </w:footnote>
  <w:footnote w:type="continuationSeparator" w:id="0">
    <w:p w:rsidR="0007657D" w:rsidRPr="00077612" w:rsidRDefault="00D64133">
      <w:r w:rsidRPr="00077612">
        <w:continuationSeparator/>
      </w:r>
    </w:p>
  </w:footnote>
  <w:footnote w:id="1">
    <w:p w:rsidR="00BB0748" w:rsidRPr="00077612" w:rsidRDefault="00D64133" w:rsidP="00BB0748">
      <w:pPr>
        <w:pStyle w:val="FootnoteText"/>
      </w:pPr>
      <w:r w:rsidRPr="00077612">
        <w:rPr>
          <w:rStyle w:val="FootnoteReference"/>
        </w:rPr>
        <w:footnoteRef/>
      </w:r>
      <w:r w:rsidRPr="00077612">
        <w:t xml:space="preserve"> Pozri stanovisko 2/2013 Súdneho dvora Európskej únie (pléna) z 18. decembra 2014, ECLI:EU:C:2014:2454, bod 168.</w:t>
      </w:r>
    </w:p>
  </w:footnote>
  <w:footnote w:id="2">
    <w:p w:rsidR="00BB0748" w:rsidRPr="00077612" w:rsidRDefault="00D64133" w:rsidP="00BB0748">
      <w:pPr>
        <w:pStyle w:val="FootnoteText"/>
      </w:pPr>
      <w:r w:rsidRPr="00077612">
        <w:rPr>
          <w:rStyle w:val="FootnoteReference"/>
        </w:rPr>
        <w:footnoteRef/>
      </w:r>
      <w:r w:rsidRPr="00077612">
        <w:t xml:space="preserve"> Tamže, bod 191.</w:t>
      </w:r>
    </w:p>
  </w:footnote>
  <w:footnote w:id="3">
    <w:p w:rsidR="00BB0748" w:rsidRPr="00077612" w:rsidRDefault="00D64133" w:rsidP="00BB0748">
      <w:pPr>
        <w:pStyle w:val="FootnoteText"/>
      </w:pPr>
      <w:r w:rsidRPr="00077612">
        <w:rPr>
          <w:rStyle w:val="FootnoteReference"/>
        </w:rPr>
        <w:footnoteRef/>
      </w:r>
      <w:r w:rsidRPr="00077612">
        <w:t xml:space="preserve"> Hodnotiace cykly CEPEJ.</w:t>
      </w:r>
    </w:p>
  </w:footnote>
  <w:footnote w:id="4">
    <w:p w:rsidR="00BB0748" w:rsidRPr="00077612" w:rsidRDefault="00D64133" w:rsidP="00BB0748">
      <w:pPr>
        <w:pStyle w:val="FootnoteText"/>
      </w:pPr>
      <w:r w:rsidRPr="00077612">
        <w:rPr>
          <w:rStyle w:val="FootnoteReference"/>
        </w:rPr>
        <w:footnoteRef/>
      </w:r>
      <w:r w:rsidRPr="00077612">
        <w:t xml:space="preserve"> Brífing – Normy Rady Európy týkajúce sa nezávislosti súdnictva, Európsky parlament, generálne ria</w:t>
      </w:r>
      <w:r w:rsidRPr="00077612">
        <w:t>diteľstvo pre parlamentné výskumné služby, 25. máj 2021.</w:t>
      </w:r>
    </w:p>
  </w:footnote>
  <w:footnote w:id="5">
    <w:p w:rsidR="00BB0748" w:rsidRPr="00077612" w:rsidRDefault="00D64133" w:rsidP="00BB0748">
      <w:pPr>
        <w:pStyle w:val="FootnoteText"/>
      </w:pPr>
      <w:r w:rsidRPr="00077612">
        <w:rPr>
          <w:rStyle w:val="FootnoteReference"/>
        </w:rPr>
        <w:footnoteRef/>
      </w:r>
      <w:r w:rsidRPr="00077612">
        <w:t xml:space="preserve"> Napríklad rozsudok Súdneho dvora (veľká komora) z 27. februára 2018 vo veci C-64/16, Associação Sindical dos Juízes Portugueses/Tribunal de Contas, ECLI:EU:C:2018:117, alebo rozsudok Súdneho dvora </w:t>
      </w:r>
      <w:r w:rsidRPr="00077612">
        <w:t>(veľká komora) z 19. novembra 2019, A.K./Krajowa Rada Sądownictwa, spojené veci C-585/18, C-624/18 a C-625/18, ECLI:EU:C:2019:982. Pozri aj brífing – Judikatúra Európskeho súdneho dvora o nezávislosti súdnictva, Európsky parlament. Generálne riaditeľstvo p</w:t>
      </w:r>
      <w:r w:rsidRPr="00077612">
        <w:t>re parlamentné výskumné služby, 19. júl 2021.</w:t>
      </w:r>
    </w:p>
  </w:footnote>
  <w:footnote w:id="6">
    <w:p w:rsidR="00BB0748" w:rsidRPr="00077612" w:rsidRDefault="00D64133" w:rsidP="00BB0748">
      <w:pPr>
        <w:pStyle w:val="FootnoteText"/>
      </w:pPr>
      <w:r w:rsidRPr="00077612">
        <w:rPr>
          <w:rStyle w:val="FootnoteReference"/>
        </w:rPr>
        <w:footnoteRef/>
      </w:r>
      <w:r w:rsidRPr="00077612">
        <w:t xml:space="preserve"> Nariadenie Európskeho parlamentu a Rady (EÚ, Euratom) 2020/2092 zo 16. decembra 2020 o všeobecnom režime podmienenosti na ochranu rozpočtu Únie (Ú. v. EÚ L 433 I, 22.12.2020, s. 1).</w:t>
      </w:r>
    </w:p>
  </w:footnote>
  <w:footnote w:id="7">
    <w:p w:rsidR="00BB0748" w:rsidRPr="00077612" w:rsidRDefault="00D64133" w:rsidP="00BB0748">
      <w:pPr>
        <w:pStyle w:val="FootnoteText"/>
      </w:pPr>
      <w:r w:rsidRPr="00077612">
        <w:rPr>
          <w:rStyle w:val="FootnoteReference"/>
        </w:rPr>
        <w:footnoteRef/>
      </w:r>
      <w:r w:rsidRPr="00077612">
        <w:t xml:space="preserve"> Pozri rozsudok Súdneho d</w:t>
      </w:r>
      <w:r w:rsidRPr="00077612">
        <w:t>vora (pléna) zo 16. februára 2022, Maďarsko/Európsky parlament a Rada Európskej únie, C-156/21, ECLI:EU:C:2022:97 a rozsudok Súdneho dvora (plénum) zo 16. februára 2022, Poľsko/Európsky parlament a Rada Európskej únie, C-157/21, ECLI:EU:C:2022:98.</w:t>
      </w:r>
    </w:p>
  </w:footnote>
  <w:footnote w:id="8">
    <w:p w:rsidR="00BB0748" w:rsidRPr="00077612" w:rsidRDefault="00D64133" w:rsidP="00BB0748">
      <w:pPr>
        <w:pStyle w:val="FootnoteText"/>
      </w:pPr>
      <w:r w:rsidRPr="00077612">
        <w:rPr>
          <w:rStyle w:val="FootnoteReference"/>
        </w:rPr>
        <w:footnoteRef/>
      </w:r>
      <w:r w:rsidRPr="00077612">
        <w:t xml:space="preserve"> Nariadenie Európskeho parlamentu a Rady (EÚ) 2021/241 z 12. februára 2021, ktorým sa zriaďuje Mechanizmus na podporu obnovy a odolnosti (Ú. v. EÚ L 57, 18.2.2021, s. 17).</w:t>
      </w:r>
    </w:p>
  </w:footnote>
  <w:footnote w:id="9">
    <w:p w:rsidR="00BB0748" w:rsidRPr="00077612" w:rsidRDefault="00D64133" w:rsidP="00BB0748">
      <w:pPr>
        <w:pStyle w:val="FootnoteText"/>
      </w:pPr>
      <w:r w:rsidRPr="00077612">
        <w:rPr>
          <w:rStyle w:val="FootnoteReference"/>
        </w:rPr>
        <w:footnoteRef/>
      </w:r>
      <w:r w:rsidRPr="00077612">
        <w:t xml:space="preserve"> Ú. v. ES L 26, 31.1.2003, s. 41 a korigendum (Ú. v. EÚ L 32, 7.2.2003, s. 15).</w:t>
      </w:r>
    </w:p>
  </w:footnote>
  <w:footnote w:id="10">
    <w:p w:rsidR="00BB0748" w:rsidRPr="00077612" w:rsidRDefault="00D64133" w:rsidP="00BB0748">
      <w:pPr>
        <w:pStyle w:val="FootnoteText"/>
      </w:pPr>
      <w:r w:rsidRPr="00077612">
        <w:rPr>
          <w:rStyle w:val="FootnoteReference"/>
        </w:rPr>
        <w:footnoteRef/>
      </w:r>
      <w:r w:rsidRPr="00077612">
        <w:t xml:space="preserve"> N</w:t>
      </w:r>
      <w:r w:rsidRPr="00077612">
        <w:t>apríklad stanovisko Poradnej rady európskych prokurátorov č. 9 zo 17. decembra 2014 k európskym normám a zásadám týkajúcim sa prokurátorov.</w:t>
      </w:r>
    </w:p>
  </w:footnote>
  <w:footnote w:id="11">
    <w:p w:rsidR="00BB0748" w:rsidRPr="00077612" w:rsidRDefault="00D64133" w:rsidP="00BB0748">
      <w:pPr>
        <w:pStyle w:val="FootnoteText"/>
      </w:pPr>
      <w:r w:rsidRPr="00077612">
        <w:rPr>
          <w:rStyle w:val="FootnoteReference"/>
        </w:rPr>
        <w:footnoteRef/>
      </w:r>
      <w:r w:rsidRPr="00077612">
        <w:t xml:space="preserve"> V tejto súvislosti pozri článok 3 návrhu smernice Európskeho parlamentu a Rady z 3. mája 2023 o boji proti korupci</w:t>
      </w:r>
      <w:r w:rsidRPr="00077612">
        <w:t xml:space="preserve">i, ktorou sa nahrádza rámcové rozhodnutie Rady 2003/568/SVV a Dohovor o boji proti korupcii úradníkov Európskych spoločenstiev alebo úradníkov členských štátov Európskej únie a ktorou sa mení smernica Európskeho parlamentu a Rady (EÚ) 2017/1371 [COM(2023) </w:t>
      </w:r>
      <w:r w:rsidRPr="00077612">
        <w:t>0234].</w:t>
      </w:r>
    </w:p>
  </w:footnote>
  <w:footnote w:id="12">
    <w:p w:rsidR="00BB0748" w:rsidRPr="00077612" w:rsidRDefault="00D64133" w:rsidP="00BB0748">
      <w:pPr>
        <w:pStyle w:val="FootnoteText"/>
      </w:pPr>
      <w:r w:rsidRPr="00077612">
        <w:rPr>
          <w:rStyle w:val="FootnoteReference"/>
        </w:rPr>
        <w:footnoteRef/>
      </w:r>
      <w:r w:rsidRPr="00077612">
        <w:t xml:space="preserve"> Nariadenie Európskeho parlamentu a Rady (ES) č. 1049/2001 z 30. mája 2001 o prístupe verejnosti k dokumentom Európskeho parlamentu, Rady a Komisie (Ú. v. ES L 145, 31.5.2001, s. 43).</w:t>
      </w:r>
    </w:p>
  </w:footnote>
  <w:footnote w:id="13">
    <w:p w:rsidR="00BB0748" w:rsidRPr="00077612" w:rsidRDefault="00D64133" w:rsidP="00BB0748">
      <w:pPr>
        <w:pStyle w:val="FootnoteText"/>
      </w:pPr>
      <w:r w:rsidRPr="00077612">
        <w:rPr>
          <w:rStyle w:val="FootnoteReference"/>
        </w:rPr>
        <w:footnoteRef/>
      </w:r>
      <w:r w:rsidRPr="00077612">
        <w:t xml:space="preserve"> V tejto súvislosti pozri uznesenie Parlamentu zo 17. februára </w:t>
      </w:r>
      <w:r w:rsidRPr="00077612">
        <w:t>2022 s odporúčaniami pre Komisiu o štatúte pre európske cezhraničné združenia a neziskové organizácie (Ú. v. EÚ C 342, 6.9.2022, s. 225).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4133" w:rsidRDefault="00D6413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4133" w:rsidRDefault="00D6413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4133" w:rsidRDefault="00D6413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MDOCINIMNU" w:val=" 1"/>
    <w:docVar w:name="CJMNU" w:val="1"/>
    <w:docVar w:name="CODEMNU" w:val=" 1"/>
    <w:docVar w:name="COM2KEY" w:val="LIBE"/>
    <w:docVar w:name="COMKEY" w:val="JURI"/>
    <w:docVar w:name="DOCREFINIMNU" w:val=" 1"/>
    <w:docVar w:name="LastEditedSection" w:val=" 1"/>
    <w:docVar w:name="RepeatBlock-Amend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32\fbidi \froman\fcharset238\fprq2 Times New Roman CE;}{\f333\fbidi \froman\fcharset204\fprq2 Times New Roman Cyr;}_x000d__x000a_{\f335\fbidi \froman\fcharset161\fprq2 Times New Roman Greek;}{\f336\fbidi \froman\fcharset162\fprq2 Times New Roman Tur;}{\f337\fbidi \froman\fcharset177\fprq2 Times New Roman (Hebrew);}{\f338\fbidi \froman\fcharset178\fprq2 Times New Roman (Arabic);}_x000d__x000a_{\f339\fbidi \froman\fcharset186\fprq2 Times New Roman Baltic;}{\f340\fbidi \froman\fcharset163\fprq2 Times New Roman (Vietnamese);}{\f342\fbidi \fswiss\fcharset238\fprq2 Arial CE;}{\f343\fbidi \fswiss\fcharset204\fprq2 Arial Cyr;}_x000d__x000a_{\f345\fbidi \fswiss\fcharset161\fprq2 Arial Greek;}{\f346\fbidi \fswiss\fcharset162\fprq2 Arial Tur;}{\f347\fbidi \fswiss\fcharset177\fprq2 Arial (Hebrew);}{\f348\fbidi \fswiss\fcharset178\fprq2 Arial (Arabic);}_x000d__x000a_{\f349\fbidi \fswiss\fcharset186\fprq2 Arial Baltic;}{\f350\fbidi \fswiss\fcharset163\fprq2 Arial (Vietnamese);}{\f672\fbidi \froman\fcharset238\fprq2 Cambria Math CE;}{\f673\fbidi \froman\fcharset204\fprq2 Cambria Math Cyr;}_x000d__x000a_{\f675\fbidi \froman\fcharset161\fprq2 Cambria Math Greek;}{\f676\fbidi \froman\fcharset162\fprq2 Cambria Math Tur;}{\f679\fbidi \froman\fcharset186\fprq2 Cambria Math Baltic;}{\f680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15 \spriority0 \styrsid2425836 HideTWBInt;}{_x000d__x000a_\s18\ql \fi-567\li567\ri0\sa240\nowidctlpar\wrapdefault\aspalpha\aspnum\faauto\adjustright\rin0\lin567\itap0 \rtlch\fcs1 \af0\afs20\alang1025 \ltrch\fcs0 \fs24\lang2057\langfe2057\cgrid\langnp2057\langfenp2057 _x000d__x000a_\sbasedon0 \snext18 \spriority0 \styrsid2425836 NormalHanging12a;}}{\*\rsidtbl \rsid24658\rsid223860\rsid735077\rsid1718133\rsid2425836\rsid2892074\rsid3565327\rsid4666813\rsid5074274\rsid6641733\rsid7823322\rsid9636012\rsid10377208\rsid11215221_x000d__x000a_\rsid11549030\rsid12154954\rsid14382809\rsid14424199\rsid15204470\rsid15285974\rsid15950462\rsid16324206\rsid16662270}{\mmathPr\mmathFont34\mbrkBin0\mbrkBinSub0\msmallFrac0\mdispDef1\mlMargin0\mrMargin0\mdefJc1\mwrapIndent1440\mintLim0\mnaryLim1}{\info_x000d__x000a_{\author PALCAU Mihaela}{\operator PALCAU Mihaela}{\creatim\yr2023\mo11\dy29\hr11\min37}{\revtim\yr2023\mo11\dy29\hr11\min37}{\version1}{\edmins0}{\nofpages1}{\nofwords2}{\nofchars11}{\nofcharsws12}{\vern109}}{\*\xmlnstbl {\xmlns1 http://schemas.microsoft_x000d__x000a_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viewnobound1\snaptogridincell\allowfieldendsel_x000d__x000a_\wrppunct\asianbrkrule\nojkernpunct\rsidroot2425836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mpalcau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5074274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5074274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5074274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5074274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_x000d__x000a_\s18\ql \fi-567\li567\ri0\sa240\nowidctlpar\wrapdefault\aspalpha\aspnum\faauto\adjustright\rin0\lin567\itap0\pararsid2425836 \rtlch\fcs1 \af0\afs20\alang1025 \ltrch\fcs0 \fs24\lang2057\langfe2057\cgrid\langnp2057\langfenp2057 {\rtlch\fcs1 \af0 _x000d__x000a_\ltrch\fcs0 \insrsid2425836\charrsid7021133 {\*\bkmkstart restart}#}{\rtlch\fcs1 \af1 \ltrch\fcs0 \cs17\v\f1\fs20\cf15\insrsid2425836\charrsid7021133 NRMSG}{\rtlch\fcs1 \af0 \ltrch\fcs0 \insrsid2425836\charrsid7021133 #.\tab ##}{\rtlch\fcs1 \af0 _x000d__x000a_\ltrch\fcs0 \insrsid2425836\charrsid16324206 {\*\bkmkend restart}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insrsid24658\charrsid16324206 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46_x000d__x000a_ce1cb022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1108{\fonttbl{\f0\fbidi \froman\fcharset0\fprq2{\*\panose 02020603050405020304}Times New Roman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32\fbidi \froman\fcharset238\fprq2 Times New Roman CE;}{\f333\fbidi \froman\fcharset204\fprq2 Times New Roman Cyr;}_x000d__x000a_{\f335\fbidi \froman\fcharset161\fprq2 Times New Roman Greek;}{\f336\fbidi \froman\fcharset162\fprq2 Times New Roman Tur;}{\f337\fbidi \froman\fcharset177\fprq2 Times New Roman (Hebrew);}{\f338\fbidi \froman\fcharset178\fprq2 Times New Roman (Arabic);}_x000d__x000a_{\f339\fbidi \froman\fcharset186\fprq2 Times New Roman Baltic;}{\f340\fbidi \froman\fcharset163\fprq2 Times New Roman (Vietnamese);}{\f672\fbidi \froman\fcharset238\fprq2 Cambria Math CE;}{\f673\fbidi \froman\fcharset204\fprq2 Cambria Math Cyr;}_x000d__x000a_{\f675\fbidi \froman\fcharset161\fprq2 Cambria Math Greek;}{\f676\fbidi \froman\fcharset162\fprq2 Cambria Math Tur;}{\f679\fbidi \froman\fcharset186\fprq2 Cambria Math Baltic;}{\f680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s17\ql \fi-567\li567\ri0\sa240\nowidctlpar\wrapdefault\aspalpha\aspnum\faauto\adjustright\rin0\lin567\itap0 \rtlch\fcs1 \af0\afs20\alang1025 \ltrch\fcs0 _x000d__x000a_\fs24\lang2057\langfe2057\cgrid\langnp2057\langfenp2057 \sbasedon0 \snext17 \spriority0 \styrsid7953631 NormalHanging12a;}}{\*\rsidtbl \rsid24658\rsid223860\rsid735077\rsid1718133\rsid2892074\rsid3565327\rsid4666813\rsid6641733\rsid6711582\rsid7823322_x000d__x000a_\rsid7953631\rsid9636012\rsid10377208\rsid11215221\rsid11549030\rsid12154954\rsid14382809\rsid14424199\rsid15204470\rsid15285974\rsid15950462\rsid16324206\rsid16662270}{\mmathPr\mmathFont34\mbrkBin0\mbrkBinSub0\msmallFrac0\mdispDef1\mlMargin0\mrMargin0_x000d__x000a_\mdefJc1\mwrapIndent1440\mintLim0\mnaryLim1}{\info{\author PALCAU Mihaela}{\operator PALCAU Mihaela}{\creatim\yr2023\mo11\dy29\hr11\min37}{\revtim\yr2023\mo11\dy29\hr11\min37}{\version1}{\edmins0}{\nofpages1}{\nofwords5}{\nofchars30}{\nofcharsws34}_x000d__x000a_{\vern109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viewnobound1\snaptogridincell\allowfieldendsel_x000d__x000a_\wrppunct\asianbrkrule\nojkernpunct\rsidroot7953631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mpalcau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6711582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6711582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6711582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6711582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_x000d__x000a_\s17\ql \fi-567\li567\ri0\sa240\nowidctlpar\wrapdefault\aspalpha\aspnum\faauto\adjustright\rin0\lin567\itap0\pararsid7953631 \rtlch\fcs1 \af0\afs20\alang1025 \ltrch\fcs0 \fs24\lang2057\langfe2057\cgrid\langnp2057\langfenp2057 {\rtlch\fcs1 \af0 _x000d__x000a_\ltrch\fcs0 \insrsid7953631\charrsid1525456 {\*\bkmkstart restart}[ZSUGGESTIONNR]\tab [ZSUGGESTIONTEXT]}{\rtlch\fcs1 \af0 \ltrch\fcs0 \insrsid7953631\charrsid16324206 {\*\bkmkend restart}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insrsid24658\charrsid16324206 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4f_x000d__x000a_7c1fb022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PA_NonLeg"/>
    <w:docVar w:name="strSubDir" w:val="1291"/>
    <w:docVar w:name="TITLEMNU" w:val=" 1"/>
    <w:docVar w:name="TXTLANGUE" w:val="SK"/>
    <w:docVar w:name="TXTLANGUEMIN" w:val="sk"/>
    <w:docVar w:name="TXTNRPE" w:val="754.755"/>
    <w:docVar w:name="TXTNRPROC" w:val="2023/2113"/>
    <w:docVar w:name="TXTPEorAP" w:val="PE"/>
    <w:docVar w:name="TXTROUTE" w:val="AD\1291636SK.docx"/>
    <w:docVar w:name="TXTTITLE" w:val="xxx"/>
    <w:docVar w:name="TXTVERSION" w:val="02-00"/>
  </w:docVars>
  <w:rsids>
    <w:rsidRoot w:val="0007657D"/>
    <w:rsid w:val="0007657D"/>
    <w:rsid w:val="00077612"/>
    <w:rsid w:val="000800B3"/>
    <w:rsid w:val="000E0507"/>
    <w:rsid w:val="000E7EBF"/>
    <w:rsid w:val="00101877"/>
    <w:rsid w:val="0011784F"/>
    <w:rsid w:val="00124F60"/>
    <w:rsid w:val="00135121"/>
    <w:rsid w:val="00140BE6"/>
    <w:rsid w:val="00140DFD"/>
    <w:rsid w:val="00140FE5"/>
    <w:rsid w:val="00147F4E"/>
    <w:rsid w:val="00147FBF"/>
    <w:rsid w:val="00157DFE"/>
    <w:rsid w:val="00165FEF"/>
    <w:rsid w:val="0016635E"/>
    <w:rsid w:val="001746D0"/>
    <w:rsid w:val="001B7393"/>
    <w:rsid w:val="001C52D7"/>
    <w:rsid w:val="001C6C04"/>
    <w:rsid w:val="001D2ED9"/>
    <w:rsid w:val="001D42A4"/>
    <w:rsid w:val="001E30DD"/>
    <w:rsid w:val="001F21C1"/>
    <w:rsid w:val="00207509"/>
    <w:rsid w:val="00283435"/>
    <w:rsid w:val="002B6C3C"/>
    <w:rsid w:val="002D28A7"/>
    <w:rsid w:val="002E2F2E"/>
    <w:rsid w:val="002E6F98"/>
    <w:rsid w:val="00325BCB"/>
    <w:rsid w:val="00331944"/>
    <w:rsid w:val="00332AD9"/>
    <w:rsid w:val="00347D2C"/>
    <w:rsid w:val="0037356F"/>
    <w:rsid w:val="003858C5"/>
    <w:rsid w:val="00390EB2"/>
    <w:rsid w:val="00396A0E"/>
    <w:rsid w:val="003E2402"/>
    <w:rsid w:val="00440DC6"/>
    <w:rsid w:val="004764CF"/>
    <w:rsid w:val="004B1EAD"/>
    <w:rsid w:val="004C28FB"/>
    <w:rsid w:val="004C44C0"/>
    <w:rsid w:val="004F315C"/>
    <w:rsid w:val="004F4B98"/>
    <w:rsid w:val="004F5F73"/>
    <w:rsid w:val="0052544E"/>
    <w:rsid w:val="00542DFA"/>
    <w:rsid w:val="005940C3"/>
    <w:rsid w:val="00594C48"/>
    <w:rsid w:val="005B2F11"/>
    <w:rsid w:val="005C0BDF"/>
    <w:rsid w:val="005D60C6"/>
    <w:rsid w:val="006102E7"/>
    <w:rsid w:val="006116EA"/>
    <w:rsid w:val="00640C1B"/>
    <w:rsid w:val="00657AFB"/>
    <w:rsid w:val="0066742A"/>
    <w:rsid w:val="006906BB"/>
    <w:rsid w:val="006D5BF7"/>
    <w:rsid w:val="00746FB4"/>
    <w:rsid w:val="007A637C"/>
    <w:rsid w:val="008313E7"/>
    <w:rsid w:val="00854CAC"/>
    <w:rsid w:val="00885FB1"/>
    <w:rsid w:val="008A32C5"/>
    <w:rsid w:val="008C6203"/>
    <w:rsid w:val="008D61E7"/>
    <w:rsid w:val="008F7002"/>
    <w:rsid w:val="009173BB"/>
    <w:rsid w:val="0098190D"/>
    <w:rsid w:val="0099493F"/>
    <w:rsid w:val="00A1045C"/>
    <w:rsid w:val="00A16BEA"/>
    <w:rsid w:val="00A312B3"/>
    <w:rsid w:val="00A72C35"/>
    <w:rsid w:val="00A93D90"/>
    <w:rsid w:val="00AB0C34"/>
    <w:rsid w:val="00AB17DB"/>
    <w:rsid w:val="00AB4D11"/>
    <w:rsid w:val="00AE180F"/>
    <w:rsid w:val="00B1226B"/>
    <w:rsid w:val="00B329CC"/>
    <w:rsid w:val="00B362F7"/>
    <w:rsid w:val="00B40C21"/>
    <w:rsid w:val="00B5456B"/>
    <w:rsid w:val="00B712EA"/>
    <w:rsid w:val="00B730E0"/>
    <w:rsid w:val="00B735E3"/>
    <w:rsid w:val="00B74B53"/>
    <w:rsid w:val="00BB0748"/>
    <w:rsid w:val="00BC26E4"/>
    <w:rsid w:val="00BC7719"/>
    <w:rsid w:val="00BC7DBC"/>
    <w:rsid w:val="00BD1EAA"/>
    <w:rsid w:val="00C36610"/>
    <w:rsid w:val="00C52739"/>
    <w:rsid w:val="00C67F26"/>
    <w:rsid w:val="00C827FF"/>
    <w:rsid w:val="00C85D0F"/>
    <w:rsid w:val="00CD34AC"/>
    <w:rsid w:val="00CE5015"/>
    <w:rsid w:val="00D64133"/>
    <w:rsid w:val="00D7712D"/>
    <w:rsid w:val="00DE19FF"/>
    <w:rsid w:val="00E6632E"/>
    <w:rsid w:val="00E81BA6"/>
    <w:rsid w:val="00E856D2"/>
    <w:rsid w:val="00E90EC3"/>
    <w:rsid w:val="00E929A7"/>
    <w:rsid w:val="00EA7582"/>
    <w:rsid w:val="00EB0868"/>
    <w:rsid w:val="00EC5E1F"/>
    <w:rsid w:val="00ED375F"/>
    <w:rsid w:val="00EF1E40"/>
    <w:rsid w:val="00F42799"/>
    <w:rsid w:val="00FB4670"/>
    <w:rsid w:val="00FC6460"/>
    <w:rsid w:val="00FC73C7"/>
    <w:rsid w:val="00FD0D14"/>
    <w:rsid w:val="00FD4BC4"/>
    <w:rsid w:val="00FF4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7286E4-81AE-4324-88E1-9835149D1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1944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pPr>
      <w:spacing w:after="240"/>
    </w:pPr>
  </w:style>
  <w:style w:type="paragraph" w:styleId="TOC1">
    <w:name w:val="toc 1"/>
    <w:basedOn w:val="Normal12a"/>
    <w:next w:val="Normal12a"/>
    <w:autoRedefine/>
    <w:semiHidden/>
  </w:style>
  <w:style w:type="paragraph" w:styleId="TOCHeading">
    <w:name w:val="TOC Heading"/>
    <w:basedOn w:val="Normal"/>
    <w:next w:val="Normal"/>
    <w:semiHidden/>
    <w:qFormat/>
    <w:pPr>
      <w:keepNext/>
      <w:spacing w:before="240" w:after="240"/>
      <w:jc w:val="center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PageHeadingNotTOC">
    <w:name w:val="PageHeadingNotTOC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EPName">
    <w:name w:val="EPName"/>
    <w:basedOn w:val="Normal"/>
    <w:rsid w:val="00E856D2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347D2C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styleId="Header">
    <w:name w:val="header"/>
    <w:basedOn w:val="Normal"/>
    <w:link w:val="HeaderChar"/>
    <w:semiHidden/>
    <w:rsid w:val="005C0BDF"/>
    <w:pPr>
      <w:tabs>
        <w:tab w:val="center" w:pos="4513"/>
        <w:tab w:val="right" w:pos="9026"/>
      </w:tabs>
    </w:pPr>
  </w:style>
  <w:style w:type="paragraph" w:customStyle="1" w:styleId="CoverReference">
    <w:name w:val="CoverReference"/>
    <w:basedOn w:val="Normal"/>
    <w:rsid w:val="00E81BA6"/>
    <w:pPr>
      <w:spacing w:before="1080"/>
      <w:jc w:val="right"/>
    </w:pPr>
    <w:rPr>
      <w:rFonts w:ascii="Arial" w:hAnsi="Arial" w:cs="Arial"/>
      <w:b/>
    </w:rPr>
  </w:style>
  <w:style w:type="paragraph" w:customStyle="1" w:styleId="CoverDocType24a">
    <w:name w:val="CoverDocType24a"/>
    <w:basedOn w:val="Normal"/>
    <w:rsid w:val="00347D2C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table" w:styleId="TableGrid">
    <w:name w:val="Table Grid"/>
    <w:basedOn w:val="TableNormal"/>
    <w:rsid w:val="001746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1746D0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1746D0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1746D0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E856D2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E856D2"/>
    <w:pPr>
      <w:jc w:val="right"/>
    </w:pPr>
  </w:style>
  <w:style w:type="paragraph" w:customStyle="1" w:styleId="NormalHanging12a">
    <w:name w:val="NormalHanging12a"/>
    <w:basedOn w:val="Normal"/>
    <w:rsid w:val="008313E7"/>
    <w:pPr>
      <w:spacing w:after="240"/>
      <w:ind w:left="567" w:hanging="567"/>
    </w:pPr>
  </w:style>
  <w:style w:type="paragraph" w:customStyle="1" w:styleId="EPFooter">
    <w:name w:val="EPFooter"/>
    <w:basedOn w:val="Normal"/>
    <w:rsid w:val="00347D2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5C0BDF"/>
    <w:rPr>
      <w:sz w:val="24"/>
    </w:rPr>
  </w:style>
  <w:style w:type="paragraph" w:styleId="FootnoteText">
    <w:name w:val="footnote text"/>
    <w:basedOn w:val="Normal"/>
    <w:link w:val="FootnoteTextChar"/>
    <w:unhideWhenUsed/>
    <w:rsid w:val="00B712EA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B712EA"/>
  </w:style>
  <w:style w:type="character" w:styleId="FootnoteReference">
    <w:name w:val="footnote reference"/>
    <w:basedOn w:val="DefaultParagraphFont"/>
    <w:unhideWhenUsed/>
    <w:rsid w:val="00B712EA"/>
    <w:rPr>
      <w:vertAlign w:val="superscript"/>
    </w:rPr>
  </w:style>
  <w:style w:type="character" w:customStyle="1" w:styleId="BoldItalic">
    <w:name w:val="BoldItalic"/>
    <w:uiPriority w:val="1"/>
    <w:rsid w:val="00B712EA"/>
    <w:rPr>
      <w:b/>
      <w:bCs w:val="0"/>
      <w:i/>
      <w:iCs w:val="0"/>
      <w:strike w:val="0"/>
      <w:dstrike w:val="0"/>
      <w:u w:val="none"/>
      <w:effect w:val="none"/>
    </w:rPr>
  </w:style>
  <w:style w:type="paragraph" w:styleId="Footer">
    <w:name w:val="footer"/>
    <w:basedOn w:val="Normal"/>
    <w:link w:val="FooterChar"/>
    <w:semiHidden/>
    <w:rsid w:val="00B712E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B712EA"/>
    <w:rPr>
      <w:sz w:val="24"/>
    </w:rPr>
  </w:style>
  <w:style w:type="paragraph" w:styleId="BalloonText">
    <w:name w:val="Balloon Text"/>
    <w:basedOn w:val="Normal"/>
    <w:link w:val="BalloonTextChar"/>
    <w:semiHidden/>
    <w:unhideWhenUsed/>
    <w:rsid w:val="000800B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800B3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rsid w:val="00440DC6"/>
    <w:rPr>
      <w:sz w:val="16"/>
      <w:szCs w:val="16"/>
    </w:rPr>
  </w:style>
  <w:style w:type="paragraph" w:styleId="CommentText">
    <w:name w:val="annotation text"/>
    <w:basedOn w:val="Normal"/>
    <w:link w:val="CommentTextChar"/>
    <w:rsid w:val="00440DC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40DC6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440D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440DC6"/>
    <w:rPr>
      <w:b/>
      <w:bCs/>
    </w:rPr>
  </w:style>
  <w:style w:type="paragraph" w:styleId="Revision">
    <w:name w:val="Revision"/>
    <w:hidden/>
    <w:uiPriority w:val="99"/>
    <w:semiHidden/>
    <w:rsid w:val="004B1EAD"/>
    <w:rPr>
      <w:sz w:val="24"/>
    </w:rPr>
  </w:style>
  <w:style w:type="paragraph" w:customStyle="1" w:styleId="RollCallSymbols14pt">
    <w:name w:val="RollCallSymbols14pt"/>
    <w:basedOn w:val="Normal"/>
    <w:rsid w:val="00AB0C34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AB0C34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AB0C34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AB0C34"/>
    <w:pPr>
      <w:spacing w:before="120" w:after="120"/>
    </w:pPr>
    <w:rPr>
      <w:snapToGrid w:val="0"/>
      <w:sz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4483B4-38A7-4A6A-A88F-B5A42B3B4C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2131</Words>
  <Characters>13307</Characters>
  <Application>Microsoft Office Word</Application>
  <DocSecurity>0</DocSecurity>
  <Lines>276</Lines>
  <Paragraphs>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PA_NonLeg</vt:lpstr>
    </vt:vector>
  </TitlesOfParts>
  <Company/>
  <LinksUpToDate>false</LinksUpToDate>
  <CharactersWithSpaces>15345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PA_NonLeg</dc:title>
  <dc:creator>European Parliament</dc:creator>
  <cp:lastModifiedBy>European Parliament</cp:lastModifiedBy>
  <cp:revision>2</cp:revision>
  <cp:lastPrinted>2023-12-04T07:53:00Z</cp:lastPrinted>
  <dcterms:created xsi:type="dcterms:W3CDTF">2024-01-08T10:34:00Z</dcterms:created>
  <dcterms:modified xsi:type="dcterms:W3CDTF">2024-01-08T10:34:00Z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1291636</vt:lpwstr>
  </property>
  <property fmtid="{D5CDD505-2E9C-101B-9397-08002B2CF9AE}" pid="4" name="&lt;Model&gt;">
    <vt:lpwstr>PA_NonLeg</vt:lpwstr>
  </property>
  <property fmtid="{D5CDD505-2E9C-101B-9397-08002B2CF9AE}" pid="5" name="&lt;ModelCod&gt;">
    <vt:lpwstr>\\eiciBRUpr1\pdocep$\DocEP\DOCS\General\PA\PA_NonLeg\PA_NonLeg.dotx(18/09/2023 11:25:02)</vt:lpwstr>
  </property>
  <property fmtid="{D5CDD505-2E9C-101B-9397-08002B2CF9AE}" pid="6" name="&lt;ModelTra&gt;">
    <vt:lpwstr>\\eiciBRUpr1\pdocep$\DocEP\TRANSFIL\EN\PA_NonLeg.EN(18/09/2023 11:08:01)</vt:lpwstr>
  </property>
  <property fmtid="{D5CDD505-2E9C-101B-9397-08002B2CF9AE}" pid="7" name="&lt;Type&gt;">
    <vt:lpwstr>AD</vt:lpwstr>
  </property>
  <property fmtid="{D5CDD505-2E9C-101B-9397-08002B2CF9AE}" pid="8" name="Bookout">
    <vt:lpwstr>OK - 2024/01/08 11:34</vt:lpwstr>
  </property>
  <property fmtid="{D5CDD505-2E9C-101B-9397-08002B2CF9AE}" pid="9" name="Created with">
    <vt:lpwstr>9.16.1 Build [20230915]</vt:lpwstr>
  </property>
  <property fmtid="{D5CDD505-2E9C-101B-9397-08002B2CF9AE}" pid="10" name="FooterPath">
    <vt:lpwstr>AD\1291636SK.docx</vt:lpwstr>
  </property>
  <property fmtid="{D5CDD505-2E9C-101B-9397-08002B2CF9AE}" pid="11" name="LastEdited with">
    <vt:lpwstr>9.17.0 Build [20231101]</vt:lpwstr>
  </property>
  <property fmtid="{D5CDD505-2E9C-101B-9397-08002B2CF9AE}" pid="12" name="PE number">
    <vt:lpwstr>754.755</vt:lpwstr>
  </property>
  <property fmtid="{D5CDD505-2E9C-101B-9397-08002B2CF9AE}" pid="13" name="SDLStudio">
    <vt:lpwstr/>
  </property>
  <property fmtid="{D5CDD505-2E9C-101B-9397-08002B2CF9AE}" pid="14" name="SendToEpades">
    <vt:lpwstr>OK - 2023/12/01 09:53</vt:lpwstr>
  </property>
</Properties>
</file>