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{JURI}</w:t>
      </w:r>
      <w:r>
        <w:t>Commission des affaires juridiques</w:t>
      </w:r>
      <w:r>
        <w:rPr>
          <w:rStyle w:val="HideTWBExt"/>
        </w:rPr>
        <w:t>&lt;/Commission&gt;</w:t>
      </w:r>
    </w:p>
    <w:p>
      <w:pPr>
        <w:pStyle w:val="LineBottom"/>
      </w:pPr>
      <w:r>
        <w:t xml:space="preserve"> </w:t>
      </w:r>
    </w:p>
    <w:p>
      <w:pPr>
        <w:pStyle w:val="CoverReference"/>
      </w:pPr>
      <w:r>
        <w:rPr>
          <w:rStyle w:val="HideTWBExt"/>
        </w:rPr>
        <w:t>&lt;RefProc&gt;</w:t>
      </w:r>
      <w:r>
        <w:t>2026/2004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{09/09/2026}</w:t>
      </w:r>
      <w:r>
        <w:t>9.9.2026</w:t>
      </w:r>
      <w:r>
        <w:rPr>
          <w:rStyle w:val="HideTWBExt"/>
        </w:rPr>
        <w:t>&lt;/Date&gt;</w:t>
      </w:r>
    </w:p>
    <w:p>
      <w:pPr>
        <w:pStyle w:val="CoverDocType24a"/>
      </w:pPr>
      <w:r>
        <w:rPr>
          <w:rStyle w:val="HideTWBExt"/>
        </w:rPr>
        <w:t>&lt;TitreType&gt;</w:t>
      </w:r>
      <w:r>
        <w:t>AVIS</w:t>
      </w:r>
      <w:r>
        <w:rPr>
          <w:rStyle w:val="HideTWBExt"/>
        </w:rPr>
        <w:t>&lt;/TitreType&gt;</w:t>
      </w:r>
    </w:p>
    <w:p>
      <w:pPr>
        <w:pStyle w:val="CoverNormal24a"/>
      </w:pPr>
      <w:r>
        <w:rPr>
          <w:rStyle w:val="HideTWBExt"/>
        </w:rPr>
        <w:t>&lt;CommissionResp&gt;</w:t>
      </w:r>
      <w:r>
        <w:t>de la commission des affaires juridiques</w:t>
      </w:r>
      <w:r>
        <w:rPr>
          <w:rStyle w:val="HideTWBExt"/>
        </w:rPr>
        <w:t>&lt;/CommissionResp&gt;</w:t>
      </w:r>
    </w:p>
    <w:p>
      <w:pPr>
        <w:pStyle w:val="CoverNormal24a"/>
      </w:pPr>
      <w:r>
        <w:rPr>
          <w:rStyle w:val="HideTWBExt"/>
        </w:rPr>
        <w:t>&lt;CommissionInt&gt;</w:t>
      </w:r>
      <w:r>
        <w:t>à l’intention de la commission des affaires étrangères</w:t>
      </w:r>
      <w:r>
        <w:rPr>
          <w:rStyle w:val="HideTWBExt"/>
        </w:rPr>
        <w:t>&lt;/CommissionInt&gt;</w:t>
      </w:r>
    </w:p>
    <w:p>
      <w:pPr>
        <w:pStyle w:val="CoverNormal"/>
      </w:pPr>
      <w:r>
        <w:rPr>
          <w:rStyle w:val="HideTWBExt"/>
        </w:rPr>
        <w:t>&lt;Titre&gt;</w:t>
      </w:r>
      <w:r>
        <w:t>vers une stratégie de l’Union visant à protéger et à renforcer le système judiciaire international ainsi que ses institutions, ses mécanismes et ses partenaires</w:t>
      </w:r>
      <w:r>
        <w:rPr>
          <w:rStyle w:val="HideTWBExt"/>
        </w:rPr>
        <w:t>&lt;/Titre&gt;</w:t>
      </w:r>
    </w:p>
    <w:p>
      <w:pPr>
        <w:pStyle w:val="CoverNormal24a"/>
      </w:pPr>
      <w:r>
        <w:rPr>
          <w:rStyle w:val="HideTWBExt"/>
        </w:rPr>
        <w:t>&lt;DocRef&gt;</w:t>
      </w:r>
      <w:r>
        <w:t>(2026/2004(INI))</w:t>
      </w:r>
      <w:r>
        <w:rPr>
          <w:rStyle w:val="HideTWBExt"/>
        </w:rPr>
        <w:t>&lt;/DocRef&gt;</w:t>
      </w:r>
    </w:p>
    <w:p>
      <w:pPr>
        <w:pStyle w:val="CoverNormal24a"/>
      </w:pPr>
      <w:r>
        <w:t>Rapporteure pour avis</w:t>
      </w:r>
      <w:r>
        <w:t xml:space="preserve">: </w:t>
      </w:r>
      <w:r>
        <w:rPr>
          <w:rStyle w:val="HideTWBExt"/>
        </w:rPr>
        <w:t>&lt;Depute&gt;</w:t>
      </w:r>
      <w:r>
        <w:t>Tineke Strik</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AMENDEMENTS</w:t>
      </w:r>
    </w:p>
    <w:p>
      <w:pPr>
        <w:pStyle w:val="Normal12a"/>
      </w:pPr>
      <w:r>
        <w:t>La commission des affaires juridiques</w:t>
      </w:r>
      <w:r>
        <w:t xml:space="preserve"> </w:t>
      </w:r>
      <w:r>
        <w:t>présente à la commission des affaires étrangères, compétente au fond, ce qui suit</w:t>
      </w:r>
      <w:r>
        <w:t xml:space="preserve"> </w:t>
      </w:r>
      <w:r>
        <w:t>:</w:t>
      </w:r>
    </w:p>
    <w:p>
      <w:pPr>
        <w:pStyle w:val="AmNumberTabs"/>
      </w:pP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vu le pacte international relatif aux droits civils et politiques,</w:t>
            </w:r>
          </w:p>
        </w:tc>
      </w:tr>
    </w:tbl>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l’ensemble des tribunaux internationaux ad hoc et des tribunaux hybrides/internationalisés créés par les Nations unies,</w:t>
            </w:r>
          </w:p>
        </w:tc>
        <w:tc>
          <w:tcPr>
            <w:tcW w:w="4876" w:type="dxa"/>
            <w:tcBorders>
              <w:top w:val="nil"/>
              <w:left w:val="nil"/>
              <w:bottom w:val="nil"/>
              <w:right w:val="nil"/>
            </w:tcBorders>
          </w:tcPr>
          <w:p>
            <w:pPr>
              <w:pStyle w:val="Normal6a"/>
            </w:pPr>
            <w:r>
              <w:t>–</w:t>
            </w:r>
            <w:r>
              <w:tab/>
            </w:r>
            <w:r>
              <w:t xml:space="preserve">vu l’ensemble des tribunaux internationaux ad hoc et des tribunaux hybrides/internationalisés créés par les Nations unies, </w:t>
            </w:r>
            <w:r>
              <w:rPr>
                <w:b/>
                <w:i/>
              </w:rPr>
              <w:t>en particulier le Tribunal pénal international pour l’ex-Yougoslavie et le Tribunal pénal international pour le Rwanda,</w:t>
            </w:r>
          </w:p>
        </w:tc>
      </w:tr>
    </w:tbl>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vu les mesures coercitives adoptées par </w:t>
            </w:r>
            <w:r>
              <w:rPr>
                <w:b/>
                <w:i/>
              </w:rPr>
              <w:t>le gouvernement</w:t>
            </w:r>
            <w:r>
              <w:t xml:space="preserve"> des </w:t>
            </w:r>
            <w:r>
              <w:rPr>
                <w:b/>
                <w:i/>
              </w:rPr>
              <w:t>États-Unis les 9 juillet et 4 septembre 2025</w:t>
            </w:r>
            <w:r>
              <w:t xml:space="preserve"> à l’encontre de titulaires de </w:t>
            </w:r>
            <w:r>
              <w:rPr>
                <w:b/>
                <w:i/>
              </w:rPr>
              <w:t>mandats</w:t>
            </w:r>
            <w:r>
              <w:t xml:space="preserve"> des Nations unies, </w:t>
            </w:r>
            <w:r>
              <w:rPr>
                <w:b/>
                <w:i/>
              </w:rPr>
              <w:t>dont la rapporteure spéciale des Nations unies sur la situation des droits</w:t>
            </w:r>
            <w:r>
              <w:t xml:space="preserve"> de </w:t>
            </w:r>
            <w:r>
              <w:rPr>
                <w:b/>
                <w:i/>
              </w:rPr>
              <w:t>l’homme dans les territoires palestiniens occupés depuis 1967, Francesca Albanese, ainsi que d’organisations</w:t>
            </w:r>
            <w:r>
              <w:t xml:space="preserve"> coopérant avec la CPI</w:t>
            </w:r>
            <w:r>
              <w:rPr>
                <w:b/>
                <w:i/>
              </w:rPr>
              <w:t>, dont Al-Haq, le centre Al-Mezan pour les droits de l’homme et le Centre palestinien pour les droits de l’homme</w:t>
            </w:r>
            <w:r>
              <w:t>,</w:t>
            </w:r>
          </w:p>
        </w:tc>
        <w:tc>
          <w:tcPr>
            <w:tcW w:w="4876" w:type="dxa"/>
            <w:tcBorders>
              <w:top w:val="nil"/>
              <w:left w:val="nil"/>
              <w:bottom w:val="nil"/>
              <w:right w:val="nil"/>
            </w:tcBorders>
          </w:tcPr>
          <w:p>
            <w:pPr>
              <w:pStyle w:val="Normal6a"/>
            </w:pPr>
            <w:r>
              <w:t>–</w:t>
            </w:r>
            <w:r>
              <w:tab/>
            </w:r>
            <w:r>
              <w:t xml:space="preserve">vu les mesures coercitives adoptées par des </w:t>
            </w:r>
            <w:r>
              <w:rPr>
                <w:b/>
                <w:i/>
              </w:rPr>
              <w:t>pays tiers</w:t>
            </w:r>
            <w:r>
              <w:t xml:space="preserve"> à l’encontre de titulaires de </w:t>
            </w:r>
            <w:r>
              <w:rPr>
                <w:b/>
                <w:i/>
              </w:rPr>
              <w:t>mandat</w:t>
            </w:r>
            <w:r>
              <w:t xml:space="preserve"> des Nations unies, </w:t>
            </w:r>
            <w:r>
              <w:rPr>
                <w:b/>
                <w:i/>
              </w:rPr>
              <w:t>ainsi que d’organisations</w:t>
            </w:r>
            <w:r>
              <w:t xml:space="preserve"> de </w:t>
            </w:r>
            <w:r>
              <w:rPr>
                <w:b/>
                <w:i/>
              </w:rPr>
              <w:t>la société civile</w:t>
            </w:r>
            <w:r>
              <w:t xml:space="preserve"> coopérant avec la CPI,</w:t>
            </w:r>
          </w:p>
        </w:tc>
      </w:tr>
    </w:tbl>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vu la campagne pangouvernementale visant à paralyser systématiquement le fonctionnement de la CPI, annoncée par le gouvernement américain le 13 juillet 2026,</w:t>
            </w:r>
          </w:p>
        </w:tc>
      </w:tr>
    </w:tbl>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vu l’injonction préliminaire prononcée le 13 mai 2026 par Richard Leon, juge de la cour de district des États-Unis pour le district de Columbia, sur la suspension des sanctions prises à l’encontre de Francesca Albanese,</w:t>
            </w:r>
          </w:p>
        </w:tc>
        <w:tc>
          <w:tcPr>
            <w:tcW w:w="4876" w:type="dxa"/>
            <w:tcBorders>
              <w:top w:val="nil"/>
              <w:left w:val="nil"/>
              <w:bottom w:val="nil"/>
              <w:right w:val="nil"/>
            </w:tcBorders>
          </w:tcPr>
          <w:p>
            <w:pPr>
              <w:pStyle w:val="Normal6a"/>
            </w:pPr>
            <w:r>
              <w:rPr>
                <w:b/>
                <w:i/>
              </w:rPr>
              <w:t>supprimé</w:t>
            </w:r>
          </w:p>
        </w:tc>
      </w:tr>
    </w:tbl>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29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conclusions du Conseil du 26 juin 2023 sur la Cour pénale internationale à l’occasion du vingt-cinquième anniversaire de l’adoption du statut de Rome,</w:t>
            </w:r>
          </w:p>
        </w:tc>
      </w:tr>
    </w:tbl>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29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vu la communication conjointe de la Commission et du haut représentant de l’Union pour les affaires étrangères et la politique de sécurité du 20 juin 2023 intitulée «La stratégie européenne en matière de sécurité économique» (JOIN(2023)0020),</w:t>
            </w:r>
          </w:p>
        </w:tc>
      </w:tr>
    </w:tbl>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considérant que l’engagement de l’Union à soutenir la justice internationale se traduit dans ses politiques d’action extérieure, qui </w:t>
            </w:r>
            <w:r>
              <w:rPr>
                <w:b/>
                <w:i/>
              </w:rPr>
              <w:t>visent</w:t>
            </w:r>
            <w:r>
              <w:t xml:space="preserve"> à </w:t>
            </w:r>
            <w:r>
              <w:rPr>
                <w:b/>
                <w:i/>
              </w:rPr>
              <w:t>faire respecter</w:t>
            </w:r>
            <w:r>
              <w:t xml:space="preserve"> les </w:t>
            </w:r>
            <w:r>
              <w:rPr>
                <w:b/>
                <w:i/>
              </w:rPr>
              <w:t>droits</w:t>
            </w:r>
            <w:r>
              <w:t xml:space="preserve"> de </w:t>
            </w:r>
            <w:r>
              <w:rPr>
                <w:b/>
                <w:i/>
              </w:rPr>
              <w:t>l’homme</w:t>
            </w:r>
            <w:r>
              <w:t xml:space="preserve"> et l’état de droit; que les actions clés </w:t>
            </w:r>
            <w:r>
              <w:rPr>
                <w:b/>
                <w:i/>
              </w:rPr>
              <w:t>en ce sens</w:t>
            </w:r>
            <w:r>
              <w:t xml:space="preserve">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 que </w:t>
            </w:r>
            <w:r>
              <w:rPr>
                <w:b/>
                <w:i/>
              </w:rPr>
              <w:t>le règlement sur la loi</w:t>
            </w:r>
            <w:r>
              <w:t xml:space="preserve"> de </w:t>
            </w:r>
            <w:r>
              <w:rPr>
                <w:b/>
                <w:i/>
              </w:rPr>
              <w:t>blocage</w:t>
            </w:r>
            <w:r>
              <w:rPr>
                <w:b/>
                <w:i/>
                <w:vertAlign w:val="superscript"/>
              </w:rPr>
              <w:t>8</w:t>
            </w:r>
            <w:r>
              <w:rPr>
                <w:b/>
                <w:i/>
              </w:rPr>
              <w:t>est un outil juridique qui peut</w:t>
            </w:r>
            <w:r>
              <w:t xml:space="preserve"> être </w:t>
            </w:r>
            <w:r>
              <w:rPr>
                <w:b/>
                <w:i/>
              </w:rPr>
              <w:t>utilisé pour protéger</w:t>
            </w:r>
            <w:r>
              <w:t xml:space="preserve"> des </w:t>
            </w:r>
            <w:r>
              <w:rPr>
                <w:b/>
                <w:i/>
              </w:rPr>
              <w:t>acteurs contre</w:t>
            </w:r>
            <w:r>
              <w:t xml:space="preserve"> les </w:t>
            </w:r>
            <w:r>
              <w:rPr>
                <w:b/>
                <w:i/>
              </w:rPr>
              <w:t>effets extraterritoriaux</w:t>
            </w:r>
            <w:r>
              <w:t xml:space="preserve"> de </w:t>
            </w:r>
            <w:r>
              <w:rPr>
                <w:b/>
                <w:i/>
              </w:rPr>
              <w:t>sanctions étrangères</w:t>
            </w:r>
            <w:r>
              <w:t>;</w:t>
            </w:r>
            <w:r>
              <w:br/>
            </w:r>
          </w:p>
        </w:tc>
        <w:tc>
          <w:tcPr>
            <w:tcW w:w="4876" w:type="dxa"/>
            <w:tcBorders>
              <w:top w:val="nil"/>
              <w:left w:val="nil"/>
              <w:bottom w:val="nil"/>
              <w:right w:val="nil"/>
            </w:tcBorders>
          </w:tcPr>
          <w:p>
            <w:pPr>
              <w:pStyle w:val="Normal6a"/>
            </w:pPr>
            <w:r>
              <w:t xml:space="preserve">A. considérant que l’engagement de l’Union à soutenir la justice internationale se traduit dans ses politiques d’action extérieure, </w:t>
            </w:r>
            <w:r>
              <w:rPr>
                <w:b/>
                <w:i/>
              </w:rPr>
              <w:t>conformément à l’article 3, paragraphe 5, et à l’article 21 du traité sur l’Union européenne (traité UE),</w:t>
            </w:r>
            <w:r>
              <w:t xml:space="preserve"> qui </w:t>
            </w:r>
            <w:r>
              <w:rPr>
                <w:b/>
                <w:i/>
              </w:rPr>
              <w:t>obligent l’Union, dans ses relations avec le reste du monde,</w:t>
            </w:r>
            <w:r>
              <w:t xml:space="preserve"> à </w:t>
            </w:r>
            <w:r>
              <w:rPr>
                <w:b/>
                <w:i/>
              </w:rPr>
              <w:t>affirmer et à promouvoir ses valeurs et ses intérêts et à contribuer à la protection de ses citoyens, ainsi qu’à contribuer au strict respect et au développement du droit international;</w:t>
            </w:r>
            <w:r>
              <w:rPr>
                <w:b/>
                <w:i/>
              </w:rPr>
              <w:t xml:space="preserve"> qu’il est essentiel, pour remplir ces obligations incombant à l’Union en vertu du traité, de soutenir et de protéger les institutions et mécanismes de la justice internationale; </w:t>
            </w:r>
            <w:r>
              <w:rPr>
                <w:b/>
                <w:i/>
              </w:rPr>
              <w:t>que ces obligations devraient imposer à l’Union de prendre des mesures efficaces pour contrer les effets négatifs des mesures coercitives unilatérales adoptées par un pays tiers</w:t>
            </w:r>
            <w:r>
              <w:t xml:space="preserve"> et </w:t>
            </w:r>
            <w:r>
              <w:rPr>
                <w:b/>
                <w:i/>
              </w:rPr>
              <w:t>des pratiques d’application excessive des règles qui portent atteinte aux institutions judiciaires internationales, à</w:t>
            </w:r>
            <w:r>
              <w:t xml:space="preserve"> l’état de droit </w:t>
            </w:r>
            <w:r>
              <w:rPr>
                <w:b/>
                <w:i/>
              </w:rPr>
              <w:t>et aux droits des citoyens de l’Union, en particulier ceux qui œuvrent en faveur des structures judiciaires internationales</w:t>
            </w:r>
            <w:r>
              <w:t xml:space="preserve">; que les actions clés </w:t>
            </w:r>
            <w:r>
              <w:rPr>
                <w:b/>
                <w:i/>
              </w:rPr>
              <w:t>contribuant au développement du droit international</w:t>
            </w:r>
            <w:r>
              <w:t xml:space="preserve">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 que </w:t>
            </w:r>
            <w:r>
              <w:rPr>
                <w:b/>
                <w:i/>
              </w:rPr>
              <w:t>toute action extérieure</w:t>
            </w:r>
            <w:r>
              <w:t xml:space="preserve"> de </w:t>
            </w:r>
            <w:r>
              <w:rPr>
                <w:b/>
                <w:i/>
              </w:rPr>
              <w:t>l’Union, y compris son financement, devrait</w:t>
            </w:r>
            <w:r>
              <w:t xml:space="preserve"> être </w:t>
            </w:r>
            <w:r>
              <w:rPr>
                <w:b/>
                <w:i/>
              </w:rPr>
              <w:t>mise en œuvre dans le plein respect</w:t>
            </w:r>
            <w:r>
              <w:t xml:space="preserve"> des </w:t>
            </w:r>
            <w:r>
              <w:rPr>
                <w:b/>
                <w:i/>
              </w:rPr>
              <w:t>obligations qui incombent à l’Union et à ses États membres en vertu du droit international;</w:t>
            </w:r>
            <w:r>
              <w:rPr>
                <w:b/>
                <w:i/>
              </w:rPr>
              <w:t xml:space="preserve"> </w:t>
            </w:r>
            <w:r>
              <w:rPr>
                <w:b/>
                <w:i/>
              </w:rPr>
              <w:t>que le Parlement a demandé à plusieurs reprises à la Commission de renforcer</w:t>
            </w:r>
            <w:r>
              <w:t xml:space="preserve"> les </w:t>
            </w:r>
            <w:r>
              <w:rPr>
                <w:b/>
                <w:i/>
              </w:rPr>
              <w:t>évaluations ex ante et ex post et les mécanismes</w:t>
            </w:r>
            <w:r>
              <w:t xml:space="preserve"> de </w:t>
            </w:r>
            <w:r>
              <w:rPr>
                <w:b/>
                <w:i/>
              </w:rPr>
              <w:t>suivi dans l’ensemble de l’action extérieure de l’Union européenne</w:t>
            </w:r>
            <w:r>
              <w:t>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Règlement (CE) n° 2271/96 du Conseil du 22 novembre 1996 portant protection contre les effets de l’application extraterritoriale d’une législation adoptée par un pays tiers, ainsi que des actions fondées sur elle ou en découlant (JO L 309 du 29.11.1996, p. 1, ELI: http://data.europa.eu/eli/reg/1996/2271/oj).</w:t>
            </w:r>
          </w:p>
        </w:tc>
        <w:tc>
          <w:tcPr>
            <w:tcW w:w="4876" w:type="dxa"/>
            <w:tcBorders>
              <w:top w:val="nil"/>
              <w:left w:val="nil"/>
              <w:bottom w:val="nil"/>
              <w:right w:val="nil"/>
            </w:tcBorders>
          </w:tcPr>
          <w:p/>
        </w:tc>
      </w:tr>
    </w:tbl>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la légitimité de l’ordre international fondé sur des règles, dont l’Union est une fervente défenseure et qu’elle entend sauvegarder, dépend du respect des décisions d’organismes internationaux et de leur bon fonctionnement; que le fait de discréditer et d’attaquer les organisations multilatérales a de graves conséquences et favorise par exemple une culture de l’impunité; que la communauté internationale, y compris l’Union européenne, porte la responsabilité de faire respecter l’ordre international fondé sur des règles</w:t>
            </w:r>
            <w:r>
              <w:rPr>
                <w:b/>
                <w:i/>
                <w:vertAlign w:val="superscript"/>
              </w:rPr>
              <w:t>1a</w:t>
            </w:r>
            <w:r>
              <w:rPr>
                <w:b/>
                <w:i/>
              </w:rPr>
              <w:t>; que l’efficacité et la crédibilité du système judiciaire international dépendent d’une large coopération internationale, de ressources appropriées et d’un soutien continu; que l’Union devrait mener des politiques visant à renforcer la justice internationale et à préserver et à renforcer le soutien international le plus large possible en faveur de la responsabilité et de l’état de droit;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Résolution du Parlement européen du 21 janvier 2026 sur les droits de l’homme et la démocratie dans le monde et la politique de l’Union européenne en la matière – rapport annuel 2025 (JO C, C/2026/3690, 5.8.2026, ELI: </w:t>
            </w:r>
            <w:r>
              <w:rPr>
                <w:b/>
                <w:i/>
              </w:rPr>
              <w:t>http://data.europa.eu/eli/C/2026/3690/oj</w:t>
            </w:r>
            <w:r>
              <w:rPr>
                <w:b/>
                <w:i/>
              </w:rPr>
              <w:t>).</w:t>
            </w:r>
          </w:p>
        </w:tc>
      </w:tr>
    </w:tbl>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A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considérant que l’ordre juridique international est un outil de résolution pacifique et multilatéral des différends, qu’il convient de protéger contre le recours grandissant à des mesures coercitives unilatérales; que l’Union doit agir de manière déterminée pour protéger les institutions internationales œuvrant en faveur de cette résolution des différends;</w:t>
            </w:r>
          </w:p>
        </w:tc>
      </w:tr>
    </w:tbl>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A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considérant que le système de justice internationale a été fortement influencé par les travaux historiques des tribunaux internationaux, en particulier le Tribunal militaire international (Tribunal de Nuremberg) et le Tribunal militaire international pour l’Extrême-Orient (Tribunal de Tokyo), les tribunaux ad hoc du Tribunal pénal international pour l’ex-Yougoslavie et du Tribunal pénal international pour le Rwanda, les tribunaux mixtes hybrides du Tribunal spécial pour la Sierra Leone, le Tribunal spécial pour le Liban et les Chambres extraordinaires au sein des tribunaux cambodgiens, et l’institution permanente fondée sur un traité qu’est la CPI, qui ont posé les principes fondamentaux et affiné les définitions des crimes internationaux, par exemple au moyen de la clarification, par le Tribunal pénal international pour l’ex-Yougoslavie, du principe de responsabilité du commandement en établissant les trois critères qui le caractérisent, à savoir l’existence d’une relation de subordination, l’état mental de la personne exerçant le commandement, et le fait que le supérieur n’ait pas pris les mesures raisonnables nécessaires pour prévenir les violations ou sanctionner leurs auteurs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Arrêts du Tribunal pénal international pour l’ex-Yougoslavie du 3 mars 2000 dans l’affaire Procureur c. Blaškić (Chambre de première instance), point 294, du 26 février 2001 dans l’affaire Procureur c. Kordić et Čerkez (Chambre de première instance), point 401, et du 24 mars 2000 dans l’affaire Procureur c. Aleksovski (Chambre d’appel), point 76.</w:t>
            </w:r>
          </w:p>
        </w:tc>
      </w:tr>
    </w:tbl>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considérant que les articles 3 et 21 du traité UE exigent que l’action intérieure et l’action extérieure de l’Union soient cohérentes; que si l’Union ne soutenait pas les mécanismes de justice internationale </w:t>
            </w:r>
            <w:r>
              <w:rPr>
                <w:b/>
                <w:i/>
              </w:rPr>
              <w:t>et</w:t>
            </w:r>
            <w:r>
              <w:t xml:space="preserve"> manquait à ses obligations internationales, elle saperait la crédibilité de son action extérieure;</w:t>
            </w:r>
          </w:p>
        </w:tc>
        <w:tc>
          <w:tcPr>
            <w:tcW w:w="4876" w:type="dxa"/>
            <w:tcBorders>
              <w:top w:val="nil"/>
              <w:left w:val="nil"/>
              <w:bottom w:val="nil"/>
              <w:right w:val="nil"/>
            </w:tcBorders>
          </w:tcPr>
          <w:p>
            <w:pPr>
              <w:pStyle w:val="Normal6a"/>
            </w:pPr>
            <w:r>
              <w:t>B.</w:t>
            </w:r>
            <w:r>
              <w:tab/>
            </w:r>
            <w:r>
              <w:t xml:space="preserve">considérant que les articles 3 et 21 du traité UE exigent que l’action intérieure et l’action extérieure de l’Union soient cohérentes; que </w:t>
            </w:r>
            <w:r>
              <w:rPr>
                <w:b/>
                <w:i/>
              </w:rPr>
              <w:t>les avis consultatifs et les arrêts rendus par les tribunaux internationaux sont susceptibles d’avoir des implications juridiques pour l’ordre juridique de l’Union européenne et pour la mise en œuvre de la législation et des politiques de l’Union;</w:t>
            </w:r>
            <w:r>
              <w:rPr>
                <w:b/>
                <w:i/>
              </w:rPr>
              <w:t xml:space="preserve"> </w:t>
            </w:r>
            <w:r>
              <w:rPr>
                <w:b/>
                <w:i/>
              </w:rPr>
              <w:t>que</w:t>
            </w:r>
            <w:r>
              <w:t xml:space="preserve"> si l’Union ne soutenait pas les mécanismes de justice internationale</w:t>
            </w:r>
            <w:r>
              <w:rPr>
                <w:b/>
                <w:i/>
              </w:rPr>
              <w:t>,</w:t>
            </w:r>
            <w:r>
              <w:t xml:space="preserve"> manquait à ses obligations internationales </w:t>
            </w:r>
            <w:r>
              <w:rPr>
                <w:b/>
                <w:i/>
              </w:rPr>
              <w:t>et n’assurait pas la cohérence entre l’action de l’Union et le droit international</w:t>
            </w:r>
            <w:r>
              <w:t>, elle saperait la crédibilité de son action extérieure;</w:t>
            </w:r>
          </w:p>
        </w:tc>
      </w:tr>
    </w:tbl>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les accords commerciaux et d’association de l’Union, ainsi que le dialogue politique qu’ils instaurent, peuvent constituer un moyen supplémentaire efficace et non coercitif de promouvoir l’universalité et l’intégrité du statut de Rome, le respect du système judiciaire international et de l’état de droit, ainsi que d’approfondir la coopération avec les pays tiers;</w:t>
            </w:r>
          </w:p>
        </w:tc>
      </w:tr>
    </w:tbl>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considérant qu’en tant que juridiction de dernier ressort, la CPI est pleinement intégrée dans le système judiciaire de tous les États parties au statut de Rome;</w:t>
            </w:r>
          </w:p>
        </w:tc>
        <w:tc>
          <w:tcPr>
            <w:tcW w:w="4876" w:type="dxa"/>
            <w:tcBorders>
              <w:top w:val="nil"/>
              <w:left w:val="nil"/>
              <w:bottom w:val="nil"/>
              <w:right w:val="nil"/>
            </w:tcBorders>
          </w:tcPr>
          <w:p>
            <w:pPr>
              <w:pStyle w:val="Normal6a"/>
            </w:pPr>
            <w:r>
              <w:t>D.</w:t>
            </w:r>
            <w:r>
              <w:tab/>
            </w:r>
            <w:r>
              <w:rPr>
                <w:b/>
                <w:i/>
              </w:rPr>
              <w:t xml:space="preserve">considérant que la CPI fonctionne, conformément au statut de Rome, sur la base du principe de complémentarité avec les juridictions pénales nationales des États parties; </w:t>
            </w:r>
            <w:r>
              <w:t>qu’en tant que juridiction de dernier ressort, la CPI est pleinement intégrée dans le système judiciaire de tous les États parties au statut de Rome;</w:t>
            </w:r>
          </w:p>
        </w:tc>
      </w:tr>
    </w:tbl>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le statut de Rome décrit explicitement les actes d’entrave, d’intimidation et de représailles dirigés contre des fonctionnaires de la CPI pour influencer l’exercice de leurs fonctions comme des atteintes à l’administration de la justice;</w:t>
            </w:r>
          </w:p>
        </w:tc>
      </w:tr>
    </w:tbl>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E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considérant que les mesures de coercition actuellement exercées contre la CPI comprennent les poursuites pénales intentées et les jugements par contumace prononcés par la Fédération de Russie contre le procureur et les juges de la CPI, en lien avec le mandat d’arrêt délivré contre Vladimir Poutine;</w:t>
            </w:r>
          </w:p>
        </w:tc>
      </w:tr>
    </w:tbl>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considérant que ces mesures coercitives sont injustifiées et contraires au système judiciaire international et à l’état de droit, qu’elles constituent une atteinte directe à l’ordre international fondé sur des règles et qu’elles portent atteinte au principe de l’indépendance juridictionnelle, à l’autonomie stratégique de l’Union et à l’intégrité de son ordre juridique;</w:t>
            </w:r>
          </w:p>
        </w:tc>
      </w:tr>
    </w:tbl>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considérant que l’obligation de répondre de ses actes devant des tribunaux internationaux est indispensable non seulement pour mettre un terme à l’impunité, mais aussi pour préserver les droits des victimes à la vérité, à la justice et à des réparations ainsi que les garanties de non-répétition, conformément au droit international relatif aux droits de l’homme;</w:t>
            </w:r>
          </w:p>
        </w:tc>
      </w:tr>
    </w:tbl>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considérant que les banques, les assureurs </w:t>
            </w:r>
            <w:r>
              <w:rPr>
                <w:b/>
                <w:i/>
              </w:rPr>
              <w:t>et</w:t>
            </w:r>
            <w:r>
              <w:t xml:space="preserve"> les prestataires de services de paiement </w:t>
            </w:r>
            <w:r>
              <w:rPr>
                <w:b/>
                <w:i/>
              </w:rPr>
              <w:t>s’exposent à des amendes et</w:t>
            </w:r>
            <w:r>
              <w:t xml:space="preserve"> à une </w:t>
            </w:r>
            <w:r>
              <w:rPr>
                <w:b/>
                <w:i/>
              </w:rPr>
              <w:t>exclusion de certains marchés s’ils entretiennent ou établissent</w:t>
            </w:r>
            <w:r>
              <w:t xml:space="preserve"> des relations avec la CPI </w:t>
            </w:r>
            <w:r>
              <w:rPr>
                <w:b/>
                <w:i/>
              </w:rPr>
              <w:t>ou des</w:t>
            </w:r>
            <w:r>
              <w:t xml:space="preserve"> entités </w:t>
            </w:r>
            <w:r>
              <w:rPr>
                <w:b/>
                <w:i/>
              </w:rPr>
              <w:t>et des</w:t>
            </w:r>
            <w:r>
              <w:t xml:space="preserve"> personnes </w:t>
            </w:r>
            <w:r>
              <w:rPr>
                <w:b/>
                <w:i/>
              </w:rPr>
              <w:t>faisant l’objet de telles</w:t>
            </w:r>
            <w:r>
              <w:t xml:space="preserve"> mesures coercitives; que </w:t>
            </w:r>
            <w:r>
              <w:rPr>
                <w:b/>
                <w:i/>
              </w:rPr>
              <w:t>les opérateurs privés ont largement appliqué ces mesures au-delà de ce qu’ils étaient tenus de faire, afin</w:t>
            </w:r>
            <w:r>
              <w:t xml:space="preserve"> de </w:t>
            </w:r>
            <w:r>
              <w:rPr>
                <w:b/>
                <w:i/>
              </w:rPr>
              <w:t>réduire les risques auxquels ils s’exposaient;</w:t>
            </w:r>
            <w:r>
              <w:rPr>
                <w:b/>
                <w:i/>
              </w:rPr>
              <w:t xml:space="preserve"> </w:t>
            </w:r>
            <w:r>
              <w:rPr>
                <w:b/>
                <w:i/>
              </w:rPr>
              <w:t>que cette application excessive et les conséquences extraterritoriales se traduisent par</w:t>
            </w:r>
            <w:r>
              <w:t xml:space="preserve"> la </w:t>
            </w:r>
            <w:r>
              <w:rPr>
                <w:b/>
                <w:i/>
              </w:rPr>
              <w:t>perturbation de services essentiels pour</w:t>
            </w:r>
            <w:r>
              <w:t xml:space="preserve"> les </w:t>
            </w:r>
            <w:r>
              <w:rPr>
                <w:b/>
                <w:i/>
              </w:rPr>
              <w:t>particuliers</w:t>
            </w:r>
            <w:r>
              <w:t xml:space="preserve"> et </w:t>
            </w:r>
            <w:r>
              <w:rPr>
                <w:b/>
                <w:i/>
              </w:rPr>
              <w:t>les organisations touchés</w:t>
            </w:r>
            <w:r>
              <w:t>;</w:t>
            </w:r>
          </w:p>
        </w:tc>
        <w:tc>
          <w:tcPr>
            <w:tcW w:w="4876" w:type="dxa"/>
            <w:tcBorders>
              <w:top w:val="nil"/>
              <w:left w:val="nil"/>
              <w:bottom w:val="nil"/>
              <w:right w:val="nil"/>
            </w:tcBorders>
          </w:tcPr>
          <w:p>
            <w:pPr>
              <w:pStyle w:val="Normal6a"/>
            </w:pPr>
            <w:r>
              <w:t>I.</w:t>
            </w:r>
            <w:r>
              <w:tab/>
            </w:r>
            <w:r>
              <w:t>considérant que les banques, les assureurs</w:t>
            </w:r>
            <w:r>
              <w:rPr>
                <w:b/>
                <w:i/>
              </w:rPr>
              <w:t>,</w:t>
            </w:r>
            <w:r>
              <w:t xml:space="preserve"> les prestataires de services de paiement </w:t>
            </w:r>
            <w:r>
              <w:rPr>
                <w:b/>
                <w:i/>
              </w:rPr>
              <w:t>et les fournisseurs de services numériques peuvent être confrontés</w:t>
            </w:r>
            <w:r>
              <w:t xml:space="preserve"> à une </w:t>
            </w:r>
            <w:r>
              <w:rPr>
                <w:b/>
                <w:i/>
              </w:rPr>
              <w:t>situation d’insécurité juridique lorsque les mesures prises par</w:t>
            </w:r>
            <w:r>
              <w:t xml:space="preserve"> des </w:t>
            </w:r>
            <w:r>
              <w:rPr>
                <w:b/>
                <w:i/>
              </w:rPr>
              <w:t>pays tiers affectent leurs</w:t>
            </w:r>
            <w:r>
              <w:t xml:space="preserve"> relations avec la CPI</w:t>
            </w:r>
            <w:r>
              <w:rPr>
                <w:b/>
                <w:i/>
              </w:rPr>
              <w:t>, les</w:t>
            </w:r>
            <w:r>
              <w:t xml:space="preserve"> entités </w:t>
            </w:r>
            <w:r>
              <w:rPr>
                <w:b/>
                <w:i/>
              </w:rPr>
              <w:t>ou les</w:t>
            </w:r>
            <w:r>
              <w:t xml:space="preserve"> personnes </w:t>
            </w:r>
            <w:r>
              <w:rPr>
                <w:b/>
                <w:i/>
              </w:rPr>
              <w:t>visées par ces</w:t>
            </w:r>
            <w:r>
              <w:t xml:space="preserve"> mesures coercitives; que </w:t>
            </w:r>
            <w:r>
              <w:rPr>
                <w:b/>
                <w:i/>
              </w:rPr>
              <w:t>cette insécurité peut entraîner une application excessive des mesures et perturber des services essentiels;</w:t>
            </w:r>
            <w:r>
              <w:rPr>
                <w:b/>
                <w:i/>
              </w:rPr>
              <w:t xml:space="preserve"> </w:t>
            </w:r>
            <w:r>
              <w:rPr>
                <w:b/>
                <w:i/>
              </w:rPr>
              <w:t>que les opérateurs économiques</w:t>
            </w:r>
            <w:r>
              <w:t xml:space="preserve"> de </w:t>
            </w:r>
            <w:r>
              <w:rPr>
                <w:b/>
                <w:i/>
              </w:rPr>
              <w:t>l’Union ont besoin d’orientations claires, proportionnées et exécutoires qui respectent l’état de droit, la sécurité juridique,</w:t>
            </w:r>
            <w:r>
              <w:t xml:space="preserve"> la </w:t>
            </w:r>
            <w:r>
              <w:rPr>
                <w:b/>
                <w:i/>
              </w:rPr>
              <w:t>liberté économique et leur conformité avec</w:t>
            </w:r>
            <w:r>
              <w:t xml:space="preserve"> les </w:t>
            </w:r>
            <w:r>
              <w:rPr>
                <w:b/>
                <w:i/>
              </w:rPr>
              <w:t>obligations applicables en vertu du droit de l’Union</w:t>
            </w:r>
            <w:r>
              <w:t xml:space="preserve"> et </w:t>
            </w:r>
            <w:r>
              <w:rPr>
                <w:b/>
                <w:i/>
              </w:rPr>
              <w:t>du droit des États membres</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considérant qu’il convient d’évaluer le vaste ensemble d’instruments de l’Union en matière de soutien à la justice internationale, afin de recenser les lacunes en matière d’efficacité</w:t>
            </w:r>
            <w:r>
              <w:rPr>
                <w:b/>
                <w:i/>
              </w:rPr>
              <w:t>, telles que l’absence</w:t>
            </w:r>
            <w:r>
              <w:t xml:space="preserve"> de </w:t>
            </w:r>
            <w:r>
              <w:rPr>
                <w:b/>
                <w:i/>
              </w:rPr>
              <w:t>stratégie globale spécifique de l’Union</w:t>
            </w:r>
            <w:r>
              <w:t>;</w:t>
            </w:r>
          </w:p>
        </w:tc>
        <w:tc>
          <w:tcPr>
            <w:tcW w:w="4876" w:type="dxa"/>
            <w:tcBorders>
              <w:top w:val="nil"/>
              <w:left w:val="nil"/>
              <w:bottom w:val="nil"/>
              <w:right w:val="nil"/>
            </w:tcBorders>
          </w:tcPr>
          <w:p>
            <w:pPr>
              <w:pStyle w:val="Normal6a"/>
            </w:pPr>
            <w:r>
              <w:t>L.</w:t>
            </w:r>
            <w:r>
              <w:tab/>
            </w:r>
            <w:r>
              <w:t xml:space="preserve">considérant qu’il convient d’évaluer le vaste ensemble d’instruments de l’Union en matière de soutien à la justice internationale, afin de recenser </w:t>
            </w:r>
            <w:r>
              <w:rPr>
                <w:b/>
                <w:i/>
              </w:rPr>
              <w:t>et de combler</w:t>
            </w:r>
            <w:r>
              <w:t xml:space="preserve"> les lacunes en matière d’efficacité </w:t>
            </w:r>
            <w:r>
              <w:rPr>
                <w:b/>
                <w:i/>
              </w:rPr>
              <w:t>et</w:t>
            </w:r>
            <w:r>
              <w:t xml:space="preserve"> de </w:t>
            </w:r>
            <w:r>
              <w:rPr>
                <w:b/>
                <w:i/>
              </w:rPr>
              <w:t>coordination</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considérant que l’annexe du règlement (CE) nº 2271/96 du Conseil n’a pas été mise à jour pour tenir compte des évolutions les plus récentes;</w:t>
            </w:r>
          </w:p>
        </w:tc>
        <w:tc>
          <w:tcPr>
            <w:tcW w:w="4876" w:type="dxa"/>
            <w:tcBorders>
              <w:top w:val="nil"/>
              <w:left w:val="nil"/>
              <w:bottom w:val="nil"/>
              <w:right w:val="nil"/>
            </w:tcBorders>
          </w:tcPr>
          <w:p>
            <w:pPr>
              <w:pStyle w:val="Normal6a"/>
            </w:pPr>
            <w:r>
              <w:rPr>
                <w:b/>
                <w:i/>
              </w:rPr>
              <w:t>supprimé</w:t>
            </w:r>
          </w:p>
        </w:tc>
      </w:tr>
    </w:tbl>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considérant que </w:t>
            </w:r>
            <w:r>
              <w:rPr>
                <w:b/>
                <w:i/>
              </w:rPr>
              <w:t>l’activation de</w:t>
            </w:r>
            <w:r>
              <w:t xml:space="preserve"> la loi de blocage </w:t>
            </w:r>
            <w:r>
              <w:rPr>
                <w:b/>
                <w:i/>
              </w:rPr>
              <w:t>prouverait que l’Union est capable de préserver l’intégrité de son ordre juridique contre les conséquences extraterritoriales</w:t>
            </w:r>
            <w:r>
              <w:t xml:space="preserve"> de </w:t>
            </w:r>
            <w:r>
              <w:rPr>
                <w:b/>
                <w:i/>
              </w:rPr>
              <w:t>mesures prises par des</w:t>
            </w:r>
            <w:r>
              <w:t xml:space="preserve"> pays tiers, ainsi que </w:t>
            </w:r>
            <w:r>
              <w:rPr>
                <w:b/>
                <w:i/>
              </w:rPr>
              <w:t>de défendre la souveraineté de l’Union;</w:t>
            </w:r>
            <w:r>
              <w:rPr>
                <w:b/>
                <w:i/>
              </w:rPr>
              <w:t xml:space="preserve"> </w:t>
            </w:r>
            <w:r>
              <w:rPr>
                <w:b/>
                <w:i/>
              </w:rPr>
              <w:t>qu’en activant cette loi</w:t>
            </w:r>
            <w:r>
              <w:t xml:space="preserve">, </w:t>
            </w:r>
            <w:r>
              <w:rPr>
                <w:b/>
                <w:i/>
              </w:rPr>
              <w:t>l’Union enverrait également un message puissant de soutien à la justice internationale, à ses professionnels</w:t>
            </w:r>
            <w:r>
              <w:t xml:space="preserve"> et à </w:t>
            </w:r>
            <w:r>
              <w:rPr>
                <w:b/>
                <w:i/>
              </w:rPr>
              <w:t>ses partenaires, et aiderait concrètement les acteurs économiques de</w:t>
            </w:r>
            <w:r>
              <w:t xml:space="preserve"> l’Union, </w:t>
            </w:r>
            <w:r>
              <w:rPr>
                <w:b/>
                <w:i/>
              </w:rPr>
              <w:t>en fournissant des lignes directrices claires;</w:t>
            </w:r>
            <w:r>
              <w:rPr>
                <w:b/>
                <w:i/>
              </w:rPr>
              <w:t xml:space="preserve"> </w:t>
            </w:r>
            <w:r>
              <w:rPr>
                <w:b/>
                <w:i/>
              </w:rPr>
              <w:t>que si elle persiste à ne pas l’activer, elle violerait potentiellement les obligations qui lui incombent</w:t>
            </w:r>
            <w:r>
              <w:t xml:space="preserve"> en vertu </w:t>
            </w:r>
            <w:r>
              <w:rPr>
                <w:b/>
                <w:i/>
              </w:rPr>
              <w:t>de son accord de coopération avec la CPI</w:t>
            </w:r>
            <w:r>
              <w:t>;</w:t>
            </w:r>
          </w:p>
        </w:tc>
        <w:tc>
          <w:tcPr>
            <w:tcW w:w="4876" w:type="dxa"/>
            <w:tcBorders>
              <w:top w:val="nil"/>
              <w:left w:val="nil"/>
              <w:bottom w:val="nil"/>
              <w:right w:val="nil"/>
            </w:tcBorders>
          </w:tcPr>
          <w:p>
            <w:pPr>
              <w:pStyle w:val="Normal6a"/>
            </w:pPr>
            <w:r>
              <w:t>R.</w:t>
            </w:r>
            <w:r>
              <w:tab/>
            </w:r>
            <w:r>
              <w:t xml:space="preserve">considérant que </w:t>
            </w:r>
            <w:r>
              <w:rPr>
                <w:b/>
                <w:i/>
              </w:rPr>
              <w:t>l’Union devrait s’attacher à réduire les dépendances structurelles qui confèrent aux mesures coercitives étrangères leur portée extraterritoriale;</w:t>
            </w:r>
            <w:r>
              <w:rPr>
                <w:b/>
                <w:i/>
              </w:rPr>
              <w:t xml:space="preserve"> </w:t>
            </w:r>
            <w:r>
              <w:rPr>
                <w:b/>
                <w:i/>
              </w:rPr>
              <w:t>que</w:t>
            </w:r>
            <w:r>
              <w:t xml:space="preserve"> la loi de blocage </w:t>
            </w:r>
            <w:r>
              <w:rPr>
                <w:b/>
                <w:i/>
              </w:rPr>
              <w:t>devrait être considérée comme un outil essentiel à cette fin, étant donné qu’elle est conçue pour protéger et contrer les effets</w:t>
            </w:r>
            <w:r>
              <w:t xml:space="preserve"> de </w:t>
            </w:r>
            <w:r>
              <w:rPr>
                <w:b/>
                <w:i/>
              </w:rPr>
              <w:t>l’application extraterritoriale de la législation de</w:t>
            </w:r>
            <w:r>
              <w:t xml:space="preserve"> pays tiers, ainsi que </w:t>
            </w:r>
            <w:r>
              <w:rPr>
                <w:b/>
                <w:i/>
              </w:rPr>
              <w:t>des actions fondées sur celle-ci ou qui en découlent</w:t>
            </w:r>
            <w:r>
              <w:t xml:space="preserve">, </w:t>
            </w:r>
            <w:r>
              <w:rPr>
                <w:b/>
                <w:i/>
              </w:rPr>
              <w:t>lorsqu’une telle application porte atteinte aux intérêts des personnes physiques et morales participant au commerce international</w:t>
            </w:r>
            <w:r>
              <w:t xml:space="preserve"> et</w:t>
            </w:r>
            <w:r>
              <w:rPr>
                <w:b/>
                <w:i/>
              </w:rPr>
              <w:t>/ou</w:t>
            </w:r>
            <w:r>
              <w:t xml:space="preserve"> à </w:t>
            </w:r>
            <w:r>
              <w:rPr>
                <w:b/>
                <w:i/>
              </w:rPr>
              <w:t>la circulation des capitaux et aux activités commerciales connexes entre</w:t>
            </w:r>
            <w:r>
              <w:t xml:space="preserve"> l’Union </w:t>
            </w:r>
            <w:r>
              <w:rPr>
                <w:b/>
                <w:i/>
              </w:rPr>
              <w:t>et des pays tiers</w:t>
            </w:r>
            <w:r>
              <w:t xml:space="preserve">, </w:t>
            </w:r>
            <w:r>
              <w:rPr>
                <w:b/>
                <w:i/>
              </w:rPr>
              <w:t>ou lorsqu’une telle application porte atteinte aux intérêts de l’Union et aux intérêts des personnes physiques et morales exerçant leurs droits</w:t>
            </w:r>
            <w:r>
              <w:t xml:space="preserve"> en vertu </w:t>
            </w:r>
            <w:r>
              <w:rPr>
                <w:b/>
                <w:i/>
              </w:rPr>
              <w:t>du traité sur le fonctionnement de l’Union européenne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Sous-titre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Élaborer une stratégie de l’Union visant à renforcer le système judiciaire international </w:t>
            </w:r>
            <w:r>
              <w:rPr>
                <w:b/>
                <w:i/>
              </w:rPr>
              <w:t>et à protéger la souveraineté européenne</w:t>
            </w:r>
          </w:p>
        </w:tc>
        <w:tc>
          <w:tcPr>
            <w:tcW w:w="4876" w:type="dxa"/>
            <w:tcBorders>
              <w:top w:val="nil"/>
              <w:left w:val="nil"/>
              <w:bottom w:val="nil"/>
              <w:right w:val="nil"/>
            </w:tcBorders>
          </w:tcPr>
          <w:p>
            <w:pPr>
              <w:pStyle w:val="Normal6a"/>
            </w:pPr>
            <w:r>
              <w:t>Élaborer une stratégie de l’Union visant à renforcer le système judiciaire international</w:t>
            </w:r>
          </w:p>
        </w:tc>
      </w:tr>
    </w:tbl>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rappelle que le respect, la protection et l’application de la justice pénale internationale au moyen d’actions aussi bien défensives que positives sont des objectifs clairs de la politique étrangère de l’Union;</w:t>
            </w:r>
          </w:p>
        </w:tc>
        <w:tc>
          <w:tcPr>
            <w:tcW w:w="4876" w:type="dxa"/>
            <w:tcBorders>
              <w:top w:val="nil"/>
              <w:left w:val="nil"/>
              <w:bottom w:val="nil"/>
              <w:right w:val="nil"/>
            </w:tcBorders>
          </w:tcPr>
          <w:p>
            <w:pPr>
              <w:pStyle w:val="Normal6a"/>
            </w:pPr>
            <w:r>
              <w:t>1.</w:t>
            </w:r>
            <w:r>
              <w:tab/>
            </w:r>
            <w:r>
              <w:t xml:space="preserve">rappelle que le respect, la protection et l’application de la justice pénale internationale au moyen d’actions aussi bien défensives que positives sont des objectifs clairs de la politique étrangère de l’Union </w:t>
            </w:r>
            <w:r>
              <w:rPr>
                <w:b/>
                <w:i/>
              </w:rPr>
              <w:t>qui découlent des valeurs fondamentales de celle-ci, telles que l’état de droit et le respect des droits de l'homme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estime que ces mesures et leur application extraterritoriale sont </w:t>
            </w:r>
            <w:r>
              <w:rPr>
                <w:b/>
                <w:i/>
              </w:rPr>
              <w:t>illégales</w:t>
            </w:r>
            <w:r>
              <w:t xml:space="preserve"> et </w:t>
            </w:r>
            <w:r>
              <w:rPr>
                <w:b/>
                <w:i/>
              </w:rPr>
              <w:t>constituent une ingérence menaçant la souveraineté européenne</w:t>
            </w:r>
            <w:r>
              <w:t xml:space="preserve">; est d’avis qu’elles ont mis en évidence d’importantes lacunes et insuffisances dans la capacité de l’Union à protéger les acteurs de la justice internationale </w:t>
            </w:r>
            <w:r>
              <w:rPr>
                <w:b/>
                <w:i/>
              </w:rPr>
              <w:t>et à défendre sa propre autonomie</w:t>
            </w:r>
            <w:r>
              <w:t>;</w:t>
            </w:r>
          </w:p>
        </w:tc>
        <w:tc>
          <w:tcPr>
            <w:tcW w:w="4876" w:type="dxa"/>
            <w:tcBorders>
              <w:top w:val="nil"/>
              <w:left w:val="nil"/>
              <w:bottom w:val="nil"/>
              <w:right w:val="nil"/>
            </w:tcBorders>
          </w:tcPr>
          <w:p>
            <w:pPr>
              <w:pStyle w:val="Normal6a"/>
            </w:pPr>
            <w:r>
              <w:t>4.</w:t>
            </w:r>
            <w:r>
              <w:tab/>
            </w:r>
            <w:r>
              <w:t xml:space="preserve">estime que ces mesures et leur application extraterritoriale sont </w:t>
            </w:r>
            <w:r>
              <w:rPr>
                <w:b/>
                <w:i/>
              </w:rPr>
              <w:t>injustifiées</w:t>
            </w:r>
            <w:r>
              <w:t xml:space="preserve"> et </w:t>
            </w:r>
            <w:r>
              <w:rPr>
                <w:b/>
                <w:i/>
              </w:rPr>
              <w:t>contraires au système judiciaire international et à l’état de droit</w:t>
            </w:r>
            <w:r>
              <w:t>; est d’avis qu’elles ont mis en évidence d’importantes lacunes et insuffisances dans la capacité de l’Union à protéger les acteurs de la justice internationale;</w:t>
            </w:r>
          </w:p>
        </w:tc>
      </w:tr>
    </w:tbl>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réaffirme que toute tentative délibérée d’intimider les fonctionnaires de la CPI, d’entraver leur action ou d’exercer des représailles à leur égard porte atteinte à l’administration de la justice internationale, au bon déroulement des poursuites et au respect des droits des victimes;</w:t>
            </w:r>
          </w:p>
        </w:tc>
      </w:tr>
    </w:tbl>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réclame une évaluation complète des outils existants de l’Union qui soutiennent la justice internationale, afin de recenser et de combler les lacunes, </w:t>
            </w:r>
            <w:r>
              <w:rPr>
                <w:b/>
                <w:i/>
              </w:rPr>
              <w:t>telles que</w:t>
            </w:r>
            <w:r>
              <w:t xml:space="preserve"> l’absence de </w:t>
            </w:r>
            <w:r>
              <w:rPr>
                <w:b/>
                <w:i/>
              </w:rPr>
              <w:t>stratégie globale spécifique de l’Union, l’absence de mécanismes de protection des acteurs sanctionnés</w:t>
            </w:r>
            <w:r>
              <w:t>, le manque de clarté réglementaire et de garanties opérationnelles contre l’application excessive de la part des opérateurs privés, ainsi que la faible prévisibilité financière du point de vue des acteurs internationaux de la reddition de comptes;</w:t>
            </w:r>
          </w:p>
        </w:tc>
        <w:tc>
          <w:tcPr>
            <w:tcW w:w="4876" w:type="dxa"/>
            <w:tcBorders>
              <w:top w:val="nil"/>
              <w:left w:val="nil"/>
              <w:bottom w:val="nil"/>
              <w:right w:val="nil"/>
            </w:tcBorders>
          </w:tcPr>
          <w:p>
            <w:pPr>
              <w:pStyle w:val="Normal6a"/>
            </w:pPr>
            <w:r>
              <w:t>6.</w:t>
            </w:r>
            <w:r>
              <w:tab/>
            </w:r>
            <w:r>
              <w:t>réclame une évaluation complète des outils existants de l’Union</w:t>
            </w:r>
            <w:r>
              <w:rPr>
                <w:b/>
                <w:i/>
              </w:rPr>
              <w:t>, notamment le réglement (CE) nº 2271/96 du Conseil,</w:t>
            </w:r>
            <w:r>
              <w:t xml:space="preserve"> qui soutiennent la justice internationale, afin de recenser et de combler les lacunes, </w:t>
            </w:r>
            <w:r>
              <w:rPr>
                <w:b/>
                <w:i/>
              </w:rPr>
              <w:t>notamment</w:t>
            </w:r>
            <w:r>
              <w:t xml:space="preserve"> l’absence de </w:t>
            </w:r>
            <w:r>
              <w:rPr>
                <w:b/>
                <w:i/>
              </w:rPr>
              <w:t>mécanismes de protection pour les parties prenantes touchées par des mesures coercitives unilatérales étrangères</w:t>
            </w:r>
            <w:r>
              <w:t>, le manque de clarté réglementaire et de garanties opérationnelles contre l’application excessive de la part des opérateurs privés, ainsi que la faible prévisibilité financière du point de vue des acteurs internationaux de la reddition de comptes;</w:t>
            </w:r>
          </w:p>
        </w:tc>
      </w:tr>
    </w:tbl>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invite la Commission à présenter une évaluation exhaustive des conséquences pour l’ordre juridique de l’Union, y compris les actions et les politiques de l’Union, découlant des décisions et avis consultatifs pertinents rendus par les cours et tribunaux internationaux</w:t>
            </w:r>
            <w:r>
              <w:rPr>
                <w:b/>
                <w:i/>
                <w:vertAlign w:val="superscript"/>
              </w:rPr>
              <w:t>1a</w:t>
            </w:r>
            <w:r>
              <w:rPr>
                <w:b/>
                <w:i/>
              </w:rPr>
              <w:t>; invite la Commission à proposer, le cas échéant, des mesures correctives appropriées pour garantir le respect de ses obligations juridiques internationales; demande à la Commission de tenir le Parlement informé de l’adoption de telles mesures;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Notamment l’avis consultatif rendu par la Cour internationale de justice du 19 juillet 2024 sur les conséquences juridiques découlant des politiques et pratiques d’Israël dans le territoire palestinien occupé, y compris Jérusalem-Est, ainsi que de l’illégalité de la présence continue d’Israël dans le territoire palestinien occupé.</w:t>
            </w:r>
          </w:p>
        </w:tc>
      </w:tr>
    </w:tbl>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invite la Commission et la vice-présidente de la Commission/haute représentante de l’Union pour les affaires étrangères et la politique de sécurité, en partenariat avec le Parlement, à proposer un cadre stratégique global de l’Union pour protéger, renforcer et faire respecter le système judiciaire international et ses institutions, mécanismes et partenaires contre les mesures coercitives étrangères unilatérales et d’autres formes d’ingérence; insiste pour que les organisations de la société civile soient largement consultées lors de l’élaboration </w:t>
            </w:r>
            <w:r>
              <w:rPr>
                <w:b/>
                <w:i/>
              </w:rPr>
              <w:t>d’une telle</w:t>
            </w:r>
            <w:r>
              <w:t xml:space="preserve"> stratégie;</w:t>
            </w:r>
          </w:p>
        </w:tc>
        <w:tc>
          <w:tcPr>
            <w:tcW w:w="4876" w:type="dxa"/>
            <w:tcBorders>
              <w:top w:val="nil"/>
              <w:left w:val="nil"/>
              <w:bottom w:val="nil"/>
              <w:right w:val="nil"/>
            </w:tcBorders>
          </w:tcPr>
          <w:p>
            <w:pPr>
              <w:pStyle w:val="Normal6a"/>
            </w:pPr>
            <w:r>
              <w:t>7.</w:t>
            </w:r>
            <w:r>
              <w:tab/>
            </w:r>
            <w:r>
              <w:t xml:space="preserve">invite la Commission et la vice-présidente de la Commission/haute représentante de l’Union pour les affaires étrangères et la politique de sécurité, en partenariat avec le Parlement, à </w:t>
            </w:r>
            <w:r>
              <w:rPr>
                <w:b/>
                <w:i/>
              </w:rPr>
              <w:t>veiller à une utilisation pleine, cohérente et mieux coordonnée des instruments actuels de l’Union et à</w:t>
            </w:r>
            <w:r>
              <w:t xml:space="preserve"> proposer un cadre stratégique global de l’Union pour protéger, renforcer et faire respecter le système judiciaire international et ses institutions, mécanismes et partenaires contre les mesures coercitives étrangères unilatérales et d’autres formes d’ingérence; insiste pour que </w:t>
            </w:r>
            <w:r>
              <w:rPr>
                <w:b/>
                <w:i/>
              </w:rPr>
              <w:t>toutes les parties prenantes, notamment</w:t>
            </w:r>
            <w:r>
              <w:t xml:space="preserve"> les organisations de la société civile soient largement consultées lors de l’élaboration </w:t>
            </w:r>
            <w:r>
              <w:rPr>
                <w:b/>
                <w:i/>
              </w:rPr>
              <w:t>de cette</w:t>
            </w:r>
            <w:r>
              <w:t xml:space="preserve"> stratégie;</w:t>
            </w:r>
          </w:p>
        </w:tc>
      </w:tr>
    </w:tbl>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prie</w:t>
            </w:r>
            <w:r>
              <w:t xml:space="preserve"> la Commission </w:t>
            </w:r>
            <w:r>
              <w:rPr>
                <w:b/>
                <w:i/>
              </w:rPr>
              <w:t>d’adopter</w:t>
            </w:r>
            <w:r>
              <w:t xml:space="preserve"> un plan d’action, intégré </w:t>
            </w:r>
            <w:r>
              <w:rPr>
                <w:b/>
                <w:i/>
              </w:rPr>
              <w:t>dans le</w:t>
            </w:r>
            <w:r>
              <w:t xml:space="preserve"> cadre stratégique, </w:t>
            </w:r>
            <w:r>
              <w:rPr>
                <w:b/>
                <w:i/>
              </w:rPr>
              <w:t>visant à résoudre tous les problèmes</w:t>
            </w:r>
            <w:r>
              <w:t xml:space="preserve"> découlant de </w:t>
            </w:r>
            <w:r>
              <w:rPr>
                <w:b/>
                <w:i/>
              </w:rPr>
              <w:t>l’extraterritorialité des</w:t>
            </w:r>
            <w:r>
              <w:t xml:space="preserve"> mesures coercitives </w:t>
            </w:r>
            <w:r>
              <w:rPr>
                <w:b/>
                <w:i/>
              </w:rPr>
              <w:t>étrangères unilatérales</w:t>
            </w:r>
            <w:r>
              <w:t xml:space="preserve">, </w:t>
            </w:r>
            <w:r>
              <w:rPr>
                <w:b/>
                <w:i/>
              </w:rPr>
              <w:t>à permettre</w:t>
            </w:r>
            <w:r>
              <w:t xml:space="preserve"> aux entités et aux personnes </w:t>
            </w:r>
            <w:r>
              <w:rPr>
                <w:b/>
                <w:i/>
              </w:rPr>
              <w:t>sanctionnées</w:t>
            </w:r>
            <w:r>
              <w:t xml:space="preserve"> de conserver l’accès aux prestataires informatiques, aux comptes bancaires, à l’assurance et à la couverture maladie, et à atténuer les risques </w:t>
            </w:r>
            <w:r>
              <w:rPr>
                <w:b/>
                <w:i/>
              </w:rPr>
              <w:t>de</w:t>
            </w:r>
            <w:r>
              <w:t xml:space="preserve"> fragmentation des politiques nationales et </w:t>
            </w:r>
            <w:r>
              <w:rPr>
                <w:b/>
                <w:i/>
              </w:rPr>
              <w:t>de</w:t>
            </w:r>
            <w:r>
              <w:t xml:space="preserve"> dépendances extérieures; souligne la nécessité de renforcer la coopération interservices pour une réponse cohérente de l’Union à cet égard;</w:t>
            </w:r>
          </w:p>
        </w:tc>
        <w:tc>
          <w:tcPr>
            <w:tcW w:w="4876" w:type="dxa"/>
            <w:tcBorders>
              <w:top w:val="nil"/>
              <w:left w:val="nil"/>
              <w:bottom w:val="nil"/>
              <w:right w:val="nil"/>
            </w:tcBorders>
          </w:tcPr>
          <w:p>
            <w:pPr>
              <w:pStyle w:val="Normal6a"/>
            </w:pPr>
            <w:r>
              <w:t>8.</w:t>
            </w:r>
            <w:r>
              <w:tab/>
            </w:r>
            <w:r>
              <w:rPr>
                <w:b/>
                <w:i/>
              </w:rPr>
              <w:t>invite</w:t>
            </w:r>
            <w:r>
              <w:t xml:space="preserve"> la Commission </w:t>
            </w:r>
            <w:r>
              <w:rPr>
                <w:b/>
                <w:i/>
              </w:rPr>
              <w:t>à donner suite aux conclusions du Conseil européen de mars et juin 2026 relatives au respect du droit international et à adopter</w:t>
            </w:r>
            <w:r>
              <w:t xml:space="preserve"> un plan d’action, intégré </w:t>
            </w:r>
            <w:r>
              <w:rPr>
                <w:b/>
                <w:i/>
              </w:rPr>
              <w:t>au</w:t>
            </w:r>
            <w:r>
              <w:t xml:space="preserve"> cadre stratégique </w:t>
            </w:r>
            <w:r>
              <w:rPr>
                <w:b/>
                <w:i/>
              </w:rPr>
              <w:t>et tirant pleinement parti des instruments et structures existants</w:t>
            </w:r>
            <w:r>
              <w:t xml:space="preserve">, </w:t>
            </w:r>
            <w:r>
              <w:rPr>
                <w:b/>
                <w:i/>
              </w:rPr>
              <w:t>afin de faire face aux conséquences</w:t>
            </w:r>
            <w:r>
              <w:t xml:space="preserve"> découlant de </w:t>
            </w:r>
            <w:r>
              <w:rPr>
                <w:b/>
                <w:i/>
              </w:rPr>
              <w:t>l’application extraterritoriale de</w:t>
            </w:r>
            <w:r>
              <w:t xml:space="preserve"> mesures coercitives </w:t>
            </w:r>
            <w:r>
              <w:rPr>
                <w:b/>
                <w:i/>
              </w:rPr>
              <w:t>unilatérales étrangères</w:t>
            </w:r>
            <w:r>
              <w:t xml:space="preserve">, </w:t>
            </w:r>
            <w:r>
              <w:rPr>
                <w:b/>
                <w:i/>
              </w:rPr>
              <w:t>notamment en permettant</w:t>
            </w:r>
            <w:r>
              <w:t xml:space="preserve"> aux entités et aux personnes </w:t>
            </w:r>
            <w:r>
              <w:rPr>
                <w:b/>
                <w:i/>
              </w:rPr>
              <w:t>concernées</w:t>
            </w:r>
            <w:r>
              <w:t xml:space="preserve"> de conserver l’accès aux prestataires informatiques, aux comptes bancaires, à l’assurance et à la couverture maladie, et à atténuer les risques </w:t>
            </w:r>
            <w:r>
              <w:rPr>
                <w:b/>
                <w:i/>
              </w:rPr>
              <w:t>liés à la</w:t>
            </w:r>
            <w:r>
              <w:t xml:space="preserve"> fragmentation des politiques nationales et </w:t>
            </w:r>
            <w:r>
              <w:rPr>
                <w:b/>
                <w:i/>
              </w:rPr>
              <w:t>aux</w:t>
            </w:r>
            <w:r>
              <w:t xml:space="preserve"> dépendances extérieures; souligne la nécessité de renforcer la coopération interservices pour une réponse cohérente de l’Union à cet égard;</w:t>
            </w:r>
          </w:p>
        </w:tc>
      </w:tr>
    </w:tbl>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souligne que, pour défendre et renforcer la justice internationale, il est indispensable de maintenir le dialogue avec les partenaires internationaux et de constituer de larges coalitions en faveur de la reddition de comptes;</w:t>
            </w:r>
          </w:p>
        </w:tc>
      </w:tr>
    </w:tbl>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exhorte la Commission</w:t>
            </w:r>
            <w:r>
              <w:t xml:space="preserve"> à </w:t>
            </w:r>
            <w:r>
              <w:rPr>
                <w:b/>
                <w:i/>
              </w:rPr>
              <w:t>activer</w:t>
            </w:r>
            <w:r>
              <w:t xml:space="preserve"> la loi de blocage de l’Union, </w:t>
            </w:r>
            <w:r>
              <w:rPr>
                <w:b/>
                <w:i/>
              </w:rPr>
              <w:t>qui est un instrument essentiel</w:t>
            </w:r>
            <w:r>
              <w:t xml:space="preserve"> et </w:t>
            </w:r>
            <w:r>
              <w:rPr>
                <w:b/>
                <w:i/>
              </w:rPr>
              <w:t>rapide pour contrer les</w:t>
            </w:r>
            <w:r>
              <w:t xml:space="preserve"> conséquences extraterritoriales des mesures coercitives unilatérales étrangères;</w:t>
            </w:r>
          </w:p>
        </w:tc>
        <w:tc>
          <w:tcPr>
            <w:tcW w:w="4876" w:type="dxa"/>
            <w:tcBorders>
              <w:top w:val="nil"/>
              <w:left w:val="nil"/>
              <w:bottom w:val="nil"/>
              <w:right w:val="nil"/>
            </w:tcBorders>
          </w:tcPr>
          <w:p>
            <w:pPr>
              <w:pStyle w:val="Normal6a"/>
            </w:pPr>
            <w:r>
              <w:t>9.</w:t>
            </w:r>
            <w:r>
              <w:tab/>
            </w:r>
            <w:r>
              <w:rPr>
                <w:b/>
                <w:i/>
              </w:rPr>
              <w:t>réitère ses appels répétés et demande instamment</w:t>
            </w:r>
            <w:r>
              <w:t xml:space="preserve"> à </w:t>
            </w:r>
            <w:r>
              <w:rPr>
                <w:b/>
                <w:i/>
              </w:rPr>
              <w:t>nouveau à la Commission d’activer</w:t>
            </w:r>
            <w:r>
              <w:t xml:space="preserve"> la loi de blocage de l’Union </w:t>
            </w:r>
            <w:r>
              <w:rPr>
                <w:b/>
                <w:i/>
              </w:rPr>
              <w:t>afin de protéger et de préserver la CPI en tant que pilier indispensable du système judiciaire international</w:t>
            </w:r>
            <w:r>
              <w:t xml:space="preserve">, </w:t>
            </w:r>
            <w:r>
              <w:rPr>
                <w:b/>
                <w:i/>
              </w:rPr>
              <w:t>et invite également la Commission à continuer de suivre et de rendre compte de la mise en œuvre du règlement (CE) nº 271/96 du Conseil,</w:t>
            </w:r>
            <w:r>
              <w:t xml:space="preserve"> et </w:t>
            </w:r>
            <w:r>
              <w:rPr>
                <w:b/>
                <w:i/>
              </w:rPr>
              <w:t>à en informer dûment le Parlement et le Conseil;</w:t>
            </w:r>
            <w:r>
              <w:rPr>
                <w:b/>
                <w:i/>
              </w:rPr>
              <w:t xml:space="preserve"> </w:t>
            </w:r>
            <w:r>
              <w:rPr>
                <w:b/>
                <w:i/>
              </w:rPr>
              <w:t>souligne que la réponse de l’Union aux</w:t>
            </w:r>
            <w:r>
              <w:t xml:space="preserve"> conséquences extraterritoriales des mesures coercitives unilatérales étrangères </w:t>
            </w:r>
            <w:r>
              <w:rPr>
                <w:b/>
                <w:i/>
              </w:rPr>
              <w:t>devrait donner la priorité à la réduction des dépendances structurelles financières, numériques et technologiques sur lesquelles reposent ces effets</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invite la Commission et les États membres à </w:t>
            </w:r>
            <w:r>
              <w:rPr>
                <w:b/>
                <w:i/>
              </w:rPr>
              <w:t>remédier</w:t>
            </w:r>
            <w:r>
              <w:t xml:space="preserve"> à </w:t>
            </w:r>
            <w:r>
              <w:rPr>
                <w:b/>
                <w:i/>
              </w:rPr>
              <w:t>l’application incomplète du</w:t>
            </w:r>
            <w:r>
              <w:t xml:space="preserve"> statut de Rome </w:t>
            </w:r>
            <w:r>
              <w:rPr>
                <w:b/>
                <w:i/>
              </w:rPr>
              <w:t>sur</w:t>
            </w:r>
            <w:r>
              <w:t xml:space="preserve"> son </w:t>
            </w:r>
            <w:r>
              <w:rPr>
                <w:b/>
                <w:i/>
              </w:rPr>
              <w:t>territoire</w:t>
            </w:r>
            <w:r>
              <w:t>;</w:t>
            </w:r>
          </w:p>
        </w:tc>
        <w:tc>
          <w:tcPr>
            <w:tcW w:w="4876" w:type="dxa"/>
            <w:tcBorders>
              <w:top w:val="nil"/>
              <w:left w:val="nil"/>
              <w:bottom w:val="nil"/>
              <w:right w:val="nil"/>
            </w:tcBorders>
          </w:tcPr>
          <w:p>
            <w:pPr>
              <w:pStyle w:val="Normal6a"/>
            </w:pPr>
            <w:r>
              <w:t>10.</w:t>
            </w:r>
            <w:r>
              <w:tab/>
            </w:r>
            <w:r>
              <w:t xml:space="preserve">invite la Commission </w:t>
            </w:r>
            <w:r>
              <w:rPr>
                <w:b/>
                <w:i/>
              </w:rPr>
              <w:t>à soutenir le statut de Rome</w:t>
            </w:r>
            <w:r>
              <w:t xml:space="preserve"> et les États membres à </w:t>
            </w:r>
            <w:r>
              <w:rPr>
                <w:b/>
                <w:i/>
              </w:rPr>
              <w:t>veiller</w:t>
            </w:r>
            <w:r>
              <w:t xml:space="preserve"> à </w:t>
            </w:r>
            <w:r>
              <w:rPr>
                <w:b/>
                <w:i/>
              </w:rPr>
              <w:t>la mise en œuvre intégrale et effective, au niveau national, des obligations qui en découlent;</w:t>
            </w:r>
            <w:r>
              <w:rPr>
                <w:b/>
                <w:i/>
              </w:rPr>
              <w:t xml:space="preserve"> </w:t>
            </w:r>
            <w:r>
              <w:rPr>
                <w:b/>
                <w:i/>
              </w:rPr>
              <w:t>rappelle que le</w:t>
            </w:r>
            <w:r>
              <w:t xml:space="preserve"> statut de Rome </w:t>
            </w:r>
            <w:r>
              <w:rPr>
                <w:b/>
                <w:i/>
              </w:rPr>
              <w:t>revêt un caractère central pour la CPI et invite l’Union et ses États membres à favoriser</w:t>
            </w:r>
            <w:r>
              <w:t xml:space="preserve"> son </w:t>
            </w:r>
            <w:r>
              <w:rPr>
                <w:b/>
                <w:i/>
              </w:rPr>
              <w:t>universalité ainsi que sa pleine application cohérente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invite la Commission, le Service européen pour l’action extérieure (SEAE) et les États membres à renforcer le dialogue politique et les partenariats avec les pays tiers afin de consolider l’universalité du statut de Rome, d’en promouvoir la ratification et l’application universelles, de soutenir les mécanismes de reddition des comptes au niveau national et de répondre aux préoccupations liées au sentiment que la justice internationale est sélective grâce à un dialogue ouvert à tous fondé sur le partenariat d’égal à égal et le respect du droit international;</w:t>
            </w:r>
          </w:p>
        </w:tc>
      </w:tr>
    </w:tbl>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prie instamment</w:t>
            </w:r>
            <w:r>
              <w:t xml:space="preserve"> le gouvernement hongrois de faire de l’annulation de son retrait du statut de Rome une priorité;</w:t>
            </w:r>
          </w:p>
        </w:tc>
        <w:tc>
          <w:tcPr>
            <w:tcW w:w="4876" w:type="dxa"/>
            <w:tcBorders>
              <w:top w:val="nil"/>
              <w:left w:val="nil"/>
              <w:bottom w:val="nil"/>
              <w:right w:val="nil"/>
            </w:tcBorders>
          </w:tcPr>
          <w:p>
            <w:pPr>
              <w:pStyle w:val="Normal6a"/>
            </w:pPr>
            <w:r>
              <w:t>11.</w:t>
            </w:r>
            <w:r>
              <w:tab/>
            </w:r>
            <w:r>
              <w:rPr>
                <w:b/>
                <w:i/>
              </w:rPr>
              <w:t>déplore tout retrait d’un État membre du statut de Rome et salue la décision prise par</w:t>
            </w:r>
            <w:r>
              <w:t xml:space="preserve"> le gouvernement hongrois de faire de l’annulation de son retrait du statut de Rome une priorité;</w:t>
            </w:r>
          </w:p>
        </w:tc>
      </w:tr>
    </w:tbl>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rappelle que le statut de Rome revêt un caractère central au sein de la CPI; invite le Conseil européen à œuvrer en faveur de son inclusion explicite dans l’acquis de l’Union;</w:t>
            </w:r>
          </w:p>
        </w:tc>
        <w:tc>
          <w:tcPr>
            <w:tcW w:w="4876" w:type="dxa"/>
            <w:tcBorders>
              <w:top w:val="nil"/>
              <w:left w:val="nil"/>
              <w:bottom w:val="nil"/>
              <w:right w:val="nil"/>
            </w:tcBorders>
          </w:tcPr>
          <w:p>
            <w:pPr>
              <w:pStyle w:val="Normal6a"/>
            </w:pPr>
            <w:r>
              <w:rPr>
                <w:b/>
                <w:i/>
              </w:rPr>
              <w:t>supprimé</w:t>
            </w:r>
          </w:p>
        </w:tc>
      </w:tr>
    </w:tbl>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souligne que les mécanismes de justice internationale devraient être renforcés afin de garantir l’accès à la justice à ceux qui, bien souvent, ne disposent d’aucun recours réaliste pour obtenir justice au niveau national et qui sont touchés de manière disproportionnée par les crimes internationaux, tels que les femmes et les filles et les autres victimes de crimes fondés sur le genre;</w:t>
            </w:r>
          </w:p>
        </w:tc>
      </w:tr>
    </w:tbl>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salue</w:t>
            </w:r>
            <w:r>
              <w:t xml:space="preserve"> les </w:t>
            </w:r>
            <w:r>
              <w:rPr>
                <w:b/>
                <w:i/>
              </w:rPr>
              <w:t>pratiques internationales en matière</w:t>
            </w:r>
            <w:r>
              <w:t xml:space="preserve"> de </w:t>
            </w:r>
            <w:r>
              <w:rPr>
                <w:b/>
                <w:i/>
              </w:rPr>
              <w:t>reddition</w:t>
            </w:r>
            <w:r>
              <w:t xml:space="preserve"> de </w:t>
            </w:r>
            <w:r>
              <w:rPr>
                <w:b/>
                <w:i/>
              </w:rPr>
              <w:t>comptes</w:t>
            </w:r>
            <w:r>
              <w:t xml:space="preserve">, </w:t>
            </w:r>
            <w:r>
              <w:rPr>
                <w:b/>
                <w:i/>
              </w:rPr>
              <w:t>telles que</w:t>
            </w:r>
            <w:r>
              <w:t xml:space="preserve"> le </w:t>
            </w:r>
            <w:r>
              <w:rPr>
                <w:b/>
                <w:i/>
              </w:rPr>
              <w:t>système</w:t>
            </w:r>
            <w:r>
              <w:t xml:space="preserve"> des </w:t>
            </w:r>
            <w:r>
              <w:rPr>
                <w:b/>
                <w:i/>
              </w:rPr>
              <w:t>procureurs de liaison d’Eurojust et la CICED;</w:t>
            </w:r>
            <w:r>
              <w:rPr>
                <w:b/>
                <w:i/>
              </w:rPr>
              <w:t xml:space="preserve"> </w:t>
            </w:r>
            <w:r>
              <w:rPr>
                <w:b/>
                <w:i/>
              </w:rPr>
              <w:t>souhaite que ces instruments soient appliqués plus largement dans</w:t>
            </w:r>
            <w:r>
              <w:t xml:space="preserve"> le </w:t>
            </w:r>
            <w:r>
              <w:rPr>
                <w:b/>
                <w:i/>
              </w:rPr>
              <w:t>monde entier</w:t>
            </w:r>
            <w:r>
              <w:t>;</w:t>
            </w:r>
          </w:p>
        </w:tc>
        <w:tc>
          <w:tcPr>
            <w:tcW w:w="4876" w:type="dxa"/>
            <w:tcBorders>
              <w:top w:val="nil"/>
              <w:left w:val="nil"/>
              <w:bottom w:val="nil"/>
              <w:right w:val="nil"/>
            </w:tcBorders>
          </w:tcPr>
          <w:p>
            <w:pPr>
              <w:pStyle w:val="Normal6a"/>
            </w:pPr>
            <w:r>
              <w:t>14.</w:t>
            </w:r>
            <w:r>
              <w:tab/>
            </w:r>
            <w:r>
              <w:rPr>
                <w:b/>
                <w:i/>
              </w:rPr>
              <w:t>invite</w:t>
            </w:r>
            <w:r>
              <w:t xml:space="preserve"> les </w:t>
            </w:r>
            <w:r>
              <w:rPr>
                <w:b/>
                <w:i/>
              </w:rPr>
              <w:t>États membres à s’appuyer pleinement sur les principes</w:t>
            </w:r>
            <w:r>
              <w:t xml:space="preserve"> de </w:t>
            </w:r>
            <w:r>
              <w:rPr>
                <w:b/>
                <w:i/>
              </w:rPr>
              <w:t>compétence universelle et</w:t>
            </w:r>
            <w:r>
              <w:t xml:space="preserve"> de </w:t>
            </w:r>
            <w:r>
              <w:rPr>
                <w:b/>
                <w:i/>
              </w:rPr>
              <w:t>complémentarité pour enquêter sur les crimes internationaux les plus graves et les poursuivre devant les instances judiciaires nationales</w:t>
            </w:r>
            <w:r>
              <w:t xml:space="preserve">, </w:t>
            </w:r>
            <w:r>
              <w:rPr>
                <w:b/>
                <w:i/>
              </w:rPr>
              <w:t>ainsi qu’à renforcer</w:t>
            </w:r>
            <w:r>
              <w:t xml:space="preserve"> le </w:t>
            </w:r>
            <w:r>
              <w:rPr>
                <w:b/>
                <w:i/>
              </w:rPr>
              <w:t>réseau de l’Union chargé</w:t>
            </w:r>
            <w:r>
              <w:t xml:space="preserve"> des </w:t>
            </w:r>
            <w:r>
              <w:rPr>
                <w:b/>
                <w:i/>
              </w:rPr>
              <w:t>enquêtes et des poursuites relatives au génocide, aux crimes contre l’humanité et aux crimes de guerre (</w:t>
            </w:r>
            <w:r>
              <w:t xml:space="preserve">le </w:t>
            </w:r>
            <w:r>
              <w:rPr>
                <w:b/>
                <w:i/>
              </w:rPr>
              <w:t>réseau Génocide) au sein d’Eurojust</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invite la Commission à proposer la mise à jour du mandat d’Europol</w:t>
            </w:r>
            <w:r>
              <w:t xml:space="preserve">, de </w:t>
            </w:r>
            <w:r>
              <w:rPr>
                <w:b/>
                <w:i/>
              </w:rPr>
              <w:t>sorte que les</w:t>
            </w:r>
            <w:r>
              <w:t xml:space="preserve"> mandats d’arrêt de la CPI </w:t>
            </w:r>
            <w:r>
              <w:rPr>
                <w:b/>
                <w:i/>
              </w:rPr>
              <w:t>soient automatiquement transférés à l’État d’exécution et exécutés par celui-ci</w:t>
            </w:r>
            <w:r>
              <w:t>; demande que le système d’immunité d’Europol soit aligné sur l’article 27 du statut de Rome;</w:t>
            </w:r>
          </w:p>
        </w:tc>
        <w:tc>
          <w:tcPr>
            <w:tcW w:w="4876" w:type="dxa"/>
            <w:tcBorders>
              <w:top w:val="nil"/>
              <w:left w:val="nil"/>
              <w:bottom w:val="nil"/>
              <w:right w:val="nil"/>
            </w:tcBorders>
          </w:tcPr>
          <w:p>
            <w:pPr>
              <w:pStyle w:val="Normal6a"/>
            </w:pPr>
            <w:r>
              <w:t>15.</w:t>
            </w:r>
            <w:r>
              <w:tab/>
            </w:r>
            <w:r>
              <w:rPr>
                <w:b/>
                <w:i/>
              </w:rPr>
              <w:t>appelle de ses vœux une coopération renforcée, dans le cadre des mandats existants</w:t>
            </w:r>
            <w:r>
              <w:t xml:space="preserve">, </w:t>
            </w:r>
            <w:r>
              <w:rPr>
                <w:b/>
                <w:i/>
              </w:rPr>
              <w:t>en faveur</w:t>
            </w:r>
            <w:r>
              <w:t xml:space="preserve"> de </w:t>
            </w:r>
            <w:r>
              <w:rPr>
                <w:b/>
                <w:i/>
              </w:rPr>
              <w:t>la transmission et de l’exécution rapides des</w:t>
            </w:r>
            <w:r>
              <w:t xml:space="preserve"> mandats d’arrêt de la CPI </w:t>
            </w:r>
            <w:r>
              <w:rPr>
                <w:b/>
                <w:i/>
              </w:rPr>
              <w:t>par les autorités nationales compétentes, dans le plein respect des procédures judiciaires nationales</w:t>
            </w:r>
            <w:r>
              <w:t>; demande que le système d’immunité d’Europol soit aligné sur l’article 27 du statut de Rome;</w:t>
            </w:r>
          </w:p>
        </w:tc>
      </w:tr>
    </w:tbl>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réaffirme que les Nations unies jouent un rôle essentiel dans la mise en place de l’obligation internationale de reddition de comptes; invite l’Union et ses États membres à renforcer leur soutien aux juridictions pénales internationales et aux mécanismes d’enquête mis en place par les Nations unies;</w:t>
            </w:r>
          </w:p>
        </w:tc>
        <w:tc>
          <w:tcPr>
            <w:tcW w:w="4876" w:type="dxa"/>
            <w:tcBorders>
              <w:top w:val="nil"/>
              <w:left w:val="nil"/>
              <w:bottom w:val="nil"/>
              <w:right w:val="nil"/>
            </w:tcBorders>
          </w:tcPr>
          <w:p>
            <w:pPr>
              <w:pStyle w:val="Normal6a"/>
            </w:pPr>
            <w:r>
              <w:t>16.</w:t>
            </w:r>
            <w:r>
              <w:tab/>
            </w:r>
            <w:r>
              <w:t xml:space="preserve">réaffirme que les Nations unies jouent un rôle essentiel dans la mise en place de l’obligation internationale de reddition de comptes; invite l’Union et ses États membres à renforcer leur soutien aux juridictions pénales internationales et aux mécanismes d’enquête mis en place par les Nations unies </w:t>
            </w:r>
            <w:r>
              <w:rPr>
                <w:b/>
                <w:i/>
              </w:rPr>
              <w:t>ou en collaboration avec le Conseil de l’Europe;</w:t>
            </w:r>
            <w:r>
              <w:rPr>
                <w:b/>
                <w:i/>
              </w:rPr>
              <w:t xml:space="preserve"> </w:t>
            </w:r>
            <w:r>
              <w:rPr>
                <w:b/>
                <w:i/>
              </w:rPr>
              <w:t>se félicite de la contribution d’Eurojust, d’Europol et des autorités judiciaires des États membres aux enquêtes sur les crimes internationaux et demande que leurs ressources soient renforcées</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souligne que les organisations et personnes concernées, certains ayant la citoyenneté de l’Union, doivent être protégées efficacement contre les conséquences extraterritoriales de ces mesures coercitives; invite la Commission à réduire les vulnérabilités structurelles</w:t>
            </w:r>
            <w:r>
              <w:rPr>
                <w:b/>
                <w:i/>
              </w:rPr>
              <w:t>,</w:t>
            </w:r>
            <w:r>
              <w:t xml:space="preserve"> en </w:t>
            </w:r>
            <w:r>
              <w:rPr>
                <w:b/>
                <w:i/>
              </w:rPr>
              <w:t>développant</w:t>
            </w:r>
            <w:r>
              <w:t xml:space="preserve"> des infrastructures financières et numériques européennes </w:t>
            </w:r>
            <w:r>
              <w:rPr>
                <w:b/>
                <w:i/>
              </w:rPr>
              <w:t>indépendantes</w:t>
            </w:r>
            <w:r>
              <w:t xml:space="preserve">, </w:t>
            </w:r>
            <w:r>
              <w:rPr>
                <w:b/>
                <w:i/>
              </w:rPr>
              <w:t>dont un</w:t>
            </w:r>
            <w:r>
              <w:t xml:space="preserve"> système de paiement européen </w:t>
            </w:r>
            <w:r>
              <w:rPr>
                <w:b/>
                <w:i/>
              </w:rPr>
              <w:t>souverain</w:t>
            </w:r>
            <w:r>
              <w:t>;</w:t>
            </w:r>
          </w:p>
        </w:tc>
        <w:tc>
          <w:tcPr>
            <w:tcW w:w="4876" w:type="dxa"/>
            <w:tcBorders>
              <w:top w:val="nil"/>
              <w:left w:val="nil"/>
              <w:bottom w:val="nil"/>
              <w:right w:val="nil"/>
            </w:tcBorders>
          </w:tcPr>
          <w:p>
            <w:pPr>
              <w:pStyle w:val="Normal6a"/>
            </w:pPr>
            <w:r>
              <w:t>19.</w:t>
            </w:r>
            <w:r>
              <w:tab/>
            </w:r>
            <w:r>
              <w:t xml:space="preserve">souligne que les organisations et personnes concernées, certains ayant la citoyenneté de l’Union, doivent être protégées efficacement contre les conséquences extraterritoriales de ces mesures coercitives; invite la Commission à réduire les vulnérabilités structurelles en </w:t>
            </w:r>
            <w:r>
              <w:rPr>
                <w:b/>
                <w:i/>
              </w:rPr>
              <w:t>renforçant la résilience</w:t>
            </w:r>
            <w:r>
              <w:t xml:space="preserve"> des infrastructures financières et numériques européennes</w:t>
            </w:r>
            <w:r>
              <w:rPr>
                <w:b/>
                <w:i/>
              </w:rPr>
              <w:t>, au moyen de solutions financières</w:t>
            </w:r>
            <w:r>
              <w:t xml:space="preserve">, </w:t>
            </w:r>
            <w:r>
              <w:rPr>
                <w:b/>
                <w:i/>
              </w:rPr>
              <w:t>numériques et de paiement européennes compétitives, sûres et axées sur l’innovation qui empêchent la dépendance à l’égard des infrastructures de pays tiers et renforcent la compétitivité de l’Union, notamment par la mise en place d’un</w:t>
            </w:r>
            <w:r>
              <w:t xml:space="preserve"> système de paiement européen </w:t>
            </w:r>
            <w:r>
              <w:rPr>
                <w:b/>
                <w:i/>
              </w:rPr>
              <w:t>autonome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demande que la réduction des dépendances structurelles soit considérée comme une priorité stratégique dans le programme actuel de l’Union en matière de sécurité économique et de compétitivité, sans créer de nouveaux organismes ni d’instruments budgétaires, tout en favorisant l’innovation ainsi que l’expansion des prestataires européens; souligne que ces mesures protègent non seulement les acteurs de la justice internationale, mais renforcent également l’autonomie et la compétitivité de l’ensemble du secteur financier et technologique de l’Union;</w:t>
            </w:r>
          </w:p>
        </w:tc>
      </w:tr>
    </w:tbl>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condamne toute mesure de sanction unilatérale, de gel d’avoirs, d’interdiction de visa ou de restriction financière visant des juges internationaux pour des actes accomplis dans l’exercice légal de leurs fonctions juridictionnelles; condamne les mesures de représailles économiques, administratives ou judiciaires prises contre les organisations de la société civile qui documentent les violations des droits de l’homme ou coopèrent avec les mécanismes internationaux de justice;</w:t>
            </w:r>
          </w:p>
        </w:tc>
      </w:tr>
    </w:tbl>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invite la Commission à atténuer l’insécurité juridique à laquelle sont confrontés les acteurs privés en raison des mesures coercitives étrangères, en adoptant des </w:t>
            </w:r>
            <w:r>
              <w:rPr>
                <w:b/>
                <w:i/>
              </w:rPr>
              <w:t>lignes directrices</w:t>
            </w:r>
            <w:r>
              <w:t xml:space="preserve"> de l’Union pour remédier à l’application excessive </w:t>
            </w:r>
            <w:r>
              <w:rPr>
                <w:b/>
                <w:i/>
              </w:rPr>
              <w:t>et en mettant en place des mécanismes</w:t>
            </w:r>
            <w:r>
              <w:t xml:space="preserve"> de </w:t>
            </w:r>
            <w:r>
              <w:rPr>
                <w:b/>
                <w:i/>
              </w:rPr>
              <w:t>protection</w:t>
            </w:r>
            <w:r>
              <w:t>;</w:t>
            </w:r>
          </w:p>
        </w:tc>
        <w:tc>
          <w:tcPr>
            <w:tcW w:w="4876" w:type="dxa"/>
            <w:tcBorders>
              <w:top w:val="nil"/>
              <w:left w:val="nil"/>
              <w:bottom w:val="nil"/>
              <w:right w:val="nil"/>
            </w:tcBorders>
          </w:tcPr>
          <w:p>
            <w:pPr>
              <w:pStyle w:val="Normal6a"/>
            </w:pPr>
            <w:r>
              <w:t>22.</w:t>
            </w:r>
            <w:r>
              <w:tab/>
            </w:r>
            <w:r>
              <w:t xml:space="preserve">invite la Commission à atténuer l’insécurité juridique à laquelle sont confrontés les acteurs privés en raison des mesures coercitives étrangères, en adoptant des </w:t>
            </w:r>
            <w:r>
              <w:rPr>
                <w:b/>
                <w:i/>
              </w:rPr>
              <w:t>orientations pratiques</w:t>
            </w:r>
            <w:r>
              <w:t xml:space="preserve"> de l’Union pour remédier à l’application excessive</w:t>
            </w:r>
            <w:r>
              <w:rPr>
                <w:b/>
                <w:i/>
              </w:rPr>
              <w:t>, en s’appuyant sur les instruments existants et la jurisprudence</w:t>
            </w:r>
            <w:r>
              <w:t xml:space="preserve"> de </w:t>
            </w:r>
            <w:r>
              <w:rPr>
                <w:b/>
                <w:i/>
              </w:rPr>
              <w:t>l’Union</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invite la Commission et le Conseil à mettre en place un système de suivi et d’établissement de rapports afin de suivre de près la mise en œuvre de l’accord de coopération et d’assistance entre la CPI et l’Union européenne; rappelle les obligations du statut de Rome en matière de coopération et d’assistance et note que la décision 2011/168/PESC du Conseil dispose que «[l]’Union et ses États membres envisagent, le cas échéant, la conclusion d’arrangements ou d’accords spécifiques afin de permettre le fonctionnement efficace de la CPI et encouragent les tiers à faire de même»; demande au SEAE de mettre en place un système de suivi et d’établissement de rapports permettant au Conseil et au Parlement d’être régulièrement informés des évolutions concernant le statut de Rome;</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ANNEXE: DÉCLARATION DES CONTRIBUTIONS</w:t>
      </w:r>
    </w:p>
    <w:p>
      <w:pPr>
        <w:pStyle w:val="Normal12a"/>
      </w:pPr>
      <w:r>
        <w:rPr>
          <w:rStyle w:val="HideTWBExt"/>
        </w:rPr>
        <w:t>&lt;FootprintIntro&gt;</w:t>
      </w:r>
      <w:r>
        <w:rPr>
          <w:rStyle w:val="HideTWBExt"/>
        </w:rPr>
        <w:t>&lt;/FootprintIntro&gt;</w:t>
      </w:r>
    </w:p>
    <w:p>
      <w:pPr>
        <w:pStyle w:val="Normal12a"/>
      </w:pPr>
      <w:r>
        <w:t>La rapporteure déclare, sous sa responsabilité exclusive, n’avoir inclus dans son rapport aucune contribution de représentants d’intérêts relevant du champ d’application de l’accord interinstitutionnel sur un registre de transparence obligatoire</w:t>
      </w:r>
      <w:r>
        <w:rPr>
          <w:rStyle w:val="FootnoteReference"/>
        </w:rPr>
        <w:footnoteReference w:customMarkFollows="1" w:id="2"/>
        <w:t xml:space="preserve">1</w:t>
      </w:r>
      <w:r>
        <w:t>, ou de représentants des autorités publiques de pays tiers, y compris leurs missions diplomatiques et ambassades, devant être énumérés dans la présente annexe en vertu de l’article 8 de l’annexe I du règlement intérieur.</w:t>
      </w:r>
    </w:p>
    <w:p>
      <w:pPr>
        <w:sectPr>
          <w:footnotePr>
            <w:numRestart w:val="eachSect"/>
          </w:footnotePr>
          <w:type w:val="nextPage"/>
          <w:pgSz w:w="11909" w:h="16834"/>
          <w:pgMar w:top="1134" w:right="1417" w:bottom="1417" w:left="1417" w:header="1134" w:footer="567"/>
          <w:cols w:space="720"/>
        </w:sectPr>
      </w:pPr>
    </w:p>
    <w:p>
      <w:pPr>
        <w:pStyle w:val="PageHeadingNotTOC"/>
      </w:pPr>
      <w:r>
        <w:t>INFORMATIONS SUR L’ADOPTION EN COMMISSION SAISIE POUR AVIS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Date de l’adoption</w:t>
            </w:r>
          </w:p>
        </w:tc>
        <w:tc>
          <w:tcPr>
            <w:tcW w:w="6400" w:type="dxa"/>
            <w:tcBorders>
              <w:left w:val="dotted" w:sz="4" w:space="0" w:color="auto"/>
            </w:tcBorders>
          </w:tcPr>
          <w:p>
            <w:pPr>
              <w:pStyle w:val="ProcedureTable"/>
            </w:pPr>
            <w:r>
              <w:t>7.9.2026</w:t>
            </w:r>
          </w:p>
        </w:tc>
      </w:tr>
      <w:tr>
        <w:tblPrEx>
          <w:tblW w:w="0" w:type="auto"/>
          <w:tblLayout w:type="fixed"/>
          <w:tblCellMar>
            <w:left w:w="140" w:type="dxa"/>
            <w:right w:w="140" w:type="dxa"/>
          </w:tblCellMar>
        </w:tblPrEx>
        <w:tc>
          <w:tcPr>
            <w:tcW w:w="3600" w:type="dxa"/>
          </w:tcPr>
          <w:p>
            <w:pPr>
              <w:pStyle w:val="ProcedureTableBold"/>
            </w:pPr>
            <w:r>
              <w:t>Résultat du vote final</w:t>
            </w:r>
          </w:p>
        </w:tc>
        <w:tc>
          <w:tcPr>
            <w:tcW w:w="6400" w:type="dxa"/>
            <w:tcBorders>
              <w:left w:val="dotted" w:sz="4" w:space="0" w:color="auto"/>
            </w:tcBorders>
          </w:tcPr>
          <w:p>
            <w:r>
              <w:t>+</w:t>
            </w:r>
            <w:r>
              <w:tab/>
            </w:r>
            <w:r>
              <w:t>:</w:t>
            </w:r>
            <w:r>
              <w:tab/>
            </w:r>
            <w:r>
              <w:t>18</w:t>
            </w:r>
          </w:p>
          <w:p>
            <w:r>
              <w:t>-</w:t>
            </w:r>
            <w:r>
              <w:tab/>
            </w:r>
            <w:r>
              <w:t>:</w:t>
            </w:r>
            <w:r>
              <w:tab/>
            </w:r>
            <w:r>
              <w:t>0</w:t>
            </w:r>
          </w:p>
          <w:p>
            <w:r>
              <w:t>0</w:t>
            </w:r>
            <w:r>
              <w:tab/>
            </w:r>
            <w:r>
              <w:t>:</w:t>
            </w:r>
            <w:r>
              <w:tab/>
            </w:r>
            <w:r>
              <w:t>7</w:t>
            </w:r>
          </w:p>
        </w:tc>
      </w:tr>
    </w:tbl>
    <w:p>
      <w:pPr>
        <w:sectPr>
          <w:type w:val="nextPage"/>
          <w:pgSz w:w="11909" w:h="16834"/>
          <w:pgMar w:top="1134" w:right="1417" w:bottom="1417" w:left="1417" w:header="1134" w:footer="567"/>
          <w:cols w:space="720"/>
        </w:sectPr>
      </w:pPr>
    </w:p>
    <w:p>
      <w:pPr>
        <w:pStyle w:val="PageHeadingNotTOC"/>
      </w:pPr>
      <w:r>
        <w:t>VOTE FINAL PAR APPEL NOMINAL</w:t>
        <w:br/>
        <w:t>PAR LA COMMISSION SAISIE POUR AVIS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Abadía Jover Maravillas, Dahl Henrik, Niebler Angelika, Saudargas Paulius, Voss Axel, Vázquez Lázara Adrián, Wawrykiewicz Michał</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Kyuchyuk Ilhan, Sieper Lukas, Žalimas Dainius</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Repasi René, Sippel Birgit, Śmiszek Krzysztof, Wölken Tiemo, Wolters Lara</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Saeidi Arash</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Lagodinsky Sergey,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7</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Fragkos Emmanouil, Mantovani Mario, Yoncheva Elena</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Khan Mary</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Diepeveen Ton, Girauta Vidal Juan Carlos, Piera Pascale</w:t>
            </w:r>
          </w:p>
        </w:tc>
      </w:tr>
    </w:tbl>
    <w:p/>
    <w:p>
      <w:r>
        <w:t>Légende des signes utilisés:</w:t>
      </w:r>
    </w:p>
    <w:p>
      <w:pPr>
        <w:pStyle w:val="NormalTab"/>
      </w:pPr>
      <w:r>
        <w:t>+</w:t>
      </w:r>
      <w:r>
        <w:t xml:space="preserve">  :  </w:t>
      </w:r>
      <w:r>
        <w:t>pour</w:t>
      </w:r>
    </w:p>
    <w:p>
      <w:pPr>
        <w:pStyle w:val="NormalTab"/>
      </w:pPr>
      <w:r>
        <w:t>-</w:t>
      </w:r>
      <w:r>
        <w:t xml:space="preserve">  :  </w:t>
      </w:r>
      <w:r>
        <w:t>contre</w:t>
      </w:r>
    </w:p>
    <w:p>
      <w:pPr>
        <w:pStyle w:val="NormalTab"/>
      </w:pPr>
      <w:r>
        <w:t>0</w:t>
      </w:r>
      <w:r>
        <w:t xml:space="preserve">  :  </w:t>
      </w:r>
      <w:r>
        <w:t>abstentions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789.891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26</w:t>
    </w:r>
    <w:r>
      <w:fldChar w:fldCharType="end"/>
    </w:r>
    <w:r>
      <w:t>/</w:t>
    </w:r>
    <w:r>
      <w:fldChar w:fldCharType="begin"/>
    </w:r>
    <w:r>
      <w:instrText xml:space="preserve"> NUMPAGES </w:instrText>
    </w:r>
    <w:r>
      <w:fldChar w:fldCharType="separate"/>
    </w:r>
    <w:r>
      <w:t>26</w:t>
    </w:r>
    <w:r>
      <w:fldChar w:fldCharType="end"/>
    </w:r>
    <w:r>
      <w:tab/>
    </w:r>
    <w:r>
      <w:rPr>
        <w:rStyle w:val="HideTWBExt"/>
      </w:rPr>
      <w:t>&lt;PathFdR&gt;</w:t>
    </w:r>
    <w:r>
      <w:t>AD\1349375FR.docx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AD\1349375FR.docx</w:t>
    </w:r>
    <w:r>
      <w:rPr>
        <w:rStyle w:val="HideTWBExt"/>
      </w:rPr>
      <w:t>&lt;/PathFdR&gt;</w:t>
    </w:r>
    <w:r>
      <w:tab/>
    </w:r>
    <w:r>
      <w:fldChar w:fldCharType="begin"/>
    </w:r>
    <w:r>
      <w:instrText xml:space="preserve"> PAGE </w:instrText>
    </w:r>
    <w:r>
      <w:fldChar w:fldCharType="separate"/>
    </w:r>
    <w:r>
      <w:t>25</w:t>
    </w:r>
    <w:r>
      <w:fldChar w:fldCharType="end"/>
    </w:r>
    <w:r>
      <w:t>/</w:t>
    </w:r>
    <w:r>
      <w:fldChar w:fldCharType="begin"/>
    </w:r>
    <w:r>
      <w:instrText xml:space="preserve"> NUMPAGES </w:instrText>
    </w:r>
    <w:r>
      <w:fldChar w:fldCharType="separate"/>
    </w:r>
    <w:r>
      <w:t>26</w:t>
    </w:r>
    <w:r>
      <w:fldChar w:fldCharType="end"/>
    </w:r>
    <w:r>
      <w:tab/>
    </w:r>
    <w:r>
      <w:t>PE</w:t>
    </w:r>
    <w:r>
      <w:rPr>
        <w:rStyle w:val="HideTWBExt"/>
      </w:rPr>
      <w:t>&lt;NoPE&gt;</w:t>
    </w:r>
    <w:r>
      <w:t>789.891</w:t>
    </w:r>
    <w:r>
      <w:rPr>
        <w:rStyle w:val="HideTWBExt"/>
      </w:rPr>
      <w:t>&lt;/NoPE&gt;</w:t>
    </w:r>
    <w:r>
      <w:rPr>
        <w:rStyle w:val="HideTWBExt"/>
      </w:rPr>
      <w:t>&lt;Version&gt;</w:t>
    </w:r>
    <w:r>
      <w:t>v02-00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AD\1349375FR.docx</w:t>
    </w:r>
    <w:r>
      <w:rPr>
        <w:rStyle w:val="HideTWBExt"/>
      </w:rPr>
      <w:t>&lt;/PathFdR&gt;</w:t>
    </w:r>
    <w:r>
      <w:tab/>
    </w:r>
    <w:r>
      <w:tab/>
    </w:r>
    <w:r>
      <w:t>PE</w:t>
    </w:r>
    <w:r>
      <w:rPr>
        <w:rStyle w:val="HideTWBExt"/>
      </w:rPr>
      <w:t>&lt;NoPE&gt;</w:t>
    </w:r>
    <w:r>
      <w:t>789.891</w:t>
    </w:r>
    <w:r>
      <w:rPr>
        <w:rStyle w:val="HideTWBExt"/>
      </w:rPr>
      <w:t>&lt;/NoPE&gt;</w:t>
    </w:r>
    <w:r>
      <w:rPr>
        <w:rStyle w:val="HideTWBExt"/>
      </w:rPr>
      <w:t>&lt;Version&gt;</w:t>
    </w:r>
    <w:r>
      <w:t>v02-00</w:t>
    </w:r>
    <w:r>
      <w:rPr>
        <w:rStyle w:val="HideTWBExt"/>
      </w:rPr>
      <w:t>&lt;/Version&gt;</w:t>
    </w:r>
  </w:p>
  <w:p>
    <w:pPr>
      <w:pStyle w:val="EPFooter2"/>
    </w:pPr>
    <w:r>
      <w:t>FR</w:t>
    </w:r>
    <w:r>
      <w:tab/>
    </w:r>
    <w:r>
      <w:rPr>
        <w:rStyle w:val="EPFooter2Motto"/>
      </w:rPr>
      <w:t>Unie dans la diversité</w:t>
    </w:r>
    <w:r>
      <w:tab/>
    </w:r>
    <w: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Accord interinstitutionnel du mai 2021 entre le Parlement européen, le Conseil de l’Union européenne et la Commission européenne sur un registre de transparence obligatoire (JO L 207 du 11.6.2021, p.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26</Pages>
  <Words>5286</Words>
  <Characters>31331</Characters>
  <Application>Microsoft Office Word</Application>
  <DocSecurity>0</DocSecurity>
  <Lines>1</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1349375</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631735</vt:lpwstr>
  </property>
  <property fmtid="{D5CDD505-2E9C-101B-9397-08002B2CF9AE}" pid="7" name="dmxml.render.traceId">
    <vt:lpwstr>6aba6ba0149c8ecad80c9484a2a25aca</vt:lpwstr>
  </property>
  <property fmtid="{D5CDD505-2E9C-101B-9397-08002B2CF9AE}" pid="8" name="FooterPath">
    <vt:lpwstr>AD\1349375FR.doc</vt:lpwstr>
  </property>
  <property fmtid="{D5CDD505-2E9C-101B-9397-08002B2CF9AE}" pid="9" name="PE Number">
    <vt:lpwstr>789.891</vt:lpwstr>
  </property>
  <property fmtid="{D5CDD505-2E9C-101B-9397-08002B2CF9AE}" pid="10" name="UID">
    <vt:lpwstr>eu.europa.europarl-DIN1-2026-0000234245_01.30-fr-02.00_text-xml</vt:lpwstr>
  </property>
</Properties>
</file>