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34615" w:rsidTr="00C85D0F">
        <w:trPr>
          <w:trHeight w:hRule="exact" w:val="1418"/>
        </w:trPr>
        <w:tc>
          <w:tcPr>
            <w:tcW w:w="6804" w:type="dxa"/>
            <w:shd w:val="clear" w:color="auto" w:fill="auto"/>
            <w:vAlign w:val="center"/>
          </w:tcPr>
          <w:p w:rsidR="00BA3E40" w:rsidRPr="00EE21F8" w:rsidRDefault="003009C8" w:rsidP="00C85D0F">
            <w:pPr>
              <w:pStyle w:val="EPName"/>
            </w:pPr>
            <w:bookmarkStart w:id="0" w:name="_GoBack"/>
            <w:bookmarkEnd w:id="0"/>
            <w:r>
              <w:t>Európai Parlament</w:t>
            </w:r>
          </w:p>
          <w:p w:rsidR="00BA3E40" w:rsidRPr="00EE21F8" w:rsidRDefault="003009C8" w:rsidP="001E798A">
            <w:pPr>
              <w:pStyle w:val="EPTerm"/>
            </w:pPr>
            <w:r>
              <w:t>2019-2024</w:t>
            </w:r>
          </w:p>
        </w:tc>
        <w:tc>
          <w:tcPr>
            <w:tcW w:w="2268" w:type="dxa"/>
            <w:shd w:val="clear" w:color="auto" w:fill="auto"/>
          </w:tcPr>
          <w:p w:rsidR="00BA3E40" w:rsidRPr="00EE21F8" w:rsidRDefault="003009C8" w:rsidP="00C85D0F">
            <w:pPr>
              <w:pStyle w:val="EPLogo"/>
            </w:pPr>
            <w:r w:rsidRPr="00EE21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5743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EE21F8" w:rsidRDefault="00F24D40" w:rsidP="00F24D40">
      <w:pPr>
        <w:pStyle w:val="LineTop"/>
      </w:pPr>
    </w:p>
    <w:p w:rsidR="00F24D40" w:rsidRPr="00EE21F8" w:rsidRDefault="003009C8" w:rsidP="00F24D40">
      <w:pPr>
        <w:pStyle w:val="EPBody"/>
      </w:pPr>
      <w:r>
        <w:rPr>
          <w:rStyle w:val="HideTWBExt"/>
        </w:rPr>
        <w:t>&lt;</w:t>
      </w:r>
      <w:r>
        <w:rPr>
          <w:rStyle w:val="HideTWBExt"/>
          <w:i w:val="0"/>
        </w:rPr>
        <w:t>Commission</w:t>
      </w:r>
      <w:r>
        <w:rPr>
          <w:rStyle w:val="HideTWBExt"/>
        </w:rPr>
        <w:t>&gt;</w:t>
      </w:r>
      <w:r>
        <w:rPr>
          <w:rStyle w:val="HideTWBInt"/>
          <w:color w:val="auto"/>
        </w:rPr>
        <w:t>{LIBE}</w:t>
      </w:r>
      <w:r>
        <w:t>Állampolgári Jogi, Bel- és Igazságügyi Bizottság</w:t>
      </w:r>
      <w:r>
        <w:rPr>
          <w:rStyle w:val="HideTWBExt"/>
        </w:rPr>
        <w:t>&lt;/</w:t>
      </w:r>
      <w:r>
        <w:rPr>
          <w:rStyle w:val="HideTWBExt"/>
          <w:i w:val="0"/>
        </w:rPr>
        <w:t>Commission</w:t>
      </w:r>
      <w:r>
        <w:rPr>
          <w:rStyle w:val="HideTWBExt"/>
        </w:rPr>
        <w:t>&gt;</w:t>
      </w:r>
    </w:p>
    <w:p w:rsidR="00F24D40" w:rsidRPr="00EE21F8" w:rsidRDefault="00F24D40" w:rsidP="00F24D40">
      <w:pPr>
        <w:pStyle w:val="LineBottom"/>
      </w:pPr>
    </w:p>
    <w:p w:rsidR="00DB56E4" w:rsidRPr="00EE21F8" w:rsidRDefault="003009C8" w:rsidP="00DB56E4">
      <w:pPr>
        <w:pStyle w:val="CoverReference"/>
      </w:pPr>
      <w:r>
        <w:rPr>
          <w:rStyle w:val="HideTWBExt"/>
          <w:b w:val="0"/>
        </w:rPr>
        <w:t>&lt;RefProc&gt;</w:t>
      </w:r>
      <w:r>
        <w:t>2021/0136</w:t>
      </w:r>
      <w:r>
        <w:rPr>
          <w:rStyle w:val="HideTWBExt"/>
          <w:b w:val="0"/>
        </w:rPr>
        <w:t>&lt;/RefProc&gt;&lt;RefTypeProc&gt;</w:t>
      </w:r>
      <w:r>
        <w:t>(COD)</w:t>
      </w:r>
      <w:r>
        <w:rPr>
          <w:rStyle w:val="HideTWBExt"/>
          <w:b w:val="0"/>
        </w:rPr>
        <w:t>&lt;/RefTypeProc&gt;</w:t>
      </w:r>
    </w:p>
    <w:p w:rsidR="00DB56E4" w:rsidRPr="00EE21F8" w:rsidRDefault="003009C8" w:rsidP="00DB56E4">
      <w:pPr>
        <w:pStyle w:val="CoverDate"/>
      </w:pPr>
      <w:r>
        <w:rPr>
          <w:rStyle w:val="HideTWBExt"/>
        </w:rPr>
        <w:t>&lt;Date&gt;</w:t>
      </w:r>
      <w:r>
        <w:rPr>
          <w:rStyle w:val="HideTWBInt"/>
          <w:color w:val="auto"/>
        </w:rPr>
        <w:t>{11/10/2022}</w:t>
      </w:r>
      <w:r>
        <w:t>11.10.2022</w:t>
      </w:r>
      <w:r>
        <w:rPr>
          <w:rStyle w:val="HideTWBExt"/>
        </w:rPr>
        <w:t>&lt;/Date&gt;</w:t>
      </w:r>
    </w:p>
    <w:p w:rsidR="00DB56E4" w:rsidRPr="00EE21F8" w:rsidRDefault="003009C8" w:rsidP="00DB56E4">
      <w:pPr>
        <w:pStyle w:val="CoverDocType24a"/>
      </w:pPr>
      <w:r>
        <w:rPr>
          <w:rStyle w:val="HideTWBExt"/>
          <w:b w:val="0"/>
        </w:rPr>
        <w:t>&lt;TitreType&gt;</w:t>
      </w:r>
      <w:r>
        <w:t>VÉLEMÉNY</w:t>
      </w:r>
      <w:r>
        <w:rPr>
          <w:rStyle w:val="HideTWBExt"/>
          <w:b w:val="0"/>
        </w:rPr>
        <w:t>&lt;/TitreType&gt;</w:t>
      </w:r>
    </w:p>
    <w:p w:rsidR="00DB56E4" w:rsidRPr="00EE21F8" w:rsidRDefault="003009C8" w:rsidP="00DB56E4">
      <w:pPr>
        <w:pStyle w:val="CoverNormal24a"/>
      </w:pPr>
      <w:r>
        <w:rPr>
          <w:rStyle w:val="HideTWBExt"/>
        </w:rPr>
        <w:t>&lt;CommissionResp&gt;</w:t>
      </w:r>
      <w:r>
        <w:t>az Állampolgári Jogi, Bel- és Igazságügyi Bizottság részéről</w:t>
      </w:r>
      <w:r>
        <w:rPr>
          <w:rStyle w:val="HideTWBExt"/>
        </w:rPr>
        <w:t>&lt;/CommissionResp&gt;</w:t>
      </w:r>
    </w:p>
    <w:p w:rsidR="00DB56E4" w:rsidRPr="00EE21F8" w:rsidRDefault="003009C8" w:rsidP="00DB56E4">
      <w:pPr>
        <w:pStyle w:val="CoverNormal24a"/>
      </w:pPr>
      <w:r>
        <w:rPr>
          <w:rStyle w:val="HideTWBExt"/>
        </w:rPr>
        <w:t>&lt;CommissionInt&gt;</w:t>
      </w:r>
      <w:r>
        <w:t>az Ipari, Kutatási és Energiaügyi Bizottság részére</w:t>
      </w:r>
      <w:r>
        <w:rPr>
          <w:rStyle w:val="HideTWBExt"/>
        </w:rPr>
        <w:t>&lt;/CommissionInt&gt;</w:t>
      </w:r>
    </w:p>
    <w:p w:rsidR="00EE21F8" w:rsidRPr="00EE21F8" w:rsidRDefault="003009C8" w:rsidP="00EE21F8">
      <w:pPr>
        <w:pStyle w:val="CoverNormal"/>
      </w:pPr>
      <w:r>
        <w:rPr>
          <w:rStyle w:val="HideTWBExt"/>
        </w:rPr>
        <w:t>&lt;Titre&gt;</w:t>
      </w:r>
      <w:r>
        <w:t>a 910/2014/EU rendeletnek az európai digitális személyazonosság kereténe</w:t>
      </w:r>
      <w:r>
        <w:t>k létrehozása tekintetében történő módosításáról szóló európai parlamenti és tanácsi rendeletre irányuló javaslatról</w:t>
      </w:r>
      <w:r>
        <w:rPr>
          <w:rStyle w:val="HideTWBExt"/>
        </w:rPr>
        <w:t>&lt;/Titre&gt;</w:t>
      </w:r>
    </w:p>
    <w:p w:rsidR="00EE21F8" w:rsidRPr="00EE21F8" w:rsidRDefault="003009C8" w:rsidP="00EE21F8">
      <w:pPr>
        <w:pStyle w:val="CoverNormal24a"/>
      </w:pPr>
      <w:r>
        <w:rPr>
          <w:rStyle w:val="HideTWBExt"/>
        </w:rPr>
        <w:t>&lt;DocRef&gt;</w:t>
      </w:r>
      <w:r>
        <w:t>(COM(2021)0281 – C9</w:t>
      </w:r>
      <w:r>
        <w:noBreakHyphen/>
        <w:t>0200/2021 – 2021/0136(COD))</w:t>
      </w:r>
      <w:r>
        <w:rPr>
          <w:rStyle w:val="HideTWBExt"/>
        </w:rPr>
        <w:t>&lt;/DocRef&gt;</w:t>
      </w:r>
    </w:p>
    <w:p w:rsidR="00DB56E4" w:rsidRPr="00EE21F8" w:rsidRDefault="003009C8" w:rsidP="00DB56E4">
      <w:pPr>
        <w:pStyle w:val="CoverNormal24a"/>
      </w:pPr>
      <w:r>
        <w:t xml:space="preserve">A vélemény előadója: </w:t>
      </w:r>
      <w:r>
        <w:rPr>
          <w:rStyle w:val="HideTWBExt"/>
        </w:rPr>
        <w:t>&lt;Depute&gt;</w:t>
      </w:r>
      <w:r>
        <w:t>Cristian Terheş</w:t>
      </w:r>
      <w:r>
        <w:rPr>
          <w:rStyle w:val="HideTWBExt"/>
        </w:rPr>
        <w:t>&lt;/Depute&gt;</w:t>
      </w:r>
    </w:p>
    <w:p w:rsidR="00487596" w:rsidRPr="00EE21F8" w:rsidRDefault="00487596" w:rsidP="00487596">
      <w:pPr>
        <w:pStyle w:val="CoverNormal"/>
      </w:pPr>
    </w:p>
    <w:p w:rsidR="00DB56E4" w:rsidRPr="00EE21F8" w:rsidRDefault="003009C8" w:rsidP="0004474F">
      <w:pPr>
        <w:tabs>
          <w:tab w:val="center" w:pos="4677"/>
        </w:tabs>
      </w:pPr>
      <w:r>
        <w:br w:type="page"/>
      </w:r>
      <w:r>
        <w:lastRenderedPageBreak/>
        <w:t>PA_Legam</w:t>
      </w:r>
    </w:p>
    <w:p w:rsidR="004167A0" w:rsidRPr="00136C04" w:rsidRDefault="003009C8" w:rsidP="004167A0">
      <w:pPr>
        <w:pStyle w:val="AmHeadingPA"/>
      </w:pPr>
      <w:r>
        <w:br w:type="page"/>
      </w:r>
      <w:bookmarkStart w:id="1" w:name="IntroA"/>
      <w:r>
        <w:lastRenderedPageBreak/>
        <w:t>MÓDOSÍTÁS:</w:t>
      </w:r>
    </w:p>
    <w:p w:rsidR="00EE21F8" w:rsidRPr="00EE21F8" w:rsidRDefault="003009C8" w:rsidP="00EE21F8">
      <w:pPr>
        <w:pStyle w:val="Normal12a"/>
      </w:pPr>
      <w:r>
        <w:t>Az Állampolgári Jogi, Bel- és Igazságügyi Bizottság felkéri az Ipari, Kutatási és Energiaügyi Bizottságot mint illetékes bizottságot, hogy vegye figyelembe az alábbi módosításokat:</w:t>
      </w:r>
    </w:p>
    <w:p w:rsidR="00EE21F8" w:rsidRPr="00EE21F8" w:rsidRDefault="003009C8" w:rsidP="00EE21F8">
      <w:bookmarkStart w:id="2" w:name="PasteOldAMStart"/>
      <w:bookmarkStart w:id="3" w:name="PasteOldAMEnd"/>
      <w:bookmarkEnd w:id="1"/>
      <w:bookmarkEnd w:id="2"/>
      <w:bookmarkEnd w:id="3"/>
      <w:r>
        <w:rPr>
          <w:rStyle w:val="HideTWBExt"/>
        </w:rPr>
        <w:t>&lt;RepeatBlock-Amend&gt;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6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(6)</w:t>
            </w:r>
            <w:r>
              <w:tab/>
            </w:r>
            <w:r>
              <w:rPr>
                <w:b/>
                <w:i/>
              </w:rPr>
              <w:t>E</w:t>
            </w:r>
            <w:r>
              <w:t xml:space="preserve"> rendelet végrehajtása során a személyes adatok kezelésére az (EU) 2016/679 rendelet</w:t>
            </w:r>
            <w:r>
              <w:rPr>
                <w:vertAlign w:val="superscript"/>
              </w:rPr>
              <w:t>19</w:t>
            </w:r>
            <w:r>
              <w:t xml:space="preserve"> alkalmazandó. Ezért e </w:t>
            </w:r>
            <w:r>
              <w:t>rendeletnek konkrét garanciákat kell megállapítania annak megakadályozására, hogy az elektronikus azonosító eszközöket és az elektronikus attribútumtanúsítványokról gondoskodó szolgáltatók a más szolgáltatásokból származó személyes adatokat az e rendelet h</w:t>
            </w:r>
            <w:r>
              <w:t>atálya alá tartozó szolgáltatásokhoz kapcsolódó személyes adatokkal kombinálják.</w:t>
            </w:r>
          </w:p>
        </w:tc>
        <w:tc>
          <w:tcPr>
            <w:tcW w:w="4876" w:type="dxa"/>
            <w:hideMark/>
          </w:tcPr>
          <w:p w:rsidR="00EE21F8" w:rsidRPr="00EE21F8" w:rsidRDefault="003009C8" w:rsidP="00012261">
            <w:pPr>
              <w:pStyle w:val="Normal6"/>
              <w:rPr>
                <w:szCs w:val="24"/>
              </w:rPr>
            </w:pPr>
            <w:r>
              <w:t>(6)</w:t>
            </w:r>
            <w:r>
              <w:tab/>
            </w:r>
            <w:r>
              <w:rPr>
                <w:b/>
                <w:i/>
              </w:rPr>
              <w:t>A személyazonosító adatokkal rendelkező természetes vagy jogi személyeket digitális személyazonosság alanyainak kell tekinteni. E</w:t>
            </w:r>
            <w:r>
              <w:t xml:space="preserve"> rendelet végrehajtása során a személyes a</w:t>
            </w:r>
            <w:r>
              <w:t>datok kezelésére az (EU) 2016/679 rendelet</w:t>
            </w:r>
            <w:r>
              <w:rPr>
                <w:vertAlign w:val="superscript"/>
              </w:rPr>
              <w:t>19</w:t>
            </w:r>
            <w:r>
              <w:t xml:space="preserve"> </w:t>
            </w:r>
            <w:r>
              <w:rPr>
                <w:b/>
                <w:i/>
              </w:rPr>
              <w:t>és az (EU) 2018/1725 rendelet</w:t>
            </w:r>
            <w:r>
              <w:rPr>
                <w:b/>
                <w:i/>
                <w:vertAlign w:val="superscript"/>
              </w:rPr>
              <w:t>19a</w:t>
            </w:r>
            <w:r>
              <w:rPr>
                <w:b/>
                <w:i/>
              </w:rPr>
              <w:t>, valamint a 2002/58/EK</w:t>
            </w:r>
            <w:r>
              <w:rPr>
                <w:b/>
                <w:i/>
                <w:vertAlign w:val="superscript"/>
              </w:rPr>
              <w:t>19b</w:t>
            </w:r>
            <w:r>
              <w:rPr>
                <w:b/>
                <w:i/>
              </w:rPr>
              <w:t xml:space="preserve"> irányelv </w:t>
            </w:r>
            <w:r>
              <w:t>alkalmazandó. Ezért e rendeletnek konkrét garanciákat kell megállapítania annak megakadályozására, hogy az elektronikus azonosító eszközöket és</w:t>
            </w:r>
            <w:r>
              <w:t xml:space="preserve"> az elektronikus attribútumtanúsítványokról gondoskodó szolgáltatók a más szolgáltatásokból származó személyes adatokat az e rendelet hatálya alá tartozó szolgáltatásokhoz kapcsolódó személyes adatokkal kombinálják. </w:t>
            </w:r>
            <w:r>
              <w:rPr>
                <w:b/>
                <w:i/>
              </w:rPr>
              <w:t>Ez a rendelet tovább pontosítja a célhoz</w:t>
            </w:r>
            <w:r>
              <w:rPr>
                <w:b/>
                <w:i/>
              </w:rPr>
              <w:t xml:space="preserve"> kötöttség, az adattakarékosság és a beépített és alapértelmezett adatvédelem elveinek konkrét felhasználási esetekre történő alkalmazását, az (EU) 2016/679 rendelet sérelme nélkül.</w:t>
            </w:r>
          </w:p>
        </w:tc>
      </w:tr>
      <w:tr w:rsidR="00C34615" w:rsidTr="00012261">
        <w:trPr>
          <w:jc w:val="center"/>
        </w:trPr>
        <w:tc>
          <w:tcPr>
            <w:tcW w:w="4876" w:type="dxa"/>
            <w:hideMark/>
          </w:tcPr>
          <w:p w:rsidR="00EE21F8" w:rsidRPr="00EE21F8" w:rsidRDefault="003009C8" w:rsidP="00012261">
            <w:pPr>
              <w:pStyle w:val="Normal6"/>
            </w:pPr>
            <w:r>
              <w:t>__________________</w:t>
            </w:r>
          </w:p>
        </w:tc>
        <w:tc>
          <w:tcPr>
            <w:tcW w:w="4876" w:type="dxa"/>
            <w:hideMark/>
          </w:tcPr>
          <w:p w:rsidR="00EE21F8" w:rsidRPr="00EE21F8" w:rsidRDefault="003009C8" w:rsidP="00012261">
            <w:pPr>
              <w:pStyle w:val="Normal6"/>
              <w:rPr>
                <w:szCs w:val="24"/>
              </w:rPr>
            </w:pPr>
            <w:r>
              <w:t>__________________</w:t>
            </w:r>
          </w:p>
        </w:tc>
      </w:tr>
      <w:tr w:rsidR="00C34615" w:rsidTr="00012261">
        <w:trPr>
          <w:jc w:val="center"/>
        </w:trPr>
        <w:tc>
          <w:tcPr>
            <w:tcW w:w="4876" w:type="dxa"/>
            <w:hideMark/>
          </w:tcPr>
          <w:p w:rsidR="00EE21F8" w:rsidRPr="00EE21F8" w:rsidRDefault="003009C8" w:rsidP="00012261">
            <w:pPr>
              <w:pStyle w:val="Normal6"/>
            </w:pPr>
            <w:r>
              <w:rPr>
                <w:vertAlign w:val="superscript"/>
              </w:rPr>
              <w:t xml:space="preserve">19 </w:t>
            </w:r>
            <w:r>
              <w:t>Az Európai Parlament és a Tanác</w:t>
            </w:r>
            <w:r>
              <w:t>s (EU) 2016/679 rendelete (2016. április 27.) a természetes személyeknek a személyes adatok kezelése tekintetében történő védelméről és az ilyen adatok szabad áramlásáról, valamint a 95/46/EK irányelv hatályon kívül helyezéséről (általános adatvédelmi rend</w:t>
            </w:r>
            <w:r>
              <w:t xml:space="preserve">elet) (HL L 119., </w:t>
            </w:r>
            <w:r>
              <w:lastRenderedPageBreak/>
              <w:t>2016.5.4., 1. o.).</w:t>
            </w:r>
          </w:p>
        </w:tc>
        <w:tc>
          <w:tcPr>
            <w:tcW w:w="4876" w:type="dxa"/>
            <w:hideMark/>
          </w:tcPr>
          <w:p w:rsidR="00EE21F8" w:rsidRPr="00EE21F8" w:rsidRDefault="003009C8" w:rsidP="00012261">
            <w:pPr>
              <w:pStyle w:val="Normal6"/>
              <w:rPr>
                <w:szCs w:val="24"/>
              </w:rPr>
            </w:pPr>
            <w:r>
              <w:rPr>
                <w:vertAlign w:val="superscript"/>
              </w:rPr>
              <w:lastRenderedPageBreak/>
              <w:t xml:space="preserve">19 </w:t>
            </w:r>
            <w:r>
              <w:t>Az Európai Parlament és a Tanács (EU) 2016/679 rendelete (2016. április 27.) a természetes személyeknek a személyes adatok kezelése tekintetében történő védelméről és az ilyen adatok szabad áramlásáról, valamint a 95</w:t>
            </w:r>
            <w:r>
              <w:t xml:space="preserve">/46/EK irányelv hatályon kívül helyezéséről (általános adatvédelmi rendelet) (HL L 119., </w:t>
            </w:r>
            <w:r>
              <w:lastRenderedPageBreak/>
              <w:t>2016.5.4., 1. o.).</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vertAlign w:val="superscript"/>
              </w:rPr>
              <w:t>19a</w:t>
            </w:r>
            <w:r>
              <w:rPr>
                <w:b/>
                <w:i/>
              </w:rPr>
              <w:t xml:space="preserve"> Az Európai Parlament és a Tanács (EU) 2018/1725 rendelete (2018. október 23.) a természetes személyeknek a személyes adatok uniós intézmények,</w:t>
            </w:r>
            <w:r>
              <w:rPr>
                <w:b/>
                <w:i/>
              </w:rPr>
              <w:t xml:space="preserve"> szervek, hivatalok és ügynökségek általi kezelése tekintetében való védelméről és az ilyen adatok szabad áramlásáról, valamint a 45/2001/EK rendelet és az 1247/2002/EK határozat hatályon kívül helyezéséről (HL L 295., 2018.11.21., 39. o.).</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vertAlign w:val="superscript"/>
              </w:rPr>
              <w:t>19B</w:t>
            </w:r>
            <w:r>
              <w:rPr>
                <w:b/>
                <w:i/>
              </w:rPr>
              <w:t xml:space="preserve"> Az Európa</w:t>
            </w:r>
            <w:r>
              <w:rPr>
                <w:b/>
                <w:i/>
              </w:rPr>
              <w:t xml:space="preserve">i Parlament és a Tanács 2002/58/EK irányelve (2002. július 12.) az elektronikus hírközlési ágazatban a személyes adatok kezeléséről, feldolgozásáról és a magánélet védelméről (HL L 201., 2002.7.31., 37. o.) </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8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(8)</w:t>
            </w:r>
            <w:r>
              <w:tab/>
              <w:t xml:space="preserve">Az uniós jognak vagy </w:t>
            </w:r>
            <w:r>
              <w:rPr>
                <w:b/>
                <w:i/>
              </w:rPr>
              <w:t>az uniós jognak megfelelő</w:t>
            </w:r>
            <w:r>
              <w:t xml:space="preserve"> nemzeti jognak való megfelelés biztosítása érdekében a szolgáltatóknak </w:t>
            </w:r>
            <w:r>
              <w:rPr>
                <w:b/>
                <w:i/>
              </w:rPr>
              <w:t>tájékoztatniuk</w:t>
            </w:r>
            <w:r>
              <w:t xml:space="preserve"> kell a </w:t>
            </w:r>
            <w:r>
              <w:rPr>
                <w:b/>
                <w:i/>
              </w:rPr>
              <w:t>tagállamokat</w:t>
            </w:r>
            <w:r>
              <w:t xml:space="preserve"> az európai digitális személyiadat-tárcák </w:t>
            </w:r>
            <w:r>
              <w:rPr>
                <w:b/>
                <w:i/>
              </w:rPr>
              <w:t>használatára irányuló szándékukról</w:t>
            </w:r>
            <w:r>
              <w:t xml:space="preserve">. Ez lehetővé teszi a tagállamok számára, hogy megvédjék a felhasználókat </w:t>
            </w:r>
            <w:r>
              <w:t xml:space="preserve">a csalástól, és megakadályozzák a személyazonosító adatok és az </w:t>
            </w:r>
            <w:r>
              <w:rPr>
                <w:b/>
                <w:i/>
              </w:rPr>
              <w:t>aelektronikus</w:t>
            </w:r>
            <w:r>
              <w:t xml:space="preserve"> attribútumtanúsítványok jogszerűtlen felhasználását, valamint hogy az érzékeny adatok, például az egészségügyi adatok kezelését az igénybe vevő felek az uniós joggal vagy a nemze</w:t>
            </w:r>
            <w:r>
              <w:t>ti joggal összhangban ellenőrizhessék.</w:t>
            </w:r>
          </w:p>
        </w:tc>
        <w:tc>
          <w:tcPr>
            <w:tcW w:w="4876" w:type="dxa"/>
            <w:hideMark/>
          </w:tcPr>
          <w:p w:rsidR="00EE21F8" w:rsidRPr="00EE21F8" w:rsidRDefault="003009C8" w:rsidP="00012261">
            <w:pPr>
              <w:pStyle w:val="Normal6"/>
              <w:rPr>
                <w:szCs w:val="24"/>
              </w:rPr>
            </w:pPr>
            <w:r>
              <w:t>(8)</w:t>
            </w:r>
            <w:r>
              <w:tab/>
              <w:t xml:space="preserve">Az uniós jognak vagy </w:t>
            </w:r>
            <w:r>
              <w:rPr>
                <w:b/>
                <w:i/>
              </w:rPr>
              <w:t>a</w:t>
            </w:r>
            <w:r>
              <w:t xml:space="preserve"> nemzeti jognak való megfelelés biztosítása érdekében a szolgáltatóknak </w:t>
            </w:r>
            <w:r>
              <w:rPr>
                <w:b/>
                <w:i/>
              </w:rPr>
              <w:t>regisztrálniuk</w:t>
            </w:r>
            <w:r>
              <w:t xml:space="preserve"> kell</w:t>
            </w:r>
            <w:r>
              <w:rPr>
                <w:b/>
                <w:i/>
              </w:rPr>
              <w:t xml:space="preserve"> magukat</w:t>
            </w:r>
            <w:r>
              <w:t xml:space="preserve"> a </w:t>
            </w:r>
            <w:r>
              <w:rPr>
                <w:b/>
                <w:i/>
              </w:rPr>
              <w:t>tagállamokban, mielőtt igénybe tudnák venni az európai digitális személyiadat-tárcákat. A</w:t>
            </w:r>
            <w:r>
              <w:rPr>
                <w:b/>
                <w:i/>
              </w:rPr>
              <w:t xml:space="preserve"> természetes vagy jogi személyek számára lehetővé kell tenni, hogy panaszt nyújtsanak be</w:t>
            </w:r>
            <w:r>
              <w:t xml:space="preserve"> az európai digitális személyiadat-tárcák </w:t>
            </w:r>
            <w:r>
              <w:rPr>
                <w:b/>
                <w:i/>
              </w:rPr>
              <w:t>igénybe vevő fél általi használatával kapcsolatban</w:t>
            </w:r>
            <w:r>
              <w:t xml:space="preserve">. Ez lehetővé teszi a tagállamok számára, hogy megvédjék a felhasználókat a </w:t>
            </w:r>
            <w:r>
              <w:t xml:space="preserve">csalástól, és megakadályozzák a személyazonosító adatok és az </w:t>
            </w:r>
            <w:r>
              <w:rPr>
                <w:b/>
                <w:i/>
              </w:rPr>
              <w:t>elektronikus</w:t>
            </w:r>
            <w:r>
              <w:t xml:space="preserve"> attribútumtanúsítványok jogszerűtlen felhasználását, valamint hogy az érzékeny adatok, például az egészségügyi adatok kezelését az igénybe vevő felek az uniós joggal vagy a nemzeti </w:t>
            </w:r>
            <w:r>
              <w:t xml:space="preserve">joggal összhangban </w:t>
            </w:r>
            <w:r>
              <w:lastRenderedPageBreak/>
              <w:t xml:space="preserve">ellenőrizhessék. </w:t>
            </w:r>
            <w:r>
              <w:rPr>
                <w:b/>
                <w:i/>
              </w:rPr>
              <w:t>A tagállamoknak meg kell akadályozniuk a személyazonosító adatok jogosulatlan használatát, és biztosítaniuk kell, hogy az igénybe vevő felek csak a szolgáltatás nyújtásához feltétlenül szükséges adatokat kérjenek.</w:t>
            </w:r>
          </w:p>
        </w:tc>
      </w:tr>
    </w:tbl>
    <w:p w:rsidR="00EE21F8" w:rsidRPr="00EE21F8" w:rsidRDefault="003009C8" w:rsidP="00EE21F8">
      <w:r>
        <w:rPr>
          <w:rStyle w:val="HideTWBExt"/>
        </w:rPr>
        <w:lastRenderedPageBreak/>
        <w:t>&lt;/Ame</w:t>
      </w:r>
      <w:r>
        <w:rPr>
          <w:rStyle w:val="HideTWBExt"/>
        </w:rPr>
        <w:t>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9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(9)</w:t>
            </w:r>
            <w:r>
              <w:tab/>
              <w:t xml:space="preserve">Valamennyi európai digitális személyiadat-tárcának lehetővé kell tennie a </w:t>
            </w:r>
            <w:r>
              <w:t>felhasználók számára, hogy a köz- és magánszolgáltatások széles köréhez való hozzáférés érdekében elektronikusan azonosítsák és hitelesítsék magukat online és offline, határokon átnyúlóan. A tagállamok állampolgáraik és lakosaik azonosítására vonatkozó elő</w:t>
            </w:r>
            <w:r>
              <w:t>jogainak sérelme nélkül a tárcák a közigazgatási szervek, a nemzetközi szervezetek, valamint az uniós intézmények, szervek, hivatalok és ügynökségek intézményi szükségleteit is kielégíthetik. Az offline felhasználás számos ágazatban fontos lenne, többek kö</w:t>
            </w:r>
            <w:r>
              <w:t>zött az egészségügyi ágazatban is, ahol a szolgáltatásokat gyakran személyes interakción keresztül nyújtják, az elektronikus vények esetében pedig szükség van arra, hogy a hitelesség ellenőrzése során QR-kódokra vagy hasonló technológiákra lehessen támaszk</w:t>
            </w:r>
            <w:r>
              <w:t xml:space="preserve">odni. Az e rendelet szerinti biztonsági követelményeknek való megfelelés érdekében a „magas” biztonsági szintre támaszkodva az európai digitális személyiadat-tárcáknak élniük kell az SE-hez (secure element, biztonságos elem) hasonló, nem hamisítható </w:t>
            </w:r>
            <w:r>
              <w:rPr>
                <w:b/>
                <w:i/>
              </w:rPr>
              <w:t>megold</w:t>
            </w:r>
            <w:r>
              <w:rPr>
                <w:b/>
                <w:i/>
              </w:rPr>
              <w:t>ásokban</w:t>
            </w:r>
            <w:r>
              <w:t xml:space="preserve"> rejlő lehetőségek előnyeivel. Az európai digitális személyiadat-tárcáknak emellett lehetővé kell tenniük a felhasználók számára az egész </w:t>
            </w:r>
            <w:r>
              <w:rPr>
                <w:b/>
                <w:i/>
              </w:rPr>
              <w:t>EU-ban</w:t>
            </w:r>
            <w:r>
              <w:t xml:space="preserve"> elfogadott </w:t>
            </w:r>
            <w:r>
              <w:lastRenderedPageBreak/>
              <w:t xml:space="preserve">minősített elektronikus aláírások és bélyegzők létrehozását és használatát. Annak érdekében, </w:t>
            </w:r>
            <w:r>
              <w:t>hogy a személyek és a vállalkozások Unió-szerte élvezhessék az egyszerűség és a költségcsökkenés előnyeit, többek között képviseleti jogkörök és elektronikus felhatalmazások lehetővé tétele révén, a tagállamoknak a zökkenőmentes interoperabilitás és a maga</w:t>
            </w:r>
            <w:r>
              <w:t>s szintű biztonság biztosítása érdekében közös szabványokra támaszkodva kell kibocsátaniuk az európai digitális személyiadat-tárcákat. Csak a tagállamok illetékes hatóságai teremthetnek nagyfokú bizalmat valamely személy személyazonosságának megállapítását</w:t>
            </w:r>
            <w:r>
              <w:t xml:space="preserve"> illetően, ezáltal csak ők nyújthatnak bizonyosságot arra vonatkozóan, hogy az adott személy valóban az a személy, akinek vallja magát. Ezért az európai digitális személyiadat-tárcáknak a polgárok, más lakosok vagy jogi személyek jogi személyazonosságán ke</w:t>
            </w:r>
            <w:r>
              <w:t>ll alapulniuk. Az európai digitális személyiadat-tárcákba vetett bizalmat erősítené az a tény, hogy a kibocsátó feleknek megfelelő technikai és szervezési intézkedéseket kell végrehajtaniuk a természetes személyek jogaira és szabadságaira nézve felmerülő k</w:t>
            </w:r>
            <w:r>
              <w:t>ockázatokkal arányos biztonsági szint biztosítása érdekében, az (EU) 2016/679 rendelettel összhangban.</w:t>
            </w:r>
          </w:p>
        </w:tc>
        <w:tc>
          <w:tcPr>
            <w:tcW w:w="4876" w:type="dxa"/>
            <w:hideMark/>
          </w:tcPr>
          <w:p w:rsidR="00EE21F8" w:rsidRPr="00EE21F8" w:rsidRDefault="003009C8" w:rsidP="00012261">
            <w:pPr>
              <w:pStyle w:val="Normal6"/>
              <w:rPr>
                <w:szCs w:val="24"/>
              </w:rPr>
            </w:pPr>
            <w:r>
              <w:lastRenderedPageBreak/>
              <w:t>(9)</w:t>
            </w:r>
            <w:r>
              <w:tab/>
              <w:t>Valamennyi európai digitális személyiadat-tárcának lehetővé kell tennie a felhasználók számára, hogy a köz- és magánszolgáltatások széles köréhez val</w:t>
            </w:r>
            <w:r>
              <w:t>ó hozzáférés érdekében elektronikusan azonosítsák és hitelesítsék magukat online és offline, határokon átnyúlóan. A tagállamok állampolgáraik és lakosaik azonosítására vonatkozó előjogainak sérelme nélkül a tárcák a közigazgatási szervek, a nemzetközi szer</w:t>
            </w:r>
            <w:r>
              <w:t>vezetek, valamint az uniós intézmények, szervek, hivatalok és ügynökségek intézményi szükségleteit is kielégíthetik. Az offline felhasználás számos ágazatban fontos lenne, többek között az egészségügyi ágazatban is, ahol a szolgáltatásokat gyakran személye</w:t>
            </w:r>
            <w:r>
              <w:t xml:space="preserve">s interakción keresztül nyújtják, az elektronikus vények esetében pedig szükség van arra, hogy a hitelesség ellenőrzése során QR-kódokra vagy hasonló technológiákra lehessen támaszkodni. </w:t>
            </w:r>
            <w:r>
              <w:rPr>
                <w:b/>
                <w:i/>
              </w:rPr>
              <w:t>A felhasználók számára hozzáférést kell biztosítani egy egyszerű inte</w:t>
            </w:r>
            <w:r>
              <w:rPr>
                <w:b/>
                <w:i/>
              </w:rPr>
              <w:t>rfészhez, amely lehetővé teszi számukra, hogy áttekintést kapjanak a személyes adatok megosztására vagy az attribútumok elektronikus tanúsítására vonatkozó jelenlegi és korábbi engedélyeikről. Lehetőséget kell biztosítani számukra hozzájárulásuk visszavoná</w:t>
            </w:r>
            <w:r>
              <w:rPr>
                <w:b/>
                <w:i/>
              </w:rPr>
              <w:t>sára.</w:t>
            </w:r>
            <w:r>
              <w:t xml:space="preserve"> Az e rendelet szerinti biztonsági</w:t>
            </w:r>
            <w:r>
              <w:rPr>
                <w:b/>
                <w:i/>
              </w:rPr>
              <w:t xml:space="preserve"> és integritási</w:t>
            </w:r>
            <w:r>
              <w:t xml:space="preserve"> követelményeknek </w:t>
            </w:r>
            <w:r>
              <w:lastRenderedPageBreak/>
              <w:t>való megfelelés érdekében a „magas” biztonsági szintre támaszkodva az európai digitális személyiadat-tárcáknak élniük kell az SE-hez (secure element, biztonságos elem) hasonló, nem ham</w:t>
            </w:r>
            <w:r>
              <w:t xml:space="preserve">isítható </w:t>
            </w:r>
            <w:r>
              <w:rPr>
                <w:b/>
                <w:i/>
              </w:rPr>
              <w:t>technológiában</w:t>
            </w:r>
            <w:r>
              <w:t xml:space="preserve"> rejlő lehetőségek előnyeivel. Az európai digitális személyiadat-tárcáknak emellett lehetővé kell tenniük a felhasználók számára az egész </w:t>
            </w:r>
            <w:r>
              <w:rPr>
                <w:b/>
                <w:i/>
              </w:rPr>
              <w:t>Unióban</w:t>
            </w:r>
            <w:r>
              <w:t xml:space="preserve"> elfogadott minősített elektronikus aláírások és bélyegzők létrehozását és használatát. </w:t>
            </w:r>
            <w:r>
              <w:t>Annak érdekében, hogy a személyek és a vállalkozások Unió-szerte élvezhessék az egyszerűség és a költségcsökkenés előnyeit, többek között képviseleti jogkörök és elektronikus felhatalmazások lehetővé tétele révén, a tagállamoknak a zökkenőmentes interopera</w:t>
            </w:r>
            <w:r>
              <w:t>bilitás és a magas szintű biztonság biztosítása érdekében közös szabványokra támaszkodva kell kibocsátaniuk az európai digitális személyiadat-tárcákat. Csak a tagállamok illetékes hatóságai teremthetnek nagyfokú bizalmat valamely személy személyazonosságán</w:t>
            </w:r>
            <w:r>
              <w:t>ak megállapítását illetően, ezáltal csak ők nyújthatnak bizonyosságot arra vonatkozóan, hogy az adott személy valóban az a személy, akinek vallja magát. Ezért</w:t>
            </w:r>
            <w:r>
              <w:rPr>
                <w:b/>
                <w:i/>
              </w:rPr>
              <w:t xml:space="preserve"> bizonyos felhasználási esetek vonatkozásában</w:t>
            </w:r>
            <w:r>
              <w:t xml:space="preserve"> az európai digitális személyiadat-tárcáknak a polgár</w:t>
            </w:r>
            <w:r>
              <w:t>ok, más lakosok vagy jogi személyek jogi személyazonosságán kell alapulniuk. Az európai digitális személyiadat-tárcákba vetett bizalmat erősítené az a tény, hogy a kibocsátó feleknek megfelelő technikai és szervezési intézkedéseket kell végrehajtaniuk a te</w:t>
            </w:r>
            <w:r>
              <w:t>rmészetes személyek jogaira és szabadságaira nézve felmerülő kockázatokkal arányos biztonsági szint biztosítása érdekében, az (EU) 2016/679 rendelettel összhangban.</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4</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lastRenderedPageBreak/>
        <w:t>&lt;DocAmend&gt;</w:t>
      </w:r>
      <w:r>
        <w:t>Rendeletre irányuló javaslat</w:t>
      </w:r>
      <w:r>
        <w:rPr>
          <w:rStyle w:val="HideTWBExt"/>
          <w:b w:val="0"/>
        </w:rPr>
        <w:t>&lt;/DocAm</w:t>
      </w:r>
      <w:r>
        <w:rPr>
          <w:rStyle w:val="HideTWBExt"/>
          <w:b w:val="0"/>
        </w:rPr>
        <w:t>end&gt;</w:t>
      </w:r>
    </w:p>
    <w:p w:rsidR="00EE21F8" w:rsidRPr="00EE21F8" w:rsidRDefault="003009C8" w:rsidP="00EE21F8">
      <w:pPr>
        <w:pStyle w:val="NormalBold"/>
      </w:pPr>
      <w:r>
        <w:rPr>
          <w:rStyle w:val="HideTWBExt"/>
          <w:b w:val="0"/>
        </w:rPr>
        <w:t>&lt;Article&gt;</w:t>
      </w:r>
      <w:r>
        <w:t>9 a preambulumbekezdés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(9a)</w:t>
            </w:r>
            <w:r>
              <w:rPr>
                <w:b/>
                <w:i/>
              </w:rPr>
              <w:tab/>
              <w:t xml:space="preserve">Az európai digitális személyiadat-tárca sikeres elterjesztése érdekében alapvető fontosságú a tárca mögötti technikai keretbe és az azt körülvevő </w:t>
            </w:r>
            <w:r>
              <w:rPr>
                <w:b/>
                <w:i/>
              </w:rPr>
              <w:t>digitális ökoszisztémába vetett bizalom biztosítása. A nagyfokú átláthatóság hozzájárulhat a bizalom megteremtéséhez azáltal, hogy lehetővé teszi a felhasználók számára, hogy megalapozott döntéseket hozzanak az európai digitális személyiadat-tárca biztonsá</w:t>
            </w:r>
            <w:r>
              <w:rPr>
                <w:b/>
                <w:i/>
              </w:rPr>
              <w:t>gi és adatvédelmi jellemzőiről, valamint lehetővé teszi a keretben részt vevő tevékenységek és szereplők nyilvános ellenőrzését. Ezért a tagállamoknak biztosítaniuk kell, hogy a releváns információk – például az adatvédelmi beállítások, a műszaki architekt</w:t>
            </w:r>
            <w:r>
              <w:rPr>
                <w:b/>
                <w:i/>
              </w:rPr>
              <w:t>úrák, a biztonsági keretek és a személyes adatok kezelésének helye – szerepeljenek az európai digitális személyiadat-tárcára vonatkozó minimális információk között, és azokat nyilvánosan hozzáférhetővé tegyék.</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5</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9 b preambulumbekezdés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(9b)</w:t>
            </w:r>
            <w:r>
              <w:rPr>
                <w:b/>
                <w:i/>
              </w:rPr>
              <w:tab/>
              <w:t xml:space="preserve">Az európai digitális személyiadat-tárca egyik célja a polgárok azon lehetőségeinek javítása kell hogy </w:t>
            </w:r>
            <w:r>
              <w:rPr>
                <w:b/>
                <w:i/>
              </w:rPr>
              <w:t>legyen, hogy maguk dönthessenek az általuk megosztott adatokról, minimalizálják az általuk igénybe venni kívánt szolgáltatás kapcsán megosztott adatok mennyiségét, valamint jobban kezeljék és ellenőrizzék a megosztott adatokat.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lastRenderedPageBreak/>
        <w:t>&lt;Amend&gt;</w:t>
      </w:r>
      <w:r>
        <w:t>Módosítás</w:t>
      </w:r>
      <w:r>
        <w:tab/>
      </w:r>
      <w:r>
        <w:tab/>
      </w:r>
      <w:r>
        <w:rPr>
          <w:rStyle w:val="HideTWBExt"/>
          <w:b w:val="0"/>
        </w:rPr>
        <w:t>&lt;NumAm&gt;</w:t>
      </w:r>
      <w:r>
        <w:t>6</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10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(10)</w:t>
            </w:r>
            <w:r>
              <w:tab/>
              <w:t xml:space="preserve">A magas szintű biztonság és megbízhatóság elérése érdekében ez a rendelet meghatározza az </w:t>
            </w:r>
            <w:r>
              <w:t>európai digitális személyiadat-tárcákra vonatkozó követelményeket. Az európai digitális személyiadat-tárcák e követelményeknek való megfelelőségét a tagállamok által kijelölt, akkreditált köz- vagy magánszektorbeli szervezeteknek kell tanúsítaniuk. A tagál</w:t>
            </w:r>
            <w:r>
              <w:t xml:space="preserve">lamokkal közösen elfogadott </w:t>
            </w:r>
            <w:r>
              <w:rPr>
                <w:b/>
                <w:i/>
              </w:rPr>
              <w:t>szabványok rendelkezésre állásán</w:t>
            </w:r>
            <w:r>
              <w:t xml:space="preserve"> alapuló tanúsítási rendszerre támaszkodva magas szintű bizalom és </w:t>
            </w:r>
            <w:r>
              <w:rPr>
                <w:b/>
                <w:i/>
              </w:rPr>
              <w:t>interoperabilitás</w:t>
            </w:r>
            <w:r>
              <w:t xml:space="preserve"> biztosítható. A tanúsításnak különösen az (EU) 2019/881 rendelet</w:t>
            </w:r>
            <w:r>
              <w:rPr>
                <w:vertAlign w:val="superscript"/>
              </w:rPr>
              <w:t>20</w:t>
            </w:r>
            <w:r>
              <w:t xml:space="preserve"> alapján létrehozott releváns európai kiberbi</w:t>
            </w:r>
            <w:r>
              <w:t>ztonsági tanúsítási rendszerekre kell támaszkodnia. Az ilyen tanúsítás nem sértheti a személyes adatok kezelése tekintetében az (EU) 2016/679 rendelet szerinti tanúsítást.</w:t>
            </w:r>
          </w:p>
        </w:tc>
        <w:tc>
          <w:tcPr>
            <w:tcW w:w="4876" w:type="dxa"/>
            <w:hideMark/>
          </w:tcPr>
          <w:p w:rsidR="00EE21F8" w:rsidRPr="00EE21F8" w:rsidRDefault="003009C8" w:rsidP="00012261">
            <w:pPr>
              <w:pStyle w:val="Normal6"/>
              <w:rPr>
                <w:szCs w:val="24"/>
              </w:rPr>
            </w:pPr>
            <w:r>
              <w:t>(10)</w:t>
            </w:r>
            <w:r>
              <w:tab/>
              <w:t>A magas szintű biztonság és megbízhatóság elérése érdekében ez a rendelet megha</w:t>
            </w:r>
            <w:r>
              <w:t>tározza az európai digitális személyiadat-tárcákra vonatkozó követelményeket. Az európai digitális személyiadat-tárcák e követelményeknek való megfelelőségét a tagállamok által kijelölt, akkreditált köz- vagy magánszektorbeli szervezeteknek kell tanúsítani</w:t>
            </w:r>
            <w:r>
              <w:t xml:space="preserve">uk. A </w:t>
            </w:r>
            <w:r>
              <w:rPr>
                <w:b/>
                <w:i/>
              </w:rPr>
              <w:t xml:space="preserve">legkorszerűbb technológián és a </w:t>
            </w:r>
            <w:r>
              <w:t xml:space="preserve">tagállamokkal közösen elfogadott </w:t>
            </w:r>
            <w:r>
              <w:rPr>
                <w:b/>
                <w:i/>
              </w:rPr>
              <w:t>szabványokon</w:t>
            </w:r>
            <w:r>
              <w:t xml:space="preserve"> alapuló tanúsítási rendszerre támaszkodva magas szintű bizalom</w:t>
            </w:r>
            <w:r>
              <w:rPr>
                <w:b/>
                <w:i/>
              </w:rPr>
              <w:t>, interoperabilitás</w:t>
            </w:r>
            <w:r>
              <w:t xml:space="preserve"> és </w:t>
            </w:r>
            <w:r>
              <w:rPr>
                <w:b/>
                <w:i/>
              </w:rPr>
              <w:t>adatvédelem</w:t>
            </w:r>
            <w:r>
              <w:t xml:space="preserve"> biztosítható. A tanúsításnak különösen az (EU) 2019/881 rendelet</w:t>
            </w:r>
            <w:r>
              <w:rPr>
                <w:vertAlign w:val="superscript"/>
              </w:rPr>
              <w:t>20</w:t>
            </w:r>
            <w:r>
              <w:t xml:space="preserve"> alapján létrehozott releváns európai kiberbiztonsági tanúsítási rendszerekre kell támaszkodnia. Az ilyen tanúsítás nem sértheti a személyes adatok kezelése tekintetében az (EU) 2016/679 rendelet szerinti tanúsítást.</w:t>
            </w:r>
          </w:p>
        </w:tc>
      </w:tr>
      <w:tr w:rsidR="00C34615" w:rsidTr="00012261">
        <w:trPr>
          <w:jc w:val="center"/>
        </w:trPr>
        <w:tc>
          <w:tcPr>
            <w:tcW w:w="4876" w:type="dxa"/>
            <w:hideMark/>
          </w:tcPr>
          <w:p w:rsidR="00EE21F8" w:rsidRPr="00EE21F8" w:rsidRDefault="003009C8" w:rsidP="00012261">
            <w:pPr>
              <w:pStyle w:val="Normal6"/>
            </w:pPr>
            <w:r>
              <w:t>__________________</w:t>
            </w:r>
          </w:p>
        </w:tc>
        <w:tc>
          <w:tcPr>
            <w:tcW w:w="4876" w:type="dxa"/>
            <w:hideMark/>
          </w:tcPr>
          <w:p w:rsidR="00EE21F8" w:rsidRPr="00EE21F8" w:rsidRDefault="003009C8" w:rsidP="00012261">
            <w:pPr>
              <w:pStyle w:val="Normal6"/>
              <w:rPr>
                <w:szCs w:val="24"/>
              </w:rPr>
            </w:pPr>
            <w:r>
              <w:t>__________________</w:t>
            </w:r>
          </w:p>
        </w:tc>
      </w:tr>
      <w:tr w:rsidR="00C34615" w:rsidTr="00012261">
        <w:trPr>
          <w:jc w:val="center"/>
        </w:trPr>
        <w:tc>
          <w:tcPr>
            <w:tcW w:w="4876" w:type="dxa"/>
            <w:hideMark/>
          </w:tcPr>
          <w:p w:rsidR="00EE21F8" w:rsidRPr="00EE21F8" w:rsidRDefault="003009C8" w:rsidP="00012261">
            <w:pPr>
              <w:pStyle w:val="Normal6"/>
            </w:pPr>
            <w:r>
              <w:rPr>
                <w:vertAlign w:val="superscript"/>
              </w:rPr>
              <w:t>20</w:t>
            </w:r>
            <w:r>
              <w:t xml:space="preserve"> Az Európai Parlament és a Tanács (EU) 2019/881 rendelete (2019. április 17.) az ENISA-ról (az Európai Uniós Kiberbiztonsági Ügynökségről) és az információs és kommunikációs technológiák kiberbiztonsági tanúsításáról, valamint az 526/2013/EU rendelet hatál</w:t>
            </w:r>
            <w:r>
              <w:t>yon kívül helyezéséről (kiberbiztonsági jogszabály) (HL L 151., 2019.6.7., 15. o.).</w:t>
            </w:r>
          </w:p>
        </w:tc>
        <w:tc>
          <w:tcPr>
            <w:tcW w:w="4876" w:type="dxa"/>
            <w:hideMark/>
          </w:tcPr>
          <w:p w:rsidR="00EE21F8" w:rsidRPr="00EE21F8" w:rsidRDefault="003009C8" w:rsidP="00012261">
            <w:pPr>
              <w:pStyle w:val="Normal6"/>
              <w:rPr>
                <w:szCs w:val="24"/>
              </w:rPr>
            </w:pPr>
            <w:r>
              <w:rPr>
                <w:vertAlign w:val="superscript"/>
              </w:rPr>
              <w:t>20</w:t>
            </w:r>
            <w:r>
              <w:t xml:space="preserve"> Az Európai Parlament és a Tanács (EU) 2019/881 rendelete (2019. április 17.) az ENISA-ról (az Európai Uniós Kiberbiztonsági Ügynökségről) és az információs és kommunikác</w:t>
            </w:r>
            <w:r>
              <w:t>iós technológiák kiberbiztonsági tanúsításáról, valamint az 526/2013/EU rendelet hatályon kívül helyezéséről (kiberbiztonsági jogszabály) (HL L 151., 2019.6.7., 15. o.).</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7</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w:t>
      </w:r>
      <w:r>
        <w:rPr>
          <w:rStyle w:val="HideTWBExt"/>
          <w:b w:val="0"/>
        </w:rPr>
        <w:t>DocAmend&gt;</w:t>
      </w:r>
    </w:p>
    <w:p w:rsidR="00EE21F8" w:rsidRPr="00EE21F8" w:rsidRDefault="003009C8" w:rsidP="00EE21F8">
      <w:pPr>
        <w:pStyle w:val="NormalBold"/>
      </w:pPr>
      <w:r>
        <w:rPr>
          <w:rStyle w:val="HideTWBExt"/>
          <w:b w:val="0"/>
        </w:rPr>
        <w:t>&lt;Article&gt;</w:t>
      </w:r>
      <w:r>
        <w:t>11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(11)</w:t>
            </w:r>
            <w:r>
              <w:tab/>
            </w:r>
            <w:r>
              <w:t xml:space="preserve">Az európai digitális személyiadat-tárcáknak a legmagasabb szintű biztonságot kell biztosítaniuk a hitelesítéshez használt személyes adatok számára, függetlenül attól, hogy ezeket az adatokat helyben vagy </w:t>
            </w:r>
            <w:r>
              <w:rPr>
                <w:b/>
                <w:i/>
              </w:rPr>
              <w:t>felhőalapú megoldásokon</w:t>
            </w:r>
            <w:r>
              <w:t xml:space="preserve"> tárolják, figyelembe véve a </w:t>
            </w:r>
            <w:r>
              <w:t xml:space="preserve">különböző kockázati szinteket. A biometrikus azonosítás révén történő hitelesítés </w:t>
            </w:r>
            <w:r>
              <w:rPr>
                <w:b/>
                <w:i/>
              </w:rPr>
              <w:t>a magas szintű megbízhatóságot biztosító azonosítási módszerek egyike</w:t>
            </w:r>
            <w:r>
              <w:t xml:space="preserve">, </w:t>
            </w:r>
            <w:r>
              <w:rPr>
                <w:b/>
                <w:i/>
              </w:rPr>
              <w:t>különösen ha más hitelesítési elemekkel együtt használják</w:t>
            </w:r>
            <w:r>
              <w:t>. Mivel a biometrikus azonosítás az adott szem</w:t>
            </w:r>
            <w:r>
              <w:t xml:space="preserve">ély egyedi attribútumait használja, a biometrikus </w:t>
            </w:r>
            <w:r>
              <w:rPr>
                <w:b/>
                <w:i/>
              </w:rPr>
              <w:t>azonosítás használatához</w:t>
            </w:r>
            <w:r>
              <w:t xml:space="preserve"> olyan </w:t>
            </w:r>
            <w:r>
              <w:rPr>
                <w:b/>
                <w:i/>
              </w:rPr>
              <w:t>szervezeti</w:t>
            </w:r>
            <w:r>
              <w:t xml:space="preserve"> és biztonsági intézkedésekre van szükség, amelyek arányban állnak azzal a kockázattal, amellyel az ilyen adatkezelés járhat a természetes személyek jogaira és szaba</w:t>
            </w:r>
            <w:r>
              <w:t xml:space="preserve">dságaira nézve, és összhangban vannak </w:t>
            </w:r>
            <w:r>
              <w:rPr>
                <w:b/>
                <w:i/>
              </w:rPr>
              <w:t>az (EU) 2016/679</w:t>
            </w:r>
            <w:r>
              <w:t xml:space="preserve"> rendelettel.</w:t>
            </w:r>
          </w:p>
        </w:tc>
        <w:tc>
          <w:tcPr>
            <w:tcW w:w="4876" w:type="dxa"/>
            <w:hideMark/>
          </w:tcPr>
          <w:p w:rsidR="00EE21F8" w:rsidRPr="00EE21F8" w:rsidRDefault="003009C8" w:rsidP="00012261">
            <w:pPr>
              <w:pStyle w:val="Normal6"/>
              <w:rPr>
                <w:szCs w:val="24"/>
              </w:rPr>
            </w:pPr>
            <w:r>
              <w:t>(11)</w:t>
            </w:r>
            <w:r>
              <w:tab/>
              <w:t>Az európai digitális személyiadat-tárcáknak a legmagasabb szintű biztonságot kell biztosítaniuk a hitelesítéshez használt személyes adatok számára, függetlenül attól, hogy ezeket az a</w:t>
            </w:r>
            <w:r>
              <w:t>datokat helyben</w:t>
            </w:r>
            <w:r>
              <w:rPr>
                <w:b/>
                <w:i/>
              </w:rPr>
              <w:t>, felhőalapú megoldásokon</w:t>
            </w:r>
            <w:r>
              <w:t xml:space="preserve"> vagy </w:t>
            </w:r>
            <w:r>
              <w:rPr>
                <w:b/>
                <w:i/>
              </w:rPr>
              <w:t>a kettő ötvözésével</w:t>
            </w:r>
            <w:r>
              <w:t xml:space="preserve"> tárolják, figyelembe véve a különböző kockázati szinteket. A biometrikus azonosítás révén történő hitelesítés </w:t>
            </w:r>
            <w:r>
              <w:rPr>
                <w:b/>
                <w:i/>
              </w:rPr>
              <w:t>nem lehet az európai digitális személyiadat-tárca használatának előfeltétele</w:t>
            </w:r>
            <w:r>
              <w:t xml:space="preserve">, </w:t>
            </w:r>
            <w:r>
              <w:rPr>
                <w:b/>
                <w:i/>
              </w:rPr>
              <w:t>az</w:t>
            </w:r>
            <w:r>
              <w:rPr>
                <w:b/>
                <w:i/>
              </w:rPr>
              <w:t xml:space="preserve"> erős felhasználóhitelesítési követelménytől függetlenül</w:t>
            </w:r>
            <w:r>
              <w:t xml:space="preserve">. Mivel a biometrikus azonosítás az adott személy egyedi attribútumait használja, a biometrikus </w:t>
            </w:r>
            <w:r>
              <w:rPr>
                <w:b/>
                <w:i/>
              </w:rPr>
              <w:t>adatok használata az (EU) 2016/679 rendelet szerint meghatározott forgatókönyvekre korlátozódik, valamin</w:t>
            </w:r>
            <w:r>
              <w:rPr>
                <w:b/>
                <w:i/>
              </w:rPr>
              <w:t>t ahhoz</w:t>
            </w:r>
            <w:r>
              <w:t xml:space="preserve"> olyan </w:t>
            </w:r>
            <w:r>
              <w:rPr>
                <w:b/>
                <w:i/>
              </w:rPr>
              <w:t>műszaki</w:t>
            </w:r>
            <w:r>
              <w:t xml:space="preserve"> és</w:t>
            </w:r>
            <w:r>
              <w:rPr>
                <w:b/>
                <w:i/>
              </w:rPr>
              <w:t xml:space="preserve"> szervezeti</w:t>
            </w:r>
            <w:r>
              <w:t xml:space="preserve"> biztonsági intézkedésekre van szükség, amelyek arányban állnak azzal a kockázattal, amellyel az ilyen adatkezelés járhat a természetes személyek jogaira és szabadságaira nézve, és összhangban vannak </w:t>
            </w:r>
            <w:r>
              <w:rPr>
                <w:b/>
                <w:i/>
              </w:rPr>
              <w:t>a szóban forgó</w:t>
            </w:r>
            <w:r>
              <w:t xml:space="preserve"> rendel</w:t>
            </w:r>
            <w:r>
              <w:t xml:space="preserve">ettel. </w:t>
            </w:r>
            <w:r>
              <w:rPr>
                <w:b/>
                <w:i/>
              </w:rPr>
              <w:t>Az európai digitális személyiadat-tárcából származó információknak a felhőben való tárolására csak a felhasználó kifejezett hozzájárulását követően kerülhet sor. A tagállamoknak lehetővé kell tenniük az európai digitális személyiadat-tárca számára a</w:t>
            </w:r>
            <w:r>
              <w:rPr>
                <w:b/>
                <w:i/>
              </w:rPr>
              <w:t xml:space="preserve"> kriptográfiai anyagok tárolását és a műveletek kezelését a felhasználói eszközön felhőalapú szolgáltatások igénybevétele nélkül, kivéve, ha a felhasználó kifejezetten hozzájárul az ilyen tároláshoz. Amennyiben az európai digitális személyiadat-tárcát a fe</w:t>
            </w:r>
            <w:r>
              <w:rPr>
                <w:b/>
                <w:i/>
              </w:rPr>
              <w:t>lhasználó eszközére telepítik fel, az ehhez kapcsolódó kriptográfiai anyagot az eszköz biztonságos elemei között kell tárolni.</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lastRenderedPageBreak/>
        <w:t>&lt;Amend&gt;</w:t>
      </w:r>
      <w:r>
        <w:t>Módosítás</w:t>
      </w:r>
      <w:r>
        <w:tab/>
      </w:r>
      <w:r>
        <w:tab/>
      </w:r>
      <w:r>
        <w:rPr>
          <w:rStyle w:val="HideTWBExt"/>
          <w:b w:val="0"/>
        </w:rPr>
        <w:t>&lt;NumAm&gt;</w:t>
      </w:r>
      <w:r>
        <w:t>8</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12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(12)</w:t>
            </w:r>
            <w:r>
              <w:tab/>
              <w:t xml:space="preserve">Annak biztosítása érdekében, hogy az európai digitális személyazonossági keret nyitott legyen az innovációra és a technológiai fejlődésre, valamint időtálló legyen, a tagállamokat ösztönözni </w:t>
            </w:r>
            <w:r>
              <w:t>kell arra, hogy közösen hozzanak létre tesztkörnyezeteket az innovatív megoldások ellenőrzött és biztonságos környezetben történő tesztelésére, különösen a személyes adatok védelmének, a megoldások működőképességének, biztonságának és interoperabilitásának</w:t>
            </w:r>
            <w:r>
              <w:t xml:space="preserve"> javítása, valamint a műszaki referenciák és a jogi követelmények jövőbeli aktualizálásának megalapozása érdekében. Ennek a környezetnek elő kell segítenie az európai kis- és középvállalkozások, az induló innovatív vállalkozások, valamint az egyéni innovát</w:t>
            </w:r>
            <w:r>
              <w:t>orok és kutatók bevonását.</w:t>
            </w:r>
          </w:p>
        </w:tc>
        <w:tc>
          <w:tcPr>
            <w:tcW w:w="4876" w:type="dxa"/>
            <w:hideMark/>
          </w:tcPr>
          <w:p w:rsidR="00EE21F8" w:rsidRPr="00EE21F8" w:rsidRDefault="003009C8" w:rsidP="00012261">
            <w:pPr>
              <w:pStyle w:val="Normal6"/>
              <w:rPr>
                <w:szCs w:val="24"/>
              </w:rPr>
            </w:pPr>
            <w:r>
              <w:t>(12)</w:t>
            </w:r>
            <w:r>
              <w:tab/>
              <w:t xml:space="preserve">Annak biztosítása érdekében, hogy az európai digitális személyazonossági keret nyitott legyen az innovációra és a technológiai fejlődésre, valamint időtálló legyen, a tagállamokat ösztönözni kell arra, hogy közösen hozzanak </w:t>
            </w:r>
            <w:r>
              <w:t>létre tesztkörnyezeteket az innovatív megoldások ellenőrzött és biztonságos környezetben történő tesztelésére, különösen a személyes adatok védelmének, a megoldások működőképességének, biztonságának és interoperabilitásának javítása, valamint a műszaki ref</w:t>
            </w:r>
            <w:r>
              <w:t>erenciák és a jogi követelmények jövőbeli aktualizálásának megalapozása érdekében. Ennek a környezetnek elő kell segítenie az európai kis- és középvállalkozások, az induló innovatív vállalkozások, valamint az egyéni innovátorok és kutatók bevonását</w:t>
            </w:r>
            <w:r>
              <w:rPr>
                <w:b/>
                <w:i/>
              </w:rPr>
              <w:t>, ugyana</w:t>
            </w:r>
            <w:r>
              <w:rPr>
                <w:b/>
                <w:i/>
              </w:rPr>
              <w:t>kkor biztosítania kell a jobb megfelelést és meg kell akadályoznia az adatvédelemre és az informatikai biztonságra vonatkozó uniós jogszabályokat sértő megoldások forgalomba hozatalát</w:t>
            </w:r>
            <w:r>
              <w: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9</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w:t>
      </w:r>
      <w:r>
        <w:t>yuló javaslat</w:t>
      </w:r>
      <w:r>
        <w:rPr>
          <w:rStyle w:val="HideTWBExt"/>
          <w:b w:val="0"/>
        </w:rPr>
        <w:t>&lt;/DocAmend&gt;</w:t>
      </w:r>
    </w:p>
    <w:p w:rsidR="00EE21F8" w:rsidRPr="00EE21F8" w:rsidRDefault="003009C8" w:rsidP="00EE21F8">
      <w:pPr>
        <w:pStyle w:val="NormalBold"/>
      </w:pPr>
      <w:r>
        <w:rPr>
          <w:rStyle w:val="HideTWBExt"/>
          <w:b w:val="0"/>
        </w:rPr>
        <w:t>&lt;Article&gt;</w:t>
      </w:r>
      <w:r>
        <w:t>17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(17)</w:t>
            </w:r>
            <w:r>
              <w:tab/>
              <w:t xml:space="preserve">A szolgáltatók a 910/2014/EU rendelet szerinti elektronikus azonosítási rendszerekben rendelkezésre álló személyazonosító adatokból </w:t>
            </w:r>
            <w:r>
              <w:t xml:space="preserve">származó személyazonossági adatokat használják arra, hogy a másik tagállamból származó felhasználókat megfeleltessék az adott </w:t>
            </w:r>
            <w:r>
              <w:lastRenderedPageBreak/>
              <w:t>felhasználók jogi személyazonosságának. Az eIDAS-adatkészlet használata ellenére azonban sok esetben a pontos megfeleltetéshez a f</w:t>
            </w:r>
            <w:r>
              <w:t>elhasználóval kapcsolatos további információkra és nemzeti szintű egyedi azonosítási eljárásokra van szükség. Az elektronikus azonosító eszközök használhatóságának további támogatása érdekében e rendeletnek elő kell írnia a tagállamok számára, hogy az elek</w:t>
            </w:r>
            <w:r>
              <w:t xml:space="preserve">tronikus azonosítási folyamat során tegyenek konkrét intézkedéseket a személyazonosság helyes egyezésének biztosítása érdekében. </w:t>
            </w:r>
            <w:r>
              <w:rPr>
                <w:b/>
                <w:i/>
              </w:rPr>
              <w:t>Ugyanezen célból e rendeletnek ki kell terjesztenie</w:t>
            </w:r>
            <w:r>
              <w:t xml:space="preserve"> a </w:t>
            </w:r>
            <w:r>
              <w:rPr>
                <w:b/>
                <w:i/>
              </w:rPr>
              <w:t>kötelező minimális adatok körét</w:t>
            </w:r>
            <w:r>
              <w:t xml:space="preserve"> is, és </w:t>
            </w:r>
            <w:r>
              <w:rPr>
                <w:b/>
                <w:i/>
              </w:rPr>
              <w:t>elő kell írnia</w:t>
            </w:r>
            <w:r>
              <w:t xml:space="preserve"> az uniós </w:t>
            </w:r>
            <w:r>
              <w:rPr>
                <w:b/>
                <w:i/>
              </w:rPr>
              <w:t>joggal öss</w:t>
            </w:r>
            <w:r>
              <w:rPr>
                <w:b/>
                <w:i/>
              </w:rPr>
              <w:t>zhangban lévő egyedi és tartós elektronikus azonosító használatát azokban az esetekben</w:t>
            </w:r>
            <w:r>
              <w:t xml:space="preserve">, </w:t>
            </w:r>
            <w:r>
              <w:rPr>
                <w:b/>
                <w:i/>
              </w:rPr>
              <w:t>amikor a felhasználót a kérésére</w:t>
            </w:r>
            <w:r>
              <w:t xml:space="preserve"> egyedi és tartós </w:t>
            </w:r>
            <w:r>
              <w:rPr>
                <w:b/>
                <w:i/>
              </w:rPr>
              <w:t>módon kell jogszerűen azonosítani</w:t>
            </w:r>
            <w:r>
              <w:t>.</w:t>
            </w:r>
          </w:p>
        </w:tc>
        <w:tc>
          <w:tcPr>
            <w:tcW w:w="4876" w:type="dxa"/>
            <w:hideMark/>
          </w:tcPr>
          <w:p w:rsidR="00EE21F8" w:rsidRPr="00EE21F8" w:rsidRDefault="003009C8" w:rsidP="00012261">
            <w:pPr>
              <w:pStyle w:val="Normal6"/>
              <w:rPr>
                <w:szCs w:val="24"/>
              </w:rPr>
            </w:pPr>
            <w:r>
              <w:lastRenderedPageBreak/>
              <w:t>(17)</w:t>
            </w:r>
            <w:r>
              <w:tab/>
              <w:t>A szolgáltatók a 910/2014/EU rendelet szerinti elektronikus azonosítási rendsz</w:t>
            </w:r>
            <w:r>
              <w:t xml:space="preserve">erekben rendelkezésre álló személyazonosító adatokból származó személyazonossági adatokat használják arra, hogy a másik tagállamból származó felhasználókat megfeleltessék az adott </w:t>
            </w:r>
            <w:r>
              <w:lastRenderedPageBreak/>
              <w:t>felhasználók jogi személyazonosságának. Az eIDAS-adatkészlet használata elle</w:t>
            </w:r>
            <w:r>
              <w:t>nére azonban sok esetben a pontos megfeleltetéshez a felhasználóval kapcsolatos további információkra és nemzeti szintű egyedi azonosítási eljárásokra van szükség. Az elektronikus azonosító eszközök használhatóságának további támogatása érdekében e rendele</w:t>
            </w:r>
            <w:r>
              <w:t xml:space="preserve">tnek elő kell írnia a tagállamok számára, hogy az elektronikus azonosítási folyamat során tegyenek konkrét intézkedéseket a személyazonosság helyes egyezésének biztosítása érdekében. </w:t>
            </w:r>
            <w:r>
              <w:rPr>
                <w:b/>
                <w:i/>
              </w:rPr>
              <w:t xml:space="preserve">A személyazonosító adatok vagy a személyazonosító adatok kombinációjának </w:t>
            </w:r>
            <w:r>
              <w:rPr>
                <w:b/>
                <w:i/>
              </w:rPr>
              <w:t>használata, beleértve</w:t>
            </w:r>
            <w:r>
              <w:t xml:space="preserve"> a </w:t>
            </w:r>
            <w:r>
              <w:rPr>
                <w:b/>
                <w:i/>
              </w:rPr>
              <w:t>tagállamok által kibocsátott vagy az európai digitális személyiadat-tárca által generált egyedi és tartós azonosítók használatát</w:t>
            </w:r>
            <w:r>
              <w:t xml:space="preserve"> is, </w:t>
            </w:r>
            <w:r>
              <w:rPr>
                <w:b/>
                <w:i/>
              </w:rPr>
              <w:t>elengedhetetlen annak biztosításához, hogy a felhasználó személyazonossága – különösen a közszféráb</w:t>
            </w:r>
            <w:r>
              <w:rPr>
                <w:b/>
                <w:i/>
              </w:rPr>
              <w:t xml:space="preserve">an, </w:t>
            </w:r>
            <w:r>
              <w:t xml:space="preserve">és </w:t>
            </w:r>
            <w:r>
              <w:rPr>
                <w:b/>
                <w:i/>
              </w:rPr>
              <w:t>amennyiben azt</w:t>
            </w:r>
            <w:r>
              <w:t xml:space="preserve"> az uniós </w:t>
            </w:r>
            <w:r>
              <w:rPr>
                <w:b/>
                <w:i/>
              </w:rPr>
              <w:t>vagy a nemzeti jog előírja – ellenőrizhető legyen. A tagállami jognak képesnek kell lennie arra</w:t>
            </w:r>
            <w:r>
              <w:t xml:space="preserve">, </w:t>
            </w:r>
            <w:r>
              <w:rPr>
                <w:b/>
                <w:i/>
              </w:rPr>
              <w:t>hogy ágazat- vagy igénybe vevő fél-specifikus</w:t>
            </w:r>
            <w:r>
              <w:t xml:space="preserve"> egyedi és tartós </w:t>
            </w:r>
            <w:r>
              <w:rPr>
                <w:b/>
                <w:i/>
              </w:rPr>
              <w:t>azonosítók használatát írja elő</w:t>
            </w:r>
            <w:r>
              <w:t xml:space="preserve">. </w:t>
            </w:r>
            <w:r>
              <w:rPr>
                <w:b/>
                <w:i/>
              </w:rPr>
              <w:t>Az európai digitális személyiada</w:t>
            </w:r>
            <w:r>
              <w:rPr>
                <w:b/>
                <w:i/>
              </w:rPr>
              <w:t>t-tárcának képesnek kell lennie ezen azonosítók tárolására és a felhasználó kérésére történő közzétételére.</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10</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25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 xml:space="preserve">A </w:t>
            </w:r>
            <w:r>
              <w:t>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(25)</w:t>
            </w:r>
            <w:r>
              <w:tab/>
              <w:t>A legtöbb esetben a polgároknak és más lakosoknak a személyazonosságukkal kapcsolatos információkat, például a címeiket, az életkorukat és szakmai képesítésüket, a vezetői engedélyeiket és egyéb engedélyeiket</w:t>
            </w:r>
            <w:r>
              <w:t xml:space="preserve"> és fizetési adataikat </w:t>
            </w:r>
            <w:r>
              <w:lastRenderedPageBreak/>
              <w:t>illetően nincs lehetőségük a határokon átnyúló digitális információcserére biztonságosan és magas szintű adatvédelem mellett.</w:t>
            </w:r>
          </w:p>
        </w:tc>
        <w:tc>
          <w:tcPr>
            <w:tcW w:w="4876" w:type="dxa"/>
            <w:hideMark/>
          </w:tcPr>
          <w:p w:rsidR="00EE21F8" w:rsidRPr="00EE21F8" w:rsidRDefault="003009C8" w:rsidP="00012261">
            <w:pPr>
              <w:pStyle w:val="Normal6"/>
              <w:rPr>
                <w:szCs w:val="24"/>
              </w:rPr>
            </w:pPr>
            <w:r>
              <w:lastRenderedPageBreak/>
              <w:t>(25)</w:t>
            </w:r>
            <w:r>
              <w:tab/>
            </w:r>
            <w:r>
              <w:rPr>
                <w:b/>
                <w:i/>
              </w:rPr>
              <w:t>A belső piacon lehetőséget kell biztosítani a polgároknak arra, hogy a határokon átnyúlóan személyazon</w:t>
            </w:r>
            <w:r>
              <w:rPr>
                <w:b/>
                <w:i/>
              </w:rPr>
              <w:t xml:space="preserve">osságukra vonatkozó információkat cseréljenek. A </w:t>
            </w:r>
            <w:r>
              <w:t>legtöbb esetben</w:t>
            </w:r>
            <w:r>
              <w:rPr>
                <w:b/>
                <w:i/>
              </w:rPr>
              <w:t xml:space="preserve"> azonban</w:t>
            </w:r>
            <w:r>
              <w:t xml:space="preserve"> a polgároknak és más </w:t>
            </w:r>
            <w:r>
              <w:lastRenderedPageBreak/>
              <w:t>lakosoknak a személyazonosságukkal kapcsolatos</w:t>
            </w:r>
            <w:r>
              <w:rPr>
                <w:b/>
                <w:i/>
              </w:rPr>
              <w:t>, hivatalosan hitelesített</w:t>
            </w:r>
            <w:r>
              <w:t xml:space="preserve"> információkat, például a címeiket, az életkorukat és szakmai képesítésüket, a vezetői eng</w:t>
            </w:r>
            <w:r>
              <w:t xml:space="preserve">edélyeiket és egyéb engedélyeiket és fizetési adataikat illetően nincs lehetőségük a határokon átnyúló digitális információcserére biztonságosan és magas szintű adatvédelem mellett. </w:t>
            </w:r>
            <w:r>
              <w:rPr>
                <w:b/>
                <w:i/>
              </w:rPr>
              <w:t>Ez azt eredményezheti, hogy ezen adatok továbbítása kevésbé biztonságos és</w:t>
            </w:r>
            <w:r>
              <w:rPr>
                <w:b/>
                <w:i/>
              </w:rPr>
              <w:t xml:space="preserve"> kevésbé szervezett módon történik.</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11</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29 preambulumbekezdés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(29)</w:t>
            </w:r>
            <w:r>
              <w:tab/>
              <w:t xml:space="preserve">Az európai digitális </w:t>
            </w:r>
            <w:r>
              <w:t>személyiadat-tárcának technikailag lehetővé kell tennie az attribútumok szelektív közzétételét az igénybe vevő felek felé. Ennek a funkciónak alapvető funkcióvá kell válnia, ezáltal javítva a kényelmet és a személyes adatok védelmét, beleértve a személyesa</w:t>
            </w:r>
            <w:r>
              <w:t>dat-kezelés minimálisra csökkentését is.</w:t>
            </w:r>
          </w:p>
        </w:tc>
        <w:tc>
          <w:tcPr>
            <w:tcW w:w="4876" w:type="dxa"/>
            <w:hideMark/>
          </w:tcPr>
          <w:p w:rsidR="00EE21F8" w:rsidRPr="00EE21F8" w:rsidRDefault="003009C8" w:rsidP="00012261">
            <w:pPr>
              <w:pStyle w:val="Normal6"/>
              <w:rPr>
                <w:szCs w:val="24"/>
              </w:rPr>
            </w:pPr>
            <w:r>
              <w:t>(29)</w:t>
            </w:r>
            <w:r>
              <w:tab/>
              <w:t>Az európai digitális személyiadat-tárcának technikailag lehetővé kell tennie az attribútumok szelektív</w:t>
            </w:r>
            <w:r>
              <w:rPr>
                <w:b/>
                <w:i/>
              </w:rPr>
              <w:t>, biztonságos és felhasználóbarát módon történő</w:t>
            </w:r>
            <w:r>
              <w:t xml:space="preserve"> közzétételét az igénybe vevő felek felé</w:t>
            </w:r>
            <w:r>
              <w:rPr>
                <w:b/>
                <w:i/>
              </w:rPr>
              <w:t>, ami az egyik legfon</w:t>
            </w:r>
            <w:r>
              <w:rPr>
                <w:b/>
                <w:i/>
              </w:rPr>
              <w:t>tosabb jellemzője és előnye.</w:t>
            </w:r>
            <w:r>
              <w:t xml:space="preserve"> </w:t>
            </w:r>
            <w:r>
              <w:rPr>
                <w:b/>
                <w:i/>
              </w:rPr>
              <w:t>Biztosítania kell azt is, hogy az attribútumokat ne adják át olyan feleknek, akiket nem regisztráltak az ilyen attribútumok fogadása céljából.</w:t>
            </w:r>
            <w:r>
              <w:t xml:space="preserve"> Ennek a funkciónak alapvető funkcióvá kell válnia, ezáltal javítva a kényelmet és a </w:t>
            </w:r>
            <w:r>
              <w:t>személyes adatok védelmét, beleértve a személyesadat-kezelés minimálisra csökkentését</w:t>
            </w:r>
            <w:r>
              <w:rPr>
                <w:b/>
                <w:i/>
              </w:rPr>
              <w:t>, és különösen a beépített és az alapértelmezett adatvédelmet</w:t>
            </w:r>
            <w:r>
              <w:t xml:space="preserve"> is. </w:t>
            </w:r>
            <w:r>
              <w:rPr>
                <w:b/>
                <w:i/>
              </w:rPr>
              <w:t>Az európai digitális személyiadat-tárca érvényesítésére, a szelektív közzétételre és a felhasználók onlin</w:t>
            </w:r>
            <w:r>
              <w:rPr>
                <w:b/>
                <w:i/>
              </w:rPr>
              <w:t xml:space="preserve">e szolgáltatásokhoz való hozzáférésének hitelesítésére szolgáló mechanizmusoknak garantálniuk kell a magánélet védelmét, ezáltal megakadályozva a felhasználó nyomon követését és tiszteletben tartva a célhoz kötöttség elvét, amely magában foglalja az álnév </w:t>
            </w:r>
            <w:r>
              <w:rPr>
                <w:b/>
                <w:i/>
              </w:rPr>
              <w:t xml:space="preserve">használatához való jogot is annak biztosítása érdekében, hogy a felhasználót </w:t>
            </w:r>
            <w:r>
              <w:rPr>
                <w:b/>
                <w:i/>
              </w:rPr>
              <w:lastRenderedPageBreak/>
              <w:t>ne lehessen összekapcsolni a különböző igénybe vevő felek között. Az európai digitális személyiadat-tárca technikai felépítésének és megvalósításának maradéktalanul meg kell felel</w:t>
            </w:r>
            <w:r>
              <w:rPr>
                <w:b/>
                <w:i/>
              </w:rPr>
              <w:t>nie az (EU) 2016/679 rendeletnek. Emellett a tárca decentralizált jellegének lehetővé kell tennie az attribútumok és azonosítók öntanúsítását és visszavonhatóságát.</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12</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w:t>
      </w:r>
      <w:r>
        <w:rPr>
          <w:rStyle w:val="HideTWBExt"/>
          <w:b w:val="0"/>
        </w:rPr>
        <w:t>mend&gt;</w:t>
      </w:r>
    </w:p>
    <w:p w:rsidR="00EE21F8" w:rsidRPr="00EE21F8" w:rsidRDefault="003009C8" w:rsidP="00EE21F8">
      <w:pPr>
        <w:pStyle w:val="NormalBold"/>
      </w:pPr>
      <w:r>
        <w:rPr>
          <w:rStyle w:val="HideTWBExt"/>
          <w:b w:val="0"/>
        </w:rPr>
        <w:t>&lt;Article&gt;</w:t>
      </w:r>
      <w:r>
        <w:t>29 a preambulumbekezdés (új)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(29a)</w:t>
            </w:r>
            <w:r>
              <w:rPr>
                <w:b/>
                <w:i/>
              </w:rPr>
              <w:tab/>
              <w:t xml:space="preserve">Hacsak az uniós vagy a nemzeti jog konkrét szabályai nem írják elő a felhasználók számára, hogy azonosítsák magukat, a tagállamoknak lehetővé kell </w:t>
            </w:r>
            <w:r>
              <w:rPr>
                <w:b/>
                <w:i/>
              </w:rPr>
              <w:t>tenniük és nem korlátozhatják az álnevesített szolgáltatások igénybevételét, például azáltal, hogy általános kötelezettséget rónak a szolgáltatókra, hogy korlátozzák szolgáltatásaik álnevesített használatát.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rPr>
        <w:t>&lt;Amend&gt;</w:t>
      </w:r>
      <w:r>
        <w:t>Módosítás</w:t>
      </w:r>
      <w:r>
        <w:tab/>
      </w:r>
      <w:r>
        <w:tab/>
      </w:r>
      <w:r>
        <w:rPr>
          <w:rStyle w:val="HideTWBExt"/>
          <w:b w:val="0"/>
        </w:rPr>
        <w:t>&lt;NumAm&gt;</w:t>
      </w:r>
      <w:r>
        <w:t>13</w:t>
      </w:r>
      <w:r>
        <w:rPr>
          <w:rStyle w:val="HideTWBExt"/>
          <w:b w:val="0"/>
        </w:rPr>
        <w:t>&lt;/NumAm&gt;</w:t>
      </w:r>
    </w:p>
    <w:p w:rsidR="00EE21F8" w:rsidRPr="00EE21F8" w:rsidRDefault="003009C8" w:rsidP="00EE21F8">
      <w:pPr>
        <w:pStyle w:val="NormalBold12b"/>
      </w:pPr>
      <w:r>
        <w:rPr>
          <w:rStyle w:val="HideTWBExt"/>
        </w:rPr>
        <w:t>&lt;DocAmend&gt;</w:t>
      </w:r>
      <w:r>
        <w:t>Rendeletre irányuló javaslat</w:t>
      </w:r>
      <w:r>
        <w:rPr>
          <w:rStyle w:val="HideTWBExt"/>
        </w:rPr>
        <w:t>&lt;/DocAmend&gt;</w:t>
      </w:r>
    </w:p>
    <w:p w:rsidR="00EE21F8" w:rsidRPr="00EE21F8" w:rsidRDefault="003009C8" w:rsidP="00EE21F8">
      <w:pPr>
        <w:pStyle w:val="NormalBold"/>
      </w:pPr>
      <w:r>
        <w:rPr>
          <w:rStyle w:val="HideTWBExt"/>
        </w:rPr>
        <w:t>&lt;Article&gt;</w:t>
      </w:r>
      <w:r>
        <w:t>35 preambulumbekezdés</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trHeight w:val="240"/>
          <w:jc w:val="center"/>
        </w:trPr>
        <w:tc>
          <w:tcPr>
            <w:tcW w:w="9752" w:type="dxa"/>
            <w:gridSpan w:val="2"/>
          </w:tcPr>
          <w:p w:rsidR="00EE21F8" w:rsidRPr="00EE21F8" w:rsidRDefault="00EE21F8" w:rsidP="00012261"/>
        </w:tc>
      </w:tr>
      <w:tr w:rsidR="00C34615" w:rsidTr="00012261">
        <w:trPr>
          <w:trHeight w:val="240"/>
          <w:jc w:val="center"/>
        </w:trPr>
        <w:tc>
          <w:tcPr>
            <w:tcW w:w="4876" w:type="dxa"/>
            <w:hideMark/>
          </w:tcPr>
          <w:p w:rsidR="00EE21F8" w:rsidRPr="00EE21F8" w:rsidRDefault="003009C8" w:rsidP="00012261">
            <w:pPr>
              <w:pStyle w:val="AmColumnHeading"/>
            </w:pPr>
            <w:r>
              <w:t>A Bizottság által javasolt szöveg</w:t>
            </w:r>
          </w:p>
        </w:tc>
        <w:tc>
          <w:tcPr>
            <w:tcW w:w="4876" w:type="dxa"/>
            <w:hideMark/>
          </w:tcPr>
          <w:p w:rsidR="00EE21F8" w:rsidRPr="00EE21F8" w:rsidRDefault="003009C8" w:rsidP="00012261">
            <w:pPr>
              <w:pStyle w:val="AmColumnHeading"/>
            </w:pPr>
            <w:r>
              <w:t>Módosítás</w:t>
            </w:r>
          </w:p>
        </w:tc>
      </w:tr>
      <w:tr w:rsidR="00C34615" w:rsidTr="00012261">
        <w:trPr>
          <w:jc w:val="center"/>
        </w:trPr>
        <w:tc>
          <w:tcPr>
            <w:tcW w:w="4876" w:type="dxa"/>
            <w:hideMark/>
          </w:tcPr>
          <w:p w:rsidR="00EE21F8" w:rsidRPr="00EE21F8" w:rsidRDefault="003009C8" w:rsidP="00012261">
            <w:pPr>
              <w:pStyle w:val="Normal6a"/>
            </w:pPr>
            <w:r>
              <w:t>(35)</w:t>
            </w:r>
            <w:r>
              <w:tab/>
              <w:t xml:space="preserve">A minősített bizalmi szolgáltatóként való tanúsításnak jogbiztonságot kell nyújtania az elektronikus főkönyvekre </w:t>
            </w:r>
            <w:r>
              <w:t>épülő felhasználási esetekben. Az elektronikus főkönyvekhez és a minősített elektronikus főkönyvekhez kapcsolódó bizalmi szolgáltatásnak és az elektronikus főkönyvek minősített bizalmi szolgáltatójaként való tanúsításnak az uniós jognak vagy az uniós jogga</w:t>
            </w:r>
            <w:r>
              <w:t xml:space="preserve">l </w:t>
            </w:r>
            <w:r>
              <w:lastRenderedPageBreak/>
              <w:t>összhangban lévő nemzeti jognak való megfeleléshez kapcsolódó felhasználási esetek iránti igénytől függetlennek kell lennie. A személyes adatok kezelésével járó eseteknek meg kell felelniük az (EU) 2016/679 rendeletnek. A kriptoeszközöket érintő felhaszn</w:t>
            </w:r>
            <w:r>
              <w:t>álási eseteknek összeegyeztethetőnek kell lenniük az összes alkalmazandó pénzügyi szabállyal, például a pénzügyi eszközök piacairól szóló irányelvvel</w:t>
            </w:r>
            <w:r>
              <w:rPr>
                <w:rStyle w:val="Sup"/>
              </w:rPr>
              <w:t>23</w:t>
            </w:r>
            <w:r>
              <w:t>, a pénzforgalmi szolgáltatásokról szóló irányelvvel</w:t>
            </w:r>
            <w:r>
              <w:rPr>
                <w:rStyle w:val="Sup"/>
              </w:rPr>
              <w:t>24</w:t>
            </w:r>
            <w:r>
              <w:t xml:space="preserve"> és a kriptoeszközök piacairól szóló jövőbeli rende</w:t>
            </w:r>
            <w:r>
              <w:t>lettel</w:t>
            </w:r>
            <w:r>
              <w:rPr>
                <w:rStyle w:val="Sup"/>
              </w:rPr>
              <w:t>25</w:t>
            </w:r>
            <w:r>
              <w:t>.</w:t>
            </w:r>
          </w:p>
        </w:tc>
        <w:tc>
          <w:tcPr>
            <w:tcW w:w="4876" w:type="dxa"/>
            <w:hideMark/>
          </w:tcPr>
          <w:p w:rsidR="00EE21F8" w:rsidRPr="00EE21F8" w:rsidRDefault="003009C8" w:rsidP="00012261">
            <w:pPr>
              <w:pStyle w:val="Normal6a"/>
            </w:pPr>
            <w:r>
              <w:lastRenderedPageBreak/>
              <w:t>(35)</w:t>
            </w:r>
            <w:r>
              <w:tab/>
              <w:t>A minősített bizalmi szolgáltatóként való tanúsításnak jogbiztonságot kell nyújtania az elektronikus főkönyvekre épülő felhasználási esetekben. Az elektronikus főkönyvekhez és a minősített elektronikus főkönyvekhez kapcsolódó bizalmi szolgál</w:t>
            </w:r>
            <w:r>
              <w:t xml:space="preserve">tatásnak és az elektronikus főkönyvek minősített bizalmi szolgáltatójaként való tanúsításnak az uniós jognak vagy az uniós joggal </w:t>
            </w:r>
            <w:r>
              <w:lastRenderedPageBreak/>
              <w:t>összhangban lévő nemzeti jognak való megfeleléshez kapcsolódó felhasználási esetek iránti igénytől függetlennek kell lennie. A</w:t>
            </w:r>
            <w:r>
              <w:t xml:space="preserve"> személyes adatok kezelésével járó eseteknek meg kell felelniük az (EU) 2016/679 rendeletnek. A kriptoeszközöket érintő felhasználási eseteknek összeegyeztethetőnek kell lenniük az összes alkalmazandó pénzügyi szabállyal, például a pénzügyi eszközök piacai</w:t>
            </w:r>
            <w:r>
              <w:t>ról szóló irányelvvel</w:t>
            </w:r>
            <w:r>
              <w:rPr>
                <w:rStyle w:val="Sup"/>
              </w:rPr>
              <w:t>23</w:t>
            </w:r>
            <w:r>
              <w:t>, a pénzforgalmi szolgáltatásokról szóló irányelvvel</w:t>
            </w:r>
            <w:r>
              <w:rPr>
                <w:rStyle w:val="SupBoldItalic"/>
              </w:rPr>
              <w:t>24</w:t>
            </w:r>
            <w:r>
              <w:t xml:space="preserve"> és a kriptoeszközök piacairól szóló jövőbeli rendelettel</w:t>
            </w:r>
            <w:r>
              <w:rPr>
                <w:rStyle w:val="Sup"/>
              </w:rPr>
              <w:t>25</w:t>
            </w:r>
            <w:r>
              <w:rPr>
                <w:b/>
                <w:i/>
              </w:rPr>
              <w:t>, a pénzátutalásról szóló rendelettel</w:t>
            </w:r>
            <w:r>
              <w:rPr>
                <w:rStyle w:val="SupBoldItalic"/>
              </w:rPr>
              <w:t>25a</w:t>
            </w:r>
            <w:r>
              <w:t>.</w:t>
            </w:r>
          </w:p>
        </w:tc>
      </w:tr>
      <w:tr w:rsidR="00C34615" w:rsidTr="00012261">
        <w:trPr>
          <w:jc w:val="center"/>
        </w:trPr>
        <w:tc>
          <w:tcPr>
            <w:tcW w:w="4876" w:type="dxa"/>
            <w:hideMark/>
          </w:tcPr>
          <w:p w:rsidR="00EE21F8" w:rsidRPr="00EE21F8" w:rsidRDefault="003009C8" w:rsidP="00012261">
            <w:pPr>
              <w:pStyle w:val="Normal6a"/>
            </w:pPr>
            <w:r>
              <w:rPr>
                <w:b/>
                <w:i/>
              </w:rPr>
              <w:lastRenderedPageBreak/>
              <w:t>_________________</w:t>
            </w:r>
          </w:p>
        </w:tc>
        <w:tc>
          <w:tcPr>
            <w:tcW w:w="4876" w:type="dxa"/>
            <w:hideMark/>
          </w:tcPr>
          <w:p w:rsidR="00EE21F8" w:rsidRPr="00EE21F8" w:rsidRDefault="003009C8" w:rsidP="00012261">
            <w:pPr>
              <w:pStyle w:val="Normal6a"/>
            </w:pPr>
            <w:r>
              <w:rPr>
                <w:b/>
                <w:i/>
              </w:rPr>
              <w:t>_________________</w:t>
            </w:r>
          </w:p>
        </w:tc>
      </w:tr>
      <w:tr w:rsidR="00C34615" w:rsidTr="00012261">
        <w:trPr>
          <w:jc w:val="center"/>
        </w:trPr>
        <w:tc>
          <w:tcPr>
            <w:tcW w:w="4876" w:type="dxa"/>
            <w:hideMark/>
          </w:tcPr>
          <w:p w:rsidR="00EE21F8" w:rsidRPr="00EE21F8" w:rsidRDefault="003009C8" w:rsidP="00012261">
            <w:pPr>
              <w:pStyle w:val="Normal6a"/>
            </w:pPr>
            <w:r>
              <w:rPr>
                <w:rStyle w:val="Sup"/>
              </w:rPr>
              <w:t>23</w:t>
            </w:r>
            <w:r>
              <w:t xml:space="preserve"> Az Európai Parlament és a Tanács 2014/65/EU irányelve (2014. május 15.) a pénzügyi eszközök piacairól, valamint a 2002/92/EK irányelv és a 2011/61/EU irányelv módosításáról, EGT-vonatkozású szöveg (HL L 173., 2014.6.12., 349. o.).</w:t>
            </w:r>
          </w:p>
        </w:tc>
        <w:tc>
          <w:tcPr>
            <w:tcW w:w="4876" w:type="dxa"/>
            <w:hideMark/>
          </w:tcPr>
          <w:p w:rsidR="00EE21F8" w:rsidRPr="00EE21F8" w:rsidRDefault="003009C8" w:rsidP="00012261">
            <w:pPr>
              <w:pStyle w:val="Normal6a"/>
            </w:pPr>
            <w:r>
              <w:rPr>
                <w:rStyle w:val="Sup"/>
              </w:rPr>
              <w:t>23</w:t>
            </w:r>
            <w:r>
              <w:t xml:space="preserve"> Az Európai Parlament </w:t>
            </w:r>
            <w:r>
              <w:t>és a Tanács 2014/65/EU irányelve (2014. május 15.) a pénzügyi eszközök piacairól, valamint a 2002/92/EK irányelv és a 2011/61/EU irányelv módosításáról, EGT-vonatkozású szöveg (HL L 173., 2014.6.12., 349. o.).</w:t>
            </w:r>
          </w:p>
        </w:tc>
      </w:tr>
      <w:tr w:rsidR="00C34615" w:rsidTr="00012261">
        <w:trPr>
          <w:jc w:val="center"/>
        </w:trPr>
        <w:tc>
          <w:tcPr>
            <w:tcW w:w="4876" w:type="dxa"/>
            <w:hideMark/>
          </w:tcPr>
          <w:p w:rsidR="00EE21F8" w:rsidRPr="00EE21F8" w:rsidRDefault="003009C8" w:rsidP="00012261">
            <w:pPr>
              <w:pStyle w:val="Normal6a"/>
            </w:pPr>
            <w:r>
              <w:rPr>
                <w:rStyle w:val="Sup"/>
              </w:rPr>
              <w:t>24</w:t>
            </w:r>
            <w:r>
              <w:t>Az Európai Parlament és a Tanács (EU) 2015/</w:t>
            </w:r>
            <w:r>
              <w:t>2366 irányelve (2015. november 25.) a belső piaci pénzforgalmi szolgáltatásokról és a 2002/65/EK, a 2009/110/EK és a 2013/36/EU irányelv és az 1093/2010/EU rendelet módosításáról, valamint a 2007/64/EK irányelv hatályon kívül helyezéséről (HL L 337., 2015.</w:t>
            </w:r>
            <w:r>
              <w:t>12.23., 35. o.).</w:t>
            </w:r>
          </w:p>
        </w:tc>
        <w:tc>
          <w:tcPr>
            <w:tcW w:w="4876" w:type="dxa"/>
            <w:hideMark/>
          </w:tcPr>
          <w:p w:rsidR="00EE21F8" w:rsidRPr="00EE21F8" w:rsidRDefault="003009C8" w:rsidP="00012261">
            <w:pPr>
              <w:pStyle w:val="Normal6a"/>
            </w:pPr>
            <w:r>
              <w:rPr>
                <w:rStyle w:val="SupBoldItalic"/>
                <w:b w:val="0"/>
                <w:i w:val="0"/>
              </w:rPr>
              <w:t>24</w:t>
            </w:r>
            <w:r>
              <w:t>Az Európai Parlament és a Tanács (EU) 2015/2366 irányelve (2015. november 25.) a belső piaci pénzforgalmi szolgáltatásokról és a 2002/65/EK, a 2009/110/EK és a 2013/36/EU irányelv és az 1093/2010/EU rendelet módosításáról, valamint a 200</w:t>
            </w:r>
            <w:r>
              <w:t>7/64/EK irányelv hatályon kívül helyezéséről (HL L 337., 2015.12.23., 35. o.).</w:t>
            </w:r>
          </w:p>
        </w:tc>
      </w:tr>
      <w:tr w:rsidR="00C34615" w:rsidTr="00012261">
        <w:trPr>
          <w:jc w:val="center"/>
        </w:trPr>
        <w:tc>
          <w:tcPr>
            <w:tcW w:w="4876" w:type="dxa"/>
            <w:hideMark/>
          </w:tcPr>
          <w:p w:rsidR="00EE21F8" w:rsidRPr="00EE21F8" w:rsidRDefault="003009C8" w:rsidP="00012261">
            <w:pPr>
              <w:pStyle w:val="Normal6a"/>
            </w:pPr>
            <w:r>
              <w:rPr>
                <w:rStyle w:val="Sup"/>
              </w:rPr>
              <w:t>25</w:t>
            </w:r>
            <w:r>
              <w:t>Javaslat – Az Európai Parlament és a Tanács rendelete a kriptoeszközök piacairól és az (EU) 2019/1937 irányelv módosításáról, COM(2020) 593 final.</w:t>
            </w:r>
          </w:p>
        </w:tc>
        <w:tc>
          <w:tcPr>
            <w:tcW w:w="4876" w:type="dxa"/>
            <w:hideMark/>
          </w:tcPr>
          <w:p w:rsidR="00EE21F8" w:rsidRPr="00EE21F8" w:rsidRDefault="003009C8" w:rsidP="00012261">
            <w:pPr>
              <w:pStyle w:val="Normal6a"/>
            </w:pPr>
            <w:r>
              <w:rPr>
                <w:rStyle w:val="Sup"/>
              </w:rPr>
              <w:t>25</w:t>
            </w:r>
            <w:r>
              <w:t xml:space="preserve">Javaslat – Az Európai </w:t>
            </w:r>
            <w:r>
              <w:t>Parlament és a Tanács rendelete a kriptoeszközök piacairól és az (EU) 2019/1937 irányelv módosításáról, COM(2020) 593 final.</w:t>
            </w:r>
          </w:p>
        </w:tc>
      </w:tr>
      <w:tr w:rsidR="00C34615" w:rsidTr="00012261">
        <w:trPr>
          <w:jc w:val="center"/>
        </w:trPr>
        <w:tc>
          <w:tcPr>
            <w:tcW w:w="4876" w:type="dxa"/>
          </w:tcPr>
          <w:p w:rsidR="00EE21F8" w:rsidRPr="00EE21F8" w:rsidRDefault="00EE21F8" w:rsidP="00012261">
            <w:pPr>
              <w:pStyle w:val="Normal6a"/>
            </w:pPr>
          </w:p>
        </w:tc>
        <w:tc>
          <w:tcPr>
            <w:tcW w:w="4876" w:type="dxa"/>
            <w:hideMark/>
          </w:tcPr>
          <w:p w:rsidR="00EE21F8" w:rsidRPr="00EE21F8" w:rsidRDefault="003009C8" w:rsidP="00012261">
            <w:pPr>
              <w:pStyle w:val="Normal6a"/>
            </w:pPr>
            <w:r>
              <w:rPr>
                <w:rStyle w:val="SupBoldItalic"/>
              </w:rPr>
              <w:t>25a</w:t>
            </w:r>
            <w:r>
              <w:t xml:space="preserve"> </w:t>
            </w:r>
            <w:r>
              <w:rPr>
                <w:b/>
                <w:i/>
              </w:rPr>
              <w:t>Javaslat a pénzátutalásokat és egyes kriptoeszköz-átutalásokat kísérő adatokról szóló európai parlamenti és tanácsi rendeletr</w:t>
            </w:r>
            <w:r>
              <w:rPr>
                <w:b/>
                <w:i/>
              </w:rPr>
              <w:t>e (átdolgozás), 2021/0241(COD).</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14</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lastRenderedPageBreak/>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3 pont – i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 xml:space="preserve">3 cikk – 1 </w:t>
      </w:r>
      <w:r>
        <w:t>bekezdés – 42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42.</w:t>
            </w:r>
            <w:r>
              <w:tab/>
            </w:r>
            <w:r>
              <w:rPr>
                <w:b/>
                <w:i/>
              </w:rPr>
              <w:t>olyan termék és szolgáltatás</w:t>
            </w:r>
            <w:r>
              <w:t xml:space="preserve">, amely lehetővé teszi a felhasználó számára, hogy a személyazonosságához kapcsolódó </w:t>
            </w:r>
            <w:r>
              <w:rPr>
                <w:b/>
                <w:i/>
              </w:rPr>
              <w:t>személyazonosító adatokat</w:t>
            </w:r>
            <w:r>
              <w:t xml:space="preserve">, hitelesítő </w:t>
            </w:r>
            <w:r>
              <w:rPr>
                <w:b/>
                <w:i/>
              </w:rPr>
              <w:t>adatokat</w:t>
            </w:r>
            <w:r>
              <w:t xml:space="preserve"> és </w:t>
            </w:r>
            <w:r>
              <w:rPr>
                <w:b/>
                <w:i/>
              </w:rPr>
              <w:t>attribútumokat tároljon</w:t>
            </w:r>
            <w:r>
              <w:t xml:space="preserve">, azokat kérésre </w:t>
            </w:r>
            <w:r>
              <w:rPr>
                <w:b/>
                <w:i/>
              </w:rPr>
              <w:t>az</w:t>
            </w:r>
            <w:r>
              <w:t xml:space="preserve"> igénybe vevő felek rendelkezésére bocsássa és a 6a. cikkel összhangban online és offline hitelesítésre használja</w:t>
            </w:r>
            <w:r>
              <w:rPr>
                <w:b/>
                <w:i/>
              </w:rPr>
              <w:t>, valamint minősített elektronikus aláírásokat és bélyegzőket hozzon létre;</w:t>
            </w:r>
            <w:r>
              <w:t xml:space="preserve"> »attribútum«:</w:t>
            </w:r>
          </w:p>
        </w:tc>
        <w:tc>
          <w:tcPr>
            <w:tcW w:w="4876" w:type="dxa"/>
            <w:hideMark/>
          </w:tcPr>
          <w:p w:rsidR="00EE21F8" w:rsidRPr="00EE21F8" w:rsidRDefault="003009C8" w:rsidP="00012261">
            <w:pPr>
              <w:pStyle w:val="Normal6"/>
              <w:rPr>
                <w:szCs w:val="24"/>
              </w:rPr>
            </w:pPr>
            <w:r>
              <w:t>42.</w:t>
            </w:r>
            <w:r>
              <w:tab/>
            </w:r>
            <w:r>
              <w:rPr>
                <w:b/>
                <w:i/>
              </w:rPr>
              <w:t>»európa</w:t>
            </w:r>
            <w:r>
              <w:rPr>
                <w:b/>
                <w:i/>
              </w:rPr>
              <w:t>i digitális személyiadat-tárca«: olyan elektronikus azonosító eszköz</w:t>
            </w:r>
            <w:r>
              <w:t xml:space="preserve">, amely lehetővé teszi a felhasználó számára, hogy </w:t>
            </w:r>
            <w:r>
              <w:rPr>
                <w:b/>
                <w:i/>
              </w:rPr>
              <w:t xml:space="preserve">egy </w:t>
            </w:r>
            <w:r>
              <w:t xml:space="preserve">a </w:t>
            </w:r>
            <w:r>
              <w:rPr>
                <w:b/>
                <w:i/>
              </w:rPr>
              <w:t xml:space="preserve">felhasználó ellenőrzése alatt álló eszközön személyazonosító adatokat tároljon és kezeljen, valamint lehetővé teszi a felhasználó </w:t>
            </w:r>
            <w:r>
              <w:t>s</w:t>
            </w:r>
            <w:r>
              <w:t xml:space="preserve">zemélyazonosságához kapcsolódó </w:t>
            </w:r>
            <w:r>
              <w:rPr>
                <w:b/>
                <w:i/>
              </w:rPr>
              <w:t>személyes adatok</w:t>
            </w:r>
            <w:r>
              <w:t xml:space="preserve">, hitelesítő </w:t>
            </w:r>
            <w:r>
              <w:rPr>
                <w:b/>
                <w:i/>
              </w:rPr>
              <w:t>adatok</w:t>
            </w:r>
            <w:r>
              <w:t xml:space="preserve"> és </w:t>
            </w:r>
            <w:r>
              <w:rPr>
                <w:b/>
                <w:i/>
              </w:rPr>
              <w:t>attribútumok megosztásához való hozzájárulás kifejezett megerősítését</w:t>
            </w:r>
            <w:r>
              <w:t xml:space="preserve">, </w:t>
            </w:r>
            <w:r>
              <w:rPr>
                <w:b/>
                <w:i/>
              </w:rPr>
              <w:t xml:space="preserve">hogy </w:t>
            </w:r>
            <w:r>
              <w:t xml:space="preserve">azokat kérésre </w:t>
            </w:r>
            <w:r>
              <w:rPr>
                <w:b/>
                <w:i/>
              </w:rPr>
              <w:t>szelektív módon megfelelően nyilvántartásba vett</w:t>
            </w:r>
            <w:r>
              <w:t xml:space="preserve"> igénybe vevő felek rendelkezésére bocsássa és </w:t>
            </w:r>
            <w:r>
              <w:t>a 6a. cikkel összhangban online és offline hitelesítésre használja</w:t>
            </w:r>
            <w:r>
              <w:rPr>
                <w:b/>
                <w:i/>
              </w:rPr>
              <w:t>;</w:t>
            </w:r>
            <w:r>
              <w:t xml:space="preserve"> valamint minősített elektronikus aláírásokat és bélyegzőket hozzon létre;</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15</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w:t>
      </w:r>
      <w:r>
        <w:t xml:space="preserve"> 1 bekezdés – 3 pont – i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3 cikk – 1 bekezdés – 43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43.</w:t>
            </w:r>
            <w:r>
              <w:tab/>
            </w:r>
            <w:r>
              <w:rPr>
                <w:b/>
                <w:i/>
              </w:rPr>
              <w:t>természetes</w:t>
            </w:r>
            <w:r>
              <w:t xml:space="preserve"> vagy jogi személy, illetve szervezet </w:t>
            </w:r>
            <w:r>
              <w:rPr>
                <w:b/>
                <w:i/>
              </w:rPr>
              <w:t>jellemzője</w:t>
            </w:r>
            <w:r>
              <w:t xml:space="preserve">, </w:t>
            </w:r>
            <w:r>
              <w:rPr>
                <w:b/>
                <w:i/>
              </w:rPr>
              <w:t>tulajdonsága</w:t>
            </w:r>
            <w:r>
              <w:t xml:space="preserve"> vagy </w:t>
            </w:r>
            <w:r>
              <w:rPr>
                <w:b/>
                <w:i/>
              </w:rPr>
              <w:t>sajátossága</w:t>
            </w:r>
            <w:r>
              <w:t xml:space="preserve"> elektronikus </w:t>
            </w:r>
            <w:r>
              <w:rPr>
                <w:b/>
                <w:i/>
              </w:rPr>
              <w:t>formában</w:t>
            </w:r>
            <w:r>
              <w:t>;</w:t>
            </w:r>
            <w:r>
              <w:rPr>
                <w:b/>
                <w:i/>
              </w:rPr>
              <w:t xml:space="preserve"> »elektronikus attribútumtanúsítvány«:</w:t>
            </w:r>
          </w:p>
        </w:tc>
        <w:tc>
          <w:tcPr>
            <w:tcW w:w="4876" w:type="dxa"/>
            <w:hideMark/>
          </w:tcPr>
          <w:p w:rsidR="00EE21F8" w:rsidRPr="00EE21F8" w:rsidRDefault="003009C8" w:rsidP="00012261">
            <w:pPr>
              <w:pStyle w:val="Normal6"/>
              <w:rPr>
                <w:szCs w:val="24"/>
              </w:rPr>
            </w:pPr>
            <w:r>
              <w:t>43.</w:t>
            </w:r>
            <w:r>
              <w:tab/>
            </w:r>
            <w:r>
              <w:rPr>
                <w:b/>
                <w:i/>
              </w:rPr>
              <w:t>»attribútum«: természetes</w:t>
            </w:r>
            <w:r>
              <w:t xml:space="preserve"> vagy jogi személy, illetve szervezet </w:t>
            </w:r>
            <w:r>
              <w:rPr>
                <w:b/>
                <w:i/>
              </w:rPr>
              <w:t>jellemzőjének</w:t>
            </w:r>
            <w:r>
              <w:t xml:space="preserve">, </w:t>
            </w:r>
            <w:r>
              <w:rPr>
                <w:b/>
                <w:i/>
              </w:rPr>
              <w:t>tulajdonságának</w:t>
            </w:r>
            <w:r>
              <w:t xml:space="preserve"> vagy </w:t>
            </w:r>
            <w:r>
              <w:rPr>
                <w:b/>
                <w:i/>
              </w:rPr>
              <w:t>sajátosságának</w:t>
            </w:r>
            <w:r>
              <w:t xml:space="preserve"> elektronikus </w:t>
            </w:r>
            <w:r>
              <w:rPr>
                <w:b/>
                <w:i/>
              </w:rPr>
              <w:t>megjelenítése</w:t>
            </w:r>
            <w:r>
              <w: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w:t>
      </w:r>
      <w:r>
        <w:t>dosítás</w:t>
      </w:r>
      <w:r>
        <w:tab/>
      </w:r>
      <w:r>
        <w:tab/>
      </w:r>
      <w:r>
        <w:rPr>
          <w:rStyle w:val="HideTWBExt"/>
          <w:b w:val="0"/>
        </w:rPr>
        <w:t>&lt;NumAm&gt;</w:t>
      </w:r>
      <w:r>
        <w:t>16</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3 pont – i pont</w:t>
      </w:r>
      <w:r>
        <w:rPr>
          <w:rStyle w:val="HideTWBExt"/>
          <w:b w:val="0"/>
        </w:rPr>
        <w:t>&lt;/Article&gt;</w:t>
      </w:r>
    </w:p>
    <w:p w:rsidR="00EE21F8" w:rsidRPr="00EE21F8" w:rsidRDefault="003009C8" w:rsidP="00EE21F8">
      <w:pPr>
        <w:keepNext/>
      </w:pPr>
      <w:r>
        <w:rPr>
          <w:rStyle w:val="HideTWBExt"/>
        </w:rPr>
        <w:lastRenderedPageBreak/>
        <w:t>&lt;DocAmend2&gt;</w:t>
      </w:r>
      <w:r>
        <w:t>910/2014/EU rendelet</w:t>
      </w:r>
      <w:r>
        <w:rPr>
          <w:rStyle w:val="HideTWBExt"/>
        </w:rPr>
        <w:t>&lt;/DocAmend2&gt;</w:t>
      </w:r>
    </w:p>
    <w:p w:rsidR="00EE21F8" w:rsidRPr="00EE21F8" w:rsidRDefault="003009C8" w:rsidP="00EE21F8">
      <w:r>
        <w:rPr>
          <w:rStyle w:val="HideTWBExt"/>
        </w:rPr>
        <w:t>&lt;Article2&gt;</w:t>
      </w:r>
      <w:r>
        <w:t>3 cikk – 1 bekezdés – 55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 xml:space="preserve">A Bizottság által </w:t>
            </w:r>
            <w:r>
              <w:t>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55.</w:t>
            </w:r>
            <w:r>
              <w:tab/>
            </w:r>
            <w:r>
              <w:rPr>
                <w:b/>
                <w:i/>
              </w:rPr>
              <w:t>olyan</w:t>
            </w:r>
            <w:r>
              <w:t xml:space="preserve"> folyamat, amelynek során személyazonosító adatokat vagy személyazonosító eszközöket az ugyanahhoz a személyhez tartozó meglévő fiókkal párosítanak vagy ahhoz kapcsolnak.”</w:t>
            </w:r>
          </w:p>
        </w:tc>
        <w:tc>
          <w:tcPr>
            <w:tcW w:w="4876" w:type="dxa"/>
            <w:hideMark/>
          </w:tcPr>
          <w:p w:rsidR="00EE21F8" w:rsidRPr="00EE21F8" w:rsidRDefault="003009C8" w:rsidP="00012261">
            <w:pPr>
              <w:pStyle w:val="Normal6"/>
              <w:rPr>
                <w:szCs w:val="24"/>
              </w:rPr>
            </w:pPr>
            <w:r>
              <w:t>55.</w:t>
            </w:r>
            <w:r>
              <w:tab/>
            </w:r>
            <w:r>
              <w:rPr>
                <w:b/>
                <w:i/>
              </w:rPr>
              <w:t>„személyazonosság megfeleltetése”: olyan</w:t>
            </w:r>
            <w:r>
              <w:t xml:space="preserve"> folyamat, amelynek során személyazonosító adatokat vagy személyazonosító eszközöket az ugyanahhoz a személyhez tartozó meglévő fiókkal párosítanak vagy ahhoz kapcsolnak.”</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17</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w:t>
      </w:r>
      <w:r>
        <w:t>t</w:t>
      </w:r>
      <w:r>
        <w:rPr>
          <w:rStyle w:val="HideTWBExt"/>
          <w:b w:val="0"/>
        </w:rPr>
        <w:t>&lt;/DocAmend&gt;</w:t>
      </w:r>
    </w:p>
    <w:p w:rsidR="00EE21F8" w:rsidRPr="00EE21F8" w:rsidRDefault="003009C8" w:rsidP="00EE21F8">
      <w:pPr>
        <w:pStyle w:val="NormalBold"/>
      </w:pPr>
      <w:r>
        <w:rPr>
          <w:rStyle w:val="HideTWBExt"/>
          <w:b w:val="0"/>
        </w:rPr>
        <w:t>&lt;Article&gt;</w:t>
      </w:r>
      <w:r>
        <w:t>1 cikk – 1 bekezdés – 4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5 cikk – cím</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Elektronikus tranzakciókban használt álnevek</w:t>
            </w:r>
          </w:p>
        </w:tc>
        <w:tc>
          <w:tcPr>
            <w:tcW w:w="4876" w:type="dxa"/>
            <w:hideMark/>
          </w:tcPr>
          <w:p w:rsidR="00EE21F8" w:rsidRPr="00EE21F8" w:rsidRDefault="003009C8" w:rsidP="00012261">
            <w:pPr>
              <w:pStyle w:val="Normal6"/>
              <w:rPr>
                <w:szCs w:val="24"/>
              </w:rPr>
            </w:pPr>
            <w:r>
              <w:rPr>
                <w:b/>
                <w:i/>
              </w:rPr>
              <w:t xml:space="preserve">A személyes adatok védelme, valamint az </w:t>
            </w:r>
            <w:r>
              <w:t>elektronikus tranzakciókban használt álnevek</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18</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4 pont</w:t>
      </w:r>
      <w:r>
        <w:rPr>
          <w:rStyle w:val="HideTWBExt"/>
          <w:b w:val="0"/>
        </w:rPr>
        <w:t>&lt;/Article&gt;</w:t>
      </w:r>
    </w:p>
    <w:p w:rsidR="00EE21F8" w:rsidRPr="00EE21F8" w:rsidRDefault="003009C8" w:rsidP="00EE21F8">
      <w:pPr>
        <w:keepNext/>
      </w:pPr>
      <w:r>
        <w:rPr>
          <w:rStyle w:val="HideTWBExt"/>
        </w:rPr>
        <w:t>&lt;DocAmend2&gt;</w:t>
      </w:r>
      <w:r>
        <w:t xml:space="preserve">910/2014/EU </w:t>
      </w:r>
      <w:r>
        <w:t>rendelet</w:t>
      </w:r>
      <w:r>
        <w:rPr>
          <w:rStyle w:val="HideTWBExt"/>
        </w:rPr>
        <w:t>&lt;/DocAmend2&gt;</w:t>
      </w:r>
    </w:p>
    <w:p w:rsidR="00EE21F8" w:rsidRPr="00EE21F8" w:rsidRDefault="003009C8" w:rsidP="00EE21F8">
      <w:r>
        <w:rPr>
          <w:rStyle w:val="HideTWBExt"/>
        </w:rPr>
        <w:t>&lt;Article2&gt;</w:t>
      </w:r>
      <w:r>
        <w:t>5 cikk – 1 bekezdés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 xml:space="preserve">Az </w:t>
            </w:r>
            <w:r>
              <w:rPr>
                <w:b/>
                <w:i/>
              </w:rPr>
              <w:t>álnevek nemzeti jog szerinti joghatásának sérelme nélkül</w:t>
            </w:r>
            <w:r>
              <w:t xml:space="preserve">, </w:t>
            </w:r>
            <w:r>
              <w:rPr>
                <w:b/>
                <w:i/>
              </w:rPr>
              <w:t>nem tilos</w:t>
            </w:r>
            <w:r>
              <w:t xml:space="preserve"> az </w:t>
            </w:r>
            <w:r>
              <w:rPr>
                <w:b/>
                <w:i/>
              </w:rPr>
              <w:t>álnevek elektronikus tranzakciók során való használata</w:t>
            </w:r>
            <w:r>
              <w:t>.</w:t>
            </w:r>
          </w:p>
        </w:tc>
        <w:tc>
          <w:tcPr>
            <w:tcW w:w="4876" w:type="dxa"/>
            <w:hideMark/>
          </w:tcPr>
          <w:p w:rsidR="00EE21F8" w:rsidRPr="00EE21F8" w:rsidRDefault="003009C8" w:rsidP="00012261">
            <w:pPr>
              <w:pStyle w:val="Normal6"/>
              <w:rPr>
                <w:szCs w:val="24"/>
              </w:rPr>
            </w:pPr>
            <w:r>
              <w:rPr>
                <w:b/>
                <w:i/>
              </w:rPr>
              <w:t>(1)</w:t>
            </w:r>
            <w:r>
              <w:tab/>
            </w:r>
            <w:r>
              <w:rPr>
                <w:b/>
                <w:i/>
              </w:rPr>
              <w:t>A személyes adatok kezelését az (EU) 2016/679 és az (EU) 2018/1725 rendelettel, valamint adott esetben a 2002/58/EK irányelvvel összhangban kell végezni az adatminimalizálás, a célhoz kötöttség, valamint a beépített és alapértelmezett adatvédelem elvének v</w:t>
            </w:r>
            <w:r>
              <w:rPr>
                <w:b/>
                <w:i/>
              </w:rPr>
              <w:t xml:space="preserve">égrehajtása révén, különös tekintettel az e rendelet és az interoperabilitási keret végrehajtására irányuló technikai intézkedésekre, az említett rendelet 12. </w:t>
            </w:r>
            <w:r>
              <w:rPr>
                <w:b/>
                <w:i/>
              </w:rPr>
              <w:lastRenderedPageBreak/>
              <w:t>cikkével összhangban.</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(2)</w:t>
            </w:r>
            <w:r>
              <w:t xml:space="preserve"> </w:t>
            </w:r>
            <w:r>
              <w:tab/>
            </w:r>
            <w:r>
              <w:rPr>
                <w:b/>
                <w:i/>
              </w:rPr>
              <w:t xml:space="preserve">Az álnevek nemzeti jog szerinti joghatásának sérelme nélkül, </w:t>
            </w:r>
            <w:r>
              <w:rPr>
                <w:b/>
                <w:i/>
              </w:rPr>
              <w:t>engedélyezni kell az álnevek elektronikus tranzakciók során való használatát. Minden esetben lehetővé kell tenni a felhasználó által szabadon választott álnevek használatára valamely egyedi azonosító helyettesítése céljából, amennyiben az uniós vagy a nemz</w:t>
            </w:r>
            <w:r>
              <w:rPr>
                <w:b/>
                <w:i/>
              </w:rPr>
              <w:t>eti jog nem írja elő a felhasználó azonosítását.</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(3) </w:t>
            </w:r>
            <w:r>
              <w:tab/>
            </w:r>
            <w:r>
              <w:rPr>
                <w:b/>
                <w:i/>
              </w:rPr>
              <w:t>Az igénybe vevő felek észszerű erőfeszítéseket tesznek annak érdekében, hogy szolgáltatásaik elektronikus azonosítás vagy hitelesítés nélkül is igénybe vehetők legyenek.</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rPr>
        <w:t>&lt;Amend&gt;</w:t>
      </w:r>
      <w:r>
        <w:t>Módosítás</w:t>
      </w:r>
      <w:r>
        <w:tab/>
      </w:r>
      <w:r>
        <w:tab/>
      </w:r>
      <w:r>
        <w:rPr>
          <w:rStyle w:val="HideTWBExt"/>
        </w:rPr>
        <w:t>&lt;N</w:t>
      </w:r>
      <w:r>
        <w:rPr>
          <w:rStyle w:val="HideTWBExt"/>
        </w:rPr>
        <w:t>umAm&gt;</w:t>
      </w:r>
      <w:r>
        <w:t>19</w:t>
      </w:r>
      <w:r>
        <w:rPr>
          <w:rStyle w:val="HideTWBExt"/>
        </w:rPr>
        <w:t>&lt;/NumAm&gt;</w:t>
      </w:r>
    </w:p>
    <w:p w:rsidR="00EE21F8" w:rsidRPr="00EE21F8" w:rsidRDefault="003009C8" w:rsidP="00EE21F8">
      <w:pPr>
        <w:pStyle w:val="NormalBold12b"/>
      </w:pPr>
      <w:r>
        <w:rPr>
          <w:rStyle w:val="HideTWBExt"/>
        </w:rPr>
        <w:t>&lt;DocAmend&gt;</w:t>
      </w:r>
      <w:r>
        <w:t>Rendeletre irányuló javaslat</w:t>
      </w:r>
      <w:r>
        <w:rPr>
          <w:rStyle w:val="HideTWBExt"/>
        </w:rPr>
        <w:t>&lt;/DocAmend&gt;</w:t>
      </w:r>
    </w:p>
    <w:p w:rsidR="00EE21F8" w:rsidRPr="00EE21F8" w:rsidRDefault="003009C8" w:rsidP="00EE21F8">
      <w:pPr>
        <w:pStyle w:val="NormalBold"/>
      </w:pPr>
      <w:r>
        <w:rPr>
          <w:rStyle w:val="HideTWBExt"/>
        </w:rPr>
        <w:t>&lt;Article&gt;</w:t>
      </w:r>
      <w:r>
        <w:t>1 cikk – 1 bekezdés – 7 pont</w:t>
      </w:r>
      <w:r>
        <w:rPr>
          <w:rStyle w:val="HideTWBExt"/>
        </w:rPr>
        <w:t>&lt;/Article&gt;</w:t>
      </w:r>
    </w:p>
    <w:p w:rsidR="00EE21F8" w:rsidRPr="00EE21F8" w:rsidRDefault="003009C8" w:rsidP="00EE21F8">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24 cikk – 3 bekezdés – b a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trHeight w:val="240"/>
          <w:jc w:val="center"/>
        </w:trPr>
        <w:tc>
          <w:tcPr>
            <w:tcW w:w="9752" w:type="dxa"/>
            <w:gridSpan w:val="2"/>
          </w:tcPr>
          <w:p w:rsidR="00EE21F8" w:rsidRPr="00EE21F8" w:rsidRDefault="00EE21F8" w:rsidP="00012261"/>
        </w:tc>
      </w:tr>
      <w:tr w:rsidR="00C34615" w:rsidTr="00012261">
        <w:trPr>
          <w:trHeight w:val="240"/>
          <w:jc w:val="center"/>
        </w:trPr>
        <w:tc>
          <w:tcPr>
            <w:tcW w:w="4876" w:type="dxa"/>
            <w:hideMark/>
          </w:tcPr>
          <w:p w:rsidR="00EE21F8" w:rsidRPr="00EE21F8" w:rsidRDefault="003009C8" w:rsidP="00012261">
            <w:pPr>
              <w:pStyle w:val="AmColumnHeading"/>
            </w:pPr>
            <w:r>
              <w:t>A Bizottság által javasolt szöveg</w:t>
            </w:r>
          </w:p>
        </w:tc>
        <w:tc>
          <w:tcPr>
            <w:tcW w:w="4876" w:type="dxa"/>
            <w:hideMark/>
          </w:tcPr>
          <w:p w:rsidR="00EE21F8" w:rsidRPr="00EE21F8" w:rsidRDefault="003009C8" w:rsidP="00012261">
            <w:pPr>
              <w:pStyle w:val="AmColumnHeading"/>
            </w:pPr>
            <w:r>
              <w:t>Módosítás</w:t>
            </w:r>
          </w:p>
        </w:tc>
      </w:tr>
      <w:tr w:rsidR="00C34615" w:rsidTr="00012261">
        <w:trPr>
          <w:jc w:val="center"/>
        </w:trPr>
        <w:tc>
          <w:tcPr>
            <w:tcW w:w="4876" w:type="dxa"/>
          </w:tcPr>
          <w:p w:rsidR="00EE21F8" w:rsidRPr="00EE21F8" w:rsidRDefault="00EE21F8" w:rsidP="00012261">
            <w:pPr>
              <w:pStyle w:val="Normal6a"/>
            </w:pPr>
          </w:p>
        </w:tc>
        <w:tc>
          <w:tcPr>
            <w:tcW w:w="4876" w:type="dxa"/>
            <w:hideMark/>
          </w:tcPr>
          <w:p w:rsidR="00EE21F8" w:rsidRPr="00EE21F8" w:rsidRDefault="003009C8" w:rsidP="00012261">
            <w:pPr>
              <w:pStyle w:val="Normal6a"/>
            </w:pPr>
            <w:r>
              <w:rPr>
                <w:b/>
                <w:i/>
              </w:rPr>
              <w:t>ba)</w:t>
            </w:r>
            <w:r>
              <w:tab/>
            </w:r>
            <w:r>
              <w:rPr>
                <w:b/>
                <w:i/>
              </w:rPr>
              <w:t>tájékozott döntés meghozatala a személyes adatoknak az igénybe vevő felekkel való megosztásáról. Ez kiterjed az igénybe vevő fél azonosítására, a felhasználó azon lehetőségére, hogy teljesen vagy részben visszautasítsa az igénybe vevő féltő</w:t>
            </w:r>
            <w:r>
              <w:rPr>
                <w:b/>
                <w:i/>
              </w:rPr>
              <w:t>l érkező információkéréseket, valamint az összes tranzakcióelőzményre.</w:t>
            </w:r>
          </w:p>
        </w:tc>
      </w:tr>
    </w:tbl>
    <w:p w:rsidR="00EE21F8" w:rsidRPr="00EE21F8" w:rsidRDefault="00EE21F8" w:rsidP="00EE21F8">
      <w:pPr>
        <w:rPr>
          <w:rStyle w:val="HideTWBExt"/>
          <w:noProof w:val="0"/>
        </w:rPr>
      </w:pPr>
    </w:p>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20</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w:t>
      </w:r>
      <w:r>
        <w:rPr>
          <w:rStyle w:val="HideTWBExt"/>
        </w:rPr>
        <w:t>nd2&gt;</w:t>
      </w:r>
    </w:p>
    <w:p w:rsidR="00EE21F8" w:rsidRPr="00EE21F8" w:rsidRDefault="003009C8" w:rsidP="00EE21F8">
      <w:r>
        <w:rPr>
          <w:rStyle w:val="HideTWBExt"/>
        </w:rPr>
        <w:t>&lt;Article2&gt;</w:t>
      </w:r>
      <w:r>
        <w:t>6a cikk – 4 bekezdés – a pont – 2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2.</w:t>
            </w:r>
            <w:r>
              <w:tab/>
              <w:t>az igénybe vevő felek számára a személyazonosító adatok vagy az elektronikus attribútumtanúsítványok kéréséhez és érvényesítéséhez;</w:t>
            </w:r>
          </w:p>
        </w:tc>
        <w:tc>
          <w:tcPr>
            <w:tcW w:w="4876" w:type="dxa"/>
            <w:hideMark/>
          </w:tcPr>
          <w:p w:rsidR="00EE21F8" w:rsidRPr="00EE21F8" w:rsidRDefault="003009C8" w:rsidP="00012261">
            <w:pPr>
              <w:pStyle w:val="Normal6"/>
              <w:rPr>
                <w:szCs w:val="24"/>
              </w:rPr>
            </w:pPr>
            <w:r>
              <w:t>2.</w:t>
            </w:r>
            <w:r>
              <w:tab/>
              <w:t xml:space="preserve">az </w:t>
            </w:r>
            <w:r>
              <w:t>igénybe vevő felek számára a személyazonosító adatok vagy az elektronikus attribútumtanúsítványok kéréséhez és érvényesítéséhez</w:t>
            </w:r>
            <w:r>
              <w:rPr>
                <w:b/>
                <w:i/>
              </w:rPr>
              <w:t>, összhangban az (EU) 2016/679 rendelettel</w:t>
            </w:r>
            <w:r>
              <w: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21</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4 bekezdés – a pont – 2 a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2a.</w:t>
            </w:r>
            <w:r>
              <w:rPr>
                <w:b/>
                <w:i/>
              </w:rPr>
              <w:tab/>
              <w:t>az igénybe vevő feleknek egy nyil</w:t>
            </w:r>
            <w:r>
              <w:rPr>
                <w:b/>
                <w:i/>
              </w:rPr>
              <w:t>vánosan hozzáférhető listára való megfelelő nyilvántartásba vétele, valamint tájékoztatás iránti kérelmeik láthatóvá tétele a nyilvánosan hozzáférhető listán;</w:t>
            </w:r>
          </w:p>
        </w:tc>
      </w:tr>
    </w:tbl>
    <w:p w:rsidR="00EE21F8" w:rsidRPr="00EE21F8" w:rsidRDefault="00EE21F8" w:rsidP="00EE21F8">
      <w:pPr>
        <w:rPr>
          <w:rStyle w:val="HideTWBExt"/>
          <w:noProof w:val="0"/>
        </w:rPr>
      </w:pPr>
    </w:p>
    <w:p w:rsidR="00EE21F8" w:rsidRPr="00EE21F8" w:rsidRDefault="003009C8" w:rsidP="00EE21F8">
      <w:pPr>
        <w:rPr>
          <w:rStyle w:val="HideTWBExt"/>
          <w:noProof w:val="0"/>
        </w:rPr>
      </w:pPr>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22</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4 bekezdés – a pont – 3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3.</w:t>
            </w:r>
            <w:r>
              <w:tab/>
              <w:t xml:space="preserve">személyazonosító </w:t>
            </w:r>
            <w:r>
              <w:rPr>
                <w:b/>
                <w:i/>
              </w:rPr>
              <w:t>adat</w:t>
            </w:r>
            <w:r>
              <w:t xml:space="preserve">, elektronikus attribútumtanúsítvány vagy </w:t>
            </w:r>
            <w:r>
              <w:rPr>
                <w:b/>
                <w:i/>
              </w:rPr>
              <w:t>más adat, például hitelesítő</w:t>
            </w:r>
            <w:r>
              <w:t xml:space="preserve"> adatok igénybe vevő feleknek </w:t>
            </w:r>
            <w:r>
              <w:rPr>
                <w:b/>
                <w:i/>
              </w:rPr>
              <w:t>történő olyan</w:t>
            </w:r>
            <w:r>
              <w:t xml:space="preserve"> helyszíni bemutatásához, amelyhez a tárca </w:t>
            </w:r>
            <w:r>
              <w:rPr>
                <w:b/>
                <w:i/>
              </w:rPr>
              <w:t>nem igényel internet-hozzáférést</w:t>
            </w:r>
            <w:r>
              <w:t>;</w:t>
            </w:r>
          </w:p>
        </w:tc>
        <w:tc>
          <w:tcPr>
            <w:tcW w:w="4876" w:type="dxa"/>
            <w:hideMark/>
          </w:tcPr>
          <w:p w:rsidR="00EE21F8" w:rsidRPr="00EE21F8" w:rsidRDefault="003009C8" w:rsidP="00012261">
            <w:pPr>
              <w:pStyle w:val="Normal6"/>
              <w:rPr>
                <w:szCs w:val="24"/>
              </w:rPr>
            </w:pPr>
            <w:r>
              <w:t>3.</w:t>
            </w:r>
            <w:r>
              <w:tab/>
              <w:t xml:space="preserve">személyazonosító </w:t>
            </w:r>
            <w:r>
              <w:rPr>
                <w:b/>
                <w:i/>
              </w:rPr>
              <w:t>adatok, például hitelesítő adatok</w:t>
            </w:r>
            <w:r>
              <w:t>, elektroniku</w:t>
            </w:r>
            <w:r>
              <w:t xml:space="preserve">s attribútumtanúsítvány vagy </w:t>
            </w:r>
            <w:r>
              <w:rPr>
                <w:b/>
                <w:i/>
              </w:rPr>
              <w:t>egyéb</w:t>
            </w:r>
            <w:r>
              <w:t xml:space="preserve"> adatok igénybe vevő feleknek </w:t>
            </w:r>
            <w:r>
              <w:rPr>
                <w:b/>
                <w:i/>
              </w:rPr>
              <w:t>az (EU) 2016/679 rendelettel összhangban történő</w:t>
            </w:r>
            <w:r>
              <w:t xml:space="preserve"> helyszíni bemutatásához, amelyhez </w:t>
            </w:r>
            <w:r>
              <w:rPr>
                <w:b/>
                <w:i/>
              </w:rPr>
              <w:t xml:space="preserve">nem szükséges internet-hozzáférés </w:t>
            </w:r>
            <w:r>
              <w:t xml:space="preserve">a tárca </w:t>
            </w:r>
            <w:r>
              <w:rPr>
                <w:b/>
                <w:i/>
              </w:rPr>
              <w:t>számára, valamint abból a célból, hogy a felhasználó megalapozott d</w:t>
            </w:r>
            <w:r>
              <w:rPr>
                <w:b/>
                <w:i/>
              </w:rPr>
              <w:t xml:space="preserve">öntést hozhasson a személyes információknak az igénybe vevő felekkel való megosztásáról, </w:t>
            </w:r>
            <w:r>
              <w:rPr>
                <w:b/>
                <w:i/>
              </w:rPr>
              <w:lastRenderedPageBreak/>
              <w:t>biztosítva ugyanakkor a szelektív közzététel lehetőségét, ami magában foglalja az igénybe vevő felektől érkező információkérések teljes vagy részleges megtagadását is,</w:t>
            </w:r>
            <w:r>
              <w:rPr>
                <w:b/>
                <w:i/>
              </w:rPr>
              <w:t xml:space="preserve"> a teljes ügylettörténetet, a tájékoztatás iránti kérelmekhez korábban adott hozzájárulás visszavonásának lehetőségét, és a felhasználót adatalanyként megillető jogok gyakorlására vonatkozó információkat</w:t>
            </w:r>
            <w:r>
              <w:t>;</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23</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w:t>
      </w:r>
      <w:r>
        <w:rPr>
          <w:rStyle w:val="HideTWBExt"/>
          <w:b w:val="0"/>
        </w:rPr>
        <w:t>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4 bekezdés – b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b)</w:t>
            </w:r>
            <w:r>
              <w:tab/>
            </w:r>
            <w:r>
              <w:t xml:space="preserve">biztosítaniuk kell, hogy a minősített </w:t>
            </w:r>
            <w:r>
              <w:rPr>
                <w:b/>
                <w:i/>
              </w:rPr>
              <w:t>attribútumtanúsítványok bizalmi szolgáltatói ne kapjanak semmilyen</w:t>
            </w:r>
            <w:r>
              <w:t xml:space="preserve"> információt az érintett attribútumok használatáról;</w:t>
            </w:r>
          </w:p>
        </w:tc>
        <w:tc>
          <w:tcPr>
            <w:tcW w:w="4876" w:type="dxa"/>
            <w:hideMark/>
          </w:tcPr>
          <w:p w:rsidR="00EE21F8" w:rsidRPr="00EE21F8" w:rsidRDefault="003009C8" w:rsidP="00012261">
            <w:pPr>
              <w:pStyle w:val="Normal6"/>
              <w:rPr>
                <w:szCs w:val="24"/>
              </w:rPr>
            </w:pPr>
            <w:r>
              <w:t>b)</w:t>
            </w:r>
            <w:r>
              <w:tab/>
              <w:t xml:space="preserve">biztosítaniuk kell, hogy </w:t>
            </w:r>
            <w:r>
              <w:rPr>
                <w:b/>
                <w:i/>
              </w:rPr>
              <w:t xml:space="preserve">technológiailag megakadályozzák, hogy </w:t>
            </w:r>
            <w:r>
              <w:t xml:space="preserve">a minősített </w:t>
            </w:r>
            <w:r>
              <w:rPr>
                <w:b/>
                <w:i/>
              </w:rPr>
              <w:t>és nem minősített el</w:t>
            </w:r>
            <w:r>
              <w:rPr>
                <w:b/>
                <w:i/>
              </w:rPr>
              <w:t>ektronikus attribútumtanúsítványok szolgáltatói</w:t>
            </w:r>
            <w:r>
              <w:t xml:space="preserve"> információt</w:t>
            </w:r>
            <w:r>
              <w:rPr>
                <w:b/>
                <w:i/>
              </w:rPr>
              <w:t xml:space="preserve"> kapjanak</w:t>
            </w:r>
            <w:r>
              <w:t xml:space="preserve"> az érintett attribútumok használatáról;</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24</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w:t>
      </w:r>
      <w:r>
        <w:rPr>
          <w:rStyle w:val="HideTWBExt"/>
        </w:rPr>
        <w:t>ocAmend2&gt;</w:t>
      </w:r>
      <w:r>
        <w:t>910/2014/EU rendelet</w:t>
      </w:r>
      <w:r>
        <w:rPr>
          <w:rStyle w:val="HideTWBExt"/>
        </w:rPr>
        <w:t>&lt;/DocAmend2&gt;</w:t>
      </w:r>
    </w:p>
    <w:p w:rsidR="00EE21F8" w:rsidRPr="00EE21F8" w:rsidRDefault="003009C8" w:rsidP="00EE21F8">
      <w:r>
        <w:rPr>
          <w:rStyle w:val="HideTWBExt"/>
        </w:rPr>
        <w:t>&lt;Article2&gt;</w:t>
      </w:r>
      <w:r>
        <w:t>6a cikk – 4 bekezdés – e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e)</w:t>
            </w:r>
            <w:r>
              <w:tab/>
            </w:r>
            <w:r>
              <w:t xml:space="preserve">biztosítaniuk kell, hogy a 12. cikk (4) bekezdésének d) pontjában említett személyazonosító adatok kizárólagosan és </w:t>
            </w:r>
            <w:r>
              <w:rPr>
                <w:b/>
                <w:i/>
              </w:rPr>
              <w:t>tartósan azonosítsák azt</w:t>
            </w:r>
            <w:r>
              <w:t xml:space="preserve"> a </w:t>
            </w:r>
            <w:r>
              <w:rPr>
                <w:b/>
                <w:i/>
              </w:rPr>
              <w:t>természetes vagy jogi személyt</w:t>
            </w:r>
            <w:r>
              <w:t xml:space="preserve">, </w:t>
            </w:r>
            <w:r>
              <w:rPr>
                <w:b/>
                <w:i/>
              </w:rPr>
              <w:t>amelyhez kapcsolódnak.</w:t>
            </w:r>
          </w:p>
        </w:tc>
        <w:tc>
          <w:tcPr>
            <w:tcW w:w="4876" w:type="dxa"/>
            <w:hideMark/>
          </w:tcPr>
          <w:p w:rsidR="00EE21F8" w:rsidRPr="00EE21F8" w:rsidRDefault="003009C8" w:rsidP="00012261">
            <w:pPr>
              <w:pStyle w:val="Normal6"/>
              <w:rPr>
                <w:szCs w:val="24"/>
              </w:rPr>
            </w:pPr>
            <w:r>
              <w:t>e)</w:t>
            </w:r>
            <w:r>
              <w:tab/>
              <w:t>biztosítaniuk kell, hogy a 12. cikk (4) bekezdésének d)</w:t>
            </w:r>
            <w:r>
              <w:t xml:space="preserve"> pontjában említett személyazonosító adatok kizárólagosan </w:t>
            </w:r>
            <w:r>
              <w:rPr>
                <w:b/>
                <w:i/>
              </w:rPr>
              <w:t xml:space="preserve">a természetes vagy jogi személyt jelöljék, </w:t>
            </w:r>
            <w:r>
              <w:t xml:space="preserve">és </w:t>
            </w:r>
            <w:r>
              <w:rPr>
                <w:b/>
                <w:i/>
              </w:rPr>
              <w:t>hogy az említett adatokra való hivatkozás</w:t>
            </w:r>
            <w:r>
              <w:t xml:space="preserve"> a </w:t>
            </w:r>
            <w:r>
              <w:rPr>
                <w:b/>
                <w:i/>
              </w:rPr>
              <w:t>különböző igénybe vevő felek esetében eltérő legyen</w:t>
            </w:r>
            <w:r>
              <w:t xml:space="preserve">, </w:t>
            </w:r>
            <w:r>
              <w:rPr>
                <w:b/>
                <w:i/>
              </w:rPr>
              <w:t>amennyiben ez jogszabály írja elő;</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w:t>
      </w:r>
      <w:r>
        <w:t>osítás</w:t>
      </w:r>
      <w:r>
        <w:tab/>
      </w:r>
      <w:r>
        <w:tab/>
      </w:r>
      <w:r>
        <w:rPr>
          <w:rStyle w:val="HideTWBExt"/>
          <w:b w:val="0"/>
        </w:rPr>
        <w:t>&lt;NumAm&gt;</w:t>
      </w:r>
      <w:r>
        <w:t>25</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4 bekezdés – e a pont (új)</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 xml:space="preserve">A Bizottság által javasolt </w:t>
            </w:r>
            <w:r>
              <w:t>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ea)</w:t>
            </w:r>
            <w:r>
              <w:rPr>
                <w:b/>
                <w:i/>
              </w:rPr>
              <w:tab/>
              <w:t>lehetővé kell tenniük a felhasználó számára, hogy olvasható formátumban hozzáférjen az elektronikus attribútumtanúsítványok vagy személyazonosító adatok felhasználó által engedélyezett műveleteinek, tranzakcióinak vagy felhasználásán</w:t>
            </w:r>
            <w:r>
              <w:rPr>
                <w:b/>
                <w:i/>
              </w:rPr>
              <w:t>ak jegyzékéhez;</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26</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4 bekezdés – e b pont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eb)</w:t>
            </w:r>
            <w:r>
              <w:rPr>
                <w:b/>
                <w:i/>
              </w:rPr>
              <w:tab/>
              <w:t xml:space="preserve">lehetővé kell tenniük a felhasználó számára az európai digitális személyiadat-tárca adatainak továbbítását, és a biztonság megsértése esetén az azokhoz való hozzáférés letiltását, lehetővé </w:t>
            </w:r>
            <w:r>
              <w:rPr>
                <w:b/>
                <w:i/>
              </w:rPr>
              <w:t>téve az adatok felfüggesztését, visszavonását vagy letiltását.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27</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w:t>
      </w:r>
      <w:r>
        <w:rPr>
          <w:rStyle w:val="HideTWBExt"/>
        </w:rPr>
        <w:t>icle2&gt;</w:t>
      </w:r>
      <w:r>
        <w:t>6a cikk – 4a bekezdés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(4a)</w:t>
            </w:r>
            <w:r>
              <w:rPr>
                <w:b/>
                <w:i/>
              </w:rPr>
              <w:tab/>
              <w:t>Igénybe vevő felek láncolata esetén a közvetítők nem szerezhetnek tudomást az ügylet tartalmáról.</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28</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7 bekezdés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(7)</w:t>
            </w:r>
            <w:r>
              <w:tab/>
              <w:t xml:space="preserve">Az európai digitális </w:t>
            </w:r>
            <w:r>
              <w:rPr>
                <w:b/>
                <w:i/>
              </w:rPr>
              <w:t>személyiadat-tárcának teljes mértékben a felhasználó ellenőrzése alatt kell állnia.</w:t>
            </w:r>
            <w:r>
              <w:t xml:space="preserve"> </w:t>
            </w:r>
            <w:r>
              <w:rPr>
                <w:b/>
                <w:i/>
              </w:rPr>
              <w:t xml:space="preserve">Az európai digitális </w:t>
            </w:r>
            <w:r>
              <w:t xml:space="preserve">személyiadat-tárca </w:t>
            </w:r>
            <w:r>
              <w:rPr>
                <w:b/>
                <w:i/>
              </w:rPr>
              <w:t>kibocsátója nem gyűjthet a tárca használatáról olyan információkat, amelyek nem szükségesek a tárcával kapcsolatos szolgáltatások ny</w:t>
            </w:r>
            <w:r>
              <w:rPr>
                <w:b/>
                <w:i/>
              </w:rPr>
              <w:t>újtásához, és nem kombinálhatja</w:t>
            </w:r>
            <w:r>
              <w:t xml:space="preserve"> a </w:t>
            </w:r>
            <w:r>
              <w:rPr>
                <w:b/>
                <w:i/>
              </w:rPr>
              <w:t xml:space="preserve">személyazonosító adatokat és az európai digitális személyiadat-tárcán tárolt vagy annak használatával kapcsolatos más személyes adatokat az e kibocsátó által kínált bármely más szolgáltatásból vagy harmadik fél olyan </w:t>
            </w:r>
            <w:r>
              <w:rPr>
                <w:b/>
                <w:i/>
              </w:rPr>
              <w:t>szolgáltatásaiból származó személyes adatokkal, amelyek nem szükségesek a tárcával kapcsolatos szolgáltatások nyújtásához, kivéve, ha a felhasználó azt kifejezetten kérte.</w:t>
            </w:r>
            <w:r>
              <w:t xml:space="preserve"> </w:t>
            </w:r>
            <w:r>
              <w:rPr>
                <w:b/>
                <w:i/>
              </w:rPr>
              <w:t>Az európai digitális személyiadat-tárcák rendelkezésre bocsátásával kapcsolatos szem</w:t>
            </w:r>
            <w:r>
              <w:rPr>
                <w:b/>
                <w:i/>
              </w:rPr>
              <w:t>élyes adatokat minden egyéb tárolt adattól fizikailag és logikailag elkülönítve kell tárolni.</w:t>
            </w:r>
            <w:r>
              <w:t xml:space="preserve"> </w:t>
            </w:r>
            <w:r>
              <w:rPr>
                <w:b/>
                <w:i/>
              </w:rPr>
              <w:t>Amennyiben az európai digitális személyiadat-tárcát az (1) bekezdés b) és c) pontjával összhangban magánfelek bocsátják rendelkezésre, a 45f. cikk (4) bekezdéséne</w:t>
            </w:r>
            <w:r>
              <w:rPr>
                <w:b/>
                <w:i/>
              </w:rPr>
              <w:t>k rendelkezései értelemszerűen alkalmazandók.</w:t>
            </w:r>
          </w:p>
        </w:tc>
        <w:tc>
          <w:tcPr>
            <w:tcW w:w="4876" w:type="dxa"/>
            <w:hideMark/>
          </w:tcPr>
          <w:p w:rsidR="00EE21F8" w:rsidRPr="00EE21F8" w:rsidRDefault="003009C8" w:rsidP="00012261">
            <w:pPr>
              <w:pStyle w:val="Normal6"/>
              <w:rPr>
                <w:szCs w:val="24"/>
              </w:rPr>
            </w:pPr>
            <w:r>
              <w:t>(7)</w:t>
            </w:r>
            <w:r>
              <w:tab/>
            </w:r>
            <w:r>
              <w:rPr>
                <w:b/>
                <w:i/>
              </w:rPr>
              <w:t>Az európai digitális személyiadat-tárca technikai keretére a következő elvek vonatkoznak:</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a)</w:t>
            </w:r>
            <w:r>
              <w:t xml:space="preserve"> </w:t>
            </w:r>
            <w:r>
              <w:tab/>
            </w:r>
            <w:r>
              <w:rPr>
                <w:b/>
                <w:i/>
              </w:rPr>
              <w:t>Az európai digitális személyiadat-</w:t>
            </w:r>
            <w:r>
              <w:rPr>
                <w:b/>
                <w:i/>
              </w:rPr>
              <w:lastRenderedPageBreak/>
              <w:t>tárcának és a felhasználó adatainak, teljes mértékben a felhasználó ellenőrz</w:t>
            </w:r>
            <w:r>
              <w:rPr>
                <w:b/>
                <w:i/>
              </w:rPr>
              <w:t>ése alatt kell állnia, ideértve az öntanúsítást is.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b) </w:t>
            </w:r>
            <w:r>
              <w:tab/>
            </w:r>
            <w:r>
              <w:rPr>
                <w:b/>
                <w:i/>
              </w:rPr>
              <w:t>Az európai digitális személyiadat-tárcának decentralizált elemeket kell használnia a személyazonossági architektúrához.</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c) </w:t>
            </w:r>
            <w:r>
              <w:tab/>
            </w:r>
            <w:r>
              <w:rPr>
                <w:b/>
                <w:i/>
              </w:rPr>
              <w:t xml:space="preserve">Az európai digitális személyiadat-tárcában található elektronikus </w:t>
            </w:r>
            <w:r>
              <w:rPr>
                <w:b/>
                <w:i/>
              </w:rPr>
              <w:t>azonosító eszközöket, attribútumokat és tanúsítványokat biztonságosan és kizárólag a felhasználó által ellenőrzött eszközökön kell tárolni, kivéve, ha a felhasználó szabadon hozzájárul a harmadik felek eszközein történő tároláshoz vagy felhőalapú opcióhoz.</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d) </w:t>
            </w:r>
            <w:r>
              <w:tab/>
            </w:r>
            <w:r>
              <w:rPr>
                <w:b/>
                <w:i/>
              </w:rPr>
              <w:t>Az európai digitális személyiadat-tárcának kriptográfiai úton ellenőrizhető hitelesítő adatokat kell biztosítania.</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e) </w:t>
            </w:r>
            <w:r>
              <w:tab/>
            </w:r>
            <w:r>
              <w:rPr>
                <w:b/>
                <w:i/>
              </w:rPr>
              <w:t>Az európai digitális személyiadat-tárcának biztonságos kapcsolatot kell lehetővé tennie a felhasználó és az igénybe vevő felek k</w:t>
            </w:r>
            <w:r>
              <w:rPr>
                <w:b/>
                <w:i/>
              </w:rPr>
              <w:t>özött.</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f) </w:t>
            </w:r>
            <w:r>
              <w:tab/>
            </w:r>
            <w:r>
              <w:rPr>
                <w:b/>
                <w:i/>
              </w:rPr>
              <w:t>Az európai digitális személyiadat-tárca műszaki architektúrája megakadályozza, hogy az európai digitális személyiadat-tárca kibocsátója, a tagállam vagy bármely más fél összegyűjtse vagy megszerezze az európai digitális személyiadat-tárcában t</w:t>
            </w:r>
            <w:r>
              <w:rPr>
                <w:b/>
                <w:i/>
              </w:rPr>
              <w:t>alálható elektronikus azonosító eszközöket, attribútumokat, elektronikus dokumentumokat és a tárca felhasználó általi használatára vonatkozó információkat, kivéve, ha ezt felhasználó kéri a felhasználó ellenőrzése alatt álló eszközök használatával. Az euró</w:t>
            </w:r>
            <w:r>
              <w:rPr>
                <w:b/>
                <w:i/>
              </w:rPr>
              <w:t>pai digitális személyiadat-tárcán keresztül történő információcsere nem teszi lehetővé az attribútumok elektronikus tanúsítványainak szolgáltatói számára, hogy a tranzakciókat vagy a felhasználói magatartást nyomon kövessék, összekapcsolják, korrelálják va</w:t>
            </w:r>
            <w:r>
              <w:rPr>
                <w:b/>
                <w:i/>
              </w:rPr>
              <w:t>gy ezekről más módon szerezzenek tudomást;</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g) </w:t>
            </w:r>
            <w:r>
              <w:tab/>
            </w:r>
            <w:r>
              <w:rPr>
                <w:b/>
                <w:i/>
              </w:rPr>
              <w:t>Az egyedi és állandó azonosító csak akkor férhető hozzá az igénybe vevő felek számára, ha a felhasználó azonosítását uniós vagy nemzeti jog írja elő.</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h) </w:t>
            </w:r>
            <w:r>
              <w:tab/>
            </w:r>
            <w:r>
              <w:rPr>
                <w:b/>
                <w:i/>
              </w:rPr>
              <w:t>A tagállamok biztosítják, hogy az európai digitális</w:t>
            </w:r>
            <w:r>
              <w:rPr>
                <w:b/>
                <w:i/>
              </w:rPr>
              <w:t xml:space="preserve"> személyiadat-tárcára vonatkozó releváns információk nyilvánosan hozzáférhetők legyenek.</w:t>
            </w:r>
          </w:p>
        </w:tc>
      </w:tr>
      <w:tr w:rsidR="00C34615" w:rsidTr="00012261">
        <w:trPr>
          <w:jc w:val="center"/>
        </w:trPr>
        <w:tc>
          <w:tcPr>
            <w:tcW w:w="4876" w:type="dxa"/>
          </w:tcPr>
          <w:p w:rsidR="00EE21F8" w:rsidRPr="00EE21F8" w:rsidRDefault="00EE21F8" w:rsidP="00012261">
            <w:pPr>
              <w:pStyle w:val="Normal6"/>
            </w:pPr>
          </w:p>
        </w:tc>
        <w:tc>
          <w:tcPr>
            <w:tcW w:w="4876" w:type="dxa"/>
          </w:tcPr>
          <w:p w:rsidR="00EE21F8" w:rsidRPr="00EE21F8" w:rsidRDefault="003009C8" w:rsidP="00012261">
            <w:pPr>
              <w:pStyle w:val="Normal6"/>
              <w:rPr>
                <w:b/>
                <w:i/>
              </w:rPr>
            </w:pPr>
            <w:r>
              <w:rPr>
                <w:b/>
                <w:i/>
              </w:rPr>
              <w:t>i)</w:t>
            </w:r>
            <w:r>
              <w:t xml:space="preserve"> </w:t>
            </w:r>
            <w:r>
              <w:tab/>
            </w:r>
            <w:r>
              <w:rPr>
                <w:b/>
                <w:i/>
              </w:rPr>
              <w:t xml:space="preserve">Az európai digitális személyiadat-tárcák rendelkezésre bocsátásával kapcsolatos személyes adatokat minden egyéb tárolt adattól fizikailag és logikailag </w:t>
            </w:r>
            <w:r>
              <w:rPr>
                <w:b/>
                <w:i/>
              </w:rPr>
              <w:t>elkülönítve kell tárolni.</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j)</w:t>
            </w:r>
            <w:r>
              <w:t xml:space="preserve"> </w:t>
            </w:r>
            <w:r>
              <w:tab/>
            </w:r>
            <w:r>
              <w:rPr>
                <w:b/>
                <w:i/>
              </w:rPr>
              <w:t>Amennyiben az európai digitális személyiadat-tárcát az (1) bekezdés b) és c) pontjával összhangban magánfelek bocsátják rendelkezésre, a 45f. cikk (4) bekezdésének rendelkezései értelemszerűen alkalmazandók.</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k)</w:t>
            </w:r>
            <w:r>
              <w:tab/>
            </w:r>
            <w:r>
              <w:rPr>
                <w:b/>
                <w:i/>
              </w:rPr>
              <w:t xml:space="preserve">Amennyiben </w:t>
            </w:r>
            <w:r>
              <w:rPr>
                <w:b/>
                <w:i/>
              </w:rPr>
              <w:t>az attribútumok tanúsítása nem teszi szükségessé a felhasználó azonosítását, nem feltáró tanúsítást kell elvégezni.</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l) </w:t>
            </w:r>
            <w:r>
              <w:tab/>
            </w:r>
            <w:r>
              <w:rPr>
                <w:b/>
                <w:i/>
              </w:rPr>
              <w:t>Az európai digitális személyiadat-tárca kibocsátója az adatkezelő az (EU) 2016/679 rendelet alkalmazásában az európai digitális személ</w:t>
            </w:r>
            <w:r>
              <w:rPr>
                <w:b/>
                <w:i/>
              </w:rPr>
              <w:t>yiadat-tárcában található személyes adatok kezelésére vonatkozóan.</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 xml:space="preserve">m) </w:t>
            </w:r>
            <w:r>
              <w:tab/>
            </w:r>
            <w:r>
              <w:rPr>
                <w:b/>
                <w:i/>
              </w:rPr>
              <w:t>Az európai digitális személyiadat-tárcának olyan panasztételi mechanizmust kell biztosítania, amely lehetővé teszi a felhasználók számára, hogy közvetlenül tájékoztassák az e rendelet</w:t>
            </w:r>
            <w:r>
              <w:rPr>
                <w:b/>
                <w:i/>
              </w:rPr>
              <w:t xml:space="preserve"> szerinti felügyeleti szervet és az (EU) 2016/679 rendelet alapján létrehozott felügyeleti hatóságokat, amennyiben egy igénybe vevő fél olyan aránytalan mennyiségű adatot kér, amely nincs összhangban az említett adatok regisztrált rendeltetésével.</w:t>
            </w:r>
          </w:p>
        </w:tc>
      </w:tr>
    </w:tbl>
    <w:p w:rsidR="00EE21F8" w:rsidRPr="00EE21F8" w:rsidRDefault="003009C8" w:rsidP="00EE21F8">
      <w:r>
        <w:rPr>
          <w:rStyle w:val="HideTWBExt"/>
        </w:rPr>
        <w:t>&lt;/Amend</w:t>
      </w:r>
      <w:r>
        <w:rPr>
          <w:rStyle w:val="HideTWBExt"/>
        </w:rPr>
        <w:t>&gt;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29</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lastRenderedPageBreak/>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7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6a cikk – 7a bekezdés (új)</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 xml:space="preserve">A Bizottság által </w:t>
            </w:r>
            <w:r>
              <w:t>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(7a)</w:t>
            </w:r>
            <w:r>
              <w:rPr>
                <w:b/>
                <w:i/>
              </w:rPr>
              <w:tab/>
              <w:t xml:space="preserve">Természetes személyek a köz- és magánszolgáltatásokhoz, az (EU) XXX/XXX rendelet [a digitális szolgáltatásokról szóló jogszabály] szerinti online platformokhoz vagy a munkaerőpiachoz való hozzáférése nem köthető az európai </w:t>
            </w:r>
            <w:r>
              <w:rPr>
                <w:b/>
                <w:i/>
              </w:rPr>
              <w:t>digitális személyiadat-tárca használatához.</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Az európai digitális személyiadat-tárca használata opcionális, azt ingyenesen bocsátják rendelkezésre, és semmilyen körülmények között nem adhat indokot semmiféle megkülönböztetésre.</w:t>
            </w:r>
          </w:p>
        </w:tc>
      </w:tr>
      <w:tr w:rsidR="00C34615" w:rsidTr="00012261">
        <w:trPr>
          <w:jc w:val="center"/>
        </w:trPr>
        <w:tc>
          <w:tcPr>
            <w:tcW w:w="4876" w:type="dxa"/>
          </w:tcPr>
          <w:p w:rsidR="00EE21F8" w:rsidRPr="00EE21F8" w:rsidRDefault="00EE21F8" w:rsidP="00012261">
            <w:pPr>
              <w:pStyle w:val="Normal6"/>
            </w:pPr>
          </w:p>
        </w:tc>
        <w:tc>
          <w:tcPr>
            <w:tcW w:w="4876" w:type="dxa"/>
            <w:hideMark/>
          </w:tcPr>
          <w:p w:rsidR="00EE21F8" w:rsidRPr="00EE21F8" w:rsidRDefault="003009C8" w:rsidP="00012261">
            <w:pPr>
              <w:pStyle w:val="Normal6"/>
              <w:rPr>
                <w:szCs w:val="24"/>
              </w:rPr>
            </w:pPr>
            <w:r>
              <w:rPr>
                <w:b/>
                <w:i/>
              </w:rPr>
              <w:t>A természetes személyeket</w:t>
            </w:r>
            <w:r>
              <w:rPr>
                <w:b/>
                <w:i/>
              </w:rPr>
              <w:t xml:space="preserve"> nem érheti egyéb hátrány az európai digitális személyiadat-tárca használatának mellőzése miatt.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30</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12 pont</w:t>
      </w:r>
      <w:r>
        <w:rPr>
          <w:rStyle w:val="HideTWBExt"/>
          <w:b w:val="0"/>
        </w:rPr>
        <w:t>&lt;/Article&gt;</w:t>
      </w:r>
    </w:p>
    <w:p w:rsidR="00EE21F8" w:rsidRPr="00EE21F8" w:rsidRDefault="003009C8" w:rsidP="00EE21F8">
      <w:pPr>
        <w:keepNext/>
      </w:pPr>
      <w:r>
        <w:rPr>
          <w:rStyle w:val="HideTWBExt"/>
        </w:rPr>
        <w:t>&lt;DocAmend2&gt;</w:t>
      </w:r>
      <w:r>
        <w:t>91</w:t>
      </w:r>
      <w:r>
        <w:t>0/2014/EU rendelet</w:t>
      </w:r>
      <w:r>
        <w:rPr>
          <w:rStyle w:val="HideTWBExt"/>
        </w:rPr>
        <w:t>&lt;/DocAmend2&gt;</w:t>
      </w:r>
    </w:p>
    <w:p w:rsidR="00EE21F8" w:rsidRPr="00EE21F8" w:rsidRDefault="003009C8" w:rsidP="00EE21F8">
      <w:r>
        <w:rPr>
          <w:rStyle w:val="HideTWBExt"/>
        </w:rPr>
        <w:t>&lt;Article2&gt;</w:t>
      </w:r>
      <w:r>
        <w:t>11a cikk – cím</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rPr>
                <w:b/>
                <w:i/>
              </w:rPr>
              <w:t>Egyedi azonosítás</w:t>
            </w:r>
          </w:p>
        </w:tc>
        <w:tc>
          <w:tcPr>
            <w:tcW w:w="4876" w:type="dxa"/>
            <w:hideMark/>
          </w:tcPr>
          <w:p w:rsidR="00EE21F8" w:rsidRPr="00EE21F8" w:rsidRDefault="003009C8" w:rsidP="00012261">
            <w:pPr>
              <w:pStyle w:val="Normal6"/>
              <w:rPr>
                <w:szCs w:val="24"/>
              </w:rPr>
            </w:pPr>
            <w:r>
              <w:rPr>
                <w:b/>
                <w:i/>
              </w:rPr>
              <w:t>A személyazonosság megfeleltetése</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31</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12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11a cikk – 1 bekezdés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(1)</w:t>
            </w:r>
            <w:r>
              <w:tab/>
            </w:r>
            <w:r>
              <w:t xml:space="preserve">A bejelentett elektronikus azonosító eszközök és az európai digitális személyiadat-tárcák </w:t>
            </w:r>
            <w:r>
              <w:rPr>
                <w:b/>
                <w:i/>
              </w:rPr>
              <w:t>hitelesítésre</w:t>
            </w:r>
            <w:r>
              <w:t xml:space="preserve"> való használata során a tagállamoknak biztosítaniuk kell </w:t>
            </w:r>
            <w:r>
              <w:rPr>
                <w:b/>
                <w:i/>
              </w:rPr>
              <w:t>az egyedi azonosítást</w:t>
            </w:r>
            <w:r>
              <w:t>.</w:t>
            </w:r>
          </w:p>
        </w:tc>
        <w:tc>
          <w:tcPr>
            <w:tcW w:w="4876" w:type="dxa"/>
            <w:hideMark/>
          </w:tcPr>
          <w:p w:rsidR="00EE21F8" w:rsidRPr="00EE21F8" w:rsidRDefault="003009C8" w:rsidP="00012261">
            <w:pPr>
              <w:pStyle w:val="Normal6"/>
              <w:rPr>
                <w:szCs w:val="24"/>
              </w:rPr>
            </w:pPr>
            <w:r>
              <w:t>(1)</w:t>
            </w:r>
            <w:r>
              <w:tab/>
              <w:t>A bejelentett elektronikus azonosító eszközök és az európai digitáli</w:t>
            </w:r>
            <w:r>
              <w:t xml:space="preserve">s személyiadat-tárcák </w:t>
            </w:r>
            <w:r>
              <w:rPr>
                <w:b/>
                <w:i/>
              </w:rPr>
              <w:t>elektronikus azonosításra</w:t>
            </w:r>
            <w:r>
              <w:t xml:space="preserve"> való használata során a tagállamoknak biztosítaniuk kell </w:t>
            </w:r>
            <w:r>
              <w:rPr>
                <w:b/>
                <w:i/>
              </w:rPr>
              <w:t>a személyazonosság megfeleltetését</w:t>
            </w:r>
            <w:r>
              <w: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32</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 xml:space="preserve">1 cikk – </w:t>
      </w:r>
      <w:r>
        <w:t>1 bekezdés – 12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11a cikk – 2 bekezdés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(2)</w:t>
            </w:r>
            <w:r>
              <w:tab/>
              <w:t xml:space="preserve">A </w:t>
            </w:r>
            <w:r>
              <w:rPr>
                <w:b/>
                <w:i/>
              </w:rPr>
              <w:t>tagállamok által összeállított, a 12. cikk (4) bekezdésének d) pontjában említett min</w:t>
            </w:r>
            <w:r>
              <w:rPr>
                <w:b/>
                <w:i/>
              </w:rPr>
              <w:t>imális személyazonosító adatoknak e rendelet alkalmazásában tartalmazniuk kell egy,</w:t>
            </w:r>
            <w:r>
              <w:t xml:space="preserve"> az </w:t>
            </w:r>
            <w:r>
              <w:rPr>
                <w:b/>
                <w:i/>
              </w:rPr>
              <w:t>uniós joggal összhangban lévő</w:t>
            </w:r>
            <w:r>
              <w:t xml:space="preserve"> egyedi és </w:t>
            </w:r>
            <w:r>
              <w:rPr>
                <w:b/>
                <w:i/>
              </w:rPr>
              <w:t>tartós azonosítót annak érdekében, hogy</w:t>
            </w:r>
            <w:r>
              <w:t xml:space="preserve"> a </w:t>
            </w:r>
            <w:r>
              <w:rPr>
                <w:b/>
                <w:i/>
              </w:rPr>
              <w:t>felhasználó a kérésére azonosítható legyen azokban az esetekben, amikor a felhasználó a</w:t>
            </w:r>
            <w:r>
              <w:rPr>
                <w:b/>
                <w:i/>
              </w:rPr>
              <w:t>zonosítását jogszabály írja elő</w:t>
            </w:r>
            <w:r>
              <w:t>.</w:t>
            </w:r>
          </w:p>
        </w:tc>
        <w:tc>
          <w:tcPr>
            <w:tcW w:w="4876" w:type="dxa"/>
            <w:hideMark/>
          </w:tcPr>
          <w:p w:rsidR="00EE21F8" w:rsidRPr="00EE21F8" w:rsidRDefault="003009C8" w:rsidP="00012261">
            <w:pPr>
              <w:pStyle w:val="Normal6"/>
              <w:rPr>
                <w:szCs w:val="24"/>
              </w:rPr>
            </w:pPr>
            <w:r>
              <w:t>(2)</w:t>
            </w:r>
            <w:r>
              <w:tab/>
              <w:t xml:space="preserve">A </w:t>
            </w:r>
            <w:r>
              <w:rPr>
                <w:b/>
                <w:i/>
              </w:rPr>
              <w:t>felhasználó saját kérésére történő azonosítása érdekében azokban az esetekben, amikor a felhasználó azonosítását jogszabály írja elő, a tagállamok által kibocsátott vagy</w:t>
            </w:r>
            <w:r>
              <w:t xml:space="preserve"> az </w:t>
            </w:r>
            <w:r>
              <w:rPr>
                <w:b/>
                <w:i/>
              </w:rPr>
              <w:t xml:space="preserve">európai digitális személyiadat-tárcák által </w:t>
            </w:r>
            <w:r>
              <w:rPr>
                <w:b/>
                <w:i/>
              </w:rPr>
              <w:t>generált</w:t>
            </w:r>
            <w:r>
              <w:t xml:space="preserve"> egyedi és </w:t>
            </w:r>
            <w:r>
              <w:rPr>
                <w:b/>
                <w:i/>
              </w:rPr>
              <w:t>állandó azonosítókat</w:t>
            </w:r>
            <w:r>
              <w:t xml:space="preserve"> a </w:t>
            </w:r>
            <w:r>
              <w:rPr>
                <w:b/>
                <w:i/>
              </w:rPr>
              <w:t>12. cikk (4) bekezdésének d) pontjában említett minimális személyazonosító adatokkal együtt kell megadni</w:t>
            </w:r>
            <w:r>
              <w:t xml:space="preserve">. </w:t>
            </w:r>
            <w:r>
              <w:rPr>
                <w:b/>
                <w:i/>
              </w:rPr>
              <w:t>A tagállamok előírhatják, hogy az egyedi és tartós azonosítók ágazat- vagy igénybe vevő fél-specifikusak leg</w:t>
            </w:r>
            <w:r>
              <w:rPr>
                <w:b/>
                <w:i/>
              </w:rPr>
              <w:t>yenek, amennyiben Unió-szerte egyedileg azonosítják a felhasználót.</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33</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1 cikk – 1 bekezdés – 13 pont – b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12 cikk – 4 bekezdés – d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d)</w:t>
            </w:r>
            <w:r>
              <w:tab/>
              <w:t xml:space="preserve">egy természetes vagy jogi személy kizárólagos </w:t>
            </w:r>
            <w:r>
              <w:rPr>
                <w:b/>
                <w:i/>
              </w:rPr>
              <w:t xml:space="preserve">és tartós </w:t>
            </w:r>
            <w:r>
              <w:t xml:space="preserve">azonosításához </w:t>
            </w:r>
            <w:r>
              <w:lastRenderedPageBreak/>
              <w:t xml:space="preserve">szükséges </w:t>
            </w:r>
            <w:r>
              <w:rPr>
                <w:b/>
                <w:i/>
              </w:rPr>
              <w:t xml:space="preserve">minimális </w:t>
            </w:r>
            <w:r>
              <w:t>személyazonosító adatokra való hivatkozás;</w:t>
            </w:r>
          </w:p>
        </w:tc>
        <w:tc>
          <w:tcPr>
            <w:tcW w:w="4876" w:type="dxa"/>
            <w:hideMark/>
          </w:tcPr>
          <w:p w:rsidR="00EE21F8" w:rsidRPr="00EE21F8" w:rsidRDefault="003009C8" w:rsidP="00012261">
            <w:pPr>
              <w:pStyle w:val="Normal6"/>
              <w:rPr>
                <w:szCs w:val="24"/>
              </w:rPr>
            </w:pPr>
            <w:r>
              <w:lastRenderedPageBreak/>
              <w:t>d)</w:t>
            </w:r>
            <w:r>
              <w:tab/>
              <w:t xml:space="preserve">egy </w:t>
            </w:r>
            <w:r>
              <w:t xml:space="preserve">természetes vagy jogi személy kizárólagos azonosításához szükséges </w:t>
            </w:r>
            <w:r>
              <w:lastRenderedPageBreak/>
              <w:t>személyazonosító adatokra való hivatkozás</w:t>
            </w:r>
            <w:r>
              <w:rPr>
                <w:b/>
                <w:i/>
              </w:rPr>
              <w:t>, amely az elektronikus azonosítási rendszerekből megszerezhető</w:t>
            </w:r>
            <w:r>
              <w:t>;</w:t>
            </w:r>
          </w:p>
        </w:tc>
      </w:tr>
    </w:tbl>
    <w:p w:rsidR="00EE21F8" w:rsidRPr="00EE21F8" w:rsidRDefault="003009C8" w:rsidP="00EE21F8">
      <w:r>
        <w:rPr>
          <w:rStyle w:val="HideTWBExt"/>
        </w:rPr>
        <w:lastRenderedPageBreak/>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34</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w:t>
      </w:r>
      <w:r>
        <w:t>at</w:t>
      </w:r>
      <w:r>
        <w:rPr>
          <w:rStyle w:val="HideTWBExt"/>
          <w:b w:val="0"/>
        </w:rPr>
        <w:t>&lt;/DocAmend&gt;</w:t>
      </w:r>
    </w:p>
    <w:p w:rsidR="00EE21F8" w:rsidRPr="00EE21F8" w:rsidRDefault="003009C8" w:rsidP="00EE21F8">
      <w:pPr>
        <w:pStyle w:val="NormalBold"/>
      </w:pPr>
      <w:r>
        <w:rPr>
          <w:rStyle w:val="HideTWBExt"/>
          <w:b w:val="0"/>
        </w:rPr>
        <w:t>&lt;Article&gt;</w:t>
      </w:r>
      <w:r>
        <w:t>1 cikk – 1 bekezdés – 20 pont – a pont – 2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17 cikk – 4 bekezdés – f pont</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t>f)</w:t>
            </w:r>
            <w:r>
              <w:tab/>
              <w:t>együttműködik az (EU) 2016/679</w:t>
            </w:r>
            <w:r>
              <w:t xml:space="preserve"> rendeletben meghatározott felügyeleti hatóságokkal, és indokolatlan késedelem nélkül tájékoztatja őket a minősített bizalmi szolgáltatóknál végzett ellenőrzések eredményéről, amennyiben a személyes adatok védelmére vonatkozó szabályokat</w:t>
            </w:r>
            <w:r>
              <w:rPr>
                <w:b/>
                <w:i/>
              </w:rPr>
              <w:t xml:space="preserve"> megsértették</w:t>
            </w:r>
            <w:r>
              <w:t xml:space="preserve">, valamint a biztonság </w:t>
            </w:r>
            <w:r>
              <w:rPr>
                <w:b/>
                <w:i/>
              </w:rPr>
              <w:t>adatvédelmi incidensnek minősülő megsértéséről;</w:t>
            </w:r>
          </w:p>
        </w:tc>
        <w:tc>
          <w:tcPr>
            <w:tcW w:w="4876" w:type="dxa"/>
            <w:hideMark/>
          </w:tcPr>
          <w:p w:rsidR="00EE21F8" w:rsidRPr="00EE21F8" w:rsidRDefault="003009C8" w:rsidP="00012261">
            <w:pPr>
              <w:pStyle w:val="Normal6"/>
              <w:rPr>
                <w:szCs w:val="24"/>
              </w:rPr>
            </w:pPr>
            <w:r>
              <w:t>f)</w:t>
            </w:r>
            <w:r>
              <w:tab/>
              <w:t>együttműködik az (EU) 2016/679 rendeletben meghatározott felügyeleti hatóságokkal, és indokolatlan késedelem nélkül tájékoztatja őket a minősített bizalmi szolgáltatóknál végzett ell</w:t>
            </w:r>
            <w:r>
              <w:t xml:space="preserve">enőrzések eredményéről, amennyiben </w:t>
            </w:r>
            <w:r>
              <w:rPr>
                <w:b/>
                <w:i/>
              </w:rPr>
              <w:t xml:space="preserve">bizonyíték van arra, hogy megsértették </w:t>
            </w:r>
            <w:r>
              <w:t xml:space="preserve">a személyes adatok védelmére vonatkozó szabályokat, valamint </w:t>
            </w:r>
            <w:r>
              <w:rPr>
                <w:b/>
                <w:i/>
              </w:rPr>
              <w:t xml:space="preserve">tájékoztatja őket </w:t>
            </w:r>
            <w:r>
              <w:t xml:space="preserve">a biztonság </w:t>
            </w:r>
            <w:r>
              <w:rPr>
                <w:b/>
                <w:i/>
              </w:rPr>
              <w:t>olyan megsértéséről, amely valószínűsíthetően a személyes adatok megsértésének minősül, vag</w:t>
            </w:r>
            <w:r>
              <w:rPr>
                <w:b/>
                <w:i/>
              </w:rPr>
              <w:t>y az ilyen jogsértések gyanújáról, amelyről feladatai ellátása során tudomást szerzett, az (EU) 2016/679 rendelet sérelme nélkül.</w:t>
            </w:r>
          </w:p>
        </w:tc>
      </w:tr>
    </w:tbl>
    <w:p w:rsidR="00EE21F8" w:rsidRPr="00EE21F8" w:rsidRDefault="003009C8" w:rsidP="00EE21F8">
      <w:r>
        <w:rPr>
          <w:rStyle w:val="HideTWBExt"/>
        </w:rPr>
        <w:t>&lt;/Amend&gt;</w:t>
      </w:r>
    </w:p>
    <w:p w:rsidR="00EE21F8" w:rsidRPr="00EE21F8" w:rsidRDefault="003009C8" w:rsidP="00EE21F8">
      <w:pPr>
        <w:pStyle w:val="AmNumberTabs"/>
      </w:pPr>
      <w:r>
        <w:rPr>
          <w:rStyle w:val="HideTWBExt"/>
          <w:b w:val="0"/>
        </w:rPr>
        <w:t>&lt;Amend&gt;</w:t>
      </w:r>
      <w:r>
        <w:t>Módosítás</w:t>
      </w:r>
      <w:r>
        <w:tab/>
      </w:r>
      <w:r>
        <w:tab/>
      </w:r>
      <w:r>
        <w:rPr>
          <w:rStyle w:val="HideTWBExt"/>
          <w:b w:val="0"/>
        </w:rPr>
        <w:t>&lt;NumAm&gt;</w:t>
      </w:r>
      <w:r>
        <w:t>35</w:t>
      </w:r>
      <w:r>
        <w:rPr>
          <w:rStyle w:val="HideTWBExt"/>
          <w:b w:val="0"/>
        </w:rPr>
        <w:t>&lt;/NumAm&gt;</w:t>
      </w:r>
    </w:p>
    <w:p w:rsidR="00EE21F8" w:rsidRPr="00EE21F8" w:rsidRDefault="00EE21F8" w:rsidP="00EE21F8"/>
    <w:p w:rsidR="00EE21F8" w:rsidRPr="00EE21F8" w:rsidRDefault="003009C8" w:rsidP="00EE21F8">
      <w:pPr>
        <w:pStyle w:val="NormalBold"/>
        <w:keepNext/>
      </w:pPr>
      <w:r>
        <w:rPr>
          <w:rStyle w:val="HideTWBExt"/>
          <w:b w:val="0"/>
        </w:rPr>
        <w:t>&lt;DocAmend&gt;</w:t>
      </w:r>
      <w:r>
        <w:t>Rendeletre irányuló javaslat</w:t>
      </w:r>
      <w:r>
        <w:rPr>
          <w:rStyle w:val="HideTWBExt"/>
          <w:b w:val="0"/>
        </w:rPr>
        <w:t>&lt;/DocAmend&gt;</w:t>
      </w:r>
    </w:p>
    <w:p w:rsidR="00EE21F8" w:rsidRPr="00EE21F8" w:rsidRDefault="003009C8" w:rsidP="00EE21F8">
      <w:pPr>
        <w:pStyle w:val="NormalBold"/>
      </w:pPr>
      <w:r>
        <w:rPr>
          <w:rStyle w:val="HideTWBExt"/>
          <w:b w:val="0"/>
        </w:rPr>
        <w:t>&lt;Article&gt;</w:t>
      </w:r>
      <w:r>
        <w:t xml:space="preserve">1 cikk – 1 bekezdés </w:t>
      </w:r>
      <w:r>
        <w:t>– 22 pont – b pont</w:t>
      </w:r>
      <w:r>
        <w:rPr>
          <w:rStyle w:val="HideTWBExt"/>
          <w:b w:val="0"/>
        </w:rPr>
        <w:t>&lt;/Article&gt;</w:t>
      </w:r>
    </w:p>
    <w:p w:rsidR="00EE21F8" w:rsidRPr="00EE21F8" w:rsidRDefault="003009C8" w:rsidP="00EE21F8">
      <w:pPr>
        <w:keepNext/>
      </w:pPr>
      <w:r>
        <w:rPr>
          <w:rStyle w:val="HideTWBExt"/>
        </w:rPr>
        <w:t>&lt;DocAmend2&gt;</w:t>
      </w:r>
      <w:r>
        <w:t>910/2014/EU rendelet</w:t>
      </w:r>
      <w:r>
        <w:rPr>
          <w:rStyle w:val="HideTWBExt"/>
        </w:rPr>
        <w:t>&lt;/DocAmend2&gt;</w:t>
      </w:r>
    </w:p>
    <w:p w:rsidR="00EE21F8" w:rsidRPr="00EE21F8" w:rsidRDefault="003009C8" w:rsidP="00EE21F8">
      <w:r>
        <w:rPr>
          <w:rStyle w:val="HideTWBExt"/>
        </w:rPr>
        <w:t>&lt;Article2&gt;</w:t>
      </w:r>
      <w:r>
        <w:t>20 cikk – 2 bekezdés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4615" w:rsidTr="00012261">
        <w:trPr>
          <w:jc w:val="center"/>
        </w:trPr>
        <w:tc>
          <w:tcPr>
            <w:tcW w:w="9752" w:type="dxa"/>
            <w:gridSpan w:val="2"/>
          </w:tcPr>
          <w:p w:rsidR="00EE21F8" w:rsidRPr="00EE21F8" w:rsidRDefault="00EE21F8" w:rsidP="00012261">
            <w:pPr>
              <w:keepNext/>
            </w:pPr>
          </w:p>
        </w:tc>
      </w:tr>
      <w:tr w:rsidR="00C34615" w:rsidTr="00012261">
        <w:trPr>
          <w:jc w:val="center"/>
        </w:trPr>
        <w:tc>
          <w:tcPr>
            <w:tcW w:w="4876" w:type="dxa"/>
            <w:hideMark/>
          </w:tcPr>
          <w:p w:rsidR="00EE21F8" w:rsidRPr="00EE21F8" w:rsidRDefault="003009C8" w:rsidP="00012261">
            <w:pPr>
              <w:pStyle w:val="ColumnHeading"/>
              <w:keepNext/>
            </w:pPr>
            <w:r>
              <w:t>A Bizottság által javasolt szöveg</w:t>
            </w:r>
          </w:p>
        </w:tc>
        <w:tc>
          <w:tcPr>
            <w:tcW w:w="4876" w:type="dxa"/>
            <w:hideMark/>
          </w:tcPr>
          <w:p w:rsidR="00EE21F8" w:rsidRPr="00EE21F8" w:rsidRDefault="003009C8" w:rsidP="00012261">
            <w:pPr>
              <w:pStyle w:val="ColumnHeading"/>
              <w:keepNext/>
            </w:pPr>
            <w:r>
              <w:t>Módosítás</w:t>
            </w:r>
          </w:p>
        </w:tc>
      </w:tr>
      <w:tr w:rsidR="00C34615" w:rsidTr="00012261">
        <w:trPr>
          <w:jc w:val="center"/>
        </w:trPr>
        <w:tc>
          <w:tcPr>
            <w:tcW w:w="4876" w:type="dxa"/>
            <w:hideMark/>
          </w:tcPr>
          <w:p w:rsidR="00EE21F8" w:rsidRPr="00EE21F8" w:rsidRDefault="003009C8" w:rsidP="00012261">
            <w:pPr>
              <w:pStyle w:val="Normal6"/>
            </w:pPr>
            <w:r>
              <w:rPr>
                <w:b/>
                <w:i/>
              </w:rPr>
              <w:t>A személyes adatok védelmére vonatkozó szabályok vélhető megsértése esetén</w:t>
            </w:r>
            <w:r>
              <w:t xml:space="preserve"> a felügyeleti szerv tájékoztatja az (EU) 2016/679 rendelet szerinti felügyeleti hatóságokat az </w:t>
            </w:r>
            <w:r>
              <w:rPr>
                <w:b/>
                <w:i/>
              </w:rPr>
              <w:t>ellenőrzések eredményéről.</w:t>
            </w:r>
            <w:r>
              <w:t>;</w:t>
            </w:r>
          </w:p>
        </w:tc>
        <w:tc>
          <w:tcPr>
            <w:tcW w:w="4876" w:type="dxa"/>
            <w:hideMark/>
          </w:tcPr>
          <w:p w:rsidR="00EE21F8" w:rsidRPr="00EE21F8" w:rsidRDefault="003009C8" w:rsidP="00012261">
            <w:pPr>
              <w:pStyle w:val="Normal6"/>
              <w:rPr>
                <w:szCs w:val="24"/>
              </w:rPr>
            </w:pPr>
            <w:r>
              <w:rPr>
                <w:b/>
                <w:i/>
              </w:rPr>
              <w:t>Az adatkezelők vagy -feldolgozók (EU) 2016/679 rendeletből eredő további kötelezettségeinek sérelme nélkül, amennyiben okkal feltéte</w:t>
            </w:r>
            <w:r>
              <w:rPr>
                <w:b/>
                <w:i/>
              </w:rPr>
              <w:t>lezhető, hogy az adatvédelmi szabályokat megszeghették,</w:t>
            </w:r>
            <w:r>
              <w:t xml:space="preserve"> a felügyeleti szerv</w:t>
            </w:r>
            <w:r>
              <w:rPr>
                <w:b/>
                <w:i/>
              </w:rPr>
              <w:t xml:space="preserve"> indokolatlan késedelem nélkül</w:t>
            </w:r>
            <w:r>
              <w:t xml:space="preserve"> tájékoztatja az (EU) 2016/679 rendelet szerinti felügyeleti hatóságokat</w:t>
            </w:r>
            <w:r>
              <w:rPr>
                <w:b/>
                <w:i/>
              </w:rPr>
              <w:t>,</w:t>
            </w:r>
            <w:r>
              <w:t xml:space="preserve"> az </w:t>
            </w:r>
            <w:r>
              <w:rPr>
                <w:b/>
                <w:i/>
              </w:rPr>
              <w:lastRenderedPageBreak/>
              <w:t>európai digitális személyiadat-tárca kibocsátóját és adatkezelőjét, és köz</w:t>
            </w:r>
            <w:r>
              <w:rPr>
                <w:b/>
                <w:i/>
              </w:rPr>
              <w:t>li ellenőrzéseinek eredményeit, amint azok rendelkezésre állnak</w:t>
            </w:r>
            <w:r>
              <w:t>;</w:t>
            </w:r>
            <w:r>
              <w:rPr>
                <w:b/>
                <w:i/>
              </w:rPr>
              <w:t xml:space="preserve"> </w:t>
            </w:r>
          </w:p>
        </w:tc>
      </w:tr>
    </w:tbl>
    <w:p w:rsidR="00EE21F8" w:rsidRPr="00EE21F8" w:rsidRDefault="003009C8" w:rsidP="00EE21F8">
      <w:r>
        <w:rPr>
          <w:rStyle w:val="HideTWBExt"/>
        </w:rPr>
        <w:lastRenderedPageBreak/>
        <w:t>&lt;/Amend&gt;</w:t>
      </w:r>
    </w:p>
    <w:p w:rsidR="00EE21F8" w:rsidRPr="00EE21F8" w:rsidRDefault="003009C8" w:rsidP="00EE21F8">
      <w:pPr>
        <w:widowControl/>
      </w:pPr>
      <w:r>
        <w:br w:type="page"/>
      </w:r>
    </w:p>
    <w:p w:rsidR="00EE21F8" w:rsidRPr="00EE21F8" w:rsidRDefault="00EE21F8" w:rsidP="00EE21F8"/>
    <w:p w:rsidR="00EE21F8" w:rsidRPr="00EE21F8" w:rsidRDefault="00EE21F8" w:rsidP="00EE21F8"/>
    <w:p w:rsidR="00EE21F8" w:rsidRPr="00EE21F8" w:rsidRDefault="003009C8" w:rsidP="00EE21F8">
      <w:pPr>
        <w:pStyle w:val="AmNumberTabs"/>
        <w:keepNext/>
        <w:rPr>
          <w:rStyle w:val="HideTWBExt"/>
          <w:noProof w:val="0"/>
        </w:rPr>
      </w:pPr>
      <w:r>
        <w:rPr>
          <w:rStyle w:val="HideTWBExt"/>
        </w:rPr>
        <w:t>&lt;/RepeatBlock-Amend&gt;</w:t>
      </w:r>
    </w:p>
    <w:p w:rsidR="00EE21F8" w:rsidRPr="00EE21F8" w:rsidRDefault="00EE21F8" w:rsidP="00EE21F8">
      <w:pPr>
        <w:widowControl/>
        <w:rPr>
          <w:rStyle w:val="HideTWBExt"/>
          <w:noProof w:val="0"/>
        </w:rPr>
        <w:sectPr w:rsidR="00EE21F8" w:rsidRPr="00EE21F8" w:rsidSect="00EE21F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252B5" w:rsidRPr="00EE21F8" w:rsidRDefault="008252B5" w:rsidP="00EE21F8">
      <w:pPr>
        <w:pStyle w:val="PageHeadingNotTOC"/>
        <w:rPr>
          <w:rStyle w:val="HideTWBExt"/>
          <w:noProof w:val="0"/>
        </w:rPr>
      </w:pPr>
    </w:p>
    <w:p w:rsidR="00F03D24" w:rsidRPr="00136C04" w:rsidRDefault="003009C8" w:rsidP="00F03D24">
      <w:pPr>
        <w:pStyle w:val="PageHeadingNotTOC"/>
      </w:pPr>
      <w:bookmarkStart w:id="4" w:name="FootprintPageAD"/>
      <w:bookmarkStart w:id="5" w:name="ProcPageAD"/>
      <w:r>
        <w:t>ANNEX: LIST OF ENTITIES OR PERSONS</w:t>
      </w:r>
      <w:r>
        <w:br/>
        <w:t>FROM WHOM THE RAPPORTEUR HAS RECEIVED INPUT</w:t>
      </w:r>
    </w:p>
    <w:p w:rsidR="00F03D24" w:rsidRPr="00136C04" w:rsidRDefault="003009C8" w:rsidP="00F03D24">
      <w:pPr>
        <w:pStyle w:val="Normal24a"/>
      </w:pPr>
      <w:r>
        <w:rPr>
          <w:rStyle w:val="HideTWBExt"/>
        </w:rPr>
        <w:t>&lt;FootprintIntro&gt;</w:t>
      </w:r>
      <w:r>
        <w:t>The following list is drawn up on a purely vo</w:t>
      </w:r>
      <w:r>
        <w:t>luntary basis under the exclusive responsibility of the rapporteur. The rapporteur has received input from the following entities or persons in the preparation of the opinion, until the adoption thereof in committee:</w:t>
      </w:r>
      <w:r>
        <w:rPr>
          <w:rStyle w:val="HideTWBExt"/>
        </w:rPr>
        <w:t>&lt;/FootprintIntro&gt;</w:t>
      </w:r>
    </w:p>
    <w:tbl>
      <w:tblPr>
        <w:tblW w:w="0" w:type="auto"/>
        <w:tblLook w:val="04A0" w:firstRow="1" w:lastRow="0" w:firstColumn="1" w:lastColumn="0" w:noHBand="0" w:noVBand="1"/>
      </w:tblPr>
      <w:tblGrid>
        <w:gridCol w:w="9060"/>
      </w:tblGrid>
      <w:tr w:rsidR="00C34615" w:rsidTr="00012261">
        <w:tc>
          <w:tcPr>
            <w:tcW w:w="9060" w:type="dxa"/>
            <w:shd w:val="clear" w:color="auto" w:fill="auto"/>
          </w:tcPr>
          <w:p w:rsidR="00F03D24" w:rsidRPr="00136C04" w:rsidRDefault="003009C8" w:rsidP="00012261">
            <w:pPr>
              <w:pStyle w:val="NormalBoldCenter"/>
            </w:pPr>
            <w:r>
              <w:t>Entity and/or person</w:t>
            </w:r>
          </w:p>
        </w:tc>
      </w:tr>
    </w:tbl>
    <w:p w:rsidR="00F03D24" w:rsidRPr="00136C04" w:rsidRDefault="003009C8" w:rsidP="00F03D24">
      <w:pPr>
        <w:spacing w:before="240" w:after="240"/>
        <w:ind w:left="720" w:hanging="360"/>
        <w:rPr>
          <w:sz w:val="23"/>
          <w:szCs w:val="23"/>
        </w:rPr>
      </w:pPr>
      <w:r>
        <w:rPr>
          <w:sz w:val="23"/>
        </w:rPr>
        <w:t>1.</w:t>
      </w:r>
      <w:r>
        <w:rPr>
          <w:sz w:val="23"/>
        </w:rPr>
        <w:tab/>
        <w:t>European Commission DG CNECT</w:t>
      </w:r>
    </w:p>
    <w:p w:rsidR="00F03D24" w:rsidRPr="00136C04" w:rsidRDefault="003009C8" w:rsidP="00F03D24">
      <w:pPr>
        <w:ind w:left="720" w:hanging="360"/>
        <w:rPr>
          <w:i/>
          <w:sz w:val="23"/>
          <w:szCs w:val="23"/>
        </w:rPr>
      </w:pPr>
      <w:r>
        <w:rPr>
          <w:i/>
          <w:sz w:val="23"/>
        </w:rPr>
        <w:t>2.</w:t>
      </w:r>
      <w:r>
        <w:rPr>
          <w:i/>
          <w:sz w:val="23"/>
        </w:rPr>
        <w:tab/>
      </w:r>
      <w:r>
        <w:rPr>
          <w:sz w:val="23"/>
        </w:rPr>
        <w:t xml:space="preserve">The European Data Protection Supervisor </w:t>
      </w:r>
    </w:p>
    <w:p w:rsidR="00F03D24" w:rsidRPr="00136C04" w:rsidRDefault="003009C8" w:rsidP="00F03D24">
      <w:pPr>
        <w:ind w:left="720" w:hanging="360"/>
        <w:rPr>
          <w:sz w:val="23"/>
          <w:szCs w:val="23"/>
        </w:rPr>
      </w:pPr>
      <w:r>
        <w:rPr>
          <w:sz w:val="23"/>
        </w:rPr>
        <w:t>3.</w:t>
      </w:r>
      <w:r>
        <w:rPr>
          <w:sz w:val="23"/>
        </w:rPr>
        <w:tab/>
        <w:t xml:space="preserve">Brussels Privacy Hub, </w:t>
      </w:r>
      <w:r>
        <w:rPr>
          <w:i/>
          <w:sz w:val="23"/>
        </w:rPr>
        <w:t>THE EUROPEAN COMMISSION PROPOSAL AMENDING THE eIDAS REGULATION (EU) No 910/2014: A PERSONAL DATA PROTECTION PERSPECTIVE</w:t>
      </w:r>
    </w:p>
    <w:p w:rsidR="00F03D24" w:rsidRPr="00136C04" w:rsidRDefault="003009C8" w:rsidP="00F03D24">
      <w:pPr>
        <w:ind w:left="720" w:hanging="360"/>
        <w:rPr>
          <w:sz w:val="23"/>
          <w:szCs w:val="23"/>
        </w:rPr>
      </w:pPr>
      <w:r>
        <w:rPr>
          <w:sz w:val="23"/>
        </w:rPr>
        <w:t>4.</w:t>
      </w:r>
      <w:r>
        <w:rPr>
          <w:sz w:val="23"/>
        </w:rPr>
        <w:tab/>
        <w:t>Professor Ricardo Genghini, Chai</w:t>
      </w:r>
      <w:r>
        <w:rPr>
          <w:sz w:val="23"/>
        </w:rPr>
        <w:t xml:space="preserve">rman of the European Standardization Committee E-Signature and Infrastructures (ESI) within the European Telecommunications Standards Institute (ETSI) </w:t>
      </w:r>
      <w:r>
        <w:rPr>
          <w:i/>
          <w:sz w:val="23"/>
        </w:rPr>
        <w:t>- Notes on the current draft of eIDAS Revision Proposal</w:t>
      </w:r>
    </w:p>
    <w:p w:rsidR="00F03D24" w:rsidRPr="00136C04" w:rsidRDefault="003009C8" w:rsidP="00F03D24">
      <w:pPr>
        <w:ind w:left="720" w:hanging="360"/>
        <w:rPr>
          <w:sz w:val="23"/>
          <w:szCs w:val="23"/>
        </w:rPr>
      </w:pPr>
      <w:r>
        <w:rPr>
          <w:sz w:val="23"/>
        </w:rPr>
        <w:t>5.</w:t>
      </w:r>
      <w:r>
        <w:rPr>
          <w:sz w:val="23"/>
        </w:rPr>
        <w:tab/>
        <w:t>epicenter.works &amp; European Digital Rights (EDR</w:t>
      </w:r>
      <w:r>
        <w:rPr>
          <w:sz w:val="23"/>
        </w:rPr>
        <w:t xml:space="preserve">I) </w:t>
      </w:r>
    </w:p>
    <w:p w:rsidR="00F03D24" w:rsidRPr="00136C04" w:rsidRDefault="003009C8" w:rsidP="00F03D24">
      <w:pPr>
        <w:ind w:left="720" w:hanging="360"/>
        <w:rPr>
          <w:sz w:val="23"/>
          <w:szCs w:val="23"/>
        </w:rPr>
      </w:pPr>
      <w:r>
        <w:rPr>
          <w:sz w:val="23"/>
        </w:rPr>
        <w:t>6.</w:t>
      </w:r>
      <w:r>
        <w:rPr>
          <w:sz w:val="23"/>
        </w:rPr>
        <w:tab/>
        <w:t>Luukas Ilves, Deputy Secretary General of the Estonian Ministry of Economic Affairs and Communications for Digital Development</w:t>
      </w:r>
    </w:p>
    <w:p w:rsidR="00F03D24" w:rsidRPr="00136C04" w:rsidRDefault="003009C8" w:rsidP="00F03D24">
      <w:pPr>
        <w:ind w:left="720" w:hanging="360"/>
        <w:rPr>
          <w:sz w:val="23"/>
          <w:szCs w:val="23"/>
        </w:rPr>
      </w:pPr>
      <w:r>
        <w:rPr>
          <w:sz w:val="23"/>
        </w:rPr>
        <w:t>7.</w:t>
      </w:r>
      <w:r>
        <w:rPr>
          <w:sz w:val="23"/>
        </w:rPr>
        <w:tab/>
        <w:t xml:space="preserve">European Consumer Organisation (BEUC) - </w:t>
      </w:r>
      <w:r>
        <w:rPr>
          <w:i/>
          <w:sz w:val="23"/>
        </w:rPr>
        <w:t>Making European Digital Identity as Safe as It Is needed - BEUC Position Paper</w:t>
      </w:r>
      <w:r>
        <w:rPr>
          <w:sz w:val="23"/>
        </w:rPr>
        <w:t xml:space="preserve"> </w:t>
      </w:r>
    </w:p>
    <w:p w:rsidR="00F03D24" w:rsidRPr="00136C04" w:rsidRDefault="003009C8" w:rsidP="00F03D24">
      <w:pPr>
        <w:ind w:left="720" w:hanging="360"/>
        <w:rPr>
          <w:i/>
          <w:sz w:val="23"/>
          <w:szCs w:val="23"/>
        </w:rPr>
      </w:pPr>
      <w:r>
        <w:rPr>
          <w:i/>
          <w:sz w:val="23"/>
        </w:rPr>
        <w:t>8.</w:t>
      </w:r>
      <w:r>
        <w:rPr>
          <w:i/>
          <w:sz w:val="23"/>
        </w:rPr>
        <w:tab/>
      </w:r>
      <w:r>
        <w:rPr>
          <w:sz w:val="23"/>
        </w:rPr>
        <w:t xml:space="preserve">Jaap-Henk Hoepman, Associate Professor of privacy enhancing protocols and privacy by design in the Digital Security group at the Institute for Computing and Information Sciences of the Radboud University Nijmegen, </w:t>
      </w:r>
      <w:r>
        <w:rPr>
          <w:i/>
          <w:sz w:val="23"/>
        </w:rPr>
        <w:t>Civil liberties aspects of the commiss</w:t>
      </w:r>
      <w:r>
        <w:rPr>
          <w:i/>
          <w:sz w:val="23"/>
        </w:rPr>
        <w:t>ion proposal to amend the eIDAS regulation</w:t>
      </w:r>
    </w:p>
    <w:p w:rsidR="00F03D24" w:rsidRPr="00136C04" w:rsidRDefault="003009C8" w:rsidP="00F03D24">
      <w:pPr>
        <w:ind w:left="720" w:hanging="360"/>
        <w:rPr>
          <w:i/>
          <w:sz w:val="23"/>
          <w:szCs w:val="23"/>
        </w:rPr>
      </w:pPr>
      <w:r>
        <w:rPr>
          <w:i/>
          <w:sz w:val="23"/>
        </w:rPr>
        <w:t>9.</w:t>
      </w:r>
      <w:r>
        <w:rPr>
          <w:i/>
          <w:sz w:val="23"/>
        </w:rPr>
        <w:tab/>
      </w:r>
      <w:r>
        <w:rPr>
          <w:sz w:val="23"/>
        </w:rPr>
        <w:t xml:space="preserve">Eric Verheul, professor in the Digital Security Group of the Radboud University Nijmegen - </w:t>
      </w:r>
      <w:r>
        <w:rPr>
          <w:i/>
          <w:sz w:val="23"/>
        </w:rPr>
        <w:t>Issues and recommendations on the eIDAS wallet as proposed in the eIDAS update</w:t>
      </w:r>
    </w:p>
    <w:p w:rsidR="00F03D24" w:rsidRPr="00136C04" w:rsidRDefault="003009C8" w:rsidP="00F03D24">
      <w:pPr>
        <w:ind w:left="720" w:hanging="360"/>
        <w:rPr>
          <w:i/>
          <w:sz w:val="23"/>
          <w:szCs w:val="23"/>
        </w:rPr>
      </w:pPr>
      <w:r>
        <w:rPr>
          <w:i/>
          <w:sz w:val="23"/>
        </w:rPr>
        <w:t>10.</w:t>
      </w:r>
      <w:r>
        <w:rPr>
          <w:i/>
          <w:sz w:val="23"/>
        </w:rPr>
        <w:tab/>
      </w:r>
      <w:r>
        <w:rPr>
          <w:sz w:val="23"/>
        </w:rPr>
        <w:t>Manuel Atug expert in IT Security an</w:t>
      </w:r>
      <w:r>
        <w:rPr>
          <w:sz w:val="23"/>
        </w:rPr>
        <w:t xml:space="preserve">d engineering Chaos Computer Club &amp; Christian Kahlo eID expert - </w:t>
      </w:r>
      <w:r>
        <w:rPr>
          <w:i/>
          <w:sz w:val="23"/>
        </w:rPr>
        <w:t xml:space="preserve">written input </w:t>
      </w:r>
    </w:p>
    <w:p w:rsidR="00F03D24" w:rsidRPr="00136C04" w:rsidRDefault="003009C8" w:rsidP="00F03D24">
      <w:pPr>
        <w:ind w:left="720" w:hanging="360"/>
        <w:rPr>
          <w:i/>
          <w:sz w:val="23"/>
          <w:szCs w:val="23"/>
        </w:rPr>
      </w:pPr>
      <w:r>
        <w:rPr>
          <w:i/>
          <w:sz w:val="23"/>
        </w:rPr>
        <w:t>11.</w:t>
      </w:r>
      <w:r>
        <w:rPr>
          <w:i/>
          <w:sz w:val="23"/>
        </w:rPr>
        <w:tab/>
      </w:r>
      <w:r>
        <w:rPr>
          <w:sz w:val="23"/>
        </w:rPr>
        <w:t xml:space="preserve">Lukasz Olejnik, PhD, https://lukaszolejnik.com, </w:t>
      </w:r>
      <w:r>
        <w:rPr>
          <w:i/>
          <w:sz w:val="23"/>
        </w:rPr>
        <w:t>written contribution</w:t>
      </w:r>
    </w:p>
    <w:p w:rsidR="00F03D24" w:rsidRPr="00136C04" w:rsidRDefault="003009C8" w:rsidP="00F03D24">
      <w:pPr>
        <w:ind w:left="720" w:hanging="360"/>
        <w:rPr>
          <w:i/>
          <w:sz w:val="23"/>
          <w:szCs w:val="23"/>
        </w:rPr>
      </w:pPr>
      <w:r>
        <w:rPr>
          <w:i/>
          <w:sz w:val="23"/>
        </w:rPr>
        <w:t>12.</w:t>
      </w:r>
      <w:r>
        <w:rPr>
          <w:i/>
          <w:sz w:val="23"/>
        </w:rPr>
        <w:tab/>
      </w:r>
      <w:r>
        <w:rPr>
          <w:sz w:val="23"/>
        </w:rPr>
        <w:t>Carmela Troncoso - Professor on Security and Privacy at Swiss Federal Institute of Technology Lausa</w:t>
      </w:r>
      <w:r>
        <w:rPr>
          <w:sz w:val="23"/>
        </w:rPr>
        <w:t xml:space="preserve">nne - </w:t>
      </w:r>
      <w:r>
        <w:rPr>
          <w:i/>
          <w:sz w:val="23"/>
        </w:rPr>
        <w:t xml:space="preserve">written input </w:t>
      </w:r>
    </w:p>
    <w:p w:rsidR="00F03D24" w:rsidRPr="00136C04" w:rsidRDefault="003009C8" w:rsidP="00F03D24">
      <w:pPr>
        <w:ind w:left="720" w:hanging="360"/>
        <w:rPr>
          <w:i/>
          <w:sz w:val="23"/>
          <w:szCs w:val="23"/>
        </w:rPr>
      </w:pPr>
      <w:r>
        <w:rPr>
          <w:i/>
          <w:sz w:val="23"/>
        </w:rPr>
        <w:t>13.</w:t>
      </w:r>
      <w:r>
        <w:rPr>
          <w:i/>
          <w:sz w:val="23"/>
        </w:rPr>
        <w:tab/>
      </w:r>
      <w:r>
        <w:rPr>
          <w:sz w:val="23"/>
        </w:rPr>
        <w:t xml:space="preserve">Dr. F. S. Gürses, Associat Professor at the Faculty of Technology, Policy and Management, TU Delft - </w:t>
      </w:r>
      <w:r>
        <w:rPr>
          <w:i/>
          <w:sz w:val="23"/>
        </w:rPr>
        <w:t xml:space="preserve">written input </w:t>
      </w:r>
    </w:p>
    <w:p w:rsidR="00F03D24" w:rsidRPr="00136C04" w:rsidRDefault="003009C8" w:rsidP="00F03D24">
      <w:pPr>
        <w:ind w:left="720" w:hanging="360"/>
        <w:rPr>
          <w:sz w:val="23"/>
          <w:szCs w:val="23"/>
        </w:rPr>
      </w:pPr>
      <w:r>
        <w:rPr>
          <w:sz w:val="23"/>
        </w:rPr>
        <w:t>14.</w:t>
      </w:r>
      <w:r>
        <w:rPr>
          <w:sz w:val="23"/>
        </w:rPr>
        <w:tab/>
        <w:t>Eurosmart - The Voice Of The Digital Security Industry - Feedback on the revision of eIDAS</w:t>
      </w:r>
    </w:p>
    <w:p w:rsidR="00F03D24" w:rsidRPr="00136C04" w:rsidRDefault="003009C8" w:rsidP="00F03D24">
      <w:pPr>
        <w:ind w:left="720" w:hanging="360"/>
        <w:rPr>
          <w:sz w:val="23"/>
          <w:szCs w:val="23"/>
        </w:rPr>
      </w:pPr>
      <w:r>
        <w:rPr>
          <w:sz w:val="23"/>
        </w:rPr>
        <w:t>15.</w:t>
      </w:r>
      <w:r>
        <w:rPr>
          <w:sz w:val="23"/>
        </w:rPr>
        <w:tab/>
        <w:t xml:space="preserve">Mozzila </w:t>
      </w:r>
    </w:p>
    <w:p w:rsidR="00F03D24" w:rsidRPr="00136C04" w:rsidRDefault="003009C8" w:rsidP="00F03D24">
      <w:pPr>
        <w:ind w:left="720" w:hanging="360"/>
        <w:rPr>
          <w:sz w:val="23"/>
          <w:szCs w:val="23"/>
        </w:rPr>
      </w:pPr>
      <w:r>
        <w:rPr>
          <w:sz w:val="23"/>
        </w:rPr>
        <w:t>16.</w:t>
      </w:r>
      <w:r>
        <w:rPr>
          <w:sz w:val="23"/>
        </w:rPr>
        <w:tab/>
        <w:t>Goo</w:t>
      </w:r>
      <w:r>
        <w:rPr>
          <w:sz w:val="23"/>
        </w:rPr>
        <w:t>gle</w:t>
      </w:r>
    </w:p>
    <w:p w:rsidR="00F03D24" w:rsidRPr="00136C04" w:rsidRDefault="003009C8" w:rsidP="00F03D24">
      <w:pPr>
        <w:ind w:left="720" w:hanging="360"/>
        <w:rPr>
          <w:sz w:val="23"/>
          <w:szCs w:val="23"/>
        </w:rPr>
      </w:pPr>
      <w:r>
        <w:rPr>
          <w:sz w:val="23"/>
        </w:rPr>
        <w:t>17.</w:t>
      </w:r>
      <w:r>
        <w:rPr>
          <w:sz w:val="23"/>
        </w:rPr>
        <w:tab/>
        <w:t>Apple</w:t>
      </w:r>
    </w:p>
    <w:p w:rsidR="00F03D24" w:rsidRPr="00136C04" w:rsidRDefault="003009C8" w:rsidP="00F03D24">
      <w:pPr>
        <w:ind w:left="720" w:hanging="360"/>
        <w:rPr>
          <w:sz w:val="23"/>
          <w:szCs w:val="23"/>
        </w:rPr>
      </w:pPr>
      <w:r>
        <w:rPr>
          <w:sz w:val="23"/>
        </w:rPr>
        <w:t>18.</w:t>
      </w:r>
      <w:r>
        <w:rPr>
          <w:sz w:val="23"/>
        </w:rPr>
        <w:tab/>
        <w:t>The International Association for Trusted Blockchain Applications (INATBA) - Establishing a Framework for a European Digital Identity (eIDAS)  - Policy Position</w:t>
      </w:r>
    </w:p>
    <w:p w:rsidR="00F03D24" w:rsidRPr="00136C04" w:rsidRDefault="003009C8" w:rsidP="00F03D24">
      <w:pPr>
        <w:ind w:left="720" w:hanging="360"/>
        <w:rPr>
          <w:sz w:val="23"/>
          <w:szCs w:val="23"/>
        </w:rPr>
      </w:pPr>
      <w:r>
        <w:rPr>
          <w:sz w:val="23"/>
        </w:rPr>
        <w:lastRenderedPageBreak/>
        <w:t>19.</w:t>
      </w:r>
      <w:r>
        <w:rPr>
          <w:sz w:val="23"/>
        </w:rPr>
        <w:tab/>
        <w:t>TWG Trusted Information of the EU Observatory for ICT Standardisation - r</w:t>
      </w:r>
      <w:r>
        <w:rPr>
          <w:sz w:val="23"/>
        </w:rPr>
        <w:t>eport on “Trust in the European digital space in the age of automated bots and fakes”</w:t>
      </w:r>
    </w:p>
    <w:p w:rsidR="00F03D24" w:rsidRPr="00136C04" w:rsidRDefault="003009C8" w:rsidP="00F03D24">
      <w:pPr>
        <w:ind w:left="720" w:hanging="360"/>
        <w:rPr>
          <w:sz w:val="23"/>
          <w:szCs w:val="23"/>
        </w:rPr>
      </w:pPr>
      <w:r>
        <w:rPr>
          <w:sz w:val="23"/>
        </w:rPr>
        <w:t>20.</w:t>
      </w:r>
      <w:r>
        <w:rPr>
          <w:sz w:val="23"/>
        </w:rPr>
        <w:tab/>
      </w:r>
      <w:r>
        <w:t>Rule of Law Defense Coalition, Bucharest Romania</w:t>
      </w:r>
    </w:p>
    <w:p w:rsidR="00F03D24" w:rsidRPr="00136C04" w:rsidRDefault="003009C8" w:rsidP="00F03D24">
      <w:pPr>
        <w:ind w:left="720" w:hanging="360"/>
        <w:rPr>
          <w:i/>
          <w:sz w:val="23"/>
          <w:szCs w:val="23"/>
        </w:rPr>
      </w:pPr>
      <w:r>
        <w:t>21.</w:t>
      </w:r>
      <w:r>
        <w:tab/>
      </w:r>
      <w:r>
        <w:rPr>
          <w:sz w:val="23"/>
        </w:rPr>
        <w:t xml:space="preserve">American Chamber of Commerce to the European Union, Brussels - </w:t>
      </w:r>
      <w:r>
        <w:rPr>
          <w:i/>
          <w:sz w:val="23"/>
        </w:rPr>
        <w:t xml:space="preserve">written input </w:t>
      </w:r>
      <w:bookmarkEnd w:id="4"/>
    </w:p>
    <w:p w:rsidR="00F03D24" w:rsidRPr="00136C04" w:rsidRDefault="003009C8" w:rsidP="00F03D24">
      <w:r>
        <w:br w:type="page"/>
      </w:r>
    </w:p>
    <w:p w:rsidR="0077606D" w:rsidRPr="00EE21F8" w:rsidRDefault="003009C8" w:rsidP="0077606D">
      <w:pPr>
        <w:pStyle w:val="PageHeadingNotTOC"/>
      </w:pPr>
      <w:r>
        <w:lastRenderedPageBreak/>
        <w:t>A VÉLEMÉNYNYILVÁNÍTÁSRA</w:t>
      </w:r>
      <w:r>
        <w:br/>
        <w:t xml:space="preserve">FELKÉRT </w:t>
      </w:r>
      <w:r>
        <w:t>BIZOTTSÁG ELJÁRÁSA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A 910/2014/EU rendeletnek az európai digitális azonosításra vonatkozó keret létrehozása tekintetében történő módosítása</w:t>
            </w:r>
          </w:p>
        </w:tc>
      </w:tr>
      <w:tr w:rsidR="00C346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COM(2021)0281 – C9-0200/2021 – 2021/0136(COD)</w:t>
            </w:r>
          </w:p>
        </w:tc>
      </w:tr>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Illetékes bizottság</w:t>
            </w:r>
          </w:p>
          <w:p w:rsidR="0077606D" w:rsidRPr="00EE21F8" w:rsidRDefault="003009C8">
            <w:pPr>
              <w:autoSpaceDE w:val="0"/>
              <w:autoSpaceDN w:val="0"/>
              <w:adjustRightInd w:val="0"/>
              <w:rPr>
                <w:color w:val="000000"/>
                <w:sz w:val="20"/>
                <w:szCs w:val="20"/>
              </w:rPr>
            </w:pPr>
            <w:r>
              <w:rPr>
                <w:color w:val="000000"/>
                <w:sz w:val="20"/>
              </w:rPr>
              <w:t xml:space="preserve">       A plenáris ülésen való </w:t>
            </w:r>
            <w:r>
              <w:rPr>
                <w:color w:val="000000"/>
                <w:sz w:val="20"/>
              </w:rPr>
              <w:t>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ITRE</w:t>
            </w:r>
          </w:p>
          <w:p w:rsidR="0077606D" w:rsidRPr="00EE21F8" w:rsidRDefault="003009C8">
            <w:pPr>
              <w:autoSpaceDE w:val="0"/>
              <w:autoSpaceDN w:val="0"/>
              <w:adjustRightInd w:val="0"/>
              <w:rPr>
                <w:color w:val="000000"/>
                <w:sz w:val="20"/>
                <w:szCs w:val="20"/>
              </w:rPr>
            </w:pPr>
            <w:r>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r>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Véleményt nyilvánított</w:t>
            </w:r>
          </w:p>
          <w:p w:rsidR="0077606D" w:rsidRPr="00EE21F8" w:rsidRDefault="003009C8">
            <w:pPr>
              <w:autoSpaceDE w:val="0"/>
              <w:autoSpaceDN w:val="0"/>
              <w:adjustRightInd w:val="0"/>
              <w:rPr>
                <w:color w:val="000000"/>
                <w:sz w:val="20"/>
                <w:szCs w:val="20"/>
              </w:rPr>
            </w:pPr>
            <w:r>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LIBE</w:t>
            </w:r>
          </w:p>
          <w:p w:rsidR="0077606D" w:rsidRPr="00EE21F8" w:rsidRDefault="003009C8">
            <w:pPr>
              <w:autoSpaceDE w:val="0"/>
              <w:autoSpaceDN w:val="0"/>
              <w:adjustRightInd w:val="0"/>
              <w:rPr>
                <w:color w:val="000000"/>
                <w:sz w:val="20"/>
                <w:szCs w:val="20"/>
              </w:rPr>
            </w:pPr>
            <w:r>
              <w:rPr>
                <w:color w:val="000000"/>
                <w:sz w:val="20"/>
              </w:rPr>
              <w:t>8.7.2021</w:t>
            </w:r>
          </w:p>
        </w:tc>
      </w:tr>
      <w:tr w:rsidR="00C346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Társbizottságok - a plenáris ülésen való bejelentés dátuma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16.12.2021</w:t>
            </w:r>
          </w:p>
        </w:tc>
      </w:tr>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A vélemény előadója</w:t>
            </w:r>
          </w:p>
          <w:p w:rsidR="0077606D" w:rsidRPr="00EE21F8" w:rsidRDefault="003009C8">
            <w:pPr>
              <w:autoSpaceDE w:val="0"/>
              <w:autoSpaceDN w:val="0"/>
              <w:adjustRightInd w:val="0"/>
              <w:rPr>
                <w:color w:val="000000"/>
                <w:sz w:val="20"/>
                <w:szCs w:val="20"/>
              </w:rPr>
            </w:pPr>
            <w:r>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Cristian Terheş</w:t>
            </w:r>
          </w:p>
          <w:p w:rsidR="0077606D" w:rsidRPr="00EE21F8" w:rsidRDefault="003009C8">
            <w:pPr>
              <w:autoSpaceDE w:val="0"/>
              <w:autoSpaceDN w:val="0"/>
              <w:adjustRightInd w:val="0"/>
              <w:rPr>
                <w:color w:val="000000"/>
                <w:sz w:val="20"/>
                <w:szCs w:val="20"/>
              </w:rPr>
            </w:pPr>
            <w:r>
              <w:rPr>
                <w:color w:val="000000"/>
                <w:sz w:val="20"/>
              </w:rPr>
              <w:t>29.11.2021</w:t>
            </w:r>
          </w:p>
        </w:tc>
      </w:tr>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r>
      <w:tr w:rsidR="00C346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7606D" w:rsidRPr="00EE21F8" w:rsidRDefault="0077606D">
            <w:pPr>
              <w:autoSpaceDE w:val="0"/>
              <w:autoSpaceDN w:val="0"/>
              <w:adjustRightInd w:val="0"/>
              <w:rPr>
                <w:rFonts w:ascii="sans-serif" w:hAnsi="sans-serif" w:cs="sans-serif"/>
                <w:color w:val="000000"/>
              </w:rPr>
            </w:pPr>
          </w:p>
        </w:tc>
      </w:tr>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w:t>
            </w:r>
          </w:p>
          <w:p w:rsidR="0077606D" w:rsidRPr="00EE21F8" w:rsidRDefault="003009C8">
            <w:pPr>
              <w:autoSpaceDE w:val="0"/>
              <w:autoSpaceDN w:val="0"/>
              <w:adjustRightInd w:val="0"/>
              <w:rPr>
                <w:color w:val="000000"/>
                <w:sz w:val="20"/>
                <w:szCs w:val="20"/>
              </w:rPr>
            </w:pPr>
            <w:r>
              <w:rPr>
                <w:color w:val="000000"/>
                <w:sz w:val="20"/>
              </w:rPr>
              <w:t>–:</w:t>
            </w:r>
          </w:p>
          <w:p w:rsidR="0077606D" w:rsidRPr="00EE21F8" w:rsidRDefault="003009C8">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51</w:t>
            </w:r>
          </w:p>
          <w:p w:rsidR="0077606D" w:rsidRPr="00EE21F8" w:rsidRDefault="003009C8">
            <w:pPr>
              <w:autoSpaceDE w:val="0"/>
              <w:autoSpaceDN w:val="0"/>
              <w:adjustRightInd w:val="0"/>
              <w:rPr>
                <w:color w:val="000000"/>
                <w:sz w:val="20"/>
                <w:szCs w:val="20"/>
              </w:rPr>
            </w:pPr>
            <w:r>
              <w:rPr>
                <w:color w:val="000000"/>
                <w:sz w:val="20"/>
              </w:rPr>
              <w:t>1</w:t>
            </w:r>
          </w:p>
          <w:p w:rsidR="0077606D" w:rsidRPr="00EE21F8" w:rsidRDefault="003009C8">
            <w:pPr>
              <w:autoSpaceDE w:val="0"/>
              <w:autoSpaceDN w:val="0"/>
              <w:adjustRightInd w:val="0"/>
              <w:rPr>
                <w:color w:val="000000"/>
                <w:sz w:val="20"/>
                <w:szCs w:val="20"/>
              </w:rPr>
            </w:pPr>
            <w:r>
              <w:rPr>
                <w:color w:val="000000"/>
                <w:sz w:val="20"/>
              </w:rPr>
              <w:t>4</w:t>
            </w:r>
          </w:p>
        </w:tc>
      </w:tr>
      <w:tr w:rsidR="00C3461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A zárószavazáson jelen lévő tagok</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 xml:space="preserve">Abir Al-Sahlani, Konstantinos Arvanitis, Malik Azmani, Pietro Bartolo, Malin Björk, </w:t>
            </w:r>
            <w:r>
              <w:rPr>
                <w:color w:val="000000"/>
                <w:sz w:val="20"/>
              </w:rPr>
              <w:t>Patrick Breyer, Saskia Bricmont, Patricia Chagnon, Clare Daly, Andrzej Halicki, Evin Incir, Sophia in ‘t Veld, Assita Kanko, Alice Kuhnke, Jeroen Lenaers, Lukas Mandl, Nuno Melo, Nadine Morano, Javier Moreno Sánchez, Maite Pagazaurtundúa, Emil Radev, Paulo</w:t>
            </w:r>
            <w:r>
              <w:rPr>
                <w:color w:val="000000"/>
                <w:sz w:val="20"/>
              </w:rPr>
              <w:t xml:space="preserve"> Rangel, Terry Reintke, Karlo Ressler, Diana Riba i Giner, Isabel Santos, Birgit Sippel, Sara Skyttedal, Vincenzo Sofo, Ramona Strugariu, Tomas Tobé, Yana Toom, Milan Uhrík, Elissavet Vozemberg-Vrionidi, Elena Yoncheva, Javier Zarzalejos</w:t>
            </w:r>
          </w:p>
        </w:tc>
      </w:tr>
      <w:tr w:rsidR="00C346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 xml:space="preserve">A zárószavazáson </w:t>
            </w:r>
            <w:r>
              <w:rPr>
                <w:b/>
                <w:color w:val="000000"/>
                <w:sz w:val="20"/>
              </w:rPr>
              <w:t>jelen lévő póttagok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Romeo Franz, Erik Marquardt, Fulvio Martusciello, Peter Pollák, Paul Tang, Róża Thun und Hohenstein, Miguel Urbán Crespo</w:t>
            </w:r>
          </w:p>
        </w:tc>
      </w:tr>
      <w:tr w:rsidR="00C3461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b/>
                <w:bCs/>
                <w:color w:val="000000"/>
                <w:sz w:val="20"/>
                <w:szCs w:val="20"/>
              </w:rPr>
            </w:pPr>
            <w:r>
              <w:rPr>
                <w:b/>
                <w:color w:val="000000"/>
                <w:sz w:val="20"/>
              </w:rPr>
              <w:t>A zárószavazáson jelen lévő póttagok (209. cikk, (7) bekezdés)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7606D" w:rsidRPr="00EE21F8" w:rsidRDefault="003009C8">
            <w:pPr>
              <w:autoSpaceDE w:val="0"/>
              <w:autoSpaceDN w:val="0"/>
              <w:adjustRightInd w:val="0"/>
              <w:rPr>
                <w:color w:val="000000"/>
                <w:sz w:val="20"/>
                <w:szCs w:val="20"/>
              </w:rPr>
            </w:pPr>
            <w:r>
              <w:rPr>
                <w:color w:val="000000"/>
                <w:sz w:val="20"/>
              </w:rPr>
              <w:t xml:space="preserve">Marek Paweł Balt, Gilles Boyer, Jonás Fernández, </w:t>
            </w:r>
            <w:r>
              <w:rPr>
                <w:color w:val="000000"/>
                <w:sz w:val="20"/>
              </w:rPr>
              <w:t>Hannes Heide, Othmar Karas, Georgios Kyrtsos, Karsten Lucke, Evelyn Regner, Antonio Maria Rinaldi, Simone Schmiedtbauer, Ralf Seekatz, Michal Šimečka, Ivan Štefanec</w:t>
            </w:r>
          </w:p>
        </w:tc>
      </w:tr>
    </w:tbl>
    <w:p w:rsidR="0077606D" w:rsidRPr="00EE21F8" w:rsidRDefault="0077606D" w:rsidP="00EE21F8"/>
    <w:bookmarkEnd w:id="5"/>
    <w:p w:rsidR="00EE21F8" w:rsidRPr="00EE21F8" w:rsidRDefault="00EE21F8" w:rsidP="00EE21F8">
      <w:pPr>
        <w:sectPr w:rsidR="00EE21F8" w:rsidRPr="00EE21F8" w:rsidSect="00EE21F8">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E21F8" w:rsidRPr="00EE21F8" w:rsidRDefault="003009C8" w:rsidP="00C36610">
      <w:pPr>
        <w:pStyle w:val="PageHeadingNotTOC"/>
      </w:pPr>
      <w:bookmarkStart w:id="6" w:name="RollCallPageAD"/>
      <w:r>
        <w:lastRenderedPageBreak/>
        <w:t>A VÉLEMÉNYNYILVÁNÍTÁSRA FELKÉRT BIZOTTSÁG</w:t>
      </w:r>
    </w:p>
    <w:p w:rsidR="00EE21F8" w:rsidRPr="00EE21F8" w:rsidRDefault="003009C8" w:rsidP="00C36610">
      <w:pPr>
        <w:pStyle w:val="PageHeadingNotTOC"/>
      </w:pPr>
      <w:r>
        <w:t>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34615" w:rsidTr="00012261">
        <w:trPr>
          <w:cantSplit/>
        </w:trPr>
        <w:tc>
          <w:tcPr>
            <w:tcW w:w="1701" w:type="dxa"/>
            <w:shd w:val="pct10" w:color="000000" w:fill="FFFFFF"/>
            <w:vAlign w:val="center"/>
          </w:tcPr>
          <w:p w:rsidR="00EE21F8" w:rsidRPr="00EE21F8" w:rsidRDefault="003009C8" w:rsidP="00012261">
            <w:pPr>
              <w:pStyle w:val="RollCallVotes"/>
            </w:pPr>
            <w:r>
              <w:t>51</w:t>
            </w:r>
          </w:p>
        </w:tc>
        <w:tc>
          <w:tcPr>
            <w:tcW w:w="7371" w:type="dxa"/>
            <w:shd w:val="pct10" w:color="000000" w:fill="FFFFFF"/>
          </w:tcPr>
          <w:p w:rsidR="00EE21F8" w:rsidRPr="00EE21F8" w:rsidRDefault="003009C8" w:rsidP="00012261">
            <w:pPr>
              <w:pStyle w:val="RollCallSymbols14pt"/>
            </w:pPr>
            <w:r>
              <w:t>+</w:t>
            </w:r>
          </w:p>
        </w:tc>
      </w:tr>
      <w:tr w:rsidR="00C34615" w:rsidTr="00012261">
        <w:trPr>
          <w:cantSplit/>
        </w:trPr>
        <w:tc>
          <w:tcPr>
            <w:tcW w:w="1701" w:type="dxa"/>
            <w:shd w:val="clear" w:color="auto" w:fill="FFFFFF"/>
          </w:tcPr>
          <w:p w:rsidR="00EE21F8" w:rsidRPr="00EE21F8" w:rsidRDefault="003009C8" w:rsidP="00012261">
            <w:pPr>
              <w:pStyle w:val="RollCallTable"/>
            </w:pPr>
            <w:r>
              <w:t>PPE</w:t>
            </w:r>
          </w:p>
        </w:tc>
        <w:tc>
          <w:tcPr>
            <w:tcW w:w="7371" w:type="dxa"/>
            <w:shd w:val="clear" w:color="auto" w:fill="FFFFFF"/>
          </w:tcPr>
          <w:p w:rsidR="00EE21F8" w:rsidRPr="00EE21F8" w:rsidRDefault="003009C8" w:rsidP="00012261">
            <w:pPr>
              <w:pStyle w:val="RollCallTable"/>
            </w:pPr>
            <w:r>
              <w:t xml:space="preserve">Andrzej Halicki, Othmar Karas, Jeroen Lenaers, Lukas Mandl, Fulvio Martusciello, Nuno Melo, Nadine Morano, Peter </w:t>
            </w:r>
            <w:r>
              <w:t>Pollák, Emil Radev, Paulo Rangel, Karlo Ressler, Simone Schmiedtbauer, Ralf Seekatz, Sara Skyttedal, Ivan Štefanec, Tomas Tobé, Elissavet Vozemberg-Vrionidi, Javier Zarzalejos</w:t>
            </w:r>
          </w:p>
        </w:tc>
      </w:tr>
      <w:tr w:rsidR="00C34615" w:rsidTr="00012261">
        <w:trPr>
          <w:cantSplit/>
        </w:trPr>
        <w:tc>
          <w:tcPr>
            <w:tcW w:w="1701" w:type="dxa"/>
            <w:shd w:val="clear" w:color="auto" w:fill="FFFFFF"/>
          </w:tcPr>
          <w:p w:rsidR="00EE21F8" w:rsidRPr="00EE21F8" w:rsidRDefault="003009C8" w:rsidP="00012261">
            <w:pPr>
              <w:pStyle w:val="RollCallTable"/>
            </w:pPr>
            <w:r>
              <w:t>RENEW</w:t>
            </w:r>
          </w:p>
        </w:tc>
        <w:tc>
          <w:tcPr>
            <w:tcW w:w="7371" w:type="dxa"/>
            <w:shd w:val="clear" w:color="auto" w:fill="FFFFFF"/>
          </w:tcPr>
          <w:p w:rsidR="00EE21F8" w:rsidRPr="00EE21F8" w:rsidRDefault="003009C8" w:rsidP="00012261">
            <w:pPr>
              <w:pStyle w:val="RollCallTable"/>
            </w:pPr>
            <w:r>
              <w:t xml:space="preserve">Abir Al-Sahlani, Malik Azmani, Gilles Boyer, Sophia in 't Veld, Georgios </w:t>
            </w:r>
            <w:r>
              <w:t>Kyrtsos, Maite Pagazaurtundúa, Michal Šimečka, Ramona Strugariu, Róża Thun und Hohenstein, Yana Toom</w:t>
            </w:r>
          </w:p>
        </w:tc>
      </w:tr>
      <w:tr w:rsidR="00C34615" w:rsidTr="00012261">
        <w:trPr>
          <w:cantSplit/>
        </w:trPr>
        <w:tc>
          <w:tcPr>
            <w:tcW w:w="1701" w:type="dxa"/>
            <w:shd w:val="clear" w:color="auto" w:fill="FFFFFF"/>
          </w:tcPr>
          <w:p w:rsidR="00EE21F8" w:rsidRPr="00EE21F8" w:rsidRDefault="003009C8" w:rsidP="00012261">
            <w:pPr>
              <w:pStyle w:val="RollCallTable"/>
            </w:pPr>
            <w:r>
              <w:t>S&amp;D</w:t>
            </w:r>
          </w:p>
        </w:tc>
        <w:tc>
          <w:tcPr>
            <w:tcW w:w="7371" w:type="dxa"/>
            <w:shd w:val="clear" w:color="auto" w:fill="FFFFFF"/>
          </w:tcPr>
          <w:p w:rsidR="00EE21F8" w:rsidRPr="00EE21F8" w:rsidRDefault="003009C8" w:rsidP="00012261">
            <w:pPr>
              <w:pStyle w:val="RollCallTable"/>
            </w:pPr>
            <w:r>
              <w:t>Marek Paweł Balt, Pietro Bartolo, Jonás Fernández, Hannes Heide, Evin Incir, Karsten Lucke, Javier Moreno Sánchez, Evelyn Regner, Isabel Santos, Birgi</w:t>
            </w:r>
            <w:r>
              <w:t>t Sippel, Paul Tang, Elena Yoncheva</w:t>
            </w:r>
          </w:p>
        </w:tc>
      </w:tr>
      <w:tr w:rsidR="00C34615" w:rsidTr="00012261">
        <w:trPr>
          <w:cantSplit/>
        </w:trPr>
        <w:tc>
          <w:tcPr>
            <w:tcW w:w="1701" w:type="dxa"/>
            <w:shd w:val="clear" w:color="auto" w:fill="FFFFFF"/>
          </w:tcPr>
          <w:p w:rsidR="00EE21F8" w:rsidRPr="00EE21F8" w:rsidRDefault="003009C8" w:rsidP="00012261">
            <w:pPr>
              <w:pStyle w:val="RollCallTable"/>
            </w:pPr>
            <w:r>
              <w:t>THE LEFT</w:t>
            </w:r>
          </w:p>
        </w:tc>
        <w:tc>
          <w:tcPr>
            <w:tcW w:w="7371" w:type="dxa"/>
            <w:shd w:val="clear" w:color="auto" w:fill="FFFFFF"/>
          </w:tcPr>
          <w:p w:rsidR="00EE21F8" w:rsidRPr="00EE21F8" w:rsidRDefault="003009C8" w:rsidP="00012261">
            <w:pPr>
              <w:pStyle w:val="RollCallTable"/>
            </w:pPr>
            <w:r>
              <w:t>Konstantinos Arvanitis, Malin Björk, Clare Daly, Miguel Urbán Crespo</w:t>
            </w:r>
          </w:p>
        </w:tc>
      </w:tr>
      <w:tr w:rsidR="00C34615" w:rsidTr="00012261">
        <w:trPr>
          <w:cantSplit/>
        </w:trPr>
        <w:tc>
          <w:tcPr>
            <w:tcW w:w="1701" w:type="dxa"/>
            <w:shd w:val="clear" w:color="auto" w:fill="FFFFFF"/>
          </w:tcPr>
          <w:p w:rsidR="00EE21F8" w:rsidRPr="00EE21F8" w:rsidRDefault="003009C8" w:rsidP="00012261">
            <w:pPr>
              <w:pStyle w:val="RollCallTable"/>
            </w:pPr>
            <w:r>
              <w:t>VERTS/ALE</w:t>
            </w:r>
          </w:p>
        </w:tc>
        <w:tc>
          <w:tcPr>
            <w:tcW w:w="7371" w:type="dxa"/>
            <w:shd w:val="clear" w:color="auto" w:fill="FFFFFF"/>
          </w:tcPr>
          <w:p w:rsidR="00EE21F8" w:rsidRPr="00EE21F8" w:rsidRDefault="003009C8" w:rsidP="00012261">
            <w:pPr>
              <w:pStyle w:val="RollCallTable"/>
            </w:pPr>
            <w:r>
              <w:t>Patrick Breyer, Saskia Bricmont, Romeo Franz, Alice Kuhnke, Erik Marquardt, Terry Reintke, Diana Riba i Giner</w:t>
            </w:r>
          </w:p>
        </w:tc>
      </w:tr>
    </w:tbl>
    <w:p w:rsidR="00EE21F8" w:rsidRPr="00EE21F8" w:rsidRDefault="00EE21F8" w:rsidP="00EE21F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34615" w:rsidTr="00012261">
        <w:trPr>
          <w:cantSplit/>
        </w:trPr>
        <w:tc>
          <w:tcPr>
            <w:tcW w:w="1701" w:type="dxa"/>
            <w:shd w:val="pct10" w:color="000000" w:fill="FFFFFF"/>
            <w:vAlign w:val="center"/>
          </w:tcPr>
          <w:p w:rsidR="00EE21F8" w:rsidRPr="00EE21F8" w:rsidRDefault="003009C8" w:rsidP="00012261">
            <w:pPr>
              <w:pStyle w:val="RollCallVotes"/>
            </w:pPr>
            <w:r>
              <w:t>1</w:t>
            </w:r>
          </w:p>
        </w:tc>
        <w:tc>
          <w:tcPr>
            <w:tcW w:w="7371" w:type="dxa"/>
            <w:shd w:val="pct10" w:color="000000" w:fill="FFFFFF"/>
          </w:tcPr>
          <w:p w:rsidR="00EE21F8" w:rsidRPr="00EE21F8" w:rsidRDefault="003009C8" w:rsidP="00012261">
            <w:pPr>
              <w:pStyle w:val="RollCallSymbols14pt"/>
            </w:pPr>
            <w:r>
              <w:t>-</w:t>
            </w:r>
          </w:p>
        </w:tc>
      </w:tr>
      <w:tr w:rsidR="00C34615" w:rsidTr="00012261">
        <w:trPr>
          <w:cantSplit/>
        </w:trPr>
        <w:tc>
          <w:tcPr>
            <w:tcW w:w="1701" w:type="dxa"/>
            <w:shd w:val="clear" w:color="auto" w:fill="FFFFFF"/>
          </w:tcPr>
          <w:p w:rsidR="00EE21F8" w:rsidRPr="00EE21F8" w:rsidRDefault="003009C8" w:rsidP="00012261">
            <w:pPr>
              <w:pStyle w:val="RollCallTable"/>
            </w:pPr>
            <w:r>
              <w:t>NI</w:t>
            </w:r>
          </w:p>
        </w:tc>
        <w:tc>
          <w:tcPr>
            <w:tcW w:w="7371" w:type="dxa"/>
            <w:shd w:val="clear" w:color="auto" w:fill="FFFFFF"/>
          </w:tcPr>
          <w:p w:rsidR="00EE21F8" w:rsidRPr="00EE21F8" w:rsidRDefault="003009C8" w:rsidP="00012261">
            <w:pPr>
              <w:pStyle w:val="RollCallTable"/>
            </w:pPr>
            <w:r>
              <w:t xml:space="preserve">Milan </w:t>
            </w:r>
            <w:r>
              <w:t>Uhrík</w:t>
            </w:r>
          </w:p>
        </w:tc>
      </w:tr>
    </w:tbl>
    <w:p w:rsidR="00EE21F8" w:rsidRPr="00EE21F8" w:rsidRDefault="00EE21F8" w:rsidP="00EE21F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34615" w:rsidTr="00012261">
        <w:trPr>
          <w:cantSplit/>
        </w:trPr>
        <w:tc>
          <w:tcPr>
            <w:tcW w:w="1701" w:type="dxa"/>
            <w:shd w:val="pct10" w:color="000000" w:fill="FFFFFF"/>
            <w:vAlign w:val="center"/>
          </w:tcPr>
          <w:p w:rsidR="00EE21F8" w:rsidRPr="00EE21F8" w:rsidRDefault="003009C8" w:rsidP="00012261">
            <w:pPr>
              <w:pStyle w:val="RollCallVotes"/>
            </w:pPr>
            <w:r>
              <w:t>4</w:t>
            </w:r>
          </w:p>
        </w:tc>
        <w:tc>
          <w:tcPr>
            <w:tcW w:w="7371" w:type="dxa"/>
            <w:shd w:val="pct10" w:color="000000" w:fill="FFFFFF"/>
          </w:tcPr>
          <w:p w:rsidR="00EE21F8" w:rsidRPr="00EE21F8" w:rsidRDefault="003009C8" w:rsidP="00012261">
            <w:pPr>
              <w:pStyle w:val="RollCallSymbols14pt"/>
            </w:pPr>
            <w:r>
              <w:t>0</w:t>
            </w:r>
          </w:p>
        </w:tc>
      </w:tr>
      <w:tr w:rsidR="00C34615" w:rsidTr="00012261">
        <w:trPr>
          <w:cantSplit/>
        </w:trPr>
        <w:tc>
          <w:tcPr>
            <w:tcW w:w="1701" w:type="dxa"/>
            <w:shd w:val="clear" w:color="auto" w:fill="FFFFFF"/>
          </w:tcPr>
          <w:p w:rsidR="00EE21F8" w:rsidRPr="00EE21F8" w:rsidRDefault="003009C8" w:rsidP="00012261">
            <w:pPr>
              <w:pStyle w:val="RollCallTable"/>
            </w:pPr>
            <w:r>
              <w:t>ECR</w:t>
            </w:r>
          </w:p>
        </w:tc>
        <w:tc>
          <w:tcPr>
            <w:tcW w:w="7371" w:type="dxa"/>
            <w:shd w:val="clear" w:color="auto" w:fill="FFFFFF"/>
          </w:tcPr>
          <w:p w:rsidR="00EE21F8" w:rsidRPr="00EE21F8" w:rsidRDefault="003009C8" w:rsidP="00012261">
            <w:pPr>
              <w:pStyle w:val="RollCallTable"/>
            </w:pPr>
            <w:r>
              <w:t>Assita Kanko, Vincenzo Sofo</w:t>
            </w:r>
          </w:p>
        </w:tc>
      </w:tr>
      <w:tr w:rsidR="00C34615" w:rsidTr="00012261">
        <w:trPr>
          <w:cantSplit/>
        </w:trPr>
        <w:tc>
          <w:tcPr>
            <w:tcW w:w="1701" w:type="dxa"/>
            <w:shd w:val="clear" w:color="auto" w:fill="FFFFFF"/>
          </w:tcPr>
          <w:p w:rsidR="00EE21F8" w:rsidRPr="00EE21F8" w:rsidRDefault="003009C8" w:rsidP="00012261">
            <w:pPr>
              <w:pStyle w:val="RollCallTable"/>
            </w:pPr>
            <w:r>
              <w:t>ID</w:t>
            </w:r>
          </w:p>
        </w:tc>
        <w:tc>
          <w:tcPr>
            <w:tcW w:w="7371" w:type="dxa"/>
            <w:shd w:val="clear" w:color="auto" w:fill="FFFFFF"/>
          </w:tcPr>
          <w:p w:rsidR="00EE21F8" w:rsidRPr="00EE21F8" w:rsidRDefault="003009C8" w:rsidP="00012261">
            <w:pPr>
              <w:pStyle w:val="RollCallTable"/>
            </w:pPr>
            <w:r>
              <w:t>Patricia Chagnon, Antonio Maria Rinaldi</w:t>
            </w:r>
          </w:p>
        </w:tc>
      </w:tr>
    </w:tbl>
    <w:p w:rsidR="00EE21F8" w:rsidRPr="00EE21F8" w:rsidRDefault="00EE21F8" w:rsidP="00147FBF">
      <w:pPr>
        <w:pStyle w:val="Normal12a"/>
      </w:pPr>
    </w:p>
    <w:p w:rsidR="00EE21F8" w:rsidRPr="00EE21F8" w:rsidRDefault="003009C8" w:rsidP="00B735E3">
      <w:r>
        <w:t>Jelmagyarázat:</w:t>
      </w:r>
    </w:p>
    <w:p w:rsidR="00EE21F8" w:rsidRPr="00EE21F8" w:rsidRDefault="003009C8" w:rsidP="003858C5">
      <w:pPr>
        <w:pStyle w:val="RollCallTabs"/>
      </w:pPr>
      <w:r>
        <w:t>+</w:t>
      </w:r>
      <w:r>
        <w:tab/>
        <w:t>:</w:t>
      </w:r>
      <w:r>
        <w:tab/>
        <w:t>mellette</w:t>
      </w:r>
    </w:p>
    <w:p w:rsidR="00EE21F8" w:rsidRPr="00EE21F8" w:rsidRDefault="003009C8" w:rsidP="003858C5">
      <w:pPr>
        <w:pStyle w:val="RollCallTabs"/>
      </w:pPr>
      <w:r>
        <w:t>-</w:t>
      </w:r>
      <w:r>
        <w:tab/>
        <w:t>:</w:t>
      </w:r>
      <w:r>
        <w:tab/>
        <w:t>ellene</w:t>
      </w:r>
    </w:p>
    <w:p w:rsidR="00EE21F8" w:rsidRPr="00EE21F8" w:rsidRDefault="003009C8" w:rsidP="003858C5">
      <w:pPr>
        <w:pStyle w:val="RollCallTabs"/>
      </w:pPr>
      <w:r>
        <w:t>0</w:t>
      </w:r>
      <w:r>
        <w:tab/>
        <w:t>:</w:t>
      </w:r>
      <w:r>
        <w:tab/>
        <w:t>tartózkodás</w:t>
      </w:r>
    </w:p>
    <w:p w:rsidR="00EE21F8" w:rsidRPr="00EE21F8" w:rsidRDefault="00EE21F8" w:rsidP="00207509"/>
    <w:bookmarkEnd w:id="6"/>
    <w:p w:rsidR="00DB56E4" w:rsidRPr="00EE21F8" w:rsidRDefault="00DB56E4" w:rsidP="00EE21F8"/>
    <w:sectPr w:rsidR="00DB56E4" w:rsidRPr="00EE21F8" w:rsidSect="00EE21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009C8">
      <w:r>
        <w:separator/>
      </w:r>
    </w:p>
  </w:endnote>
  <w:endnote w:type="continuationSeparator" w:id="0">
    <w:p w:rsidR="00000000" w:rsidRDefault="00300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1F8" w:rsidRPr="00EE21F8" w:rsidRDefault="003009C8" w:rsidP="00EE21F8">
    <w:pPr>
      <w:pStyle w:val="EPFooter"/>
    </w:pPr>
    <w:r w:rsidRPr="00EE21F8">
      <w:t>PE</w:t>
    </w:r>
    <w:r w:rsidRPr="00EE21F8">
      <w:rPr>
        <w:rStyle w:val="HideTWBExt"/>
        <w:noProof w:val="0"/>
      </w:rPr>
      <w:t>&lt;NoPE&gt;</w:t>
    </w:r>
    <w:r w:rsidRPr="00EE21F8">
      <w:t>732.601</w:t>
    </w:r>
    <w:r w:rsidRPr="00EE21F8">
      <w:rPr>
        <w:rStyle w:val="HideTWBExt"/>
        <w:noProof w:val="0"/>
      </w:rPr>
      <w:t>&lt;/NoPE&gt;&lt;Version&gt;</w:t>
    </w:r>
    <w:r w:rsidRPr="00EE21F8">
      <w:t>v02-00</w:t>
    </w:r>
    <w:r w:rsidRPr="00EE21F8">
      <w:rPr>
        <w:rStyle w:val="HideTWBExt"/>
        <w:noProof w:val="0"/>
      </w:rPr>
      <w:t>&lt;/Version&gt;</w:t>
    </w:r>
    <w:r w:rsidRPr="00EE21F8">
      <w:tab/>
    </w:r>
    <w:r w:rsidRPr="00EE21F8">
      <w:fldChar w:fldCharType="begin"/>
    </w:r>
    <w:r w:rsidRPr="00EE21F8">
      <w:instrText xml:space="preserve"> PAGE  \* MERGEFORMAT </w:instrText>
    </w:r>
    <w:r w:rsidRPr="00EE21F8">
      <w:fldChar w:fldCharType="separate"/>
    </w:r>
    <w:r>
      <w:rPr>
        <w:noProof/>
      </w:rPr>
      <w:t>2</w:t>
    </w:r>
    <w:r w:rsidRPr="00EE21F8">
      <w:fldChar w:fldCharType="end"/>
    </w:r>
    <w:r w:rsidRPr="00EE21F8">
      <w:t>/</w:t>
    </w:r>
    <w:r w:rsidR="00F03D24">
      <w:fldChar w:fldCharType="begin"/>
    </w:r>
    <w:r>
      <w:instrText xml:space="preserve"> NUMPAGES  \* MERGEFORMAT </w:instrText>
    </w:r>
    <w:r w:rsidR="00F03D24">
      <w:fldChar w:fldCharType="separate"/>
    </w:r>
    <w:r>
      <w:rPr>
        <w:noProof/>
      </w:rPr>
      <w:t>32</w:t>
    </w:r>
    <w:r w:rsidR="00F03D24">
      <w:rPr>
        <w:noProof/>
      </w:rPr>
      <w:fldChar w:fldCharType="end"/>
    </w:r>
    <w:r w:rsidRPr="00EE21F8">
      <w:tab/>
    </w:r>
    <w:r w:rsidRPr="00EE21F8">
      <w:rPr>
        <w:rStyle w:val="HideTWBExt"/>
        <w:noProof w:val="0"/>
      </w:rPr>
      <w:t>&lt;PathFdR&gt;</w:t>
    </w:r>
    <w:r w:rsidRPr="00EE21F8">
      <w:t>AD\1264811HU.docx</w:t>
    </w:r>
    <w:r w:rsidRPr="00EE21F8">
      <w:rPr>
        <w:rStyle w:val="HideTWBExt"/>
        <w:noProof w:val="0"/>
      </w:rPr>
      <w:t>&lt;/PathFdR&gt;</w:t>
    </w:r>
  </w:p>
  <w:p w:rsidR="00EE21F8" w:rsidRPr="00EE21F8" w:rsidRDefault="003009C8" w:rsidP="00EE21F8">
    <w:pPr>
      <w:pStyle w:val="EPFooter2"/>
    </w:pPr>
    <w:r w:rsidRPr="00EE21F8">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1F8" w:rsidRPr="00EE21F8" w:rsidRDefault="003009C8" w:rsidP="00EE21F8">
    <w:pPr>
      <w:pStyle w:val="EPFooter"/>
    </w:pPr>
    <w:r w:rsidRPr="00EE21F8">
      <w:rPr>
        <w:rStyle w:val="HideTWBExt"/>
        <w:noProof w:val="0"/>
      </w:rPr>
      <w:t>&lt;PathFdR&gt;</w:t>
    </w:r>
    <w:r w:rsidRPr="00EE21F8">
      <w:t>AD\1264811HU.docx</w:t>
    </w:r>
    <w:r w:rsidRPr="00EE21F8">
      <w:rPr>
        <w:rStyle w:val="HideTWBExt"/>
        <w:noProof w:val="0"/>
      </w:rPr>
      <w:t>&lt;/PathFdR&gt;</w:t>
    </w:r>
    <w:r w:rsidRPr="00EE21F8">
      <w:tab/>
    </w:r>
    <w:r w:rsidRPr="00EE21F8">
      <w:fldChar w:fldCharType="begin"/>
    </w:r>
    <w:r w:rsidRPr="00EE21F8">
      <w:instrText xml:space="preserve"> PAGE  \* MERGEFORMAT </w:instrText>
    </w:r>
    <w:r w:rsidRPr="00EE21F8">
      <w:fldChar w:fldCharType="separate"/>
    </w:r>
    <w:r>
      <w:rPr>
        <w:noProof/>
      </w:rPr>
      <w:t>27</w:t>
    </w:r>
    <w:r w:rsidRPr="00EE21F8">
      <w:fldChar w:fldCharType="end"/>
    </w:r>
    <w:r w:rsidRPr="00EE21F8">
      <w:t>/</w:t>
    </w:r>
    <w:r w:rsidR="00F03D24">
      <w:fldChar w:fldCharType="begin"/>
    </w:r>
    <w:r>
      <w:instrText xml:space="preserve"> NUMPAGES  \* MERGEFORMAT </w:instrText>
    </w:r>
    <w:r w:rsidR="00F03D24">
      <w:fldChar w:fldCharType="separate"/>
    </w:r>
    <w:r>
      <w:rPr>
        <w:noProof/>
      </w:rPr>
      <w:t>32</w:t>
    </w:r>
    <w:r w:rsidR="00F03D24">
      <w:rPr>
        <w:noProof/>
      </w:rPr>
      <w:fldChar w:fldCharType="end"/>
    </w:r>
    <w:r w:rsidRPr="00EE21F8">
      <w:tab/>
      <w:t>PE</w:t>
    </w:r>
    <w:r w:rsidRPr="00EE21F8">
      <w:rPr>
        <w:rStyle w:val="HideTWBExt"/>
        <w:noProof w:val="0"/>
      </w:rPr>
      <w:t>&lt;NoPE&gt;</w:t>
    </w:r>
    <w:r w:rsidRPr="00EE21F8">
      <w:t>732.601</w:t>
    </w:r>
    <w:r w:rsidRPr="00EE21F8">
      <w:rPr>
        <w:rStyle w:val="HideTWBExt"/>
        <w:noProof w:val="0"/>
      </w:rPr>
      <w:t>&lt;/NoPE&gt;&lt;Version&gt;</w:t>
    </w:r>
    <w:r w:rsidRPr="00EE21F8">
      <w:t>v02-00</w:t>
    </w:r>
    <w:r w:rsidRPr="00EE21F8">
      <w:rPr>
        <w:rStyle w:val="HideTWBExt"/>
        <w:noProof w:val="0"/>
      </w:rPr>
      <w:t>&lt;/Version&gt;</w:t>
    </w:r>
  </w:p>
  <w:p w:rsidR="00EE21F8" w:rsidRPr="00EE21F8" w:rsidRDefault="003009C8" w:rsidP="00EE21F8">
    <w:pPr>
      <w:pStyle w:val="EPFooter2"/>
    </w:pPr>
    <w:r w:rsidRPr="00EE21F8">
      <w:tab/>
    </w:r>
    <w:r w:rsidRPr="00EE21F8">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1F8" w:rsidRPr="00EE21F8" w:rsidRDefault="003009C8" w:rsidP="00EE21F8">
    <w:pPr>
      <w:pStyle w:val="EPFooter"/>
    </w:pPr>
    <w:r w:rsidRPr="00EE21F8">
      <w:rPr>
        <w:rStyle w:val="HideTWBExt"/>
        <w:noProof w:val="0"/>
      </w:rPr>
      <w:t>&lt;PathFdR&gt;</w:t>
    </w:r>
    <w:r w:rsidRPr="00EE21F8">
      <w:t>AD\1264811HU.docx</w:t>
    </w:r>
    <w:r w:rsidRPr="00EE21F8">
      <w:rPr>
        <w:rStyle w:val="HideTWBExt"/>
        <w:noProof w:val="0"/>
      </w:rPr>
      <w:t>&lt;/PathF</w:t>
    </w:r>
    <w:r w:rsidRPr="00EE21F8">
      <w:rPr>
        <w:rStyle w:val="HideTWBExt"/>
        <w:noProof w:val="0"/>
      </w:rPr>
      <w:t>dR&gt;</w:t>
    </w:r>
    <w:r w:rsidRPr="00EE21F8">
      <w:tab/>
    </w:r>
    <w:r w:rsidRPr="00EE21F8">
      <w:tab/>
      <w:t>PE</w:t>
    </w:r>
    <w:r w:rsidRPr="00EE21F8">
      <w:rPr>
        <w:rStyle w:val="HideTWBExt"/>
        <w:noProof w:val="0"/>
      </w:rPr>
      <w:t>&lt;NoPE&gt;</w:t>
    </w:r>
    <w:r w:rsidRPr="00EE21F8">
      <w:t>732.601</w:t>
    </w:r>
    <w:r w:rsidRPr="00EE21F8">
      <w:rPr>
        <w:rStyle w:val="HideTWBExt"/>
        <w:noProof w:val="0"/>
      </w:rPr>
      <w:t>&lt;/NoPE&gt;&lt;Version&gt;</w:t>
    </w:r>
    <w:r w:rsidRPr="00EE21F8">
      <w:t>v02-00</w:t>
    </w:r>
    <w:r w:rsidRPr="00EE21F8">
      <w:rPr>
        <w:rStyle w:val="HideTWBExt"/>
        <w:noProof w:val="0"/>
      </w:rPr>
      <w:t>&lt;/Version&gt;</w:t>
    </w:r>
  </w:p>
  <w:p w:rsidR="00EE21F8" w:rsidRPr="00EE21F8" w:rsidRDefault="003009C8" w:rsidP="00EE21F8">
    <w:pPr>
      <w:pStyle w:val="EPFooter2"/>
    </w:pPr>
    <w:r w:rsidRPr="00EE21F8">
      <w:t>HU</w:t>
    </w:r>
    <w:r w:rsidRPr="00EE21F8">
      <w:tab/>
    </w:r>
    <w:r w:rsidRPr="00EE21F8">
      <w:rPr>
        <w:b w:val="0"/>
        <w:i/>
        <w:color w:val="C0C0C0"/>
        <w:sz w:val="22"/>
      </w:rPr>
      <w:t>Egyesülve a sokféleségben</w:t>
    </w:r>
    <w:r w:rsidRPr="00EE21F8">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06D" w:rsidRPr="00EE21F8" w:rsidRDefault="003009C8" w:rsidP="0077606D">
    <w:pPr>
      <w:pStyle w:val="EPFooter"/>
    </w:pPr>
    <w:r w:rsidRPr="00EE21F8">
      <w:rPr>
        <w:rStyle w:val="HideTWBExt"/>
        <w:noProof w:val="0"/>
      </w:rPr>
      <w:t>&lt;PathFdR&gt;</w:t>
    </w:r>
    <w:r w:rsidRPr="00EE21F8">
      <w:t>AD\1264811HU.docx</w:t>
    </w:r>
    <w:r w:rsidRPr="00EE21F8">
      <w:rPr>
        <w:rStyle w:val="HideTWBExt"/>
        <w:noProof w:val="0"/>
      </w:rPr>
      <w:t>&lt;/PathFdR&gt;</w:t>
    </w:r>
    <w:r w:rsidRPr="00EE21F8">
      <w:tab/>
    </w:r>
    <w:r w:rsidRPr="00EE21F8">
      <w:tab/>
      <w:t>PE</w:t>
    </w:r>
    <w:r w:rsidRPr="00EE21F8">
      <w:rPr>
        <w:rStyle w:val="HideTWBExt"/>
        <w:noProof w:val="0"/>
      </w:rPr>
      <w:t>&lt;NoPE&gt;</w:t>
    </w:r>
    <w:r w:rsidRPr="00EE21F8">
      <w:t>732.601</w:t>
    </w:r>
    <w:r w:rsidRPr="00EE21F8">
      <w:rPr>
        <w:rStyle w:val="HideTWBExt"/>
        <w:noProof w:val="0"/>
      </w:rPr>
      <w:t>&lt;/NoPE&gt;&lt;Version&gt;</w:t>
    </w:r>
    <w:r w:rsidRPr="00EE21F8">
      <w:t>v02-00</w:t>
    </w:r>
    <w:r w:rsidRPr="00EE21F8">
      <w:rPr>
        <w:rStyle w:val="HideTWBExt"/>
        <w:noProof w:val="0"/>
      </w:rPr>
      <w:t>&lt;/Version&gt;</w:t>
    </w:r>
  </w:p>
  <w:p w:rsidR="007F187F" w:rsidRPr="00EE21F8" w:rsidRDefault="003009C8" w:rsidP="0077606D">
    <w:pPr>
      <w:pStyle w:val="EPFooter2"/>
    </w:pPr>
    <w:r w:rsidRPr="00EE21F8">
      <w:t>HU</w:t>
    </w:r>
    <w:r w:rsidRPr="00EE21F8">
      <w:tab/>
    </w:r>
    <w:r w:rsidRPr="00EE21F8">
      <w:rPr>
        <w:b w:val="0"/>
        <w:i/>
        <w:color w:val="C0C0C0"/>
        <w:sz w:val="22"/>
      </w:rPr>
      <w:t>Egyesülve a sokféleségben</w:t>
    </w:r>
    <w:r w:rsidRPr="00EE21F8">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009C8">
      <w:r>
        <w:separator/>
      </w:r>
    </w:p>
  </w:footnote>
  <w:footnote w:type="continuationSeparator" w:id="0">
    <w:p w:rsidR="00000000" w:rsidRDefault="00300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A0" w:rsidRDefault="00416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A0" w:rsidRDefault="004167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7A0" w:rsidRDefault="004167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06D" w:rsidRDefault="007760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06D" w:rsidRDefault="007760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06D" w:rsidRDefault="00776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4690932C">
      <w:start w:val="1"/>
      <w:numFmt w:val="decimal"/>
      <w:lvlText w:val="%1."/>
      <w:lvlJc w:val="left"/>
      <w:pPr>
        <w:ind w:left="720" w:hanging="360"/>
      </w:pPr>
    </w:lvl>
    <w:lvl w:ilvl="1" w:tplc="9A6A532A">
      <w:start w:val="1"/>
      <w:numFmt w:val="lowerLetter"/>
      <w:lvlText w:val="%2."/>
      <w:lvlJc w:val="left"/>
      <w:pPr>
        <w:ind w:left="1440" w:hanging="360"/>
      </w:pPr>
    </w:lvl>
    <w:lvl w:ilvl="2" w:tplc="F0F4895C">
      <w:start w:val="1"/>
      <w:numFmt w:val="lowerRoman"/>
      <w:lvlText w:val="%3."/>
      <w:lvlJc w:val="right"/>
      <w:pPr>
        <w:ind w:left="2160" w:hanging="180"/>
      </w:pPr>
    </w:lvl>
    <w:lvl w:ilvl="3" w:tplc="23BC506A">
      <w:start w:val="1"/>
      <w:numFmt w:val="decimal"/>
      <w:lvlText w:val="%4."/>
      <w:lvlJc w:val="left"/>
      <w:pPr>
        <w:ind w:left="2880" w:hanging="360"/>
      </w:pPr>
    </w:lvl>
    <w:lvl w:ilvl="4" w:tplc="8262804E">
      <w:start w:val="1"/>
      <w:numFmt w:val="lowerLetter"/>
      <w:lvlText w:val="%5."/>
      <w:lvlJc w:val="left"/>
      <w:pPr>
        <w:ind w:left="3600" w:hanging="360"/>
      </w:pPr>
    </w:lvl>
    <w:lvl w:ilvl="5" w:tplc="C8700E72">
      <w:start w:val="1"/>
      <w:numFmt w:val="lowerRoman"/>
      <w:lvlText w:val="%6."/>
      <w:lvlJc w:val="right"/>
      <w:pPr>
        <w:ind w:left="4320" w:hanging="180"/>
      </w:pPr>
    </w:lvl>
    <w:lvl w:ilvl="6" w:tplc="7FE03AF4">
      <w:start w:val="1"/>
      <w:numFmt w:val="decimal"/>
      <w:lvlText w:val="%7."/>
      <w:lvlJc w:val="left"/>
      <w:pPr>
        <w:ind w:left="5040" w:hanging="360"/>
      </w:pPr>
    </w:lvl>
    <w:lvl w:ilvl="7" w:tplc="F2684A26">
      <w:start w:val="1"/>
      <w:numFmt w:val="lowerLetter"/>
      <w:lvlText w:val="%8."/>
      <w:lvlJc w:val="left"/>
      <w:pPr>
        <w:ind w:left="5760" w:hanging="360"/>
      </w:pPr>
    </w:lvl>
    <w:lvl w:ilvl="8" w:tplc="0DA497D2">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8\fbidi \froman\fcharset238\fprq2 Times New Roman CE;}{\f309\fbidi \froman\fcharset204\fprq2 Times New Roman Cyr;}_x000d__x000a_{\f311\fbidi \froman\fcharset161\fprq2 Times New Roman Greek;}{\f312\fbidi \froman\fcharset162\fprq2 Times New Roman Tur;}{\f313\fbidi \froman\fcharset177\fprq2 Times New Roman (Hebrew);}{\f314\fbidi \froman\fcharset178\fprq2 Times New Roman (Arabic);}_x000d__x000a_{\f315\fbidi \froman\fcharset186\fprq2 Times New Roman Baltic;}{\f316\fbidi \froman\fcharset163\fprq2 Times New Roman (Vietnamese);}{\f648\fbidi \froman\fcharset238\fprq2 Cambria Math CE;}{\f649\fbidi \froman\fcharset204\fprq2 Cambria Math Cyr;}_x000d__x000a_{\f651\fbidi \froman\fcharset161\fprq2 Cambria Math Greek;}{\f652\fbidi \froman\fcharset162\fprq2 Cambria Math Tur;}{\f655\fbidi \froman\fcharset186\fprq2 Cambria Math Baltic;}{\f65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549030\rsid12154954\rsid13844073\rsid14382809\rsid14424199\rsid14942760\rsid15204470\rsid15285974\rsid15950462\rsid16324206\rsid16662270}{\mmathPr\mmathFont34\mbrkBin0\mbrkBinSub0\msmallFrac0\mdispDef1\mlMargin0\mrMargin0\mdefJc1\mwrapIndent1440_x000d__x000a_\mintLim0\mnaryLim1}{\info{\author TAKACS Tamas}{\operator TAKACS Tamas}{\creatim\yr2022\mo10\dy14\hr17\min47}{\revtim\yr2022\mo10\dy14\hr17\min47}{\version1}{\edmins0}{\nofpages1}{\nofwords0}{\nofchars1}{\nofcharsws1}{\vern107}}{\*\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942760\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3844073 \chftnsep _x000d__x000a_\par }}{\*\ftnsepc \ltrpar \pard\plain \ltrpar\ql \li0\ri0\widctlpar\wrapdefault\aspalpha\aspnum\faauto\adjustright\rin0\lin0\itap0 \rtlch\fcs1 \af0\afs20\alang1025 \ltrch\fcs0 \fs24\lang2057\langfe2057\cgrid\langnp2057\langfenp2057 {\rtlch\fcs1 \af0 _x000d__x000a_\ltrch\fcs0 \insrsid13844073 \chftnsepc _x000d__x000a_\par }}{\*\aftnsep \ltrpar \pard\plain \ltrpar\ql \li0\ri0\widctlpar\wrapdefault\aspalpha\aspnum\faauto\adjustright\rin0\lin0\itap0 \rtlch\fcs1 \af0\afs20\alang1025 \ltrch\fcs0 \fs24\lang2057\langfe2057\cgrid\langnp2057\langfenp2057 {\rtlch\fcs1 \af0 _x000d__x000a_\ltrch\fcs0 \insrsid13844073 \chftnsep _x000d__x000a_\par }}{\*\aftnsepc \ltrpar \pard\plain \ltrpar\ql \li0\ri0\widctlpar\wrapdefault\aspalpha\aspnum\faauto\adjustright\rin0\lin0\itap0 \rtlch\fcs1 \af0\afs20\alang1025 \ltrch\fcs0 \fs24\lang2057\langfe2057\cgrid\langnp2057\langfenp2057 {\rtlch\fcs1 \af0 _x000d__x000a_\ltrch\fcs0 \insrsid138440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4942760 _x000d__x000a_\rtlch\fcs1 \af0\afs20\alang1025 \ltrch\fcs0 \fs24\lang2057\langfe2057\cgrid\langnp2057\langfenp2057 {\rtlch\fcs1 \af0 \ltrch\fcs0 \insrsid1494276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3_x000d__x000a_ca42e4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8\fbidi \froman\fcharset238\fprq2 Times New Roman CE;}{\f309\fbidi \froman\fcharset204\fprq2 Times New Roman Cyr;}_x000d__x000a_{\f311\fbidi \froman\fcharset161\fprq2 Times New Roman Greek;}{\f312\fbidi \froman\fcharset162\fprq2 Times New Roman Tur;}{\f313\fbidi \froman\fcharset177\fprq2 Times New Roman (Hebrew);}{\f314\fbidi \froman\fcharset178\fprq2 Times New Roman (Arabic);}_x000d__x000a_{\f315\fbidi \froman\fcharset186\fprq2 Times New Roman Baltic;}{\f316\fbidi \froman\fcharset163\fprq2 Times New Roman (Vietnamese);}{\f318\fbidi \fswiss\fcharset238\fprq2 Arial CE;}{\f319\fbidi \fswiss\fcharset204\fprq2 Arial Cyr;}_x000d__x000a_{\f321\fbidi \fswiss\fcharset161\fprq2 Arial Greek;}{\f322\fbidi \fswiss\fcharset162\fprq2 Arial Tur;}{\f323\fbidi \fswiss\fcharset177\fprq2 Arial (Hebrew);}{\f324\fbidi \fswiss\fcharset178\fprq2 Arial (Arabic);}_x000d__x000a_{\f325\fbidi \fswiss\fcharset186\fprq2 Arial Baltic;}{\f326\fbidi \fswiss\fcharset163\fprq2 Arial (Vietnamese);}{\f648\fbidi \froman\fcharset238\fprq2 Cambria Math CE;}{\f649\fbidi \froman\fcharset204\fprq2 Cambria Math Cyr;}_x000d__x000a_{\f651\fbidi \froman\fcharset161\fprq2 Cambria Math Greek;}{\f652\fbidi \froman\fcharset162\fprq2 Cambria Math Tur;}{\f655\fbidi \froman\fcharset186\fprq2 Cambria Math Baltic;}{\f65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65815 HideTWBExt;}{_x000d__x000a_\s18\ql \li0\ri0\sa120\nowidctlpar\wrapdefault\aspalpha\aspnum\faauto\adjustright\rin0\lin0\itap0 \rtlch\fcs1 \af0\afs20\alang1025 \ltrch\fcs0 \fs24\lang2057\langfe2057\cgrid\langnp2057\langfenp2057 \sbasedon0 \snext18 \spriority0 \styrsid4865815 _x000d__x000a_Normal6a;}{\s19\ql \li0\ri0\nowidctlpar\wrapdefault\aspalpha\aspnum\faauto\adjustright\rin0\lin0\itap0 \rtlch\fcs1 \af0\afs20\alang1025 \ltrch\fcs0 \b\fs24\lang2057\langfe2057\cgrid\langnp2057\langfenp2057 \sbasedon0 \snext19 \spriority0 \styrsid4865815 _x000d__x000a_NormalBold;}{\s20\qc \li0\ri0\sa240\nowidctlpar\wrapdefault\aspalpha\aspnum\faauto\adjustright\rin0\lin0\itap0 \rtlch\fcs1 \af0\afs20\alang1025 \ltrch\fcs0 \i\fs24\lang2057\langfe2057\cgrid\langnp2057\langfenp2057 _x000d__x000a_\sbasedon0 \snext20 \spriority0 \styrsid486581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865815 AmNumberTabs;}{\s22\ql \li0\ri0\sb240\nowidctlpar\wrapdefault\aspalpha\aspnum\faauto\adjustright\rin0\lin0\itap0 \rtlch\fcs1 _x000d__x000a_\af0\afs20\alang1025 \ltrch\fcs0 \b\fs24\lang2057\langfe2057\cgrid\langnp2057\langfenp2057 \sbasedon0 \snext22 \spriority0 \styrsid4865815 NormalBold12b;}}{\*\rsidtbl \rsid24658\rsid223860\rsid735077\rsid1718133\rsid2892074\rsid3565327\rsid4666813_x000d__x000a_\rsid4865815\rsid6641733\rsid7823322\rsid9636012\rsid10377208\rsid11215221\rsid11549030\rsid12154954\rsid14382809\rsid14424199\rsid15204470\rsid15285974\rsid15354293\rsid15950462\rsid16324206\rsid16662270}{\mmathPr\mmathFont34\mbrkBin0\mbrkBinSub0_x000d__x000a_\msmallFrac0\mdispDef1\mlMargin0\mrMargin0\mdefJc1\mwrapIndent1440\mintLim0\mnaryLim1}{\info{\author TAKACS Tamas}{\operator TAKACS Tamas}{\creatim\yr2022\mo10\dy14\hr17\min47}{\revtim\yr2022\mo10\dy14\hr17\min47}{\version1}{\edmins0}{\nofpages1}_x000d__x000a_{\nofwords22}{\nofchars141}{\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865815\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5354293 \chftnsep _x000d__x000a_\par }}{\*\ftnsepc \ltrpar \pard\plain \ltrpar\ql \li0\ri0\widctlpar\wrapdefault\aspalpha\aspnum\faauto\adjustright\rin0\lin0\itap0 \rtlch\fcs1 \af0\afs20\alang1025 \ltrch\fcs0 \fs24\lang2057\langfe2057\cgrid\langnp2057\langfenp2057 {\rtlch\fcs1 \af0 _x000d__x000a_\ltrch\fcs0 \insrsid15354293 \chftnsepc _x000d__x000a_\par }}{\*\aftnsep \ltrpar \pard\plain \ltrpar\ql \li0\ri0\widctlpar\wrapdefault\aspalpha\aspnum\faauto\adjustright\rin0\lin0\itap0 \rtlch\fcs1 \af0\afs20\alang1025 \ltrch\fcs0 \fs24\lang2057\langfe2057\cgrid\langnp2057\langfenp2057 {\rtlch\fcs1 \af0 _x000d__x000a_\ltrch\fcs0 \insrsid15354293 \chftnsep _x000d__x000a_\par }}{\*\aftnsepc \ltrpar \pard\plain \ltrpar\ql \li0\ri0\widctlpar\wrapdefault\aspalpha\aspnum\faauto\adjustright\rin0\lin0\itap0 \rtlch\fcs1 \af0\afs20\alang1025 \ltrch\fcs0 \fs24\lang2057\langfe2057\cgrid\langnp2057\langfenp2057 {\rtlch\fcs1 \af0 _x000d__x000a_\ltrch\fcs0 \insrsid153542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865815 \rtlch\fcs1 _x000d__x000a_\af0\afs20\alang1025 \ltrch\fcs0 \b\fs24\lang2057\langfe2057\cgrid\langnp2057\langfenp2057 {\rtlch\fcs1 \af0 \ltrch\fcs0 \cs17\b0\v\fs20\cf9\lang1024\langfe1024\loch\af1\hich\af1\dbch\af31501\noproof\insrsid4865815\charrsid15879488 {\*\bkmkstart restartA}_x000d__x000a_\hich\af1\dbch\af31501\loch\f1 &lt;AmendA&gt;}{\rtlch\fcs1 \af0 \ltrch\fcs0 \insrsid4865815\charrsid15879488 [ZAMENDMENT]\tab \tab }{\rtlch\fcs1 \af0 \ltrch\fcs0 _x000d__x000a_\cs17\b0\v\fs20\cf9\lang1024\langfe1024\loch\af1\hich\af1\dbch\af31501\noproof\insrsid4865815\charrsid15879488 \hich\af1\dbch\af31501\loch\f1 &lt;NumAmA&gt;}{\rtlch\fcs1 \af0 \ltrch\fcs0 \insrsid4865815\charrsid15879488 [ZNRAM]}{\rtlch\fcs1 \af0 \ltrch\fcs0 _x000d__x000a_\cs17\b0\v\fs20\cf9\lang1024\langfe1024\loch\af1\hich\af1\dbch\af31501\noproof\insrsid4865815\charrsid15879488 \hich\af1\dbch\af31501\loch\f1 &lt;/NumAmA&gt;}{\rtlch\fcs1 \af0 \ltrch\fcs0 \insrsid4865815\charrsid15879488 _x000d__x000a_\par }\pard\plain \ltrpar\s22\ql \li0\ri0\sb240\keepn\nowidctlpar\wrapdefault\aspalpha\aspnum\faauto\adjustright\rin0\lin0\itap0\pararsid4865815 \rtlch\fcs1 \af0\afs20\alang1025 \ltrch\fcs0 \b\fs24\lang2057\langfe2057\cgrid\langnp2057\langfenp2057 {_x000d__x000a_\rtlch\fcs1 \af0 \ltrch\fcs0 \cs17\b0\v\fs20\cf9\lang1024\langfe1024\loch\af1\hich\af1\dbch\af31501\noproof\langnp1036\insrsid4865815\charrsid11356624 \hich\af1\dbch\af31501\loch\f1 &lt;DocAmend&gt;}{\rtlch\fcs1 \af0 \ltrch\fcs0 _x000d__x000a_\lang1036\langfe2057\langnp1036\insrsid4865815\charrsid11356624 [ZRESOLUTION]}{\rtlch\fcs1 \af0 \ltrch\fcs0 \cs17\b0\v\fs20\cf9\lang1024\langfe1024\loch\af1\hich\af1\dbch\af31501\noproof\langnp1036\insrsid4865815\charrsid11356624 _x000d__x000a_\hich\af1\dbch\af31501\loch\f1 &lt;/DocAmend&gt;}{\rtlch\fcs1 \af0 \ltrch\fcs0 \lang1036\langfe2057\langnp1036\insrsid4865815\charrsid11356624 _x000d__x000a_\par }\pard\plain \ltrpar\s19\ql \li0\ri0\nowidctlpar\wrapdefault\aspalpha\aspnum\faauto\adjustright\rin0\lin0\itap0\pararsid4865815 \rtlch\fcs1 \af0\afs20\alang1025 \ltrch\fcs0 \b\fs24\lang2057\langfe2057\cgrid\langnp2057\langfenp2057 {\rtlch\fcs1 \af0 _x000d__x000a_\ltrch\fcs0 \cs17\b0\v\fs20\cf9\lang1024\langfe1024\loch\af1\hich\af1\dbch\af31501\noproof\langnp1036\insrsid4865815\charrsid11356624 \hich\af1\dbch\af31501\loch\f1 &lt;Article&gt;}{\rtlch\fcs1 \af0 \ltrch\fcs0 _x000d__x000a_\lang1036\langfe2057\langnp1036\insrsid4865815\charrsid11356624 [ZRESPART]}{\rtlch\fcs1 \af0 \ltrch\fcs0 \cs17\b0\v\fs20\cf9\lang1024\langfe1024\loch\af1\hich\af1\dbch\af31501\noproof\langnp1036\insrsid4865815\charrsid11356624 _x000d__x000a_\hich\af1\dbch\af31501\loch\f1 &lt;/Article&gt;}{\rtlch\fcs1 \af0 \ltrch\fcs0 \lang1036\langfe2057\langnp1036\insrsid486581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865815\charrsid11356624 \cell }\pard \ltrpar_x000d__x000a_\ql \li0\ri0\widctlpar\intbl\wrapdefault\aspalpha\aspnum\faauto\adjustright\rin0\lin0 {\rtlch\fcs1 \af0 \ltrch\fcs0 \insrsid486581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865815\charrsid15879488 [ZLEFTA]\cell [ZRIGHT]\cell }\pard\plain \ltrpar\ql \li0\ri0\widctlpar\intbl\wrapdefault\aspalpha\aspnum\faauto\adjustright\rin0\lin0 _x000d__x000a_\rtlch\fcs1 \af0\afs20\alang1025 \ltrch\fcs0 \fs24\lang2057\langfe2057\cgrid\langnp2057\langfenp2057 {\rtlch\fcs1 \af0 \ltrch\fcs0 \insrsid486581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865815\charrsid15879488 [ZTEXTL]\cell [ZTEXTR]}{\rtlch\fcs1 \af0\afs24 \ltrch\fcs0 \insrsid4865815\charrsid15879488 \cell }\pard\plain \ltrpar\ql \li0\ri0\widctlpar\intbl\wrapdefault\aspalpha\aspnum\faauto\adjustright\rin0\lin0 \rtlch\fcs1 _x000d__x000a_\af0\afs20\alang1025 \ltrch\fcs0 \fs24\lang2057\langfe2057\cgrid\langnp2057\langfenp2057 {\rtlch\fcs1 \af0 \ltrch\fcs0 \insrsid486581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865815 {\rtlch\fcs1 \af0 \ltrch\fcs0 \cs17\v\fs20\cf9\lang1024\langfe1024\loch\af1\hich\af1\dbch\af31501\noproof\insrsid4865815\charrsid15879488 _x000d__x000a_\hich\af1\dbch\af31501\loch\f1 &lt;/AmendA&gt;}{\rtlch\fcs1 \af0 \ltrch\fcs0 \insrsid486581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8a_x000d__x000a_1b45e4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8\fbidi \froman\fcharset238\fprq2 Times New Roman CE;}{\f309\fbidi \froman\fcharset204\fprq2 Times New Roman Cyr;}_x000d__x000a_{\f311\fbidi \froman\fcharset161\fprq2 Times New Roman Greek;}{\f312\fbidi \froman\fcharset162\fprq2 Times New Roman Tur;}{\f313\fbidi \froman\fcharset177\fprq2 Times New Roman (Hebrew);}{\f314\fbidi \froman\fcharset178\fprq2 Times New Roman (Arabic);}_x000d__x000a_{\f315\fbidi \froman\fcharset186\fprq2 Times New Roman Baltic;}{\f316\fbidi \froman\fcharset163\fprq2 Times New Roman (Vietnamese);}{\f318\fbidi \fswiss\fcharset238\fprq2 Arial CE;}{\f319\fbidi \fswiss\fcharset204\fprq2 Arial Cyr;}_x000d__x000a_{\f321\fbidi \fswiss\fcharset161\fprq2 Arial Greek;}{\f322\fbidi \fswiss\fcharset162\fprq2 Arial Tur;}{\f323\fbidi \fswiss\fcharset177\fprq2 Arial (Hebrew);}{\f324\fbidi \fswiss\fcharset178\fprq2 Arial (Arabic);}_x000d__x000a_{\f325\fbidi \fswiss\fcharset186\fprq2 Arial Baltic;}{\f326\fbidi \fswiss\fcharset163\fprq2 Arial (Vietnamese);}{\f648\fbidi \froman\fcharset238\fprq2 Cambria Math CE;}{\f649\fbidi \froman\fcharset204\fprq2 Cambria Math Cyr;}_x000d__x000a_{\f651\fbidi \froman\fcharset161\fprq2 Cambria Math Greek;}{\f652\fbidi \froman\fcharset162\fprq2 Cambria Math Tur;}{\f655\fbidi \froman\fcharset186\fprq2 Cambria Math Baltic;}{\f65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74305 HideTWBExt;}{_x000d__x000a_\s18\ql \li0\ri0\sa120\nowidctlpar\wrapdefault\aspalpha\aspnum\faauto\adjustright\rin0\lin0\itap0 \rtlch\fcs1 \af0\afs20\alang1025 \ltrch\fcs0 \fs24\lang2057\langfe2057\cgrid\langnp2057\langfenp2057 \sbasedon0 \snext18 \spriority0 \styrsid10574305 _x000d__x000a_Normal6a;}{\s19\ql \li0\ri0\nowidctlpar\wrapdefault\aspalpha\aspnum\faauto\adjustright\rin0\lin0\itap0 \rtlch\fcs1 \af0\afs20\alang1025 \ltrch\fcs0 \b\fs24\lang2057\langfe2057\cgrid\langnp2057\langfenp2057 \sbasedon0 \snext19 \spriority0 \styrsid10574305 _x000d__x000a_NormalBold;}{\s20\ql \li0\ri0\sa240\nowidctlpar\wrapdefault\aspalpha\aspnum\faauto\adjustright\rin0\lin0\itap0 \rtlch\fcs1 \af0\afs20\alang1025 \ltrch\fcs0 \i\fs24\lang2057\langfe2057\cgrid\langnp2057\langfenp2057 _x000d__x000a_\sbasedon0 \snext20 \spriority0 \styrsid10574305 AmJustText;}{\s21\qc \li0\ri0\sb240\sa240\nowidctlpar\wrapdefault\aspalpha\aspnum\faauto\adjustright\rin0\lin0\itap0 \rtlch\fcs1 \af0\afs20\alang1025 \ltrch\fcs0 _x000d__x000a_\i\fs24\lang2057\langfe2057\cgrid\langnp2057\langfenp2057 \sbasedon0 \snext21 \spriority0 \styrsid10574305 AmCrossRef;}{\s22\qc \li0\ri0\sb240\sa240\keepn\nowidctlpar\wrapdefault\aspalpha\aspnum\faauto\adjustright\rin0\lin0\itap0 \rtlch\fcs1 _x000d__x000a_\af0\afs20\alang1025 \ltrch\fcs0 \i\fs24\lang2057\langfe2057\cgrid\langnp2057\langfenp2057 \sbasedon0 \snext20 \spriority0 \styrsid10574305 AmJustTitle;}{\s23\qc \li0\ri0\sa240\nowidctlpar\wrapdefault\aspalpha\aspnum\faauto\adjustright\rin0\lin0\itap0 _x000d__x000a_\rtlch\fcs1 \af0\afs20\alang1025 \ltrch\fcs0 \i\fs24\lang2057\langfe2057\cgrid\langnp2057\langfenp2057 \sbasedon0 \snext23 \spriority0 \styrsid1057430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574305 AmNumberTabs;}{\s25\ql \li0\ri0\sb240\nowidctlpar\wrapdefault\aspalpha\aspnum\faauto\adjustright\rin0\lin0\itap0 \rtlch\fcs1 _x000d__x000a_\af0\afs20\alang1025 \ltrch\fcs0 \b\fs24\lang2057\langfe2057\cgrid\langnp2057\langfenp2057 \sbasedon0 \snext25 \spriority0 \styrsid10574305 NormalBold12b;}}{\*\rsidtbl \rsid24658\rsid223860\rsid735077\rsid1718133\rsid2892074\rsid3565327\rsid4666813_x000d__x000a_\rsid6641733\rsid7823322\rsid9636012\rsid10377208\rsid10574305\rsid11215221\rsid11549030\rsid12154954\rsid13398869\rsid14382809\rsid14424199\rsid15204470\rsid15285974\rsid15950462\rsid16324206\rsid16662270}{\mmathPr\mmathFont34\mbrkBin0\mbrkBinSub0_x000d__x000a_\msmallFrac0\mdispDef1\mlMargin0\mrMargin0\mdefJc1\mwrapIndent1440\mintLim0\mnaryLim1}{\info{\author TAKACS Tamas}{\operator TAKACS Tamas}{\creatim\yr2022\mo10\dy14\hr17\min47}{\revtim\yr2022\mo10\dy14\hr17\min47}{\version1}{\edmins0}{\nofpages1}_x000d__x000a_{\nofwords51}{\nofchars321}{\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574305\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3398869 \chftnsep _x000d__x000a_\par }}{\*\ftnsepc \ltrpar \pard\plain \ltrpar\ql \li0\ri0\widctlpar\wrapdefault\aspalpha\aspnum\faauto\adjustright\rin0\lin0\itap0 \rtlch\fcs1 \af0\afs20\alang1025 \ltrch\fcs0 \fs24\lang2057\langfe2057\cgrid\langnp2057\langfenp2057 {\rtlch\fcs1 \af0 _x000d__x000a_\ltrch\fcs0 \insrsid13398869 \chftnsepc _x000d__x000a_\par }}{\*\aftnsep \ltrpar \pard\plain \ltrpar\ql \li0\ri0\widctlpar\wrapdefault\aspalpha\aspnum\faauto\adjustright\rin0\lin0\itap0 \rtlch\fcs1 \af0\afs20\alang1025 \ltrch\fcs0 \fs24\lang2057\langfe2057\cgrid\langnp2057\langfenp2057 {\rtlch\fcs1 \af0 _x000d__x000a_\ltrch\fcs0 \insrsid13398869 \chftnsep _x000d__x000a_\par }}{\*\aftnsepc \ltrpar \pard\plain \ltrpar\ql \li0\ri0\widctlpar\wrapdefault\aspalpha\aspnum\faauto\adjustright\rin0\lin0\itap0 \rtlch\fcs1 \af0\afs20\alang1025 \ltrch\fcs0 \fs24\lang2057\langfe2057\cgrid\langnp2057\langfenp2057 {\rtlch\fcs1 \af0 _x000d__x000a_\ltrch\fcs0 \insrsid133988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0574305 \rtlch\fcs1 _x000d__x000a_\af0\afs20\alang1025 \ltrch\fcs0 \b\fs24\lang2057\langfe2057\cgrid\langnp2057\langfenp2057 {\rtlch\fcs1 \af0 \ltrch\fcs0 \cs17\b0\v\fs20\cf9\lang1024\langfe1024\loch\af1\hich\af1\dbch\af31501\noproof\insrsid10574305\charrsid15879488 {\*\bkmkstart restartB_x000d__x000a_}\hich\af1\dbch\af31501\loch\f1 &lt;AmendB&gt;}{\rtlch\fcs1 \af0 \ltrch\fcs0 \insrsid10574305\charrsid15879488 [ZAMENDMENT]\tab \tab }{\rtlch\fcs1 \af0 \ltrch\fcs0 _x000d__x000a_\cs17\b0\v\fs20\cf9\lang1024\langfe1024\loch\af1\hich\af1\dbch\af31501\noproof\insrsid10574305\charrsid15879488 \hich\af1\dbch\af31501\loch\f1 &lt;NumAmB&gt;}{\rtlch\fcs1 \af0 \ltrch\fcs0 \insrsid10574305\charrsid15879488 [ZNRAM]}{\rtlch\fcs1 \af0 \ltrch\fcs0 _x000d__x000a_\cs17\b0\v\fs20\cf9\lang1024\langfe1024\loch\af1\hich\af1\dbch\af31501\noproof\insrsid10574305\charrsid15879488 \hich\af1\dbch\af31501\loch\f1 &lt;/NumAmB&gt;}{\rtlch\fcs1 \af0 \ltrch\fcs0 \insrsid10574305\charrsid15879488 _x000d__x000a_\par }\pard\plain \ltrpar\s25\ql \li0\ri0\sb240\keepn\nowidctlpar\wrapdefault\aspalpha\aspnum\faauto\adjustright\rin0\lin0\itap0\pararsid10574305 \rtlch\fcs1 \af0\afs20\alang1025 \ltrch\fcs0 \b\fs24\lang2057\langfe2057\cgrid\langnp2057\langfenp2057 {_x000d__x000a_\rtlch\fcs1 \af0 \ltrch\fcs0 \cs17\b0\v\fs20\cf9\lang1024\langfe1024\loch\af1\hich\af1\dbch\af31501\noproof\insrsid10574305\charrsid15879488 \hich\af1\dbch\af31501\loch\f1 &lt;DocAmend&gt;}{\rtlch\fcs1 \af0 \ltrch\fcs0 \insrsid10574305\charrsid15879488 _x000d__x000a_[ZPROPOSAL][ZAMACT]}{\rtlch\fcs1 \af0 \ltrch\fcs0 \cs17\b0\v\fs20\cf9\lang1024\langfe1024\loch\af1\hich\af1\dbch\af31501\noproof\insrsid10574305\charrsid15879488 \hich\af1\dbch\af31501\loch\f1 &lt;/DocAmend&gt;}{\rtlch\fcs1 \af0 \ltrch\fcs0 _x000d__x000a_\insrsid10574305\charrsid15879488 _x000d__x000a_\par }\pard\plain \ltrpar\s19\ql \li0\ri0\keepn\nowidctlpar\wrapdefault\aspalpha\aspnum\faauto\adjustright\rin0\lin0\itap0\pararsid10574305 \rtlch\fcs1 \af0\afs20\alang1025 \ltrch\fcs0 \b\fs24\lang2057\langfe2057\cgrid\langnp2057\langfenp2057 {\rtlch\fcs1 _x000d__x000a_\af0 \ltrch\fcs0 \cs17\b0\v\fs20\cf9\lang1024\langfe1024\loch\af1\hich\af1\dbch\af31501\noproof\insrsid10574305\charrsid15879488 \hich\af1\dbch\af31501\loch\f1 &lt;Article&gt;}{\rtlch\fcs1 \af0 \ltrch\fcs0 \insrsid10574305\charrsid15879488 [ZAMPART]}{_x000d__x000a_\rtlch\fcs1 \af0 \ltrch\fcs0 \cs17\b0\v\fs20\cf9\lang1024\langfe1024\loch\af1\hich\af1\dbch\af31501\noproof\insrsid10574305\charrsid15879488 \hich\af1\dbch\af31501\loch\f1 &lt;/Article&gt;}{\rtlch\fcs1 \af0 \ltrch\fcs0 \insrsid10574305\charrsid15879488 _x000d__x000a_\par }\pard\plain \ltrpar\ql \li0\ri0\keepn\widctlpar\wrapdefault\aspalpha\aspnum\faauto\adjustright\rin0\lin0\itap0\pararsid10574305 \rtlch\fcs1 \af0\afs20\alang1025 \ltrch\fcs0 \fs24\lang2057\langfe2057\cgrid\langnp2057\langfenp2057 {\rtlch\fcs1 \af0 _x000d__x000a_\ltrch\fcs0 \cs17\v\fs20\cf9\lang1024\langfe1024\loch\af1\hich\af1\dbch\af31501\noproof\insrsid10574305\charrsid15879488 \hich\af1\dbch\af31501\loch\f1 &lt;DocAmend2&gt;&lt;OptDel&gt;}{\rtlch\fcs1 \af0 \ltrch\fcs0 \insrsid10574305\charrsid15879488 [ZNRACT]}{_x000d__x000a_\rtlch\fcs1 \af0 \ltrch\fcs0 \cs17\v\fs20\cf9\lang1024\langfe1024\loch\af1\hich\af1\dbch\af31501\noproof\insrsid10574305\charrsid15879488 \hich\af1\dbch\af31501\loch\f1 &lt;/OptDel&gt;&lt;/DocAmend2&gt;}{\rtlch\fcs1 \af0 \ltrch\fcs0 \insrsid10574305\charrsid15879488 _x000d__x000a__x000d__x000a_\par }\pard \ltrpar\ql \li0\ri0\widctlpar\wrapdefault\aspalpha\aspnum\faauto\adjustright\rin0\lin0\itap0\pararsid10574305 {\rtlch\fcs1 \af0 \ltrch\fcs0 _x000d__x000a_\cs17\v\fs20\cf9\lang1024\langfe1024\loch\af1\hich\af1\dbch\af31501\noproof\langnp1036\insrsid10574305\charrsid11356624 \hich\af1\dbch\af31501\loch\f1 &lt;Article2&gt;&lt;OptDel&gt;}{\rtlch\fcs1 \af0 \ltrch\fcs0 _x000d__x000a_\lang1036\langfe2057\langnp1036\insrsid10574305\charrsid11356624 [ZACTPART]}{\rtlch\fcs1 \af0 \ltrch\fcs0 \cs17\v\fs20\cf9\lang1024\langfe1024\loch\af1\hich\af1\dbch\af31501\noproof\langnp1036\insrsid10574305\charrsid11356624 _x000d__x000a_\hich\af1\dbch\af31501\loch\f1 &lt;/OptDel&gt;&lt;/Article2&gt;}{\rtlch\fcs1 \af0 \ltrch\fcs0 \lang1036\langfe2057\langnp1036\insrsid1057430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0574305\charrsid11356624 \cell }\pard \ltrpar\ql \li0\ri0\widctlpar\intbl\wrapdefault\aspalpha\aspnum\faauto\adjustright\rin0\lin0 {\rtlch\fcs1 \af0 \ltrch\fcs0 \insrsid1057430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0574305\charrsid15879488 [ZLEFTB]\cell [ZRIGHT]\cell }\pard\plain \ltrpar\ql \li0\ri0\widctlpar\intbl\wrapdefault\aspalpha\aspnum\faauto\adjustright\rin0\lin0 \rtlch\fcs1 \af0\afs20\alang1025 \ltrch\fcs0 _x000d__x000a_\fs24\lang2057\langfe2057\cgrid\langnp2057\langfenp2057 {\rtlch\fcs1 \af0 \ltrch\fcs0 \insrsid1057430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574305\charrsid15879488 [ZTEXTL]\cell [ZTEXTR]}{\rtlch\fcs1 \af0\afs24 \ltrch\fcs0 \insrsid10574305\charrsid15879488 \cell }\pard\plain \ltrpar\ql \li0\ri0\widctlpar\intbl\wrapdefault\aspalpha\aspnum\faauto\adjustright\rin0\lin0 \rtlch\fcs1 _x000d__x000a_\af0\afs20\alang1025 \ltrch\fcs0 \fs24\lang2057\langfe2057\cgrid\langnp2057\langfenp2057 {\rtlch\fcs1 \af0 \ltrch\fcs0 \insrsid1057430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0574305 \rtlch\fcs1 \af0\afs20\alang1025 \ltrch\fcs0 \i\fs24\lang2057\langfe2057\cgrid\langnp2057\langfenp2057 {\rtlch\fcs1 \af0 \ltrch\fcs0 _x000d__x000a_\cs17\i0\v\fs20\cf9\lang1024\langfe1024\loch\af1\hich\af1\dbch\af31501\noproof\insrsid10574305\charrsid15879488 \hich\af1\dbch\af31501\loch\f1 &lt;OptDel&gt;}{\rtlch\fcs1 \af0 \ltrch\fcs0 \insrsid10574305\charrsid15879488 [ZCROSSREF]}{\rtlch\fcs1 \af0 _x000d__x000a_\ltrch\fcs0 \cs17\i0\v\fs20\cf9\lang1024\langfe1024\loch\af1\hich\af1\dbch\af31501\noproof\insrsid10574305\charrsid15879488 \hich\af1\dbch\af31501\loch\f1 &lt;/OptDel&gt;}{\rtlch\fcs1 \af0 \ltrch\fcs0 \insrsid10574305\charrsid15879488 _x000d__x000a_\par }\pard\plain \ltrpar\s22\qc \li0\ri0\sb240\sa240\keepn\nowidctlpar\wrapdefault\aspalpha\aspnum\faauto\adjustright\rin0\lin0\itap0\pararsid10574305 \rtlch\fcs1 \af0\afs20\alang1025 \ltrch\fcs0 \i\fs24\lang2057\langfe2057\cgrid\langnp2057\langfenp2057 {_x000d__x000a_\rtlch\fcs1 \af0 \ltrch\fcs0 \cs17\i0\v\fs20\cf9\lang1024\langfe1024\loch\af1\hich\af1\dbch\af31501\noproof\insrsid10574305\charrsid15879488 \hich\af1\dbch\af31501\loch\f1 &lt;TitreJust&gt;}{\rtlch\fcs1 \af0 \ltrch\fcs0 \insrsid10574305\charrsid15879488 _x000d__x000a_[ZJUSTIFICATION]}{\rtlch\fcs1 \af0 \ltrch\fcs0 \cs17\i0\v\fs20\cf9\lang1024\langfe1024\loch\af1\hich\af1\dbch\af31501\noproof\insrsid10574305\charrsid15879488 \hich\af1\dbch\af31501\loch\f1 &lt;/TitreJust&gt;}{\rtlch\fcs1 \af0 \ltrch\fcs0 _x000d__x000a_\insrsid10574305\charrsid15879488 _x000d__x000a_\par }\pard\plain \ltrpar\s20\ql \li0\ri0\sa240\nowidctlpar\wrapdefault\aspalpha\aspnum\faauto\adjustright\rin0\lin0\itap0\pararsid10574305 \rtlch\fcs1 \af0\afs20\alang1025 \ltrch\fcs0 \i\fs24\lang2057\langfe2057\cgrid\langnp2057\langfenp2057 {\rtlch\fcs1 _x000d__x000a_\af0 \ltrch\fcs0 \cs17\i0\v\fs20\cf9\lang1024\langfe1024\loch\af1\hich\af1\dbch\af31501\noproof\insrsid10574305\charrsid15879488 \hich\af1\dbch\af31501\loch\f1 &lt;OptDelPrev&gt;}{\rtlch\fcs1 \af0 \ltrch\fcs0 \insrsid10574305\charrsid15879488 [ZTEXTJUST]}{_x000d__x000a_\rtlch\fcs1 \af0 \ltrch\fcs0 \cs17\i0\v\fs20\cf9\lang1024\langfe1024\loch\af1\hich\af1\dbch\af31501\noproof\insrsid10574305\charrsid15879488 \hich\af1\dbch\af31501\loch\f1 &lt;/OptDelPrev&gt;}{\rtlch\fcs1 \af0 \ltrch\fcs0 \insrsid10574305\charrsid15879488 _x000d__x000a__x000d__x000a_\par }\pard\plain \ltrpar\ql \li0\ri0\widctlpar\wrapdefault\aspalpha\aspnum\faauto\adjustright\rin0\lin0\itap0\pararsid10574305 \rtlch\fcs1 \af0\afs20\alang1025 \ltrch\fcs0 \fs24\lang2057\langfe2057\cgrid\langnp2057\langfenp2057 {\rtlch\fcs1 \af0 \ltrch\fcs0 _x000d__x000a_\cs17\v\fs20\cf9\lang1024\langfe1024\loch\af1\hich\af1\dbch\af31501\noproof\insrsid10574305\charrsid15879488 \hich\af1\dbch\af31501\loch\f1 &lt;/AmendB&gt;}{\rtlch\fcs1 \af0 \ltrch\fcs0 \insrsid1057430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19_x000d__x000a_3a46e4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08\fbidi \froman\fcharset238\fprq2 Times New Roman CE;}{\f309\fbidi \froman\fcharset204\fprq2 Times New Roman Cyr;}_x000d__x000a_{\f311\fbidi \froman\fcharset161\fprq2 Times New Roman Greek;}{\f312\fbidi \froman\fcharset162\fprq2 Times New Roman Tur;}{\f313\fbidi \froman\fcharset177\fprq2 Times New Roman (Hebrew);}{\f314\fbidi \froman\fcharset178\fprq2 Times New Roman (Arabic);}_x000d__x000a_{\f315\fbidi \froman\fcharset186\fprq2 Times New Roman Baltic;}{\f316\fbidi \froman\fcharset163\fprq2 Times New Roman (Vietnamese);}{\f318\fbidi \fswiss\fcharset238\fprq2 Arial CE;}{\f319\fbidi \fswiss\fcharset204\fprq2 Arial Cyr;}_x000d__x000a_{\f321\fbidi \fswiss\fcharset161\fprq2 Arial Greek;}{\f322\fbidi \fswiss\fcharset162\fprq2 Arial Tur;}{\f323\fbidi \fswiss\fcharset177\fprq2 Arial (Hebrew);}{\f324\fbidi \fswiss\fcharset178\fprq2 Arial (Arabic);}_x000d__x000a_{\f325\fbidi \fswiss\fcharset186\fprq2 Arial Baltic;}{\f326\fbidi \fswiss\fcharset163\fprq2 Arial (Vietnamese);}{\f648\fbidi \froman\fcharset238\fprq2 Cambria Math CE;}{\f649\fbidi \froman\fcharset204\fprq2 Cambria Math Cyr;}_x000d__x000a_{\f651\fbidi \froman\fcharset161\fprq2 Cambria Math Greek;}{\f652\fbidi \froman\fcharset162\fprq2 Cambria Math Tur;}{\f655\fbidi \froman\fcharset186\fprq2 Cambria Math Baltic;}{\f65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9856 HideTWBExt;}{_x000d__x000a_\s18\ql \li0\ri0\sa120\nowidctlpar\wrapdefault\aspalpha\aspnum\faauto\adjustright\rin0\lin0\itap0 \rtlch\fcs1 \af0\afs20\alang1025 \ltrch\fcs0 \fs24\lang2057\langfe2057\cgrid\langnp2057\langfenp2057 \sbasedon0 \snext18 \spriority0 \styrsid14709856 _x000d__x000a_Normal6a;}{\s19\ql \li0\ri0\nowidctlpar\wrapdefault\aspalpha\aspnum\faauto\adjustright\rin0\lin0\itap0 \rtlch\fcs1 \af0\afs20\alang1025 \ltrch\fcs0 \b\fs24\lang2057\langfe2057\cgrid\langnp2057\langfenp2057 \sbasedon0 \snext19 \spriority0 \styrsid14709856 _x000d__x000a_NormalBold;}{\s20\ql \li0\ri0\sa240\nowidctlpar\wrapdefault\aspalpha\aspnum\faauto\adjustright\rin0\lin0\itap0 \rtlch\fcs1 \af0\afs20\alang1025 \ltrch\fcs0 \i\fs24\lang2057\langfe2057\cgrid\langnp2057\langfenp2057 _x000d__x000a_\sbasedon0 \snext20 \spriority0 \styrsid14709856 AmJustText;}{\s21\qc \li0\ri0\sb240\sa240\nowidctlpar\wrapdefault\aspalpha\aspnum\faauto\adjustright\rin0\lin0\itap0 \rtlch\fcs1 \af0\afs20\alang1025 \ltrch\fcs0 _x000d__x000a_\i\fs24\lang2057\langfe2057\cgrid\langnp2057\langfenp2057 \sbasedon0 \snext21 \spriority0 \styrsid14709856 AmCrossRef;}{\s22\qc \li0\ri0\sb240\sa240\keepn\nowidctlpar\wrapdefault\aspalpha\aspnum\faauto\adjustright\rin0\lin0\itap0 \rtlch\fcs1 _x000d__x000a_\af0\afs20\alang1025 \ltrch\fcs0 \i\fs24\lang2057\langfe2057\cgrid\langnp2057\langfenp2057 \sbasedon0 \snext20 \spriority0 \styrsid14709856 AmJustTitle;}{\s23\qc \li0\ri0\sa240\nowidctlpar\wrapdefault\aspalpha\aspnum\faauto\adjustright\rin0\lin0\itap0 _x000d__x000a_\rtlch\fcs1 \af0\afs20\alang1025 \ltrch\fcs0 \i\fs24\lang2057\langfe2057\cgrid\langnp2057\langfenp2057 \sbasedon0 \snext23 \spriority0 \styrsid1470985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709856 AmNumberTabs;}{\s25\ql \li0\ri0\sb240\nowidctlpar\wrapdefault\aspalpha\aspnum\faauto\adjustright\rin0\lin0\itap0 \rtlch\fcs1 _x000d__x000a_\af0\afs20\alang1025 \ltrch\fcs0 \b\fs24\lang2057\langfe2057\cgrid\langnp2057\langfenp2057 \sbasedon0 \snext25 \spriority0 \styrsid14709856 NormalBold12b;}}{\*\rsidtbl \rsid24658\rsid223860\rsid735077\rsid1718133\rsid2892074\rsid3565327\rsid4666813_x000d__x000a_\rsid6641733\rsid7823322\rsid8092771\rsid9636012\rsid10377208\rsid11215221\rsid11549030\rsid12154954\rsid14382809\rsid14424199\rsid14709856\rsid15204470\rsid15285974\rsid15950462\rsid16324206\rsid16662270}{\mmathPr\mmathFont34\mbrkBin0\mbrkBinSub0_x000d__x000a_\msmallFrac0\mdispDef1\mlMargin0\mrMargin0\mdefJc1\mwrapIndent1440\mintLim0\mnaryLim1}{\info{\author TAKACS Tamas}{\operator TAKACS Tamas}{\creatim\yr2022\mo10\dy14\hr17\min47}{\revtim\yr2022\mo10\dy14\hr17\min47}{\version1}{\edmins0}{\nofpages1}_x000d__x000a_{\nofwords51}{\nofchars321}{\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709856\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8092771 \chftnsep _x000d__x000a_\par }}{\*\ftnsepc \ltrpar \pard\plain \ltrpar\ql \li0\ri0\widctlpar\wrapdefault\aspalpha\aspnum\faauto\adjustright\rin0\lin0\itap0 \rtlch\fcs1 \af0\afs20\alang1025 \ltrch\fcs0 \fs24\lang2057\langfe2057\cgrid\langnp2057\langfenp2057 {\rtlch\fcs1 \af0 _x000d__x000a_\ltrch\fcs0 \insrsid8092771 \chftnsepc _x000d__x000a_\par }}{\*\aftnsep \ltrpar \pard\plain \ltrpar\ql \li0\ri0\widctlpar\wrapdefault\aspalpha\aspnum\faauto\adjustright\rin0\lin0\itap0 \rtlch\fcs1 \af0\afs20\alang1025 \ltrch\fcs0 \fs24\lang2057\langfe2057\cgrid\langnp2057\langfenp2057 {\rtlch\fcs1 \af0 _x000d__x000a_\ltrch\fcs0 \insrsid8092771 \chftnsep _x000d__x000a_\par }}{\*\aftnsepc \ltrpar \pard\plain \ltrpar\ql \li0\ri0\widctlpar\wrapdefault\aspalpha\aspnum\faauto\adjustright\rin0\lin0\itap0 \rtlch\fcs1 \af0\afs20\alang1025 \ltrch\fcs0 \fs24\lang2057\langfe2057\cgrid\langnp2057\langfenp2057 {\rtlch\fcs1 \af0 _x000d__x000a_\ltrch\fcs0 \insrsid80927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709856 \rtlch\fcs1 _x000d__x000a_\af0\afs20\alang1025 \ltrch\fcs0 \b\fs24\lang2057\langfe2057\cgrid\langnp2057\langfenp2057 {\rtlch\fcs1 \af0 \ltrch\fcs0 \cs17\b0\v\fs20\cf9\lang1024\langfe1024\loch\af1\hich\af1\dbch\af31501\noproof\insrsid14709856\charrsid15879488 {\*\bkmkstart restartB_x000d__x000a_}\hich\af1\dbch\af31501\loch\f1 &lt;AmendB&gt;}{\rtlch\fcs1 \af0 \ltrch\fcs0 \insrsid14709856\charrsid15879488 [ZAMENDMENT]\tab \tab }{\rtlch\fcs1 \af0 \ltrch\fcs0 _x000d__x000a_\cs17\b0\v\fs20\cf9\lang1024\langfe1024\loch\af1\hich\af1\dbch\af31501\noproof\insrsid14709856\charrsid15879488 \hich\af1\dbch\af31501\loch\f1 &lt;NumAmB&gt;}{\rtlch\fcs1 \af0 \ltrch\fcs0 \insrsid14709856\charrsid15879488 [ZNRAM]}{\rtlch\fcs1 \af0 \ltrch\fcs0 _x000d__x000a_\cs17\b0\v\fs20\cf9\lang1024\langfe1024\loch\af1\hich\af1\dbch\af31501\noproof\insrsid14709856\charrsid15879488 \hich\af1\dbch\af31501\loch\f1 &lt;/NumAmB&gt;}{\rtlch\fcs1 \af0 \ltrch\fcs0 \insrsid14709856\charrsid15879488 _x000d__x000a_\par }\pard\plain \ltrpar\s25\ql \li0\ri0\sb240\keepn\nowidctlpar\wrapdefault\aspalpha\aspnum\faauto\adjustright\rin0\lin0\itap0\pararsid14709856 \rtlch\fcs1 \af0\afs20\alang1025 \ltrch\fcs0 \b\fs24\lang2057\langfe2057\cgrid\langnp2057\langfenp2057 {_x000d__x000a_\rtlch\fcs1 \af0 \ltrch\fcs0 \cs17\b0\v\fs20\cf9\lang1024\langfe1024\loch\af1\hich\af1\dbch\af31501\noproof\insrsid14709856\charrsid15879488 \hich\af1\dbch\af31501\loch\f1 &lt;DocAmend&gt;}{\rtlch\fcs1 \af0 \ltrch\fcs0 \insrsid14709856\charrsid15879488 _x000d__x000a_[ZPROPOSAL][ZAMACT]}{\rtlch\fcs1 \af0 \ltrch\fcs0 \cs17\b0\v\fs20\cf9\lang1024\langfe1024\loch\af1\hich\af1\dbch\af31501\noproof\insrsid14709856\charrsid15879488 \hich\af1\dbch\af31501\loch\f1 &lt;/DocAmend&gt;}{\rtlch\fcs1 \af0 \ltrch\fcs0 _x000d__x000a_\insrsid14709856\charrsid15879488 _x000d__x000a_\par }\pard\plain \ltrpar\s19\ql \li0\ri0\keepn\nowidctlpar\wrapdefault\aspalpha\aspnum\faauto\adjustright\rin0\lin0\itap0\pararsid14709856 \rtlch\fcs1 \af0\afs20\alang1025 \ltrch\fcs0 \b\fs24\lang2057\langfe2057\cgrid\langnp2057\langfenp2057 {\rtlch\fcs1 _x000d__x000a_\af0 \ltrch\fcs0 \cs17\b0\v\fs20\cf9\lang1024\langfe1024\loch\af1\hich\af1\dbch\af31501\noproof\insrsid14709856\charrsid15879488 \hich\af1\dbch\af31501\loch\f1 &lt;Article&gt;}{\rtlch\fcs1 \af0 \ltrch\fcs0 \insrsid14709856\charrsid15879488 [ZAMPART]}{_x000d__x000a_\rtlch\fcs1 \af0 \ltrch\fcs0 \cs17\b0\v\fs20\cf9\lang1024\langfe1024\loch\af1\hich\af1\dbch\af31501\noproof\insrsid14709856\charrsid15879488 \hich\af1\dbch\af31501\loch\f1 &lt;/Article&gt;}{\rtlch\fcs1 \af0 \ltrch\fcs0 \insrsid14709856\charrsid15879488 _x000d__x000a_\par }\pard\plain \ltrpar\ql \li0\ri0\keepn\widctlpar\wrapdefault\aspalpha\aspnum\faauto\adjustright\rin0\lin0\itap0\pararsid14709856 \rtlch\fcs1 \af0\afs20\alang1025 \ltrch\fcs0 \fs24\lang2057\langfe2057\cgrid\langnp2057\langfenp2057 {\rtlch\fcs1 \af0 _x000d__x000a_\ltrch\fcs0 \cs17\v\fs20\cf9\lang1024\langfe1024\loch\af1\hich\af1\dbch\af31501\noproof\insrsid14709856\charrsid15879488 \hich\af1\dbch\af31501\loch\f1 &lt;DocAmend2&gt;&lt;OptDel&gt;}{\rtlch\fcs1 \af0 \ltrch\fcs0 \insrsid14709856\charrsid15879488 [ZNRACT]}{_x000d__x000a_\rtlch\fcs1 \af0 \ltrch\fcs0 \cs17\v\fs20\cf9\lang1024\langfe1024\loch\af1\hich\af1\dbch\af31501\noproof\insrsid14709856\charrsid15879488 \hich\af1\dbch\af31501\loch\f1 &lt;/OptDel&gt;&lt;/DocAmend2&gt;}{\rtlch\fcs1 \af0 \ltrch\fcs0 \insrsid14709856\charrsid15879488 _x000d__x000a__x000d__x000a_\par }\pard \ltrpar\ql \li0\ri0\widctlpar\wrapdefault\aspalpha\aspnum\faauto\adjustright\rin0\lin0\itap0\pararsid14709856 {\rtlch\fcs1 \af0 \ltrch\fcs0 _x000d__x000a_\cs17\v\fs20\cf9\lang1024\langfe1024\loch\af1\hich\af1\dbch\af31501\noproof\langnp1036\insrsid14709856\charrsid11356624 \hich\af1\dbch\af31501\loch\f1 &lt;Article2&gt;&lt;OptDel&gt;}{\rtlch\fcs1 \af0 \ltrch\fcs0 _x000d__x000a_\lang1036\langfe2057\langnp1036\insrsid14709856\charrsid11356624 [ZACTPART]}{\rtlch\fcs1 \af0 \ltrch\fcs0 \cs17\v\fs20\cf9\lang1024\langfe1024\loch\af1\hich\af1\dbch\af31501\noproof\langnp1036\insrsid14709856\charrsid11356624 _x000d__x000a_\hich\af1\dbch\af31501\loch\f1 &lt;/OptDel&gt;&lt;/Article2&gt;}{\rtlch\fcs1 \af0 \ltrch\fcs0 \lang1036\langfe2057\langnp1036\insrsid1470985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709856\charrsid11356624 \cell }\pard \ltrpar\ql \li0\ri0\widctlpar\intbl\wrapdefault\aspalpha\aspnum\faauto\adjustright\rin0\lin0 {\rtlch\fcs1 \af0 \ltrch\fcs0 \insrsid1470985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709856\charrsid15879488 [ZLEFTB]\cell [ZRIGHT]\cell }\pard\plain \ltrpar\ql \li0\ri0\widctlpar\intbl\wrapdefault\aspalpha\aspnum\faauto\adjustright\rin0\lin0 \rtlch\fcs1 \af0\afs20\alang1025 \ltrch\fcs0 _x000d__x000a_\fs24\lang2057\langfe2057\cgrid\langnp2057\langfenp2057 {\rtlch\fcs1 \af0 \ltrch\fcs0 \insrsid1470985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709856\charrsid15879488 [ZTEXTL]\cell [ZTEXTR]}{\rtlch\fcs1 \af0\afs24 \ltrch\fcs0 \insrsid14709856\charrsid15879488 \cell }\pard\plain \ltrpar\ql \li0\ri0\widctlpar\intbl\wrapdefault\aspalpha\aspnum\faauto\adjustright\rin0\lin0 \rtlch\fcs1 _x000d__x000a_\af0\afs20\alang1025 \ltrch\fcs0 \fs24\lang2057\langfe2057\cgrid\langnp2057\langfenp2057 {\rtlch\fcs1 \af0 \ltrch\fcs0 \insrsid1470985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709856 \rtlch\fcs1 \af0\afs20\alang1025 \ltrch\fcs0 \i\fs24\lang2057\langfe2057\cgrid\langnp2057\langfenp2057 {\rtlch\fcs1 \af0 \ltrch\fcs0 _x000d__x000a_\cs17\i0\v\fs20\cf9\lang1024\langfe1024\loch\af1\hich\af1\dbch\af31501\noproof\insrsid14709856\charrsid15879488 \hich\af1\dbch\af31501\loch\f1 &lt;OptDel&gt;}{\rtlch\fcs1 \af0 \ltrch\fcs0 \insrsid14709856\charrsid15879488 [ZCROSSREF]}{\rtlch\fcs1 \af0 _x000d__x000a_\ltrch\fcs0 \cs17\i0\v\fs20\cf9\lang1024\langfe1024\loch\af1\hich\af1\dbch\af31501\noproof\insrsid14709856\charrsid15879488 \hich\af1\dbch\af31501\loch\f1 &lt;/OptDel&gt;}{\rtlch\fcs1 \af0 \ltrch\fcs0 \insrsid14709856\charrsid15879488 _x000d__x000a_\par }\pard\plain \ltrpar\s22\qc \li0\ri0\sb240\sa240\keepn\nowidctlpar\wrapdefault\aspalpha\aspnum\faauto\adjustright\rin0\lin0\itap0\pararsid14709856 \rtlch\fcs1 \af0\afs20\alang1025 \ltrch\fcs0 \i\fs24\lang2057\langfe2057\cgrid\langnp2057\langfenp2057 {_x000d__x000a_\rtlch\fcs1 \af0 \ltrch\fcs0 \cs17\i0\v\fs20\cf9\lang1024\langfe1024\loch\af1\hich\af1\dbch\af31501\noproof\insrsid14709856\charrsid15879488 \hich\af1\dbch\af31501\loch\f1 &lt;TitreJust&gt;}{\rtlch\fcs1 \af0 \ltrch\fcs0 \insrsid14709856\charrsid15879488 _x000d__x000a_[ZJUSTIFICATION]}{\rtlch\fcs1 \af0 \ltrch\fcs0 \cs17\i0\v\fs20\cf9\lang1024\langfe1024\loch\af1\hich\af1\dbch\af31501\noproof\insrsid14709856\charrsid15879488 \hich\af1\dbch\af31501\loch\f1 &lt;/TitreJust&gt;}{\rtlch\fcs1 \af0 \ltrch\fcs0 _x000d__x000a_\insrsid14709856\charrsid15879488 _x000d__x000a_\par }\pard\plain \ltrpar\s20\ql \li0\ri0\sa240\nowidctlpar\wrapdefault\aspalpha\aspnum\faauto\adjustright\rin0\lin0\itap0\pararsid14709856 \rtlch\fcs1 \af0\afs20\alang1025 \ltrch\fcs0 \i\fs24\lang2057\langfe2057\cgrid\langnp2057\langfenp2057 {\rtlch\fcs1 _x000d__x000a_\af0 \ltrch\fcs0 \cs17\i0\v\fs20\cf9\lang1024\langfe1024\loch\af1\hich\af1\dbch\af31501\noproof\insrsid14709856\charrsid15879488 \hich\af1\dbch\af31501\loch\f1 &lt;OptDelPrev&gt;}{\rtlch\fcs1 \af0 \ltrch\fcs0 \insrsid14709856\charrsid15879488 [ZTEXTJUST]}{_x000d__x000a_\rtlch\fcs1 \af0 \ltrch\fcs0 \cs17\i0\v\fs20\cf9\lang1024\langfe1024\loch\af1\hich\af1\dbch\af31501\noproof\insrsid14709856\charrsid15879488 \hich\af1\dbch\af31501\loch\f1 &lt;/OptDelPrev&gt;}{\rtlch\fcs1 \af0 \ltrch\fcs0 \insrsid14709856\charrsid15879488 _x000d__x000a__x000d__x000a_\par }\pard\plain \ltrpar\ql \li0\ri0\widctlpar\wrapdefault\aspalpha\aspnum\faauto\adjustright\rin0\lin0\itap0\pararsid14709856 \rtlch\fcs1 \af0\afs20\alang1025 \ltrch\fcs0 \fs24\lang2057\langfe2057\cgrid\langnp2057\langfenp2057 {\rtlch\fcs1 \af0 \ltrch\fcs0 _x000d__x000a_\cs17\v\fs20\cf9\lang1024\langfe1024\loch\af1\hich\af1\dbch\af31501\noproof\insrsid14709856\charrsid15879488 \hich\af1\dbch\af31501\loch\f1 &lt;/AmendB&gt;}{\rtlch\fcs1 \af0 \ltrch\fcs0 \insrsid1470985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d_x000d__x000a_eb43e4d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HU"/>
    <w:docVar w:name="TXTLANGUEMIN" w:val="hu"/>
    <w:docVar w:name="TXTNRC" w:val="0200/2021"/>
    <w:docVar w:name="TXTNRCOM" w:val="(2021)0281"/>
    <w:docVar w:name="TXTNRFIRSTAM" w:val="1"/>
    <w:docVar w:name="TXTNRLASTAM" w:val="16"/>
    <w:docVar w:name="TXTNRPE" w:val="732.601"/>
    <w:docVar w:name="TXTNRPROC" w:val="2021/0136"/>
    <w:docVar w:name="TXTPEorAP" w:val="PE"/>
    <w:docVar w:name="TXTROUTE" w:val="AD\1264811HU.docx"/>
    <w:docVar w:name="TXTVERSION" w:val="02-00"/>
  </w:docVars>
  <w:rsids>
    <w:rsidRoot w:val="00B742B9"/>
    <w:rsid w:val="000110D3"/>
    <w:rsid w:val="00012261"/>
    <w:rsid w:val="00026559"/>
    <w:rsid w:val="00027FA8"/>
    <w:rsid w:val="00037518"/>
    <w:rsid w:val="0004474F"/>
    <w:rsid w:val="00082EC4"/>
    <w:rsid w:val="00097E74"/>
    <w:rsid w:val="000D44A6"/>
    <w:rsid w:val="00122C05"/>
    <w:rsid w:val="00134974"/>
    <w:rsid w:val="00136C04"/>
    <w:rsid w:val="00141CD7"/>
    <w:rsid w:val="00147FBF"/>
    <w:rsid w:val="001616BD"/>
    <w:rsid w:val="00161B49"/>
    <w:rsid w:val="001820A9"/>
    <w:rsid w:val="001A0556"/>
    <w:rsid w:val="001B0A1E"/>
    <w:rsid w:val="001C0886"/>
    <w:rsid w:val="001D5154"/>
    <w:rsid w:val="001E3AC4"/>
    <w:rsid w:val="001E798A"/>
    <w:rsid w:val="0020077A"/>
    <w:rsid w:val="00207509"/>
    <w:rsid w:val="0023131B"/>
    <w:rsid w:val="002431A8"/>
    <w:rsid w:val="002672B4"/>
    <w:rsid w:val="002A67EE"/>
    <w:rsid w:val="002B2C72"/>
    <w:rsid w:val="003009C8"/>
    <w:rsid w:val="00304EA8"/>
    <w:rsid w:val="00341A99"/>
    <w:rsid w:val="00360FAA"/>
    <w:rsid w:val="0038294E"/>
    <w:rsid w:val="003858C5"/>
    <w:rsid w:val="003A1063"/>
    <w:rsid w:val="003A2F84"/>
    <w:rsid w:val="003C7390"/>
    <w:rsid w:val="003E1280"/>
    <w:rsid w:val="003F128E"/>
    <w:rsid w:val="0040055C"/>
    <w:rsid w:val="004167A0"/>
    <w:rsid w:val="00483DAF"/>
    <w:rsid w:val="00487596"/>
    <w:rsid w:val="004B3A53"/>
    <w:rsid w:val="004C2A0D"/>
    <w:rsid w:val="004F1D2F"/>
    <w:rsid w:val="00502B76"/>
    <w:rsid w:val="00510CDA"/>
    <w:rsid w:val="00513F6F"/>
    <w:rsid w:val="00520410"/>
    <w:rsid w:val="00522B51"/>
    <w:rsid w:val="00524707"/>
    <w:rsid w:val="00535DB1"/>
    <w:rsid w:val="005539B7"/>
    <w:rsid w:val="00571233"/>
    <w:rsid w:val="00613134"/>
    <w:rsid w:val="00614A67"/>
    <w:rsid w:val="00626D52"/>
    <w:rsid w:val="00643DA8"/>
    <w:rsid w:val="006472B7"/>
    <w:rsid w:val="00657D5C"/>
    <w:rsid w:val="00683DD1"/>
    <w:rsid w:val="00691B1C"/>
    <w:rsid w:val="006A0F0A"/>
    <w:rsid w:val="006A48AA"/>
    <w:rsid w:val="006B1267"/>
    <w:rsid w:val="006D292E"/>
    <w:rsid w:val="00712462"/>
    <w:rsid w:val="00716BAA"/>
    <w:rsid w:val="0077606D"/>
    <w:rsid w:val="0078548A"/>
    <w:rsid w:val="007967B3"/>
    <w:rsid w:val="007B7CE3"/>
    <w:rsid w:val="007F187F"/>
    <w:rsid w:val="00817D13"/>
    <w:rsid w:val="00820C7D"/>
    <w:rsid w:val="008252B5"/>
    <w:rsid w:val="008302D6"/>
    <w:rsid w:val="00833D11"/>
    <w:rsid w:val="00836FD3"/>
    <w:rsid w:val="008375A8"/>
    <w:rsid w:val="00857098"/>
    <w:rsid w:val="00872A52"/>
    <w:rsid w:val="00876A73"/>
    <w:rsid w:val="0089388A"/>
    <w:rsid w:val="008D5685"/>
    <w:rsid w:val="008F3DB0"/>
    <w:rsid w:val="00904864"/>
    <w:rsid w:val="009052FE"/>
    <w:rsid w:val="009215FC"/>
    <w:rsid w:val="00924555"/>
    <w:rsid w:val="009368B3"/>
    <w:rsid w:val="00982B83"/>
    <w:rsid w:val="009857B4"/>
    <w:rsid w:val="009E7319"/>
    <w:rsid w:val="00A71228"/>
    <w:rsid w:val="00A74E25"/>
    <w:rsid w:val="00AC2A60"/>
    <w:rsid w:val="00AD49D0"/>
    <w:rsid w:val="00AD6F8C"/>
    <w:rsid w:val="00B00EE6"/>
    <w:rsid w:val="00B476DC"/>
    <w:rsid w:val="00B556CD"/>
    <w:rsid w:val="00B62D4B"/>
    <w:rsid w:val="00B66E87"/>
    <w:rsid w:val="00B735E3"/>
    <w:rsid w:val="00B742B9"/>
    <w:rsid w:val="00B904FA"/>
    <w:rsid w:val="00BA3E40"/>
    <w:rsid w:val="00BD1F76"/>
    <w:rsid w:val="00BE20CF"/>
    <w:rsid w:val="00C22327"/>
    <w:rsid w:val="00C335C6"/>
    <w:rsid w:val="00C34615"/>
    <w:rsid w:val="00C36610"/>
    <w:rsid w:val="00C4219C"/>
    <w:rsid w:val="00C52A28"/>
    <w:rsid w:val="00C709B7"/>
    <w:rsid w:val="00C75E98"/>
    <w:rsid w:val="00C81C5B"/>
    <w:rsid w:val="00C83B35"/>
    <w:rsid w:val="00C85D0F"/>
    <w:rsid w:val="00C94D95"/>
    <w:rsid w:val="00D25CF2"/>
    <w:rsid w:val="00D56CE0"/>
    <w:rsid w:val="00D6254D"/>
    <w:rsid w:val="00D656D5"/>
    <w:rsid w:val="00D67D0A"/>
    <w:rsid w:val="00D74FD1"/>
    <w:rsid w:val="00D943A5"/>
    <w:rsid w:val="00D9581F"/>
    <w:rsid w:val="00DB56E4"/>
    <w:rsid w:val="00E27F01"/>
    <w:rsid w:val="00E37507"/>
    <w:rsid w:val="00E407FC"/>
    <w:rsid w:val="00E77FF5"/>
    <w:rsid w:val="00E94D64"/>
    <w:rsid w:val="00EA3802"/>
    <w:rsid w:val="00EE21F8"/>
    <w:rsid w:val="00EF1432"/>
    <w:rsid w:val="00EF33D5"/>
    <w:rsid w:val="00F03D24"/>
    <w:rsid w:val="00F07E75"/>
    <w:rsid w:val="00F15744"/>
    <w:rsid w:val="00F24D40"/>
    <w:rsid w:val="00F34FA9"/>
    <w:rsid w:val="00F42F0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EE21F8"/>
    <w:rPr>
      <w:b/>
      <w:bCs w:val="0"/>
      <w:i/>
      <w:iCs w:val="0"/>
      <w:vertAlign w:val="superscript"/>
    </w:rPr>
  </w:style>
  <w:style w:type="character" w:customStyle="1" w:styleId="Normal6Char">
    <w:name w:val="Normal6 Char"/>
    <w:link w:val="Normal6"/>
    <w:locked/>
    <w:rsid w:val="00EE21F8"/>
    <w:rPr>
      <w:sz w:val="24"/>
      <w:lang w:val="hu-HU"/>
    </w:rPr>
  </w:style>
  <w:style w:type="paragraph" w:customStyle="1" w:styleId="Normal6">
    <w:name w:val="Normal6"/>
    <w:basedOn w:val="Normal"/>
    <w:link w:val="Normal6Char"/>
    <w:rsid w:val="00EE21F8"/>
    <w:pPr>
      <w:spacing w:after="120"/>
    </w:pPr>
    <w:rPr>
      <w:szCs w:val="20"/>
    </w:rPr>
  </w:style>
  <w:style w:type="character" w:customStyle="1" w:styleId="NormalBoldChar">
    <w:name w:val="NormalBold Char"/>
    <w:link w:val="NormalBold"/>
    <w:locked/>
    <w:rsid w:val="00EE21F8"/>
    <w:rPr>
      <w:b/>
      <w:sz w:val="24"/>
    </w:rPr>
  </w:style>
  <w:style w:type="paragraph" w:customStyle="1" w:styleId="ColumnHeading">
    <w:name w:val="ColumnHeading"/>
    <w:basedOn w:val="Normal"/>
    <w:rsid w:val="00EE21F8"/>
    <w:pPr>
      <w:spacing w:after="240"/>
      <w:jc w:val="center"/>
    </w:pPr>
    <w:rPr>
      <w:i/>
      <w:szCs w:val="20"/>
    </w:rPr>
  </w:style>
  <w:style w:type="paragraph" w:customStyle="1" w:styleId="RollCallSymbols14pt">
    <w:name w:val="RollCallSymbols14pt"/>
    <w:basedOn w:val="Normal"/>
    <w:rsid w:val="00EE21F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E21F8"/>
    <w:pPr>
      <w:tabs>
        <w:tab w:val="center" w:pos="284"/>
        <w:tab w:val="left" w:pos="426"/>
      </w:tabs>
    </w:pPr>
    <w:rPr>
      <w:snapToGrid w:val="0"/>
      <w:szCs w:val="20"/>
      <w:lang w:eastAsia="en-US"/>
    </w:rPr>
  </w:style>
  <w:style w:type="paragraph" w:customStyle="1" w:styleId="RollCallVotes">
    <w:name w:val="RollCallVotes"/>
    <w:basedOn w:val="Normal"/>
    <w:rsid w:val="00EE21F8"/>
    <w:pPr>
      <w:spacing w:before="120" w:after="120"/>
      <w:jc w:val="center"/>
    </w:pPr>
    <w:rPr>
      <w:b/>
      <w:bCs/>
      <w:snapToGrid w:val="0"/>
      <w:sz w:val="16"/>
      <w:szCs w:val="20"/>
      <w:lang w:eastAsia="en-US"/>
    </w:rPr>
  </w:style>
  <w:style w:type="paragraph" w:customStyle="1" w:styleId="RollCallTable">
    <w:name w:val="RollCallTable"/>
    <w:basedOn w:val="Normal"/>
    <w:rsid w:val="00EE21F8"/>
    <w:pPr>
      <w:spacing w:before="120" w:after="120"/>
    </w:pPr>
    <w:rPr>
      <w:snapToGrid w:val="0"/>
      <w:sz w:val="16"/>
      <w:szCs w:val="20"/>
      <w:lang w:eastAsia="en-US"/>
    </w:rPr>
  </w:style>
  <w:style w:type="character" w:styleId="Hyperlink">
    <w:name w:val="Hyperlink"/>
    <w:basedOn w:val="DefaultParagraphFont"/>
    <w:rsid w:val="00EE21F8"/>
    <w:rPr>
      <w:color w:val="0563C1" w:themeColor="hyperlink"/>
      <w:u w:val="single"/>
    </w:rPr>
  </w:style>
  <w:style w:type="paragraph" w:customStyle="1" w:styleId="Olang">
    <w:name w:val="Olang"/>
    <w:rsid w:val="00EE21F8"/>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59D5B-408B-4C0D-8451-616D03961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6398</Words>
  <Characters>45439</Characters>
  <Application>Microsoft Office Word</Application>
  <DocSecurity>0</DocSecurity>
  <Lines>1648</Lines>
  <Paragraphs>420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2022-10-27T13:49:00Z</dcterms:created>
  <dcterms:modified xsi:type="dcterms:W3CDTF">2022-10-27T13:49:00Z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Bookout">
    <vt:lpwstr>OK - 2022/10/27 15:49</vt:lpwstr>
  </property>
  <property fmtid="{D5CDD505-2E9C-101B-9397-08002B2CF9AE}" pid="9" name="Created with">
    <vt:lpwstr>9.12.2 Build [20220301]</vt:lpwstr>
  </property>
  <property fmtid="{D5CDD505-2E9C-101B-9397-08002B2CF9AE}" pid="10" name="FooterPath">
    <vt:lpwstr>AD\1264811HU.docx</vt:lpwstr>
  </property>
  <property fmtid="{D5CDD505-2E9C-101B-9397-08002B2CF9AE}" pid="11" name="LastEdited with">
    <vt:lpwstr>9.11.0 Build [20211103]</vt:lpwstr>
  </property>
  <property fmtid="{D5CDD505-2E9C-101B-9397-08002B2CF9AE}" pid="12" name="PE number">
    <vt:lpwstr>732.601</vt:lpwstr>
  </property>
  <property fmtid="{D5CDD505-2E9C-101B-9397-08002B2CF9AE}" pid="13" name="SDLStudio">
    <vt:lpwstr/>
  </property>
  <property fmtid="{D5CDD505-2E9C-101B-9397-08002B2CF9AE}" pid="14" name="SendToEpades">
    <vt:lpwstr>OK - 2022/05/19 15:04</vt:lpwstr>
  </property>
</Properties>
</file>