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0ABF" w:rsidTr="00C85D0F">
        <w:trPr>
          <w:trHeight w:hRule="exact" w:val="1418"/>
        </w:trPr>
        <w:tc>
          <w:tcPr>
            <w:tcW w:w="6804" w:type="dxa"/>
            <w:shd w:val="clear" w:color="auto" w:fill="auto"/>
            <w:vAlign w:val="center"/>
          </w:tcPr>
          <w:p w:rsidR="00BA3E40" w:rsidRPr="00EF32F6" w:rsidRDefault="0075381D" w:rsidP="00C85D0F">
            <w:pPr>
              <w:pStyle w:val="EPName"/>
            </w:pPr>
            <w:r>
              <w:t>Evropski parlament</w:t>
            </w:r>
          </w:p>
          <w:p w:rsidR="00BA3E40" w:rsidRPr="00EF32F6" w:rsidRDefault="0075381D" w:rsidP="00EF32F6">
            <w:pPr>
              <w:pStyle w:val="EPTerm"/>
            </w:pPr>
            <w:r>
              <w:t>2019-2024</w:t>
            </w:r>
          </w:p>
        </w:tc>
        <w:tc>
          <w:tcPr>
            <w:tcW w:w="2268" w:type="dxa"/>
            <w:shd w:val="clear" w:color="auto" w:fill="auto"/>
          </w:tcPr>
          <w:p w:rsidR="00BA3E40" w:rsidRPr="00EF32F6" w:rsidRDefault="0075381D" w:rsidP="00C85D0F">
            <w:pPr>
              <w:pStyle w:val="EPLogo"/>
            </w:pPr>
            <w:r w:rsidRPr="00EF32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4522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F32F6" w:rsidRDefault="00F24D40" w:rsidP="00F24D40">
      <w:pPr>
        <w:pStyle w:val="LineTop"/>
      </w:pPr>
    </w:p>
    <w:p w:rsidR="00F24D40" w:rsidRPr="00EF32F6" w:rsidRDefault="0075381D" w:rsidP="00F24D40">
      <w:pPr>
        <w:pStyle w:val="EPBody"/>
      </w:pPr>
      <w:r>
        <w:rPr>
          <w:rStyle w:val="HideTWBExt"/>
          <w:i w:val="0"/>
        </w:rPr>
        <w:t>&lt;Commission&gt;</w:t>
      </w:r>
      <w:r>
        <w:rPr>
          <w:rStyle w:val="HideTWBInt"/>
          <w:i w:val="0"/>
          <w:color w:val="auto"/>
        </w:rPr>
        <w:t>{LIBE}</w:t>
      </w:r>
      <w:r>
        <w:t>Odbor za državljanske svoboščine, pravosodje in notranje zadeve</w:t>
      </w:r>
      <w:r>
        <w:rPr>
          <w:rStyle w:val="HideTWBExt"/>
          <w:i w:val="0"/>
        </w:rPr>
        <w:t>&lt;/Commission&gt;</w:t>
      </w:r>
    </w:p>
    <w:p w:rsidR="00F24D40" w:rsidRPr="00EF32F6" w:rsidRDefault="00F24D40" w:rsidP="00F24D40">
      <w:pPr>
        <w:pStyle w:val="LineBottom"/>
      </w:pPr>
    </w:p>
    <w:p w:rsidR="00DB56E4" w:rsidRPr="00EF32F6" w:rsidRDefault="0075381D" w:rsidP="00DB56E4">
      <w:pPr>
        <w:pStyle w:val="CoverReference"/>
      </w:pPr>
      <w:r>
        <w:rPr>
          <w:rStyle w:val="HideTWBExt"/>
          <w:b w:val="0"/>
        </w:rPr>
        <w:t>&lt;RefProc&gt;</w:t>
      </w:r>
      <w:r>
        <w:t>2021/0136</w:t>
      </w:r>
      <w:r>
        <w:rPr>
          <w:rStyle w:val="HideTWBExt"/>
          <w:b w:val="0"/>
        </w:rPr>
        <w:t>&lt;/RefProc&gt;&lt;RefTypeProc&gt;</w:t>
      </w:r>
      <w:r>
        <w:t>(COD)</w:t>
      </w:r>
      <w:r>
        <w:rPr>
          <w:rStyle w:val="HideTWBExt"/>
          <w:b w:val="0"/>
        </w:rPr>
        <w:t>&lt;/RefTypeProc&gt;</w:t>
      </w:r>
    </w:p>
    <w:p w:rsidR="00DB56E4" w:rsidRPr="00EF32F6" w:rsidRDefault="0075381D" w:rsidP="00DB56E4">
      <w:pPr>
        <w:pStyle w:val="CoverDate"/>
      </w:pPr>
      <w:r>
        <w:rPr>
          <w:rStyle w:val="HideTWBExt"/>
        </w:rPr>
        <w:t>&lt;Date&gt;</w:t>
      </w:r>
      <w:r>
        <w:rPr>
          <w:rStyle w:val="HideTWBInt"/>
          <w:color w:val="auto"/>
        </w:rPr>
        <w:t>{11/10/2022}</w:t>
      </w:r>
      <w:r>
        <w:t>11.10.2022</w:t>
      </w:r>
      <w:r>
        <w:rPr>
          <w:rStyle w:val="HideTWBExt"/>
        </w:rPr>
        <w:t>&lt;/Date&gt;</w:t>
      </w:r>
    </w:p>
    <w:p w:rsidR="00DB56E4" w:rsidRPr="00EF32F6" w:rsidRDefault="0075381D" w:rsidP="00DB56E4">
      <w:pPr>
        <w:pStyle w:val="CoverDocType24a"/>
      </w:pPr>
      <w:r>
        <w:rPr>
          <w:rStyle w:val="HideTWBExt"/>
          <w:b w:val="0"/>
        </w:rPr>
        <w:t>&lt;TitreType&gt;</w:t>
      </w:r>
      <w:r>
        <w:t>MNENJE</w:t>
      </w:r>
      <w:r>
        <w:rPr>
          <w:rStyle w:val="HideTWBExt"/>
          <w:b w:val="0"/>
        </w:rPr>
        <w:t>&lt;/TitreType&gt;</w:t>
      </w:r>
    </w:p>
    <w:p w:rsidR="00DB56E4" w:rsidRPr="00EF32F6" w:rsidRDefault="0075381D" w:rsidP="00DB56E4">
      <w:pPr>
        <w:pStyle w:val="CoverNormal24a"/>
      </w:pPr>
      <w:r>
        <w:rPr>
          <w:rStyle w:val="HideTWBExt"/>
        </w:rPr>
        <w:t>&lt;CommissionResp&gt;</w:t>
      </w:r>
      <w:r>
        <w:t>Odbora za državljanske svoboščine, pravosodje in notranje zadeve</w:t>
      </w:r>
      <w:r>
        <w:rPr>
          <w:rStyle w:val="HideTWBExt"/>
        </w:rPr>
        <w:t>&lt;/CommissionResp&gt;</w:t>
      </w:r>
    </w:p>
    <w:p w:rsidR="00DB56E4" w:rsidRPr="00EF32F6" w:rsidRDefault="0075381D" w:rsidP="00DB56E4">
      <w:pPr>
        <w:pStyle w:val="CoverNormal24a"/>
      </w:pPr>
      <w:r>
        <w:rPr>
          <w:rStyle w:val="HideTWBExt"/>
        </w:rPr>
        <w:t>&lt;CommissionInt&gt;</w:t>
      </w:r>
      <w:r>
        <w:t>za Odbor za industrijo, raziskave in energetiko</w:t>
      </w:r>
      <w:r>
        <w:rPr>
          <w:rStyle w:val="HideTWBExt"/>
        </w:rPr>
        <w:t>&lt;/CommissionInt&gt;</w:t>
      </w:r>
    </w:p>
    <w:p w:rsidR="00DB56E4" w:rsidRPr="00EF32F6" w:rsidRDefault="0075381D" w:rsidP="00DB56E4">
      <w:pPr>
        <w:pStyle w:val="CoverNormal"/>
      </w:pPr>
      <w:r>
        <w:rPr>
          <w:rStyle w:val="HideTWBExt"/>
        </w:rPr>
        <w:t>&lt;Titre&gt;</w:t>
      </w:r>
      <w:r>
        <w:t>o predlogu uredbe Evropskega parlamenta in Sveta o spremembi Uredbe (EU) št. 910/2014 v zvezi z vzpostavitvijo okvira za evropsko digitalno identiteto</w:t>
      </w:r>
      <w:r>
        <w:rPr>
          <w:rStyle w:val="HideTWBExt"/>
        </w:rPr>
        <w:t>&lt;/Titre&gt;</w:t>
      </w:r>
    </w:p>
    <w:p w:rsidR="00DB56E4" w:rsidRPr="00EF32F6" w:rsidRDefault="0075381D" w:rsidP="00DB56E4">
      <w:pPr>
        <w:pStyle w:val="CoverNormal24a"/>
      </w:pPr>
      <w:r>
        <w:rPr>
          <w:rStyle w:val="HideTWBExt"/>
        </w:rPr>
        <w:t>&lt;DocRef&gt;</w:t>
      </w:r>
      <w:r>
        <w:t>(COM(2021)0281 – C9</w:t>
      </w:r>
      <w:r>
        <w:noBreakHyphen/>
        <w:t>0200/2021 – 2021/013</w:t>
      </w:r>
      <w:bookmarkStart w:id="0" w:name="_GoBack"/>
      <w:bookmarkEnd w:id="0"/>
      <w:r>
        <w:t>6(COD))</w:t>
      </w:r>
      <w:r>
        <w:rPr>
          <w:rStyle w:val="HideTWBExt"/>
        </w:rPr>
        <w:t>&lt;/DocRef&gt;</w:t>
      </w:r>
    </w:p>
    <w:p w:rsidR="00DB56E4" w:rsidRPr="00EF32F6" w:rsidRDefault="0075381D" w:rsidP="00DB56E4">
      <w:pPr>
        <w:pStyle w:val="CoverNormal24a"/>
      </w:pPr>
      <w:r>
        <w:t xml:space="preserve">Pripravljavec mnenja: </w:t>
      </w:r>
      <w:r>
        <w:rPr>
          <w:rStyle w:val="HideTWBExt"/>
        </w:rPr>
        <w:t>&lt;Depute&gt;</w:t>
      </w:r>
      <w:r>
        <w:t>Cristian Terheş</w:t>
      </w:r>
      <w:r>
        <w:rPr>
          <w:rStyle w:val="HideTWBExt"/>
        </w:rPr>
        <w:t>&lt;/Depute&gt;</w:t>
      </w:r>
    </w:p>
    <w:p w:rsidR="00487596" w:rsidRPr="00EF32F6" w:rsidRDefault="00487596" w:rsidP="00487596">
      <w:pPr>
        <w:pStyle w:val="CoverNormal"/>
      </w:pPr>
    </w:p>
    <w:p w:rsidR="00DB56E4" w:rsidRPr="00EF32F6" w:rsidRDefault="0075381D" w:rsidP="0004474F">
      <w:pPr>
        <w:tabs>
          <w:tab w:val="center" w:pos="4677"/>
        </w:tabs>
      </w:pPr>
      <w:r>
        <w:br w:type="page"/>
      </w:r>
      <w:r>
        <w:lastRenderedPageBreak/>
        <w:t>PA_Legam</w:t>
      </w:r>
    </w:p>
    <w:p w:rsidR="00DB56E4" w:rsidRPr="00EF32F6" w:rsidRDefault="0075381D" w:rsidP="0008167A">
      <w:pPr>
        <w:pStyle w:val="PageHeadingNotTOC"/>
      </w:pPr>
      <w:r>
        <w:br w:type="page"/>
      </w:r>
      <w:r>
        <w:lastRenderedPageBreak/>
        <w:t>PREDLOGI SPREMEMB</w:t>
      </w:r>
    </w:p>
    <w:p w:rsidR="00DB56E4" w:rsidRPr="00EF32F6" w:rsidRDefault="0075381D" w:rsidP="001E3AC4">
      <w:pPr>
        <w:pStyle w:val="Normal12a"/>
      </w:pPr>
      <w:bookmarkStart w:id="1" w:name="IntroA"/>
      <w:r>
        <w:t>Odbor za državljanske svoboščine, pravosodje in notranje zadeve poziva Odbor za industrijo, raziskave in energetiko kot pristojni odbor, da upošteva naslednje predloge sprememb:</w:t>
      </w:r>
    </w:p>
    <w:bookmarkEnd w:id="1"/>
    <w:p w:rsidR="0008167A" w:rsidRPr="00136C04" w:rsidRDefault="0075381D" w:rsidP="0008167A">
      <w:r>
        <w:rPr>
          <w:rStyle w:val="HideTWBExt"/>
        </w:rPr>
        <w:t>&lt;RepeatBlock-Amend&gt;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(6)</w:t>
            </w:r>
            <w:r>
              <w:tab/>
            </w:r>
            <w:r>
              <w:rPr>
                <w:b/>
                <w:i/>
              </w:rPr>
              <w:t>Uredba</w:t>
            </w:r>
            <w:r>
              <w:t xml:space="preserve"> (EU) </w:t>
            </w:r>
            <w:r>
              <w:rPr>
                <w:b/>
                <w:i/>
              </w:rPr>
              <w:t>št. </w:t>
            </w:r>
            <w:r>
              <w:t>2016/679</w:t>
            </w:r>
            <w:r>
              <w:rPr>
                <w:vertAlign w:val="superscript"/>
              </w:rPr>
              <w:t>19</w:t>
            </w:r>
            <w:r>
              <w:t xml:space="preserve"> se </w:t>
            </w:r>
            <w:r>
              <w:rPr>
                <w:b/>
                <w:i/>
              </w:rPr>
              <w:t>uporablja</w:t>
            </w:r>
            <w:r>
              <w:t xml:space="preserve"> za obdelavo osebnih podatkov pri izvajanju te uredbe. Zato bi morali biti v tej uredbi določeni posebni zaščitni ukrepi, ki bi ponudnikom sredstev za elektronsko identifikacijo in elektronskega potrjevanja atributov preprečevali združevanje osebnih podatkov iz drugih storitev z osebnimi podatki, povezanimi s storitvami, ki spadajo na področje uporabe te uredbe.</w:t>
            </w:r>
          </w:p>
        </w:tc>
        <w:tc>
          <w:tcPr>
            <w:tcW w:w="4876" w:type="dxa"/>
            <w:hideMark/>
          </w:tcPr>
          <w:p w:rsidR="0008167A" w:rsidRPr="00136C04" w:rsidRDefault="0075381D" w:rsidP="0008167A">
            <w:pPr>
              <w:pStyle w:val="Normal6"/>
              <w:rPr>
                <w:szCs w:val="24"/>
              </w:rPr>
            </w:pPr>
            <w:r>
              <w:t>(6)</w:t>
            </w:r>
            <w:r>
              <w:tab/>
            </w:r>
            <w:r>
              <w:rPr>
                <w:b/>
                <w:i/>
              </w:rPr>
              <w:t>Fizične ali pravne osebe, ki imajo v lasti identifikacijske podatke osebe, bi bilo treba šteti za subjekte, na katere se nanaša digitalna identiteta. Uredba</w:t>
            </w:r>
            <w:r>
              <w:t xml:space="preserve"> (EU) 2016/679</w:t>
            </w:r>
            <w:r>
              <w:rPr>
                <w:vertAlign w:val="superscript"/>
              </w:rPr>
              <w:t>19</w:t>
            </w:r>
            <w:r>
              <w:t xml:space="preserve"> </w:t>
            </w:r>
            <w:r>
              <w:rPr>
                <w:b/>
                <w:i/>
              </w:rPr>
              <w:t>in Uredba (EU) 2018/1725</w:t>
            </w:r>
            <w:r>
              <w:rPr>
                <w:b/>
                <w:i/>
                <w:vertAlign w:val="superscript"/>
              </w:rPr>
              <w:t>19a</w:t>
            </w:r>
            <w:r>
              <w:rPr>
                <w:b/>
                <w:i/>
              </w:rPr>
              <w:t xml:space="preserve"> in Direktiva 2002/58/ES</w:t>
            </w:r>
            <w:r>
              <w:rPr>
                <w:b/>
                <w:i/>
                <w:vertAlign w:val="superscript"/>
              </w:rPr>
              <w:t>19b</w:t>
            </w:r>
            <w:r>
              <w:rPr>
                <w:b/>
                <w:i/>
              </w:rPr>
              <w:t xml:space="preserve"> </w:t>
            </w:r>
            <w:r>
              <w:t xml:space="preserve">se </w:t>
            </w:r>
            <w:r>
              <w:rPr>
                <w:b/>
                <w:i/>
              </w:rPr>
              <w:t>uporabljajo</w:t>
            </w:r>
            <w:r>
              <w:t xml:space="preserve"> za obdelavo osebnih podatkov pri izvajanju te uredbe. Zato bi morali biti v tej uredbi določeni posebni zaščitni ukrepi, ki bi ponudnikom sredstev za elektronsko identifikacijo in elektronskega potrjevanja atributov preprečevali združevanje osebnih podatkov iz drugih storitev z osebnimi podatki, povezanimi s storitvami, ki spadajo na področje uporabe te uredbe. </w:t>
            </w:r>
            <w:r>
              <w:rPr>
                <w:b/>
                <w:i/>
              </w:rPr>
              <w:t>Ta uredba tudi nadalje določa uporabo načela omejitve namena, podatkovne minimizacije ter vgrajenega in privzetega varstva podatkov za posamezne primere uporabe, brez poseganja v Uredbo (EU) 2016/679.</w:t>
            </w:r>
          </w:p>
        </w:tc>
      </w:tr>
      <w:tr w:rsidR="004B0ABF" w:rsidTr="0008167A">
        <w:trPr>
          <w:jc w:val="center"/>
        </w:trPr>
        <w:tc>
          <w:tcPr>
            <w:tcW w:w="4876" w:type="dxa"/>
            <w:hideMark/>
          </w:tcPr>
          <w:p w:rsidR="0008167A" w:rsidRPr="00136C04" w:rsidRDefault="0075381D" w:rsidP="0008167A">
            <w:pPr>
              <w:pStyle w:val="Normal6"/>
            </w:pPr>
            <w:r>
              <w:rPr>
                <w:b/>
                <w:i/>
              </w:rPr>
              <w:t>__________________</w:t>
            </w:r>
          </w:p>
        </w:tc>
        <w:tc>
          <w:tcPr>
            <w:tcW w:w="4876" w:type="dxa"/>
            <w:hideMark/>
          </w:tcPr>
          <w:p w:rsidR="0008167A" w:rsidRPr="00136C04" w:rsidRDefault="0075381D" w:rsidP="0008167A">
            <w:pPr>
              <w:pStyle w:val="Normal6"/>
              <w:rPr>
                <w:szCs w:val="24"/>
              </w:rPr>
            </w:pPr>
            <w:r>
              <w:t>__________________</w:t>
            </w:r>
          </w:p>
        </w:tc>
      </w:tr>
      <w:tr w:rsidR="004B0ABF" w:rsidTr="0008167A">
        <w:trPr>
          <w:jc w:val="center"/>
        </w:trPr>
        <w:tc>
          <w:tcPr>
            <w:tcW w:w="4876" w:type="dxa"/>
            <w:hideMark/>
          </w:tcPr>
          <w:p w:rsidR="0008167A" w:rsidRPr="00136C04" w:rsidRDefault="0075381D" w:rsidP="0008167A">
            <w:pPr>
              <w:pStyle w:val="Normal6"/>
            </w:pPr>
            <w:r>
              <w:rPr>
                <w:vertAlign w:val="superscript"/>
              </w:rPr>
              <w:t>19</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08167A" w:rsidRPr="00136C04" w:rsidRDefault="0075381D" w:rsidP="0008167A">
            <w:pPr>
              <w:pStyle w:val="Normal6"/>
              <w:rPr>
                <w:szCs w:val="24"/>
              </w:rPr>
            </w:pPr>
            <w:r>
              <w:rPr>
                <w:vertAlign w:val="superscript"/>
              </w:rPr>
              <w:t>19</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sidRPr="0075381D">
              <w:rPr>
                <w:b/>
                <w:i/>
                <w:vertAlign w:val="superscript"/>
              </w:rPr>
              <w:t>19a</w:t>
            </w:r>
            <w:r>
              <w:rPr>
                <w:b/>
                <w:i/>
              </w:rPr>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vertAlign w:val="superscript"/>
              </w:rPr>
              <w:t>19b</w:t>
            </w:r>
            <w:r>
              <w:rPr>
                <w:b/>
                <w:i/>
              </w:rPr>
              <w:t xml:space="preserve"> Direktiva 2002/58/ES Evropskega parlamenta in Sveta z dne 12. julija 2002 o obdelavi osebnih podatkov in varstvu zasebnosti na področju elektronskih komunikacij (UL L 201, 31.7.2002, str. 37). </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(8)</w:t>
            </w:r>
            <w:r>
              <w:tab/>
              <w:t>Za zagotovitev skladnosti s pravom Unije ali nacionalnim pravom</w:t>
            </w:r>
            <w:r>
              <w:rPr>
                <w:b/>
                <w:i/>
              </w:rPr>
              <w:t>, skladnim s pravom Unije, bi</w:t>
            </w:r>
            <w:r>
              <w:t xml:space="preserve"> morali ponudniki storitev </w:t>
            </w:r>
            <w:r>
              <w:rPr>
                <w:b/>
                <w:i/>
              </w:rPr>
              <w:t>državam članicam sporočiti svojo namero</w:t>
            </w:r>
            <w:r>
              <w:t xml:space="preserve">, </w:t>
            </w:r>
            <w:r>
              <w:rPr>
                <w:b/>
                <w:i/>
              </w:rPr>
              <w:t>da</w:t>
            </w:r>
            <w:r>
              <w:t xml:space="preserve"> se </w:t>
            </w:r>
            <w:r>
              <w:rPr>
                <w:b/>
                <w:i/>
              </w:rPr>
              <w:t>bodo zanašali</w:t>
            </w:r>
            <w:r>
              <w:t xml:space="preserve"> na evropske denarnice za digitalno identiteto. </w:t>
            </w:r>
            <w:r>
              <w:rPr>
                <w:b/>
                <w:i/>
              </w:rPr>
              <w:t>To bo državam članicam omogočilo, da zaščitijo uporabnike pred goljufijami ter preprečijo nezakonito uporabo podatkov o identiteti</w:t>
            </w:r>
            <w:r>
              <w:t xml:space="preserve"> in </w:t>
            </w:r>
            <w:r>
              <w:rPr>
                <w:b/>
                <w:i/>
              </w:rPr>
              <w:t>elektronskih potrdil o atributih ter da zagotovijo</w:t>
            </w:r>
            <w:r>
              <w:t xml:space="preserve">, da </w:t>
            </w:r>
            <w:r>
              <w:rPr>
                <w:b/>
                <w:i/>
              </w:rPr>
              <w:t>lahko obdelavo občutljivih podatkov, kot so zdravstveni podatki, preverijo</w:t>
            </w:r>
            <w:r>
              <w:t xml:space="preserve"> zanašajoče se stranke </w:t>
            </w:r>
            <w:r>
              <w:rPr>
                <w:b/>
                <w:i/>
              </w:rPr>
              <w:t>v skladu s pravom Unije ali nacionalnim pravom.</w:t>
            </w:r>
          </w:p>
        </w:tc>
        <w:tc>
          <w:tcPr>
            <w:tcW w:w="4876" w:type="dxa"/>
            <w:hideMark/>
          </w:tcPr>
          <w:p w:rsidR="0008167A" w:rsidRPr="00136C04" w:rsidRDefault="0075381D" w:rsidP="0008167A">
            <w:pPr>
              <w:pStyle w:val="Normal6"/>
              <w:rPr>
                <w:szCs w:val="24"/>
              </w:rPr>
            </w:pPr>
            <w:r>
              <w:t>(8)</w:t>
            </w:r>
            <w:r>
              <w:tab/>
              <w:t>Za zagotovitev skladnosti s pravom Unije ali nacionalnim pravom</w:t>
            </w:r>
            <w:r>
              <w:rPr>
                <w:b/>
                <w:i/>
              </w:rPr>
              <w:t xml:space="preserve"> bi se</w:t>
            </w:r>
            <w:r>
              <w:t xml:space="preserve"> morali ponudniki storitev </w:t>
            </w:r>
            <w:r>
              <w:rPr>
                <w:b/>
                <w:i/>
              </w:rPr>
              <w:t>registrirati pri državah članicah</w:t>
            </w:r>
            <w:r>
              <w:t xml:space="preserve">, </w:t>
            </w:r>
            <w:r>
              <w:rPr>
                <w:b/>
                <w:i/>
              </w:rPr>
              <w:t>preden</w:t>
            </w:r>
            <w:r>
              <w:t xml:space="preserve"> se </w:t>
            </w:r>
            <w:r>
              <w:rPr>
                <w:b/>
                <w:i/>
              </w:rPr>
              <w:t>lahko začnejo zanašati</w:t>
            </w:r>
            <w:r>
              <w:t xml:space="preserve"> na evropske denarnice za digitalno identiteto.</w:t>
            </w:r>
            <w:r>
              <w:rPr>
                <w:b/>
                <w:i/>
              </w:rPr>
              <w:t xml:space="preserve"> Fizičnim</w:t>
            </w:r>
            <w:r>
              <w:t xml:space="preserve"> in </w:t>
            </w:r>
            <w:r>
              <w:rPr>
                <w:b/>
                <w:i/>
              </w:rPr>
              <w:t>pravnim osebam bi bilo treba omogočiti</w:t>
            </w:r>
            <w:r>
              <w:t xml:space="preserve">, da </w:t>
            </w:r>
            <w:r>
              <w:rPr>
                <w:b/>
                <w:i/>
              </w:rPr>
              <w:t>vložijo pritožbo v zvezi z uporabo</w:t>
            </w:r>
            <w:r>
              <w:t xml:space="preserve"> zanašajoče se stranke </w:t>
            </w:r>
            <w:r>
              <w:rPr>
                <w:b/>
                <w:i/>
              </w:rPr>
              <w:t>evropskih denarnic za digitalno identiteto.</w:t>
            </w:r>
            <w:r>
              <w:t xml:space="preserve"> To bo državam članicam omogočilo, da zaščitijo uporabnike pred goljufijami ter preprečijo nezakonito uporabo podatkov o identiteti in elektronskih potrdil o atributih ter da zagotovijo, da lahko obdelavo občutljivih podatkov, kot so zdravstveni podatki, preverijo zanašajoče se stranke v skladu s pravom Unije ali nacionalnim pravom. </w:t>
            </w:r>
            <w:r>
              <w:rPr>
                <w:b/>
                <w:i/>
              </w:rPr>
              <w:t>Države članice bi morale preprečiti nezakonito uporabo podatkov o identiteti in zagotoviti, da zanašajoče se stranke zahtevajo le podatke, ki so nujno potrebni za opravljanje storitve.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(9)</w:t>
            </w:r>
            <w:r>
              <w:tab/>
              <w:t xml:space="preserve">Vse evropske denarnice za digitalno identiteto bi morale uporabnikom omogočati čezmejno elektronsko identifikacijo ter spletno in nespletno avtentikacijo za dostopanje do različnih javnih in zasebnih storitev. Brez poseganja v pristojnosti držav članic, kar zadeva identifikacijo njihovih državljanov in rezidentov, se lahko denarnice uporabljajo tudi za izpolnjevanje institucionalnih potreb javnih uprav, mednarodnih organizacij ter institucij, organov, uradov in agencij Unije. Nespletna uporaba bi bila pomembna v številnih sektorjih, vključno z zdravstvenim, v katerem se storitve pogosto zagotavljajo prek osebne interakcije, pri e-receptih pa bi morala biti omogočena uporaba QR kod ali podobnih tehnologij za preverjanje avtentičnosti. Ker temeljijo na visoki ravni zanesljivosti, bi morale evropske denarnice za digitalno identiteto za izpolnitev zahtev iz te uredbe izkoristiti potencial </w:t>
            </w:r>
            <w:r>
              <w:rPr>
                <w:b/>
                <w:i/>
              </w:rPr>
              <w:t>rešitev</w:t>
            </w:r>
            <w:r>
              <w:t xml:space="preserve"> za zaščito pred nedovoljenimi posegi, kot so varnostni elementi. Evropske denarnice za digitalno identiteto bi morale uporabnikom omogočati tudi ustvarjanje in uporabo kvalificiranih elektronskih podpisov in žigov, sprejetih po vsej </w:t>
            </w:r>
            <w:r>
              <w:rPr>
                <w:b/>
                <w:i/>
              </w:rPr>
              <w:t>EU</w:t>
            </w:r>
            <w:r>
              <w:t xml:space="preserve">. Za poenostavitev in koriščenje ugodnosti znižanja stroškov za osebe in podjetja po vsej </w:t>
            </w:r>
            <w:r>
              <w:rPr>
                <w:b/>
                <w:i/>
              </w:rPr>
              <w:t>EU</w:t>
            </w:r>
            <w:r>
              <w:t>, tudi z omogočanjem pooblastil za zastopanje in mandatov v elektronski obliki, bi morale države članice izdajati evropske denarnice za digitalno identiteto z uporabo skupnih standardov, da bi zagotovile nemoteno interoperabilnost in visoko raven varnosti. Samo pristojni organi držav članic lahko zagotovijo visoko stopnjo zaupanja v ugotavljanje identitete osebe, s čimer zagotovijo, da je oseba, ki izkazuje ali uveljavlja določeno identiteto, dejansko oseba, za katero se izkazuje. Zato morajo evropske denarnice za digitalno identiteto temeljiti na pravni identiteti državljanov, drugih rezidentov ali pravnih subjektov. Zaupanje v evropske denarnice za digitalno identiteto bi bilo okrepljeno z dejstvom, da morajo strani izdajateljice izvajati ustrezne tehnične in organizacijske ukrepe za zagotovitev ravni varnosti, ki je sorazmerna s tveganji, izpostavljenimi v zvezi s pravicami in svoboščinami fizičnih oseb, v skladu z Uredbo (EU) 2016/679.</w:t>
            </w:r>
          </w:p>
        </w:tc>
        <w:tc>
          <w:tcPr>
            <w:tcW w:w="4876" w:type="dxa"/>
            <w:hideMark/>
          </w:tcPr>
          <w:p w:rsidR="0008167A" w:rsidRPr="00136C04" w:rsidRDefault="0075381D" w:rsidP="0008167A">
            <w:pPr>
              <w:pStyle w:val="Normal6"/>
              <w:rPr>
                <w:szCs w:val="24"/>
              </w:rPr>
            </w:pPr>
            <w:r>
              <w:t>(9)</w:t>
            </w:r>
            <w:r>
              <w:tab/>
              <w:t xml:space="preserve">Vse evropske denarnice za digitalno identiteto bi morale uporabnikom omogočati čezmejno elektronsko identifikacijo ter spletno in nespletno avtentikacijo za dostopanje do različnih javnih in zasebnih storitev. Brez poseganja v pristojnosti držav članic, kar zadeva identifikacijo njihovih državljanov in rezidentov, se lahko denarnice uporabljajo tudi za izpolnjevanje institucionalnih potreb javnih uprav, mednarodnih organizacij ter institucij, organov, uradov in agencij Unije. Nespletna uporaba bi bila pomembna v številnih sektorjih, vključno z zdravstvenim, v katerem se storitve pogosto zagotavljajo prek osebne interakcije, pri e-receptih pa bi morala biti omogočena uporaba QR kod ali podobnih tehnologij za preverjanje avtentičnosti. </w:t>
            </w:r>
            <w:r>
              <w:rPr>
                <w:b/>
                <w:i/>
              </w:rPr>
              <w:t>Uporabniki bi morali imeti dostop do preprostega vmesnika, ki bi jim omogočal pregled nad trenutnimi in preteklimi dovoljenji v zvezi z izmenjavo osebnih podatkov ali elektronskim potrjevanjem atributov. Imeti bi morali možnost, da umaknejo svojo privolitev.</w:t>
            </w:r>
            <w:r>
              <w:t xml:space="preserve"> Ker temeljijo na visoki ravni zanesljivosti, bi morale evropske denarnice za digitalno identiteto za izpolnitev zahtev </w:t>
            </w:r>
            <w:r>
              <w:rPr>
                <w:b/>
                <w:i/>
              </w:rPr>
              <w:t xml:space="preserve">glede varnosti in celovitosti </w:t>
            </w:r>
            <w:r>
              <w:t xml:space="preserve">iz te uredbe izkoristiti potencial </w:t>
            </w:r>
            <w:r>
              <w:rPr>
                <w:b/>
                <w:i/>
              </w:rPr>
              <w:t>tehnologije</w:t>
            </w:r>
            <w:r>
              <w:t xml:space="preserve"> za zaščito pred nedovoljenimi posegi, kot so varnostni elementi. Evropske denarnice za digitalno identiteto bi morale uporabnikom omogočati tudi ustvarjanje in uporabo kvalificiranih elektronskih podpisov in žigov, sprejetih po vsej </w:t>
            </w:r>
            <w:r>
              <w:rPr>
                <w:b/>
                <w:i/>
              </w:rPr>
              <w:t>Uniji</w:t>
            </w:r>
            <w:r>
              <w:t xml:space="preserve">. Za poenostavitev in koriščenje ugodnosti znižanja stroškov za osebe in podjetja po vsej </w:t>
            </w:r>
            <w:r>
              <w:rPr>
                <w:b/>
                <w:i/>
              </w:rPr>
              <w:t>Uniji</w:t>
            </w:r>
            <w:r>
              <w:t>, tudi z omogočanjem pooblastil za zastopanje in mandatov v elektronski obliki, bi morale države članice izdajati evropske denarnice za digitalno identiteto z uporabo skupnih standardov, da bi zagotovile nemoteno interoperabilnost in visoko raven varnosti. Samo pristojni organi držav članic lahko zagotovijo visoko stopnjo zaupanja v ugotavljanje identitete osebe, s čimer zagotovijo, da je oseba, ki izkazuje ali uveljavlja določeno identiteto, dejansko oseba, za katero se izkazuje. Zato morajo evropske denarnice za digitalno identiteto</w:t>
            </w:r>
            <w:r>
              <w:rPr>
                <w:b/>
                <w:i/>
              </w:rPr>
              <w:t xml:space="preserve"> za nekatere primere uporabe</w:t>
            </w:r>
            <w:r>
              <w:t xml:space="preserve"> temeljiti na pravni identiteti državljanov, drugih rezidentov ali pravnih subjektov. Zaupanje v evropske denarnice za digitalno identiteto bi bilo okrepljeno z dejstvom, da morajo strani izdajateljice izvajati ustrezne tehnične in organizacijske ukrepe za zagotovitev ravni varnosti, ki je sorazmerna s tveganji, izpostavljenimi v zvezi s pravicami in svoboščinami fizičnih oseb, v skladu z Uredbo (EU) 2016/679.</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9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(9a)</w:t>
            </w:r>
            <w:r>
              <w:rPr>
                <w:b/>
                <w:i/>
              </w:rPr>
              <w:tab/>
              <w:t>Da bi omogočili uspešno uvajanje evropske denarnice za digitalno identiteto, je odločilno, da vzpostavimo zaupanje v tehnični okvir in digitalni ekosistem v zvezi z denarnico. Visoka stopnja preglednosti lahko prispeva k vzpostavitvi zaupanja, saj uporabnikom omogoča sprejemanje informiranih odločitev o značilnostih evropske denarnice za digitalno identiteto na področju varnosti in zasebnosti ter javni nadzor nad dejavnostmi in akterji, vključenimi v okvir. Zato bi morale države članice poskrbeti, da so ustrezne informacije, kot so nastavitve za varstvo zasebnosti, tehnična arhitektura, varnostni okviri in kraj obdelave osebnih podatkov, vključene v sklop minimalnih informacij o evropski denarnici za digitalno identiteto in javno dostopne.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9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(9b)</w:t>
            </w:r>
            <w:r>
              <w:rPr>
                <w:b/>
                <w:i/>
              </w:rPr>
              <w:tab/>
              <w:t>Med cilji evropske denarnice za digitalno identiteto bi moralo biti izboljšanje možnosti državljanov, da sami odločajo o tem, katere podatke bodo izmenjali, zmanjšajo količino izmenjanih podatkov za storitev, ki jo želijo uporabiti, ter bolje upravljajo in nadzirajo izmenjane podatke.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6</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(10)</w:t>
            </w:r>
            <w:r>
              <w:tab/>
              <w:t xml:space="preserve">Za doseganje visoke ravni varnosti in zaupanja ta uredba določa zahteve za evropske denarnice za digitalno identiteto. Skladnost evropskih denarnic za digitalno identiteto s takimi zahtevami bi morali potrditi akreditirani organi iz javnega in zasebnega sektorja, ki jih imenujejo države članice. Uporaba certifikacijskih shem, ki temelji na </w:t>
            </w:r>
            <w:r>
              <w:rPr>
                <w:b/>
                <w:i/>
              </w:rPr>
              <w:t>razpoložljivosti</w:t>
            </w:r>
            <w:r>
              <w:t xml:space="preserve"> skupno dogovorjenih </w:t>
            </w:r>
            <w:r>
              <w:rPr>
                <w:b/>
                <w:i/>
              </w:rPr>
              <w:t>standardov</w:t>
            </w:r>
            <w:r>
              <w:t xml:space="preserve"> z državami članicami, bi morala zagotavljati visoko raven zaupanja in </w:t>
            </w:r>
            <w:r>
              <w:rPr>
                <w:b/>
                <w:i/>
              </w:rPr>
              <w:t>interoperabilnosti</w:t>
            </w:r>
            <w:r>
              <w:t>. Certificiranje bi moralo temeljiti zlasti na ustreznih evropskih certifikacijskih shemah za kibernetsko varnost, vzpostavljenimi v skladu z Uredbo (EU) 2019/881</w:t>
            </w:r>
            <w:r>
              <w:rPr>
                <w:vertAlign w:val="superscript"/>
              </w:rPr>
              <w:t>20</w:t>
            </w:r>
            <w:r>
              <w:t>. Tako certificiranje ne bi smelo vplivati na certificiranje v zvezi z obdelavo osebnih podatkov v skladu z Uredbo (ES) 2016/679.</w:t>
            </w:r>
          </w:p>
        </w:tc>
        <w:tc>
          <w:tcPr>
            <w:tcW w:w="4876" w:type="dxa"/>
            <w:hideMark/>
          </w:tcPr>
          <w:p w:rsidR="0008167A" w:rsidRPr="00136C04" w:rsidRDefault="0075381D" w:rsidP="0008167A">
            <w:pPr>
              <w:pStyle w:val="Normal6"/>
              <w:rPr>
                <w:szCs w:val="24"/>
              </w:rPr>
            </w:pPr>
            <w:r>
              <w:t>(10)</w:t>
            </w:r>
            <w:r>
              <w:tab/>
              <w:t xml:space="preserve">Za doseganje visoke ravni varnosti in zaupanja ta uredba določa zahteve za evropske denarnice za digitalno identiteto. Skladnost evropskih denarnic za digitalno identiteto s takimi zahtevami bi morali potrditi akreditirani organi iz javnega in zasebnega sektorja, ki jih imenujejo države članice. Uporaba certifikacijskih shem, ki temelji na </w:t>
            </w:r>
            <w:r>
              <w:rPr>
                <w:b/>
                <w:i/>
              </w:rPr>
              <w:t>najsodobnejši tehnologiji in</w:t>
            </w:r>
            <w:r>
              <w:t xml:space="preserve"> skupno dogovorjenih </w:t>
            </w:r>
            <w:r>
              <w:rPr>
                <w:b/>
                <w:i/>
              </w:rPr>
              <w:t>standardih</w:t>
            </w:r>
            <w:r>
              <w:t xml:space="preserve"> z državami članicami, bi morala zagotavljati visoko raven zaupanja</w:t>
            </w:r>
            <w:r>
              <w:rPr>
                <w:b/>
                <w:i/>
              </w:rPr>
              <w:t>, interoperabilnosti</w:t>
            </w:r>
            <w:r>
              <w:t xml:space="preserve"> in </w:t>
            </w:r>
            <w:r>
              <w:rPr>
                <w:b/>
                <w:i/>
              </w:rPr>
              <w:t>varstva podatkov</w:t>
            </w:r>
            <w:r>
              <w:t>. Certificiranje bi moralo temeljiti zlasti na ustreznih evropskih certifikacijskih shemah za kibernetsko varnost, vzpostavljenimi v skladu z Uredbo (EU) 2019/881</w:t>
            </w:r>
            <w:r>
              <w:rPr>
                <w:vertAlign w:val="superscript"/>
              </w:rPr>
              <w:t>20</w:t>
            </w:r>
            <w:r>
              <w:t>. Tako certificiranje ne bi smelo vplivati na certificiranje v zvezi z obdelavo osebnih podatkov v skladu z Uredbo (EU) 2016/679.</w:t>
            </w:r>
          </w:p>
        </w:tc>
      </w:tr>
      <w:tr w:rsidR="004B0ABF" w:rsidTr="0008167A">
        <w:trPr>
          <w:jc w:val="center"/>
        </w:trPr>
        <w:tc>
          <w:tcPr>
            <w:tcW w:w="4876" w:type="dxa"/>
            <w:hideMark/>
          </w:tcPr>
          <w:p w:rsidR="0008167A" w:rsidRPr="00136C04" w:rsidRDefault="0075381D" w:rsidP="0008167A">
            <w:pPr>
              <w:pStyle w:val="Normal6"/>
            </w:pPr>
            <w:r>
              <w:t>__________________</w:t>
            </w:r>
          </w:p>
        </w:tc>
        <w:tc>
          <w:tcPr>
            <w:tcW w:w="4876" w:type="dxa"/>
            <w:hideMark/>
          </w:tcPr>
          <w:p w:rsidR="0008167A" w:rsidRPr="00136C04" w:rsidRDefault="0075381D" w:rsidP="0008167A">
            <w:pPr>
              <w:pStyle w:val="Normal6"/>
              <w:rPr>
                <w:szCs w:val="24"/>
              </w:rPr>
            </w:pPr>
            <w:r>
              <w:t>__________________</w:t>
            </w:r>
          </w:p>
        </w:tc>
      </w:tr>
      <w:tr w:rsidR="004B0ABF" w:rsidTr="0008167A">
        <w:trPr>
          <w:jc w:val="center"/>
        </w:trPr>
        <w:tc>
          <w:tcPr>
            <w:tcW w:w="4876" w:type="dxa"/>
            <w:hideMark/>
          </w:tcPr>
          <w:p w:rsidR="0008167A" w:rsidRPr="00136C04" w:rsidRDefault="0075381D" w:rsidP="0008167A">
            <w:pPr>
              <w:pStyle w:val="Normal6"/>
            </w:pPr>
            <w:r>
              <w:rPr>
                <w:vertAlign w:val="superscript"/>
              </w:rPr>
              <w:t>20</w:t>
            </w:r>
            <w:r>
              <w:t xml:space="preserve"> Uredba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(UL L 151, 7.6.2019, str. 15).</w:t>
            </w:r>
          </w:p>
        </w:tc>
        <w:tc>
          <w:tcPr>
            <w:tcW w:w="4876" w:type="dxa"/>
            <w:hideMark/>
          </w:tcPr>
          <w:p w:rsidR="0008167A" w:rsidRPr="00136C04" w:rsidRDefault="0075381D" w:rsidP="0008167A">
            <w:pPr>
              <w:pStyle w:val="Normal6"/>
              <w:rPr>
                <w:szCs w:val="24"/>
              </w:rPr>
            </w:pPr>
            <w:r>
              <w:rPr>
                <w:vertAlign w:val="superscript"/>
              </w:rPr>
              <w:t>20</w:t>
            </w:r>
            <w:r>
              <w:t xml:space="preserve"> Uredba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(UL L 151, 7.6.2019, str. 15).</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7</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(11)</w:t>
            </w:r>
            <w:r>
              <w:tab/>
              <w:t>Evropske denarnice za digitalno identiteto bi morale zagotoviti najvišjo raven varnosti za osebne podatke, ki se uporabljajo za avtentikacijo, ne glede na to, ali se taki podatki shranjujejo lokalno</w:t>
            </w:r>
            <w:r>
              <w:rPr>
                <w:b/>
                <w:i/>
              </w:rPr>
              <w:t xml:space="preserve"> ali</w:t>
            </w:r>
            <w:r>
              <w:t xml:space="preserve"> v rešitvah v oblaku, ob upoštevanju različnih ravni tveganja. Uporaba biometrije za avtentikacijo </w:t>
            </w:r>
            <w:r>
              <w:rPr>
                <w:b/>
                <w:i/>
              </w:rPr>
              <w:t>je eden od načinov identifikacije, ki zagotavlja visoko raven zaupanja, zlasti če se uporablja v kombinaciji z drugimi elementi avtentikacije</w:t>
            </w:r>
            <w:r>
              <w:t xml:space="preserve">. Ker je biometrija enolična značilnost osebe, </w:t>
            </w:r>
            <w:r>
              <w:rPr>
                <w:b/>
                <w:i/>
              </w:rPr>
              <w:t>so za njeno uporabo</w:t>
            </w:r>
            <w:r>
              <w:t xml:space="preserve"> potrebni </w:t>
            </w:r>
            <w:r>
              <w:rPr>
                <w:b/>
                <w:i/>
              </w:rPr>
              <w:t>organizacijski</w:t>
            </w:r>
            <w:r>
              <w:t xml:space="preserve"> in varnostni ukrepi, ki so sorazmerni s tveganjem, ki ga taka obdelava lahko vključuje za pravice in svoboščine fizičnih oseb, ter skladni z Uredbo</w:t>
            </w:r>
            <w:r>
              <w:rPr>
                <w:b/>
                <w:i/>
              </w:rPr>
              <w:t xml:space="preserve"> 2016/679</w:t>
            </w:r>
            <w:r>
              <w:t>.</w:t>
            </w:r>
          </w:p>
        </w:tc>
        <w:tc>
          <w:tcPr>
            <w:tcW w:w="4876" w:type="dxa"/>
            <w:hideMark/>
          </w:tcPr>
          <w:p w:rsidR="0008167A" w:rsidRPr="00136C04" w:rsidRDefault="0075381D" w:rsidP="0008167A">
            <w:pPr>
              <w:pStyle w:val="Normal6"/>
              <w:rPr>
                <w:szCs w:val="24"/>
              </w:rPr>
            </w:pPr>
            <w:r>
              <w:t>(11)</w:t>
            </w:r>
            <w:r>
              <w:tab/>
              <w:t>Evropske denarnice za digitalno identiteto bi morale zagotoviti najvišjo raven varnosti za osebne podatke, ki se uporabljajo za avtentikacijo, ne glede na to, ali se taki podatki shranjujejo lokalno</w:t>
            </w:r>
            <w:r>
              <w:rPr>
                <w:b/>
                <w:i/>
              </w:rPr>
              <w:t>,</w:t>
            </w:r>
            <w:r>
              <w:t xml:space="preserve"> v rešitvah v oblaku</w:t>
            </w:r>
            <w:r>
              <w:rPr>
                <w:b/>
                <w:i/>
              </w:rPr>
              <w:t xml:space="preserve"> ali v kombinaciji obeh možnosti</w:t>
            </w:r>
            <w:r>
              <w:t xml:space="preserve">, ob upoštevanju različnih ravni tveganja. Uporaba biometrije za avtentikacijo </w:t>
            </w:r>
            <w:r>
              <w:rPr>
                <w:b/>
                <w:i/>
              </w:rPr>
              <w:t>ne bi smela biti osnovni pogoj za uporabo evropske denarnice za digitalno identiteto, ne glede na zahtevo po močni avtentikaciji uporabnikov</w:t>
            </w:r>
            <w:r>
              <w:t xml:space="preserve">. Ker je biometrija enolična značilnost osebe, </w:t>
            </w:r>
            <w:r>
              <w:rPr>
                <w:b/>
                <w:i/>
              </w:rPr>
              <w:t>je uporaba biometričnih podatkov omejena na posebne scenarije v skladu z Uredbo (EU) 2016/679 in so zanjo</w:t>
            </w:r>
            <w:r>
              <w:t xml:space="preserve"> potrebni </w:t>
            </w:r>
            <w:r>
              <w:rPr>
                <w:b/>
                <w:i/>
              </w:rPr>
              <w:t>tehnični</w:t>
            </w:r>
            <w:r>
              <w:t xml:space="preserve"> in</w:t>
            </w:r>
            <w:r>
              <w:rPr>
                <w:b/>
                <w:i/>
              </w:rPr>
              <w:t xml:space="preserve"> organizacijski</w:t>
            </w:r>
            <w:r>
              <w:t xml:space="preserve"> varnostni ukrepi, ki so sorazmerni s tveganjem, ki ga taka obdelava lahko vključuje za pravice in svoboščine fizičnih oseb, ter skladni z uredbo. </w:t>
            </w:r>
            <w:r>
              <w:rPr>
                <w:b/>
                <w:i/>
              </w:rPr>
              <w:t>Zmožnost shranjevanja informacij iz evropske denarnice za digitalno identiteto v oblaku bi se aktivirala le po izrecni privolitvi uporabnika. Države članice bi morale evropski denarnici za digitalno identiteto dovoliti, da shranjuje kriptografski material in transakcije izvaja na uporabnikovi napravi brez uporabe storitev v oblaku, razen če uporabnik izrecno privoli v shranjevanje. Če se evropska denarnica za digitalno identiteto zagotavlja na uporabnikovi napravi, bi moral biti njen kriptografski material shranjen v varnostnih elementih telefona.</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(12)</w:t>
            </w:r>
            <w:r>
              <w:tab/>
              <w:t>Za zagotovitev, da je evropski okvir za digitalno identiteto odprt za inovacije in tehnološki razvoj ter kos izzivom prihodnosti, bi bilo treba države članice spodbujati k skupni vzpostavitvi peskovnikov za preizkušanje inovativnih rešitev v nadzorovanem in varnem okolju, zlasti za izboljšanje funkcionalnosti, varstva osebnih podatkov, varnosti in interoperabilnosti rešitev, ter k obveščanju o prihodnjih posodobitvah tehničnih referenc in pravnih zahtev. To okolje bi moralo spodbujati vključevanje malih in srednjih podjetij, zagonskih podjetij ter posameznih inovatorjev in raziskovalcev.</w:t>
            </w:r>
          </w:p>
        </w:tc>
        <w:tc>
          <w:tcPr>
            <w:tcW w:w="4876" w:type="dxa"/>
            <w:hideMark/>
          </w:tcPr>
          <w:p w:rsidR="0008167A" w:rsidRPr="00136C04" w:rsidRDefault="0075381D" w:rsidP="0008167A">
            <w:pPr>
              <w:pStyle w:val="Normal6"/>
              <w:rPr>
                <w:szCs w:val="24"/>
              </w:rPr>
            </w:pPr>
            <w:r>
              <w:t>(12)</w:t>
            </w:r>
            <w:r>
              <w:tab/>
              <w:t>Za zagotovitev, da je evropski okvir za digitalno identiteto odprt za inovacije in tehnološki razvoj ter kos izzivom prihodnosti, bi bilo treba države članice spodbujati k skupni vzpostavitvi peskovnikov za preizkušanje inovativnih rešitev v nadzorovanem in varnem okolju, zlasti za izboljšanje funkcionalnosti, varstva osebnih podatkov, varnosti in interoperabilnosti rešitev, ter k obveščanju o prihodnjih posodobitvah tehničnih referenc in pravnih zahtev. To okolje bi moralo spodbujati vključevanje malih in srednjih podjetij, zagonskih podjetij ter posameznih inovatorjev in raziskovalcev</w:t>
            </w:r>
            <w:r>
              <w:rPr>
                <w:b/>
                <w:i/>
              </w:rPr>
              <w:t>, obenem pa izboljšati skladnost in preprečiti, da bi se na trg dajale rešitve, ki kršijo pravo Unije o varstvu podatkov in varnosti informacijske tehnologije</w:t>
            </w:r>
            <w:r>
              <w:t>.</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9</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(17)</w:t>
            </w:r>
            <w:r>
              <w:tab/>
              <w:t xml:space="preserve">Ponudniki storitev uporabljajo podatke o identiteti, zagotovljene z naborom identifikacijskih podatkov osebe, ki so dostopni v okviru shem elektronske identifikacije v skladu z Uredbo (EU) št. 910/2014, za preverjanje ujemanja uporabnikov iz druge države članice s pravno identiteto zadevnega uporabnika. Vendar pa so v številnih primerih kljub uporabi niza podatkov iz uredbe o eIDAS za zagotovitev ustreznega ujemanja potrebni dodatne informacije o uporabniku in posebni postopki enolične identifikacije na nacionalni ravni. Za dodatno podporo uporabnosti sredstev elektronske identifikacije bi morala ta uredba določati, da morajo države članice sprejeti posebne ukrepe za zagotovitev ustreznega ujemanja identitete v postopku elektronske identifikacije. </w:t>
            </w:r>
            <w:r>
              <w:rPr>
                <w:b/>
                <w:i/>
              </w:rPr>
              <w:t>Za isti namen bi morala ta uredba</w:t>
            </w:r>
            <w:r>
              <w:t xml:space="preserve"> tudi </w:t>
            </w:r>
            <w:r>
              <w:rPr>
                <w:b/>
                <w:i/>
              </w:rPr>
              <w:t>razširiti obvezni minimalni niz podatkov ter zahtevati uporabo enolične in stalne elektronske identifikacijske oznake</w:t>
            </w:r>
            <w:r>
              <w:t xml:space="preserve"> v </w:t>
            </w:r>
            <w:r>
              <w:rPr>
                <w:b/>
                <w:i/>
              </w:rPr>
              <w:t>skladu s pravom</w:t>
            </w:r>
            <w:r>
              <w:t xml:space="preserve"> Unije, </w:t>
            </w:r>
            <w:r>
              <w:rPr>
                <w:b/>
                <w:i/>
              </w:rPr>
              <w:t>če je to potrebno za enolično</w:t>
            </w:r>
            <w:r>
              <w:t xml:space="preserve"> in </w:t>
            </w:r>
            <w:r>
              <w:rPr>
                <w:b/>
                <w:i/>
              </w:rPr>
              <w:t>stalno zakonito identifikacijo uporabnika na njegovo zahtevo</w:t>
            </w:r>
            <w:r>
              <w:t>.</w:t>
            </w:r>
          </w:p>
        </w:tc>
        <w:tc>
          <w:tcPr>
            <w:tcW w:w="4876" w:type="dxa"/>
            <w:hideMark/>
          </w:tcPr>
          <w:p w:rsidR="0008167A" w:rsidRPr="00136C04" w:rsidRDefault="0075381D" w:rsidP="0008167A">
            <w:pPr>
              <w:pStyle w:val="Normal6"/>
              <w:rPr>
                <w:szCs w:val="24"/>
              </w:rPr>
            </w:pPr>
            <w:r>
              <w:t>(17)</w:t>
            </w:r>
            <w:r>
              <w:tab/>
              <w:t xml:space="preserve">Ponudniki storitev uporabljajo podatke o identiteti, zagotovljene z naborom identifikacijskih podatkov osebe, ki so dostopni v okviru shem elektronske identifikacije v skladu z Uredbo (EU) št. 910/2014, za preverjanje ujemanja uporabnikov iz druge države članice s pravno identiteto zadevnega uporabnika. Vendar pa so v številnih primerih kljub uporabi niza podatkov iz uredbe o eIDAS za zagotovitev ustreznega ujemanja potrebni dodatne informacije o uporabniku in posebni postopki enolične identifikacije na nacionalni ravni. Za dodatno podporo uporabnosti sredstev elektronske identifikacije bi morala ta uredba določati, da morajo države članice sprejeti posebne ukrepe za zagotovitev ustreznega ujemanja identitete v postopku elektronske identifikacije. </w:t>
            </w:r>
            <w:r>
              <w:rPr>
                <w:b/>
                <w:i/>
              </w:rPr>
              <w:t>Uporaba identifikacijskih podatkov osebe ali kombiniranje identifikacijskih podatkov osebe,</w:t>
            </w:r>
            <w:r>
              <w:t xml:space="preserve"> tudi </w:t>
            </w:r>
            <w:r>
              <w:rPr>
                <w:b/>
                <w:i/>
              </w:rPr>
              <w:t>uporaba enoličnih in stalnih identifikatorjev, ki jih izdajo države članice ali ki jih ustvari evropska denarnica za digitalno identiteto, je nujna za zagotovitev, da se lahko identiteta uporabnika, predvsem</w:t>
            </w:r>
            <w:r>
              <w:t xml:space="preserve"> v </w:t>
            </w:r>
            <w:r>
              <w:rPr>
                <w:b/>
                <w:i/>
              </w:rPr>
              <w:t>javnem sektorju in kadar to zahteva pravo</w:t>
            </w:r>
            <w:r>
              <w:t xml:space="preserve"> Unije</w:t>
            </w:r>
            <w:r>
              <w:rPr>
                <w:b/>
                <w:i/>
              </w:rPr>
              <w:t xml:space="preserve"> ali nacionalno pravo</w:t>
            </w:r>
            <w:r>
              <w:t xml:space="preserve">, </w:t>
            </w:r>
            <w:r>
              <w:rPr>
                <w:b/>
                <w:i/>
              </w:rPr>
              <w:t>preveri. V pravu držav članic bi moralo biti mogoče zahtevati uporabo enoličnih</w:t>
            </w:r>
            <w:r>
              <w:t xml:space="preserve"> in </w:t>
            </w:r>
            <w:r>
              <w:rPr>
                <w:b/>
                <w:i/>
              </w:rPr>
              <w:t>stalnih identifikatorjev, značilnih za sektor, ali zanašajočo se stranko</w:t>
            </w:r>
            <w:r>
              <w:t xml:space="preserve">. </w:t>
            </w:r>
            <w:r>
              <w:rPr>
                <w:b/>
                <w:i/>
              </w:rPr>
              <w:t>Evropska denarnica za digitalno identiteto bi morala shranjevati identifikatorje in jih razkriti na zahtevo uporabnika.</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10</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(25)</w:t>
            </w:r>
            <w:r>
              <w:tab/>
            </w:r>
            <w:r>
              <w:rPr>
                <w:b/>
                <w:i/>
              </w:rPr>
              <w:t>V</w:t>
            </w:r>
            <w:r>
              <w:t xml:space="preserve"> večini primerov si državljani in drugi rezidenti ne morejo varno in z visoko ravnjo varstva podatkov digitalno čezmejno izmenjevati informacij, povezanih z njihovo identiteto, kot so naslovi, starost in poklicne kvalifikacije, vozniška in druga dovoljenja ter podatki o plačilih.</w:t>
            </w:r>
          </w:p>
        </w:tc>
        <w:tc>
          <w:tcPr>
            <w:tcW w:w="4876" w:type="dxa"/>
            <w:hideMark/>
          </w:tcPr>
          <w:p w:rsidR="0008167A" w:rsidRPr="00136C04" w:rsidRDefault="0075381D" w:rsidP="0008167A">
            <w:pPr>
              <w:pStyle w:val="Normal6"/>
              <w:rPr>
                <w:szCs w:val="24"/>
              </w:rPr>
            </w:pPr>
            <w:r>
              <w:t>(25)</w:t>
            </w:r>
            <w:r>
              <w:tab/>
            </w:r>
            <w:r>
              <w:rPr>
                <w:b/>
                <w:i/>
              </w:rPr>
              <w:t>Na notranjem trgu morajo imeti državljani možnost čezmejne izmenjave informacij o svoji identiteti. Vendar pa si v</w:t>
            </w:r>
            <w:r>
              <w:t xml:space="preserve"> večini primerov državljani in drugi rezidenti ne morejo varno in z visoko ravnjo varstva podatkov digitalno čezmejno izmenjevati </w:t>
            </w:r>
            <w:r>
              <w:rPr>
                <w:b/>
                <w:i/>
              </w:rPr>
              <w:t xml:space="preserve">uradno potrjenih </w:t>
            </w:r>
            <w:r>
              <w:t xml:space="preserve">informacij, povezanih z njihovo identiteto, kot so naslovi, starost in poklicne kvalifikacije, vozniška in druga dovoljenja ter podatki o plačilih. </w:t>
            </w:r>
            <w:r>
              <w:rPr>
                <w:b/>
                <w:i/>
              </w:rPr>
              <w:t>Zaradi tega bi lahko prišlo do manj varnega in manj organiziranega prenosa podatkov.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11</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(29)</w:t>
            </w:r>
            <w:r>
              <w:tab/>
              <w:t>Evropska denarnica za digitalno identiteto bi morala tehnično omogočati selektivno razkrivanje atributov zanašajočim se strankam</w:t>
            </w:r>
            <w:r>
              <w:rPr>
                <w:b/>
                <w:i/>
              </w:rPr>
              <w:t>.</w:t>
            </w:r>
            <w:r>
              <w:t xml:space="preserve"> </w:t>
            </w:r>
            <w:r>
              <w:rPr>
                <w:b/>
                <w:i/>
              </w:rPr>
              <w:t>Ta značilnost bi morala postati značilnost osnovne zasnove, s čimer bi se povečala uporabnost</w:t>
            </w:r>
            <w:r>
              <w:t xml:space="preserve"> in </w:t>
            </w:r>
            <w:r>
              <w:rPr>
                <w:b/>
                <w:i/>
              </w:rPr>
              <w:t>izboljšalo varstvo osebnih</w:t>
            </w:r>
            <w:r>
              <w:t xml:space="preserve"> </w:t>
            </w:r>
            <w:r>
              <w:rPr>
                <w:b/>
                <w:i/>
              </w:rPr>
              <w:t>podatkov,</w:t>
            </w:r>
            <w:r>
              <w:t xml:space="preserve"> </w:t>
            </w:r>
            <w:r>
              <w:rPr>
                <w:b/>
                <w:i/>
              </w:rPr>
              <w:t>vključno z zmanjšanjem</w:t>
            </w:r>
            <w:r>
              <w:t xml:space="preserve"> </w:t>
            </w:r>
            <w:r>
              <w:rPr>
                <w:b/>
                <w:i/>
              </w:rPr>
              <w:t>obdelave osebnih podatkov.</w:t>
            </w:r>
          </w:p>
        </w:tc>
        <w:tc>
          <w:tcPr>
            <w:tcW w:w="4876" w:type="dxa"/>
            <w:hideMark/>
          </w:tcPr>
          <w:p w:rsidR="0008167A" w:rsidRPr="00136C04" w:rsidRDefault="0075381D" w:rsidP="0008167A">
            <w:pPr>
              <w:pStyle w:val="Normal6"/>
              <w:rPr>
                <w:szCs w:val="24"/>
              </w:rPr>
            </w:pPr>
            <w:r>
              <w:t>(29)</w:t>
            </w:r>
            <w:r>
              <w:tab/>
              <w:t>Evropska denarnica za digitalno identiteto bi morala tehnično omogočati selektivno razkrivanje atributov zanašajočim se strankam</w:t>
            </w:r>
            <w:r>
              <w:rPr>
                <w:b/>
                <w:i/>
              </w:rPr>
              <w:t xml:space="preserve"> na varen in uporabniku prijazen način kot eno svojih ključnih funkcij</w:t>
            </w:r>
            <w:r>
              <w:t xml:space="preserve"> in </w:t>
            </w:r>
            <w:r>
              <w:rPr>
                <w:b/>
                <w:i/>
              </w:rPr>
              <w:t>prednosti.</w:t>
            </w:r>
            <w:r>
              <w:t xml:space="preserve"> </w:t>
            </w:r>
            <w:r>
              <w:rPr>
                <w:b/>
                <w:i/>
              </w:rPr>
              <w:t>Zagotoviti bi morala tudi, da se atributi ne razkrijejo strankam, ki niso registrirane, da jih prejmejo.</w:t>
            </w:r>
            <w:r>
              <w:t xml:space="preserve"> Ta značilnost bi morala postati značilnost osnovne zasnove, s čimer bi se povečala uporabnost in izboljšalo varstvo osebnih podatkov, vključno z zmanjšanjem obdelave osebnih podatkov, zlasti z vgrajeno in privzeto zasebnostjo. </w:t>
            </w:r>
            <w:r>
              <w:rPr>
                <w:b/>
                <w:i/>
              </w:rPr>
              <w:t>Mehanizmi za potrjevanje evropske denarnice za digitalno identiteto, selektivno razkritje in avtentikacija uporabnikov za dostop do spletnih storitev bi morali ohranjati zasebnost, s čimer preprečijo sledenje uporabniku ter spoštujejo načelo omejitve namena, ki nakazuje pravico do psevdonimnosti za zagotovitev, da uporabnika ni mogoče povezati med več zanašajočimi se strankami. Tehnična arhitektura in izvedba evropske denarnice za digitalno identiteto bi morali biti v celoti skladni z Uredbo (EU) 2016/679. Poleg tega bi morala decentralizirana narava denarnice omogočati samopodpisovanje ter preklic atributov in identifikatorjev.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12</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29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(29a)</w:t>
            </w:r>
            <w:r>
              <w:rPr>
                <w:b/>
                <w:i/>
              </w:rPr>
              <w:tab/>
              <w:t>Uporaba storitev pod psevdonimom bi morala biti dovoljena in je države članice ne bi smele omejevati, razen če se v skladu s posebnimi pravili prava Unije ali nacionalnega prava od uporabnikov zahteva, da se identificirajo, na primer z uvedbo splošne obveznosti za ponudnike storitev, da omejijo psevdonimno uporabo svojih storitev.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13</w:t>
      </w:r>
      <w:r>
        <w:rPr>
          <w:rStyle w:val="HideTWBExt"/>
          <w:b w:val="0"/>
        </w:rPr>
        <w:t>&lt;/NumAm&gt;</w:t>
      </w:r>
    </w:p>
    <w:p w:rsidR="0008167A" w:rsidRPr="00136C04" w:rsidRDefault="0075381D" w:rsidP="0008167A">
      <w:pPr>
        <w:pStyle w:val="NormalBold12b"/>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Uvodna izjava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trHeight w:val="240"/>
          <w:jc w:val="center"/>
        </w:trPr>
        <w:tc>
          <w:tcPr>
            <w:tcW w:w="9752" w:type="dxa"/>
            <w:gridSpan w:val="2"/>
          </w:tcPr>
          <w:p w:rsidR="0008167A" w:rsidRPr="00136C04" w:rsidRDefault="0008167A" w:rsidP="0008167A"/>
        </w:tc>
      </w:tr>
      <w:tr w:rsidR="004B0ABF" w:rsidTr="0008167A">
        <w:trPr>
          <w:trHeight w:val="240"/>
          <w:jc w:val="center"/>
        </w:trPr>
        <w:tc>
          <w:tcPr>
            <w:tcW w:w="4876" w:type="dxa"/>
            <w:hideMark/>
          </w:tcPr>
          <w:p w:rsidR="0008167A" w:rsidRPr="00136C04" w:rsidRDefault="0075381D" w:rsidP="0008167A">
            <w:pPr>
              <w:pStyle w:val="AmColumnHeading"/>
            </w:pPr>
            <w:r>
              <w:t>Besedilo, ki ga predlaga Komisija</w:t>
            </w:r>
          </w:p>
        </w:tc>
        <w:tc>
          <w:tcPr>
            <w:tcW w:w="4876" w:type="dxa"/>
            <w:hideMark/>
          </w:tcPr>
          <w:p w:rsidR="0008167A" w:rsidRPr="00136C04" w:rsidRDefault="0075381D" w:rsidP="0008167A">
            <w:pPr>
              <w:pStyle w:val="AmColumnHeading"/>
            </w:pPr>
            <w:r>
              <w:t>Predlog spremembe</w:t>
            </w:r>
          </w:p>
        </w:tc>
      </w:tr>
      <w:tr w:rsidR="004B0ABF" w:rsidTr="0008167A">
        <w:trPr>
          <w:jc w:val="center"/>
        </w:trPr>
        <w:tc>
          <w:tcPr>
            <w:tcW w:w="4876" w:type="dxa"/>
            <w:hideMark/>
          </w:tcPr>
          <w:p w:rsidR="0008167A" w:rsidRPr="00136C04" w:rsidRDefault="0075381D" w:rsidP="0008167A">
            <w:pPr>
              <w:pStyle w:val="Normal6a"/>
            </w:pPr>
            <w:r>
              <w:t>(35)</w:t>
            </w:r>
            <w:r>
              <w:tab/>
              <w:t>Certificiranje, ki ga izvedejo ponudniki storitev zaupanja, bi moralo zagotoviti pravno varnost za primere uporabe, ki temeljijo na elektronskih evidencah. Ta storitev zaupanja za elektronske evidence in kvalificirane elektronske evidence ter certificiranje s strani ponudnika storitev zaupanja za elektronske evidence ne bi smela vplivati na potrebo po skladnosti primerov uporabe s pravom Unije ali nacionalnim pravom v skladu s pravom Unije. Primeri uporabe, ki vključujejo obdelavo osebnih podatkov, morajo biti skladni z Uredbo (EU) 2016/679. Primeri uporabe, ki vključujejo kriptosredstva, bi morali bit</w:t>
            </w:r>
            <w:r w:rsidR="00AA155F">
              <w:t>i</w:t>
            </w:r>
            <w:r>
              <w:t xml:space="preserve"> skladni z vsemi veljavnimi finančnimi pravili, na primer z direktivo o trgih finančnih instrumentov</w:t>
            </w:r>
            <w:r>
              <w:rPr>
                <w:vertAlign w:val="superscript"/>
              </w:rPr>
              <w:t>23</w:t>
            </w:r>
            <w:r>
              <w:t>, direktivo o plačilnih storitvah</w:t>
            </w:r>
            <w:r>
              <w:rPr>
                <w:vertAlign w:val="superscript"/>
              </w:rPr>
              <w:t>24</w:t>
            </w:r>
            <w:r>
              <w:t xml:space="preserve"> in prihodnjo uredbo o trgih kriptosredstev</w:t>
            </w:r>
            <w:r>
              <w:rPr>
                <w:vertAlign w:val="superscript"/>
              </w:rPr>
              <w:t>25</w:t>
            </w:r>
            <w:r>
              <w:t>.</w:t>
            </w:r>
          </w:p>
        </w:tc>
        <w:tc>
          <w:tcPr>
            <w:tcW w:w="4876" w:type="dxa"/>
            <w:hideMark/>
          </w:tcPr>
          <w:p w:rsidR="0008167A" w:rsidRPr="00136C04" w:rsidRDefault="0075381D" w:rsidP="0008167A">
            <w:pPr>
              <w:pStyle w:val="Normal6a"/>
            </w:pPr>
            <w:r>
              <w:t>(35)</w:t>
            </w:r>
            <w:r>
              <w:tab/>
              <w:t>Certificiranje, ki ga izvedejo ponudniki storitev zaupanja, bi moralo zagotoviti pravno varnost za primere uporabe, ki temeljijo na elektronskih evidencah. Ta storitev zaupanja za elektronske evidence in kvalificirane elektronske evidence ter certificiranje s strani ponudnika storitev zaupanja za elektronske evidence ne bi smela vplivati na potrebo po skladnosti primerov uporabe s pravom Unije ali nacionalnim pravom v skladu s pravom Unije. Primeri uporabe, ki vključujejo obdelavo osebnih podatkov, morajo biti skladni z Uredbo (EU) 2016/679. Primeri uporabe, ki vključujejo kriptosredstva, bi morali biti skladni z vsemi veljavnimi finančnimi pravili, na primer z direktivo o trgih finančnih instrumentov</w:t>
            </w:r>
            <w:r>
              <w:rPr>
                <w:vertAlign w:val="superscript"/>
              </w:rPr>
              <w:t>23</w:t>
            </w:r>
            <w:r>
              <w:t>, direktivo o plačilnih storitvah</w:t>
            </w:r>
            <w:r>
              <w:rPr>
                <w:vertAlign w:val="superscript"/>
              </w:rPr>
              <w:t>24</w:t>
            </w:r>
            <w:r>
              <w:t>, prihodnjo uredbo o trgih kriptosredstev</w:t>
            </w:r>
            <w:r>
              <w:rPr>
                <w:vertAlign w:val="superscript"/>
              </w:rPr>
              <w:t>25</w:t>
            </w:r>
            <w:r>
              <w:t xml:space="preserve"> </w:t>
            </w:r>
            <w:r w:rsidRPr="0075381D">
              <w:rPr>
                <w:b/>
                <w:i/>
              </w:rPr>
              <w:t>in uredbo o prenosu sredstev</w:t>
            </w:r>
            <w:r w:rsidRPr="0075381D">
              <w:rPr>
                <w:b/>
                <w:i/>
                <w:vertAlign w:val="superscript"/>
              </w:rPr>
              <w:t>25a</w:t>
            </w:r>
            <w:r>
              <w:t>.</w:t>
            </w:r>
          </w:p>
        </w:tc>
      </w:tr>
      <w:tr w:rsidR="004B0ABF" w:rsidTr="0008167A">
        <w:trPr>
          <w:jc w:val="center"/>
        </w:trPr>
        <w:tc>
          <w:tcPr>
            <w:tcW w:w="4876" w:type="dxa"/>
            <w:hideMark/>
          </w:tcPr>
          <w:p w:rsidR="0008167A" w:rsidRPr="00136C04" w:rsidRDefault="0075381D" w:rsidP="0008167A">
            <w:pPr>
              <w:pStyle w:val="Normal6a"/>
            </w:pPr>
            <w:r>
              <w:rPr>
                <w:b/>
                <w:i/>
              </w:rPr>
              <w:t>_________________</w:t>
            </w:r>
          </w:p>
        </w:tc>
        <w:tc>
          <w:tcPr>
            <w:tcW w:w="4876" w:type="dxa"/>
            <w:hideMark/>
          </w:tcPr>
          <w:p w:rsidR="0008167A" w:rsidRPr="00136C04" w:rsidRDefault="0075381D" w:rsidP="0008167A">
            <w:pPr>
              <w:pStyle w:val="Normal6a"/>
            </w:pPr>
            <w:r>
              <w:rPr>
                <w:b/>
                <w:i/>
              </w:rPr>
              <w:t>_________________</w:t>
            </w:r>
          </w:p>
        </w:tc>
      </w:tr>
      <w:tr w:rsidR="004B0ABF" w:rsidTr="0008167A">
        <w:trPr>
          <w:jc w:val="center"/>
        </w:trPr>
        <w:tc>
          <w:tcPr>
            <w:tcW w:w="4876" w:type="dxa"/>
            <w:hideMark/>
          </w:tcPr>
          <w:p w:rsidR="0008167A" w:rsidRPr="00136C04" w:rsidRDefault="0075381D" w:rsidP="0008167A">
            <w:pPr>
              <w:pStyle w:val="Normal6a"/>
            </w:pPr>
            <w:r>
              <w:rPr>
                <w:vertAlign w:val="superscript"/>
              </w:rPr>
              <w:t>23</w:t>
            </w:r>
            <w:r>
              <w:t xml:space="preserve"> Direktiva 2014/65/EU Evropskega parlamenta in Sveta z dne 15. maja 2014 o trgih finančnih instrumentov ter spremembi Direktive 2002/92/ES in Direktive 2011/61/EU (Besedilo velja za EGP) (UL L 173, 12.6.2014, str. 349).</w:t>
            </w:r>
          </w:p>
        </w:tc>
        <w:tc>
          <w:tcPr>
            <w:tcW w:w="4876" w:type="dxa"/>
            <w:hideMark/>
          </w:tcPr>
          <w:p w:rsidR="0008167A" w:rsidRPr="00136C04" w:rsidRDefault="0075381D" w:rsidP="0008167A">
            <w:pPr>
              <w:pStyle w:val="Normal6a"/>
            </w:pPr>
            <w:r>
              <w:rPr>
                <w:vertAlign w:val="superscript"/>
              </w:rPr>
              <w:t>23</w:t>
            </w:r>
            <w:r>
              <w:t xml:space="preserve"> Direktiva 2014/65/EU Evropskega parlamenta in Sveta z dne 15. maja 2014 o trgih finančnih instrumentov ter spremembi Direktive 2002/92/ES in Direktive 2011/61/EU (Besedilo velja za EGP) (UL L 173, 12.6.2014, str. 349).</w:t>
            </w:r>
          </w:p>
        </w:tc>
      </w:tr>
      <w:tr w:rsidR="004B0ABF" w:rsidTr="0008167A">
        <w:trPr>
          <w:jc w:val="center"/>
        </w:trPr>
        <w:tc>
          <w:tcPr>
            <w:tcW w:w="4876" w:type="dxa"/>
            <w:hideMark/>
          </w:tcPr>
          <w:p w:rsidR="0008167A" w:rsidRPr="00136C04" w:rsidRDefault="0075381D" w:rsidP="0008167A">
            <w:pPr>
              <w:pStyle w:val="Normal6a"/>
            </w:pPr>
            <w:r>
              <w:rPr>
                <w:vertAlign w:val="superscript"/>
              </w:rPr>
              <w:t>24</w:t>
            </w:r>
            <w:r>
              <w:t xml:space="preserve"> Direktiva (EU) 2015/2366 Evropskega parlamenta in Sveta z dne 25. novembra 2015 o plačilnih storitvah na notranjem trgu, spremembah direktiv 2002/65/ES, 2009/110/ES ter 2013/36/EU in Uredbe (EU) št. 1093/2010 ter razveljavitvi Direktive 2007/64/ES (UL L 337, 23.12.2015, str. 35).</w:t>
            </w:r>
          </w:p>
        </w:tc>
        <w:tc>
          <w:tcPr>
            <w:tcW w:w="4876" w:type="dxa"/>
            <w:hideMark/>
          </w:tcPr>
          <w:p w:rsidR="0008167A" w:rsidRPr="00136C04" w:rsidRDefault="0075381D" w:rsidP="0008167A">
            <w:pPr>
              <w:pStyle w:val="Normal6a"/>
            </w:pPr>
            <w:r>
              <w:rPr>
                <w:vertAlign w:val="superscript"/>
              </w:rPr>
              <w:t>24</w:t>
            </w:r>
            <w:r>
              <w:t xml:space="preserve"> Direktiva (EU) 2015/2366 Evropskega parlamenta in Sveta z dne 25. novembra 2015 o plačilnih storitvah na notranjem trgu, spremembah direktiv 2002/65/ES, 2009/110/ES ter 2013/36/EU in Uredbe (EU) št. 1093/2010 ter razveljavitvi Direktive 2007/64/ES (UL L 337, 23.12.2015, str. 35).</w:t>
            </w:r>
          </w:p>
        </w:tc>
      </w:tr>
      <w:tr w:rsidR="004B0ABF" w:rsidTr="0008167A">
        <w:trPr>
          <w:jc w:val="center"/>
        </w:trPr>
        <w:tc>
          <w:tcPr>
            <w:tcW w:w="4876" w:type="dxa"/>
            <w:hideMark/>
          </w:tcPr>
          <w:p w:rsidR="0008167A" w:rsidRPr="00136C04" w:rsidRDefault="0075381D" w:rsidP="0008167A">
            <w:pPr>
              <w:pStyle w:val="Normal6a"/>
            </w:pPr>
            <w:r>
              <w:rPr>
                <w:vertAlign w:val="superscript"/>
              </w:rPr>
              <w:t>25</w:t>
            </w:r>
            <w:r>
              <w:t xml:space="preserve"> Predlog uredbe Evropskega parlamenta in Sveta o trgih kriptosredstev in spremembi Direktive (EU) 2019/1937 (COM(2020) 593 final).</w:t>
            </w:r>
          </w:p>
        </w:tc>
        <w:tc>
          <w:tcPr>
            <w:tcW w:w="4876" w:type="dxa"/>
            <w:hideMark/>
          </w:tcPr>
          <w:p w:rsidR="0008167A" w:rsidRPr="00136C04" w:rsidRDefault="0075381D" w:rsidP="0008167A">
            <w:pPr>
              <w:pStyle w:val="Normal6a"/>
            </w:pPr>
            <w:r>
              <w:rPr>
                <w:vertAlign w:val="superscript"/>
              </w:rPr>
              <w:t>25</w:t>
            </w:r>
            <w:r>
              <w:t xml:space="preserve"> Predlog uredbe Evropskega parlamenta in Sveta o trgih kriptosredstev in spremembi Direktive (EU) 2019/1937 (COM(2020) 593 final).</w:t>
            </w:r>
          </w:p>
        </w:tc>
      </w:tr>
      <w:tr w:rsidR="004B0ABF" w:rsidTr="0008167A">
        <w:trPr>
          <w:jc w:val="center"/>
        </w:trPr>
        <w:tc>
          <w:tcPr>
            <w:tcW w:w="4876" w:type="dxa"/>
          </w:tcPr>
          <w:p w:rsidR="0008167A" w:rsidRPr="00136C04" w:rsidRDefault="0008167A" w:rsidP="0008167A">
            <w:pPr>
              <w:pStyle w:val="Normal6a"/>
            </w:pPr>
          </w:p>
        </w:tc>
        <w:tc>
          <w:tcPr>
            <w:tcW w:w="4876" w:type="dxa"/>
            <w:hideMark/>
          </w:tcPr>
          <w:p w:rsidR="0008167A" w:rsidRPr="00136C04" w:rsidRDefault="0075381D" w:rsidP="0008167A">
            <w:pPr>
              <w:pStyle w:val="Normal6a"/>
            </w:pPr>
            <w:r>
              <w:rPr>
                <w:b/>
                <w:bCs/>
                <w:i/>
                <w:iCs/>
                <w:vertAlign w:val="superscript"/>
              </w:rPr>
              <w:t>25a</w:t>
            </w:r>
            <w:r>
              <w:rPr>
                <w:b/>
                <w:bCs/>
                <w:i/>
                <w:iCs/>
              </w:rPr>
              <w:t xml:space="preserve"> Predlog uredbe Evropskega parlamenta in Sveta o informacijah, ki spremljajo prenose sredstev in nekaterih kriptosredstev (prenovitev) (COM(2021)0422).</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14</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3 – točka i</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3 – odstavek 1 – točka 42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(42)</w:t>
            </w:r>
            <w:r>
              <w:tab/>
              <w:t xml:space="preserve">‚evropska denarnica za digitalno identiteto‘ je </w:t>
            </w:r>
            <w:r>
              <w:rPr>
                <w:b/>
                <w:i/>
              </w:rPr>
              <w:t>izdelek in storitev</w:t>
            </w:r>
            <w:r>
              <w:t>, ki uporabniku omogoča shranjevanje podatkov o identiteti, poverilnic in atributov, povezanih z njegovo identiteto, njihovo predložitev zanašajočim se strankam na zahtevo ter njihovo uporabo za spletno in nespletno avtentikacijo za storitev v skladu s členom 6a ter ustvarjanje kvalificiranih elektronskih podpisov in žigov;</w:t>
            </w:r>
          </w:p>
        </w:tc>
        <w:tc>
          <w:tcPr>
            <w:tcW w:w="4876" w:type="dxa"/>
            <w:hideMark/>
          </w:tcPr>
          <w:p w:rsidR="0008167A" w:rsidRPr="00136C04" w:rsidRDefault="0075381D" w:rsidP="0008167A">
            <w:pPr>
              <w:pStyle w:val="Normal6"/>
              <w:rPr>
                <w:szCs w:val="24"/>
              </w:rPr>
            </w:pPr>
            <w:r>
              <w:t>(42)</w:t>
            </w:r>
            <w:r>
              <w:tab/>
              <w:t xml:space="preserve">‚evropska denarnica za digitalno identiteto‘ je </w:t>
            </w:r>
            <w:r>
              <w:rPr>
                <w:b/>
                <w:i/>
              </w:rPr>
              <w:t>sredstvo elektronske identifikacije</w:t>
            </w:r>
            <w:r>
              <w:t xml:space="preserve">, ki uporabniku </w:t>
            </w:r>
            <w:r>
              <w:rPr>
                <w:b/>
                <w:i/>
              </w:rPr>
              <w:t xml:space="preserve">pod njegovim nadzorom </w:t>
            </w:r>
            <w:r>
              <w:t xml:space="preserve">omogoča shranjevanje </w:t>
            </w:r>
            <w:r>
              <w:rPr>
                <w:b/>
                <w:i/>
              </w:rPr>
              <w:t xml:space="preserve">in upravljanje </w:t>
            </w:r>
            <w:r>
              <w:t xml:space="preserve">podatkov o identiteti, </w:t>
            </w:r>
            <w:r>
              <w:rPr>
                <w:b/>
                <w:i/>
              </w:rPr>
              <w:t xml:space="preserve">izrecna potrdila o privolitvi za izmenjavo osebnih podatkov, </w:t>
            </w:r>
            <w:r>
              <w:t xml:space="preserve">poverilnic in atributov, povezanih z njegovo identiteto, njihovo </w:t>
            </w:r>
            <w:r>
              <w:rPr>
                <w:b/>
                <w:i/>
              </w:rPr>
              <w:t xml:space="preserve">selektivno </w:t>
            </w:r>
            <w:r>
              <w:t>predložitev</w:t>
            </w:r>
            <w:r>
              <w:rPr>
                <w:b/>
                <w:i/>
              </w:rPr>
              <w:t xml:space="preserve"> ustrezno registriranim</w:t>
            </w:r>
            <w:r>
              <w:t xml:space="preserve"> zanašajočim se strankam na zahtevo ter njihovo uporabo za spletno in nespletno avtentikacijo za storitev v skladu s členom 6a ter ustvarjanje kvalificiranih elektronskih podpisov in žigov;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15</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3 – točka i</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3 – odstavek 1 – točka 43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(43)</w:t>
            </w:r>
            <w:r>
              <w:tab/>
              <w:t xml:space="preserve">‚atribut‘ </w:t>
            </w:r>
            <w:r>
              <w:rPr>
                <w:b/>
                <w:i/>
              </w:rPr>
              <w:t>je lastnost</w:t>
            </w:r>
            <w:r>
              <w:t xml:space="preserve">, </w:t>
            </w:r>
            <w:r>
              <w:rPr>
                <w:b/>
                <w:i/>
              </w:rPr>
              <w:t>značilnost</w:t>
            </w:r>
            <w:r>
              <w:t xml:space="preserve"> ali </w:t>
            </w:r>
            <w:r>
              <w:rPr>
                <w:b/>
                <w:i/>
              </w:rPr>
              <w:t>narava</w:t>
            </w:r>
            <w:r>
              <w:t xml:space="preserve"> fizične ali pravne osebe ali subjekta</w:t>
            </w:r>
            <w:r>
              <w:rPr>
                <w:b/>
                <w:i/>
              </w:rPr>
              <w:t xml:space="preserve"> v elektronski obliki</w:t>
            </w:r>
            <w:r>
              <w:t>;</w:t>
            </w:r>
          </w:p>
        </w:tc>
        <w:tc>
          <w:tcPr>
            <w:tcW w:w="4876" w:type="dxa"/>
            <w:hideMark/>
          </w:tcPr>
          <w:p w:rsidR="0008167A" w:rsidRPr="00136C04" w:rsidRDefault="0075381D" w:rsidP="0008167A">
            <w:pPr>
              <w:pStyle w:val="Normal6"/>
              <w:rPr>
                <w:szCs w:val="24"/>
              </w:rPr>
            </w:pPr>
            <w:r>
              <w:t>(43)</w:t>
            </w:r>
            <w:r>
              <w:tab/>
              <w:t xml:space="preserve">‚atribut‘ </w:t>
            </w:r>
            <w:r>
              <w:rPr>
                <w:b/>
                <w:i/>
              </w:rPr>
              <w:t>pomeni elektronski prikaz lastnosti</w:t>
            </w:r>
            <w:r>
              <w:t xml:space="preserve">, </w:t>
            </w:r>
            <w:r>
              <w:rPr>
                <w:b/>
                <w:i/>
              </w:rPr>
              <w:t>značilnosti</w:t>
            </w:r>
            <w:r>
              <w:t xml:space="preserve"> ali </w:t>
            </w:r>
            <w:r>
              <w:rPr>
                <w:b/>
                <w:i/>
              </w:rPr>
              <w:t>narave</w:t>
            </w:r>
            <w:r>
              <w:t xml:space="preserve"> fizične ali pravne osebe ali subjekta;</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16</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3 – točka i</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3 – odstavek 1 – točka 55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(55)</w:t>
            </w:r>
            <w:r>
              <w:tab/>
            </w:r>
            <w:r>
              <w:rPr>
                <w:b/>
                <w:i/>
              </w:rPr>
              <w:t>‚enolična identifikacija‘</w:t>
            </w:r>
            <w:r>
              <w:t xml:space="preserve"> pomeni postopek, v katerem se identifikacijski podatki osebe ali identifikacija osebe primerjajo ali povežejo z obstoječim računom, ki pripada isti osebi,“</w:t>
            </w:r>
            <w:r>
              <w:rPr>
                <w:b/>
                <w:i/>
              </w:rPr>
              <w:t>;</w:t>
            </w:r>
          </w:p>
        </w:tc>
        <w:tc>
          <w:tcPr>
            <w:tcW w:w="4876" w:type="dxa"/>
            <w:hideMark/>
          </w:tcPr>
          <w:p w:rsidR="0008167A" w:rsidRPr="00136C04" w:rsidRDefault="0075381D" w:rsidP="0008167A">
            <w:pPr>
              <w:pStyle w:val="Normal6"/>
              <w:rPr>
                <w:szCs w:val="24"/>
              </w:rPr>
            </w:pPr>
            <w:r>
              <w:t>(55)</w:t>
            </w:r>
            <w:r>
              <w:tab/>
            </w:r>
            <w:r>
              <w:rPr>
                <w:b/>
                <w:i/>
              </w:rPr>
              <w:t>‚ujemanje identitete‘</w:t>
            </w:r>
            <w:r>
              <w:t xml:space="preserve"> pomeni postopek, v katerem se identifikacijski podatki osebe ali identifikacija osebe primerjajo ali povežejo z obstoječim računom, ki pripada isti osebi,“</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4</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5 – naslov</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rPr>
                <w:lang w:val="da-DK"/>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 xml:space="preserve">Psevdonimi v </w:t>
            </w:r>
            <w:r>
              <w:rPr>
                <w:b/>
                <w:i/>
              </w:rPr>
              <w:t>elektronski transakciji</w:t>
            </w:r>
          </w:p>
        </w:tc>
        <w:tc>
          <w:tcPr>
            <w:tcW w:w="4876" w:type="dxa"/>
            <w:hideMark/>
          </w:tcPr>
          <w:p w:rsidR="0008167A" w:rsidRPr="00136C04" w:rsidRDefault="0075381D" w:rsidP="0008167A">
            <w:pPr>
              <w:pStyle w:val="Normal6"/>
              <w:rPr>
                <w:szCs w:val="24"/>
              </w:rPr>
            </w:pPr>
            <w:r>
              <w:rPr>
                <w:b/>
                <w:i/>
              </w:rPr>
              <w:t xml:space="preserve">Varstvo osebnih podatkov ter </w:t>
            </w:r>
            <w:r>
              <w:t xml:space="preserve">psevdonimi v </w:t>
            </w:r>
            <w:r>
              <w:rPr>
                <w:b/>
                <w:i/>
              </w:rPr>
              <w:t>elektronskih transakcijah</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4</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5 – odstavek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Brez poseganja v pravni učinek psevdonimov v skladu z nacionalnim pravom, uporaba psevdonimov v elektronskih transakcijah ni prepovedana.“;</w:t>
            </w:r>
          </w:p>
        </w:tc>
        <w:tc>
          <w:tcPr>
            <w:tcW w:w="4876" w:type="dxa"/>
            <w:hideMark/>
          </w:tcPr>
          <w:p w:rsidR="0008167A" w:rsidRPr="00136C04" w:rsidRDefault="0075381D" w:rsidP="0008167A">
            <w:pPr>
              <w:pStyle w:val="Normal6"/>
              <w:rPr>
                <w:szCs w:val="24"/>
              </w:rPr>
            </w:pPr>
            <w:r>
              <w:rPr>
                <w:b/>
                <w:i/>
              </w:rPr>
              <w:t>1.</w:t>
            </w:r>
            <w:r>
              <w:tab/>
            </w:r>
            <w:r>
              <w:rPr>
                <w:b/>
                <w:i/>
              </w:rPr>
              <w:t>Obdelava osebnih podatkov se izvaja v skladu z uredbama (EU) 2016/679 in (EU) 2018/1725 ter po potrebi Direktivo 2002/58/ES z izvajanjem načel podatkovne minimizacije, omejitve namena ter vgrajenega in privzetega varstva podatkov, predvsem v zvezi s tehničnimi ukrepi za izvajanje te uredbe in interoperabilnostnim okvirom v skladu s členom 12 te uredbe.</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2.</w:t>
            </w:r>
            <w:r>
              <w:t xml:space="preserve"> </w:t>
            </w:r>
            <w:r>
              <w:tab/>
              <w:t>Brez poseganja v pravni učinek psevdonimov v skladu z nacionalnim pravom, je uporaba psevdonimov v elektronskih transakcijah dovoljena.</w:t>
            </w:r>
            <w:r>
              <w:rPr>
                <w:b/>
                <w:i/>
              </w:rPr>
              <w:t xml:space="preserve"> </w:t>
            </w:r>
            <w:r>
              <w:t>Uporaba psevdonimov, ki jih uporabnik svobodno izbere, je vedno možnost, da se enolični identifikator nadomesti, kadar se identifikacija uporabnika ne zahteva v pravu Unije ali nacionalnem pravu.</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3. </w:t>
            </w:r>
            <w:r>
              <w:tab/>
            </w:r>
            <w:r>
              <w:rPr>
                <w:b/>
                <w:i/>
              </w:rPr>
              <w:t>Zanašajoče se stranke si razumno prizadevajo, da omogočijo uporabo svojih storitev brez elektronske identifikacije ali avtentikacije.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19</w:t>
      </w:r>
      <w:r>
        <w:rPr>
          <w:rStyle w:val="HideTWBExt"/>
          <w:b w:val="0"/>
        </w:rPr>
        <w:t>&lt;/NumAm&gt;</w:t>
      </w:r>
    </w:p>
    <w:p w:rsidR="0008167A" w:rsidRPr="00136C04" w:rsidRDefault="0075381D" w:rsidP="0008167A">
      <w:pPr>
        <w:pStyle w:val="NormalBold12b"/>
      </w:pPr>
      <w:r>
        <w:rPr>
          <w:rStyle w:val="HideTWBExt"/>
          <w:b w:val="0"/>
        </w:rPr>
        <w:t>&lt;DocAmend&gt;</w:t>
      </w:r>
      <w:r>
        <w:t>Predlog uredbe</w:t>
      </w:r>
      <w:r>
        <w:rPr>
          <w:rStyle w:val="HideTWBExt"/>
          <w:b w:val="0"/>
        </w:rPr>
        <w:t>&lt;/DocAmend&gt;</w:t>
      </w:r>
    </w:p>
    <w:p w:rsidR="0008167A" w:rsidRPr="006127FB" w:rsidRDefault="0075381D" w:rsidP="0008167A">
      <w:pPr>
        <w:pStyle w:val="NormalBold"/>
      </w:pPr>
      <w:r>
        <w:rPr>
          <w:rStyle w:val="HideTWBExt"/>
          <w:b w:val="0"/>
        </w:rPr>
        <w:t>&lt;Article&gt;</w:t>
      </w:r>
      <w:r>
        <w:t>Člen 1 – odstavek 1 – točka 7</w:t>
      </w:r>
      <w:r>
        <w:rPr>
          <w:rStyle w:val="HideTWBExt"/>
          <w:b w:val="0"/>
        </w:rPr>
        <w:t>&lt;/Article&gt;</w:t>
      </w:r>
    </w:p>
    <w:p w:rsidR="0008167A" w:rsidRPr="006127FB" w:rsidRDefault="0075381D" w:rsidP="0008167A">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3 – točka b 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trHeight w:val="240"/>
          <w:jc w:val="center"/>
        </w:trPr>
        <w:tc>
          <w:tcPr>
            <w:tcW w:w="9752" w:type="dxa"/>
            <w:gridSpan w:val="2"/>
          </w:tcPr>
          <w:p w:rsidR="0008167A" w:rsidRPr="0075381D" w:rsidRDefault="0008167A" w:rsidP="0008167A"/>
        </w:tc>
      </w:tr>
      <w:tr w:rsidR="004B0ABF" w:rsidTr="0008167A">
        <w:trPr>
          <w:trHeight w:val="240"/>
          <w:jc w:val="center"/>
        </w:trPr>
        <w:tc>
          <w:tcPr>
            <w:tcW w:w="4876" w:type="dxa"/>
            <w:hideMark/>
          </w:tcPr>
          <w:p w:rsidR="0008167A" w:rsidRPr="00136C04" w:rsidRDefault="0075381D" w:rsidP="0008167A">
            <w:pPr>
              <w:pStyle w:val="AmColumnHeading"/>
            </w:pPr>
            <w:r>
              <w:t>Besedilo, ki ga predlaga Komisija</w:t>
            </w:r>
          </w:p>
        </w:tc>
        <w:tc>
          <w:tcPr>
            <w:tcW w:w="4876" w:type="dxa"/>
            <w:hideMark/>
          </w:tcPr>
          <w:p w:rsidR="0008167A" w:rsidRPr="00136C04" w:rsidRDefault="0075381D" w:rsidP="0008167A">
            <w:pPr>
              <w:pStyle w:val="AmColumnHeading"/>
            </w:pPr>
            <w:r>
              <w:t>Predlog spremembe</w:t>
            </w:r>
          </w:p>
        </w:tc>
      </w:tr>
      <w:tr w:rsidR="004B0ABF" w:rsidTr="0008167A">
        <w:trPr>
          <w:jc w:val="center"/>
        </w:trPr>
        <w:tc>
          <w:tcPr>
            <w:tcW w:w="4876" w:type="dxa"/>
          </w:tcPr>
          <w:p w:rsidR="0008167A" w:rsidRPr="00136C04" w:rsidRDefault="0008167A" w:rsidP="0008167A">
            <w:pPr>
              <w:pStyle w:val="Normal6a"/>
            </w:pPr>
          </w:p>
        </w:tc>
        <w:tc>
          <w:tcPr>
            <w:tcW w:w="4876" w:type="dxa"/>
            <w:hideMark/>
          </w:tcPr>
          <w:p w:rsidR="0008167A" w:rsidRPr="00136C04" w:rsidRDefault="0075381D" w:rsidP="0008167A">
            <w:pPr>
              <w:pStyle w:val="Normal6a"/>
            </w:pPr>
            <w:r>
              <w:rPr>
                <w:b/>
                <w:i/>
              </w:rPr>
              <w:t>(ba)</w:t>
            </w:r>
            <w:r>
              <w:tab/>
            </w:r>
            <w:r>
              <w:rPr>
                <w:b/>
                <w:i/>
              </w:rPr>
              <w:t>sprejme utemeljeno odločitev o izmenjavi osebnih podatkov z zanašajočimi se strankami. To vključuje identifikacijo zanašajoče se stranke, možnost popolne ali delne zavrnitve zahtev zanašajočih se strank za informacije in celotno zgodovino transakcij.</w:t>
            </w:r>
          </w:p>
        </w:tc>
      </w:tr>
    </w:tbl>
    <w:p w:rsidR="0008167A" w:rsidRPr="0008167A" w:rsidRDefault="0008167A" w:rsidP="0008167A">
      <w:pPr>
        <w:rPr>
          <w:rStyle w:val="HideTWBExt"/>
        </w:rPr>
      </w:pPr>
    </w:p>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20</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a – točka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(2)</w:t>
            </w:r>
            <w:r>
              <w:tab/>
              <w:t>za zanašajoče se stranke, da lahko zahtevajo in potrdijo veljavnost identifikacijskih podatkov in elektronskih potrdil o atributih;</w:t>
            </w:r>
          </w:p>
        </w:tc>
        <w:tc>
          <w:tcPr>
            <w:tcW w:w="4876" w:type="dxa"/>
            <w:hideMark/>
          </w:tcPr>
          <w:p w:rsidR="0008167A" w:rsidRPr="00136C04" w:rsidRDefault="0075381D" w:rsidP="0008167A">
            <w:pPr>
              <w:pStyle w:val="Normal6"/>
              <w:rPr>
                <w:szCs w:val="24"/>
              </w:rPr>
            </w:pPr>
            <w:r>
              <w:t>(2)</w:t>
            </w:r>
            <w:r>
              <w:tab/>
              <w:t>za zanašajoče se stranke, da lahko zahtevajo in potrdijo veljavnost identifikacijskih podatkov in elektronskih potrdil o atributih</w:t>
            </w:r>
            <w:r>
              <w:rPr>
                <w:b/>
                <w:i/>
              </w:rPr>
              <w:t xml:space="preserve"> v skladu z Uredbo (EU) 2016/679</w:t>
            </w:r>
            <w:r>
              <w:t>;</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6127FB" w:rsidRDefault="0075381D" w:rsidP="0008167A">
      <w:pPr>
        <w:pStyle w:val="NormalBold"/>
      </w:pPr>
      <w:r>
        <w:rPr>
          <w:rStyle w:val="HideTWBExt"/>
          <w:b w:val="0"/>
        </w:rPr>
        <w:t>&lt;Article&gt;</w:t>
      </w:r>
      <w:r>
        <w:t>Člen 1 – odstavek 1 – točka 7</w:t>
      </w:r>
      <w:r>
        <w:rPr>
          <w:rStyle w:val="HideTWBExt"/>
          <w:b w:val="0"/>
        </w:rPr>
        <w:t>&lt;/Article&gt;</w:t>
      </w:r>
    </w:p>
    <w:p w:rsidR="0008167A" w:rsidRPr="006127FB"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a –točka 2 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(2a)</w:t>
            </w:r>
            <w:r>
              <w:rPr>
                <w:b/>
                <w:i/>
              </w:rPr>
              <w:tab/>
              <w:t>za ustrezno registracijo zanašajočih se strank na javno dostopnem seznamu in za to, da so njihove zahteve po informacijah na njem vidne;</w:t>
            </w:r>
          </w:p>
        </w:tc>
      </w:tr>
    </w:tbl>
    <w:p w:rsidR="0008167A" w:rsidRPr="0008167A" w:rsidRDefault="0008167A" w:rsidP="0008167A">
      <w:pPr>
        <w:rPr>
          <w:rStyle w:val="HideTWBExt"/>
        </w:rPr>
      </w:pPr>
    </w:p>
    <w:p w:rsidR="0008167A" w:rsidRPr="0008167A" w:rsidRDefault="0075381D" w:rsidP="0008167A">
      <w:pPr>
        <w:rPr>
          <w:rStyle w:val="HideTWBExt"/>
        </w:rPr>
      </w:pPr>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22</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a – točka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(3)</w:t>
            </w:r>
            <w:r>
              <w:tab/>
              <w:t xml:space="preserve">za predstavitev identifikacijskih podatkov osebe, </w:t>
            </w:r>
            <w:r>
              <w:rPr>
                <w:b/>
                <w:i/>
              </w:rPr>
              <w:t>elektronskih potrdil</w:t>
            </w:r>
            <w:r>
              <w:t xml:space="preserve"> o atributih ali </w:t>
            </w:r>
            <w:r>
              <w:rPr>
                <w:b/>
                <w:i/>
              </w:rPr>
              <w:t>drugih podatkov zanašajočim se strankam</w:t>
            </w:r>
            <w:r>
              <w:t xml:space="preserve"> v lokalni obliki, ki ne zahteva internetnega dostopa za denarnico;</w:t>
            </w:r>
          </w:p>
        </w:tc>
        <w:tc>
          <w:tcPr>
            <w:tcW w:w="4876" w:type="dxa"/>
            <w:hideMark/>
          </w:tcPr>
          <w:p w:rsidR="0008167A" w:rsidRPr="00136C04" w:rsidRDefault="0075381D" w:rsidP="0008167A">
            <w:pPr>
              <w:pStyle w:val="Normal6"/>
              <w:rPr>
                <w:szCs w:val="24"/>
              </w:rPr>
            </w:pPr>
            <w:r>
              <w:t>(3)</w:t>
            </w:r>
            <w:r>
              <w:tab/>
              <w:t>za predstavitev identifikacijskih podatkov osebe</w:t>
            </w:r>
            <w:r>
              <w:rPr>
                <w:b/>
                <w:i/>
              </w:rPr>
              <w:t xml:space="preserve"> zanašajočim se strankam v skladu z Uredbo (EU) 2016/679</w:t>
            </w:r>
            <w:r>
              <w:t xml:space="preserve">, </w:t>
            </w:r>
            <w:r>
              <w:rPr>
                <w:b/>
                <w:i/>
              </w:rPr>
              <w:t>kot so poverilnice, elektronsko potrdilo</w:t>
            </w:r>
            <w:r>
              <w:t xml:space="preserve"> o atributih ali </w:t>
            </w:r>
            <w:r>
              <w:rPr>
                <w:b/>
                <w:i/>
              </w:rPr>
              <w:t>drugi podatki,</w:t>
            </w:r>
            <w:r>
              <w:t xml:space="preserve"> v lokalni obliki, ki ne zahteva internetnega dostopa za denarnico</w:t>
            </w:r>
            <w:r>
              <w:rPr>
                <w:b/>
                <w:i/>
              </w:rPr>
              <w:t>, in da uporabnik sprejme informirano odločitev o izmenjavi osebnih podatkov z zanašajočimi se strankami, pri čemer se omogoči možnost selektivnega razkritja, taka predstavitev, vključno s popolno ali delno zavrnitvijo zahtev zanašajočih se strank za informacije, celotna zgodovina transakcij, možnost umika predhodno podane privolitve na zahtevo za informacije in informacije o uveljavljanju pravic kot posameznik, na katerega se nanašajo osebni podatki</w:t>
            </w:r>
            <w:r>
              <w:t>;</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6127FB" w:rsidRDefault="0075381D" w:rsidP="0008167A">
      <w:pPr>
        <w:pStyle w:val="NormalBold"/>
      </w:pPr>
      <w:r>
        <w:rPr>
          <w:rStyle w:val="HideTWBExt"/>
          <w:b w:val="0"/>
        </w:rPr>
        <w:t>&lt;Article&gt;</w:t>
      </w:r>
      <w:r>
        <w:t>Člen 1 – odstavek 1 – točka 7</w:t>
      </w:r>
      <w:r>
        <w:rPr>
          <w:rStyle w:val="HideTWBExt"/>
          <w:b w:val="0"/>
        </w:rPr>
        <w:t>&lt;/Article&gt;</w:t>
      </w:r>
    </w:p>
    <w:p w:rsidR="0008167A" w:rsidRPr="006127FB"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(b)</w:t>
            </w:r>
            <w:r>
              <w:tab/>
              <w:t xml:space="preserve">zagotavlja, da </w:t>
            </w:r>
            <w:r>
              <w:rPr>
                <w:b/>
                <w:i/>
              </w:rPr>
              <w:t>ponudniki storitev zaupanja</w:t>
            </w:r>
            <w:r>
              <w:t xml:space="preserve">, ki zagotavljajo kvalificirana potrdila, </w:t>
            </w:r>
            <w:r>
              <w:rPr>
                <w:b/>
                <w:i/>
              </w:rPr>
              <w:t>ne prejmejo nobenih</w:t>
            </w:r>
            <w:r>
              <w:t xml:space="preserve"> informacij o uporabi teh atributov;</w:t>
            </w:r>
          </w:p>
        </w:tc>
        <w:tc>
          <w:tcPr>
            <w:tcW w:w="4876" w:type="dxa"/>
            <w:hideMark/>
          </w:tcPr>
          <w:p w:rsidR="0008167A" w:rsidRPr="00136C04" w:rsidRDefault="0075381D" w:rsidP="0008167A">
            <w:pPr>
              <w:pStyle w:val="Normal6"/>
              <w:rPr>
                <w:szCs w:val="24"/>
              </w:rPr>
            </w:pPr>
            <w:r>
              <w:t>(b)</w:t>
            </w:r>
            <w:r>
              <w:tab/>
              <w:t xml:space="preserve">zagotavlja, da </w:t>
            </w:r>
            <w:r>
              <w:rPr>
                <w:b/>
                <w:i/>
              </w:rPr>
              <w:t>je ponudnikom</w:t>
            </w:r>
            <w:r>
              <w:t xml:space="preserve">, ki zagotavljajo kvalificirana </w:t>
            </w:r>
            <w:r>
              <w:rPr>
                <w:b/>
                <w:i/>
              </w:rPr>
              <w:t xml:space="preserve">in nekvalificirana elektronska </w:t>
            </w:r>
            <w:r>
              <w:t xml:space="preserve">potrdila, </w:t>
            </w:r>
            <w:r>
              <w:rPr>
                <w:b/>
                <w:i/>
              </w:rPr>
              <w:t>tehnološko preprečeno prejemanje</w:t>
            </w:r>
            <w:r>
              <w:t xml:space="preserve"> informacij o uporabi teh atributov;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(e)</w:t>
            </w:r>
            <w:r>
              <w:tab/>
              <w:t xml:space="preserve">zagotavlja, da identifikacijski podatki osebe iz točke (d) člena 12(4) enolično </w:t>
            </w:r>
            <w:r>
              <w:rPr>
                <w:b/>
                <w:i/>
              </w:rPr>
              <w:t xml:space="preserve">in stalno </w:t>
            </w:r>
            <w:r>
              <w:t xml:space="preserve">predstavljajo fizično ali pravno osebo, </w:t>
            </w:r>
            <w:r>
              <w:rPr>
                <w:b/>
                <w:i/>
              </w:rPr>
              <w:t>ki</w:t>
            </w:r>
            <w:r>
              <w:t xml:space="preserve"> je z </w:t>
            </w:r>
            <w:r>
              <w:rPr>
                <w:b/>
                <w:i/>
              </w:rPr>
              <w:t>njimi povezana.</w:t>
            </w:r>
          </w:p>
        </w:tc>
        <w:tc>
          <w:tcPr>
            <w:tcW w:w="4876" w:type="dxa"/>
            <w:hideMark/>
          </w:tcPr>
          <w:p w:rsidR="0008167A" w:rsidRPr="00136C04" w:rsidRDefault="0075381D" w:rsidP="0008167A">
            <w:pPr>
              <w:pStyle w:val="Normal6"/>
              <w:rPr>
                <w:szCs w:val="24"/>
              </w:rPr>
            </w:pPr>
            <w:r>
              <w:t>(e)</w:t>
            </w:r>
            <w:r>
              <w:tab/>
              <w:t>zagotavlja, da identifikacijski podatki osebe iz točke (d) člena 12(4) enolično predstavljajo fizično ali pravno osebo</w:t>
            </w:r>
            <w:r>
              <w:rPr>
                <w:b/>
                <w:i/>
              </w:rPr>
              <w:t xml:space="preserve"> ter da je sklic na njih različen za različne zanašajoče se stranke</w:t>
            </w:r>
            <w:r>
              <w:t xml:space="preserve">, </w:t>
            </w:r>
            <w:r>
              <w:rPr>
                <w:b/>
                <w:i/>
              </w:rPr>
              <w:t>če</w:t>
            </w:r>
            <w:r>
              <w:t xml:space="preserve"> je </w:t>
            </w:r>
            <w:r>
              <w:rPr>
                <w:b/>
                <w:i/>
              </w:rPr>
              <w:t xml:space="preserve">to v skladu </w:t>
            </w:r>
            <w:r>
              <w:t xml:space="preserve">z </w:t>
            </w:r>
            <w:r>
              <w:rPr>
                <w:b/>
                <w:i/>
              </w:rPr>
              <w:t>zakonskimi zahtevami;</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e a (novo)</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rPr>
                <w:lang w:val="pt-PT"/>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(ea)</w:t>
            </w:r>
            <w:r>
              <w:rPr>
                <w:b/>
                <w:i/>
              </w:rPr>
              <w:tab/>
              <w:t>uporabniku omogoča dostop do seznama dejanj, transakcij ali uporab elektronskih potrdil o atributih ali osebnih identifikacijskih podatkov, ki jih je odobril uporabnik, v berljivi obliki;</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 točka e b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(eb)</w:t>
            </w:r>
            <w:r>
              <w:rPr>
                <w:b/>
                <w:i/>
              </w:rPr>
              <w:tab/>
              <w:t>uporabniku omogoča prenos podatkov evropske denarnice za digitalno identiteto, v primeru kršitve varnosti pa blokiranje dostopa do njih, ki omogoči začasno razveljavitev, preklic ali umik podatkov;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4 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rPr>
                <w:lang w:val="pt-PT"/>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4a.</w:t>
            </w:r>
            <w:r>
              <w:rPr>
                <w:b/>
                <w:i/>
              </w:rPr>
              <w:tab/>
              <w:t>Če obstaja zaporedje zanašajočih se strank, posredniki ne pridobijo informacij o vsebini transakcije.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7.</w:t>
            </w:r>
            <w:r>
              <w:tab/>
            </w:r>
            <w:r>
              <w:rPr>
                <w:b/>
                <w:i/>
              </w:rPr>
              <w:t>Uporabnik ima popoln nadzor nad evropsko denarnico za digitalno identiteto.</w:t>
            </w:r>
            <w:r>
              <w:t xml:space="preserve"> </w:t>
            </w:r>
            <w:r>
              <w:rPr>
                <w:b/>
                <w:i/>
              </w:rPr>
              <w:t>Izdajatelj evropske denarnice za digitalno identiteto ne zbira informacij o uporabi denarnice, ki niso potrebne za zagotavljanje storitev denarnice, niti ne združuje identifikacijskih podatkov osebe in kakršnih koli drugih osebnih podatkov, ki se hranijo ali so povezani z uporabo</w:t>
            </w:r>
            <w:r>
              <w:t xml:space="preserve"> evropske denarnice za digitalno identiteto</w:t>
            </w:r>
            <w:r>
              <w:rPr>
                <w:b/>
                <w:i/>
              </w:rPr>
              <w:t>, z osebnimi podatki iz katerih koli drugih storitev, ki jih ponuja ta izdajatelj, ali iz storitev tretjih oseb, ki niso potrebni za zagotavljanje storitev denarnice, razen če uporabnik tega izrecno ne zahteva.</w:t>
            </w:r>
            <w:r>
              <w:t xml:space="preserve"> </w:t>
            </w:r>
            <w:r>
              <w:rPr>
                <w:b/>
                <w:i/>
              </w:rPr>
              <w:t>Osebni podatki v zvezi z zagotavljanjem evropskih denarnic za digitalno identiteto se hranijo fizično in logično ločeni od vseh drugih podatkov, ki se hranijo.</w:t>
            </w:r>
            <w:r>
              <w:t xml:space="preserve"> </w:t>
            </w:r>
            <w:r>
              <w:rPr>
                <w:b/>
                <w:i/>
              </w:rPr>
              <w:t>Če evropsko denarnico za digitalno identiteto zagotavljajo zasebne stranke v skladu z odstavkom 1(b) in (c), se smiselno uporabljajo določbe odstavka 4 člena 45f.</w:t>
            </w:r>
          </w:p>
        </w:tc>
        <w:tc>
          <w:tcPr>
            <w:tcW w:w="4876" w:type="dxa"/>
            <w:hideMark/>
          </w:tcPr>
          <w:p w:rsidR="0008167A" w:rsidRPr="00136C04" w:rsidRDefault="0075381D" w:rsidP="0008167A">
            <w:pPr>
              <w:pStyle w:val="Normal6"/>
              <w:rPr>
                <w:szCs w:val="24"/>
              </w:rPr>
            </w:pPr>
            <w:r>
              <w:t>7.</w:t>
            </w:r>
            <w:r>
              <w:tab/>
            </w:r>
            <w:r>
              <w:rPr>
                <w:b/>
                <w:i/>
              </w:rPr>
              <w:t>Za tehnični okvir evropske denarnice za digitalno identiteto veljajo naslednja načela:</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(a)</w:t>
            </w:r>
            <w:r>
              <w:t xml:space="preserve"> </w:t>
            </w:r>
            <w:r>
              <w:tab/>
            </w:r>
            <w:r>
              <w:rPr>
                <w:b/>
                <w:i/>
              </w:rPr>
              <w:t>Uporabnik ima popoln nadzor nad evropsko denarnico za digitalno identiteto in uporabnikovimi podatki ter samocertificiranjem.</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(b) </w:t>
            </w:r>
            <w:r>
              <w:tab/>
            </w:r>
            <w:r>
              <w:rPr>
                <w:b/>
                <w:i/>
              </w:rPr>
              <w:t>Evropska denarnica za digitalno identiteto uporablja decentralizirane elemente za arhitekturo identitete.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 xml:space="preserve">(c) </w:t>
            </w:r>
            <w:r>
              <w:tab/>
            </w:r>
            <w:r>
              <w:rPr>
                <w:b/>
                <w:i/>
              </w:rPr>
              <w:t>Sklop sredstev elektronske identifikacije, atributov in potrdil, ki jih vsebuje evropska denarnica za digitalno identiteto, se shranjuje varno in izključno na napravah, ki jih nadzoruje uporabnik, razen če prostovoljno privoli v shranjevanje na napravah tretjih oseb ali v možnost shranjevanja v oblaku.</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 xml:space="preserve">(d) </w:t>
            </w:r>
            <w:r>
              <w:tab/>
            </w:r>
            <w:r>
              <w:rPr>
                <w:b/>
                <w:i/>
              </w:rPr>
              <w:t>Evropska denarnica za digitalno identiteto zagotavlja kriptografsko preverljive poverilnice: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 xml:space="preserve">(e) </w:t>
            </w:r>
            <w:r>
              <w:tab/>
            </w:r>
            <w:r>
              <w:rPr>
                <w:b/>
                <w:i/>
              </w:rPr>
              <w:t>Evropska denarnica za digitalno identiteto omogoča varne povezave med uporabnikom in zanašajočimi strankami.</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 xml:space="preserve">(f) </w:t>
            </w:r>
            <w:r>
              <w:tab/>
            </w:r>
            <w:r>
              <w:rPr>
                <w:b/>
                <w:i/>
              </w:rPr>
              <w:t>Tehnična arhitektura evropske denarnice za digitalno identiteto izdajatelju evropske denarnice za digitalno identiteto, državi članici ali kateri koli drugi strani preprečuje zbiranje ali pridobitev sredstev elektronske identifikacije, atributov, elektronskih dokumentov, ki jih vsebuje evropska denarnica za digitalno identiteto, in informacij o uporabnikovi uporabi denarnice, razen če to zahteva uporabnik, ki uporablja naprave, ki so pod njegovim nadzorom. Izmenjava informacij prek evropske denarnice za digitalno identiteto ponudnikom elektronskih potrdil o atributih ne omogoča sledenja, povezovanja, soodvisnosti ali drugačnega poznavanja transakcij ali vedenja uporabnikov.</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(g) </w:t>
            </w:r>
            <w:r>
              <w:tab/>
            </w:r>
            <w:r>
              <w:rPr>
                <w:b/>
                <w:i/>
              </w:rPr>
              <w:t>Enolični in stalni identifikatorji zanašajočim se strankam ni dostopen, razen če se identifikacija uporabnika zahteva z unijskim ali nacionalnim pravom.</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(h) </w:t>
            </w:r>
            <w:r>
              <w:tab/>
            </w:r>
            <w:r>
              <w:rPr>
                <w:b/>
                <w:i/>
              </w:rPr>
              <w:t>Države članice poskrbijo, da so ustrezne informacije o evropski denarnici za digitalno identiteto javno dostopne.</w:t>
            </w:r>
          </w:p>
        </w:tc>
      </w:tr>
      <w:tr w:rsidR="004B0ABF" w:rsidTr="0008167A">
        <w:trPr>
          <w:jc w:val="center"/>
        </w:trPr>
        <w:tc>
          <w:tcPr>
            <w:tcW w:w="4876" w:type="dxa"/>
          </w:tcPr>
          <w:p w:rsidR="0008167A" w:rsidRPr="0075381D" w:rsidRDefault="0008167A" w:rsidP="0008167A">
            <w:pPr>
              <w:pStyle w:val="Normal6"/>
            </w:pPr>
          </w:p>
        </w:tc>
        <w:tc>
          <w:tcPr>
            <w:tcW w:w="4876" w:type="dxa"/>
          </w:tcPr>
          <w:p w:rsidR="0008167A" w:rsidRPr="00136C04" w:rsidRDefault="0075381D" w:rsidP="0008167A">
            <w:pPr>
              <w:pStyle w:val="Normal6"/>
              <w:rPr>
                <w:b/>
                <w:i/>
              </w:rPr>
            </w:pPr>
            <w:r>
              <w:rPr>
                <w:b/>
                <w:i/>
              </w:rPr>
              <w:t>(i)</w:t>
            </w:r>
            <w:r>
              <w:t xml:space="preserve"> </w:t>
            </w:r>
            <w:r>
              <w:tab/>
            </w:r>
            <w:r>
              <w:rPr>
                <w:b/>
                <w:i/>
              </w:rPr>
              <w:t>Osebni podatki v zvezi z zagotavljanjem evropskih denarnic za digitalno identiteto se hranijo fizično in logično ločeni od vseh drugih podatkov, ki se hranijo.</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(j)</w:t>
            </w:r>
            <w:r>
              <w:t xml:space="preserve"> </w:t>
            </w:r>
            <w:r>
              <w:tab/>
            </w:r>
            <w:r>
              <w:rPr>
                <w:b/>
                <w:i/>
              </w:rPr>
              <w:t>Če evropsko denarnico za digitalno identiteto zagotavljajo zasebne stranke v skladu z odstavkom 1(b) in (c), se smiselno uporabljajo določbe odstavka 4 člena 45f(4).</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(k)</w:t>
            </w:r>
            <w:r>
              <w:tab/>
            </w:r>
            <w:r>
              <w:rPr>
                <w:b/>
                <w:i/>
              </w:rPr>
              <w:t>Kadar za potrdilo o atributih identifikacija uporabnika ni potrebna, se opravi potrjevanje brez razkritja znanja.</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(l) </w:t>
            </w:r>
            <w:r>
              <w:tab/>
            </w:r>
            <w:r>
              <w:rPr>
                <w:b/>
                <w:i/>
              </w:rPr>
              <w:t>Izdajatelj evropske denarnice za digitalno identiteto je v zvezi z obdelavo osebnih podatkov v evropski denarnici za digitalno identiteto upravljavec za namene Uredbe (EU) 2016/679.</w:t>
            </w:r>
          </w:p>
        </w:tc>
      </w:tr>
      <w:tr w:rsidR="004B0ABF" w:rsidTr="0008167A">
        <w:trPr>
          <w:jc w:val="center"/>
        </w:trPr>
        <w:tc>
          <w:tcPr>
            <w:tcW w:w="4876" w:type="dxa"/>
          </w:tcPr>
          <w:p w:rsidR="0008167A" w:rsidRPr="0075381D" w:rsidRDefault="0008167A" w:rsidP="0008167A">
            <w:pPr>
              <w:pStyle w:val="Normal6"/>
            </w:pPr>
          </w:p>
        </w:tc>
        <w:tc>
          <w:tcPr>
            <w:tcW w:w="4876" w:type="dxa"/>
            <w:hideMark/>
          </w:tcPr>
          <w:p w:rsidR="0008167A" w:rsidRPr="00136C04" w:rsidRDefault="0075381D" w:rsidP="0008167A">
            <w:pPr>
              <w:pStyle w:val="Normal6"/>
              <w:rPr>
                <w:szCs w:val="24"/>
              </w:rPr>
            </w:pPr>
            <w:r>
              <w:rPr>
                <w:b/>
                <w:i/>
              </w:rPr>
              <w:t xml:space="preserve">(m) </w:t>
            </w:r>
            <w:r>
              <w:tab/>
            </w:r>
            <w:r>
              <w:rPr>
                <w:b/>
                <w:i/>
              </w:rPr>
              <w:t>Evropska denarnica za digitalno identiteto omogoča pritožbeni mehanizem, ki uporabnikom omogoča neposredno obveščanje nadzornega organa na podlagi te uredbe in nadzornih organov, ustanovljenih na podlagi Uredbe (EU) 2016/679, kadar zanašajoča se stranka zahteva nesorazmerno količino podatkov, kar ni v skladu z registrirano predvideno uporabo teh podatkov.</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7</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6a – odstavek 7 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rPr>
                <w:lang w:val="pt-PT"/>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7a.</w:t>
            </w:r>
            <w:r>
              <w:rPr>
                <w:b/>
                <w:i/>
              </w:rPr>
              <w:tab/>
              <w:t>Dostop fizičnih oseb do javnih in zasebnih storitev, spletnih platform v smislu Uredbe (EU) XXX/XXX [akt o digitalnih storitvah] ali trga dela ni pogojen z uporabo evropske denarnice za digitalno identiteto.</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Uporaba evropskih denarnic za digitalno identiteto je neobvezna, zagotovljena brezplačno in v nobenem primeru ne ponuja podlage za kakršno koli diskriminacijo.</w:t>
            </w:r>
          </w:p>
        </w:tc>
      </w:tr>
      <w:tr w:rsidR="004B0ABF" w:rsidTr="0008167A">
        <w:trPr>
          <w:jc w:val="center"/>
        </w:trPr>
        <w:tc>
          <w:tcPr>
            <w:tcW w:w="4876" w:type="dxa"/>
          </w:tcPr>
          <w:p w:rsidR="0008167A" w:rsidRPr="00136C04" w:rsidRDefault="0008167A" w:rsidP="0008167A">
            <w:pPr>
              <w:pStyle w:val="Normal6"/>
              <w:rPr>
                <w:lang w:val="en-GB"/>
              </w:rPr>
            </w:pPr>
          </w:p>
        </w:tc>
        <w:tc>
          <w:tcPr>
            <w:tcW w:w="4876" w:type="dxa"/>
            <w:hideMark/>
          </w:tcPr>
          <w:p w:rsidR="0008167A" w:rsidRPr="00136C04" w:rsidRDefault="0075381D" w:rsidP="0008167A">
            <w:pPr>
              <w:pStyle w:val="Normal6"/>
              <w:rPr>
                <w:szCs w:val="24"/>
              </w:rPr>
            </w:pPr>
            <w:r>
              <w:rPr>
                <w:b/>
                <w:i/>
              </w:rPr>
              <w:t>Fizične osebe niso prikrajšane zaradi neuporabe evropske denarnice za digitalno identiteto.</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12</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11a – naslov</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BE"/>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rPr>
                <w:b/>
                <w:i/>
              </w:rPr>
              <w:t>Enolična identifikacija</w:t>
            </w:r>
          </w:p>
        </w:tc>
        <w:tc>
          <w:tcPr>
            <w:tcW w:w="4876" w:type="dxa"/>
            <w:hideMark/>
          </w:tcPr>
          <w:p w:rsidR="0008167A" w:rsidRPr="00136C04" w:rsidRDefault="0075381D" w:rsidP="0008167A">
            <w:pPr>
              <w:pStyle w:val="Normal6"/>
              <w:rPr>
                <w:szCs w:val="24"/>
              </w:rPr>
            </w:pPr>
            <w:r>
              <w:rPr>
                <w:b/>
                <w:i/>
              </w:rPr>
              <w:t>Ujemanje identitete</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6127FB" w:rsidRDefault="0075381D" w:rsidP="0008167A">
      <w:pPr>
        <w:pStyle w:val="NormalBold"/>
      </w:pPr>
      <w:r>
        <w:rPr>
          <w:rStyle w:val="HideTWBExt"/>
          <w:b w:val="0"/>
        </w:rPr>
        <w:t>&lt;Article&gt;</w:t>
      </w:r>
      <w:r>
        <w:t>Člen 1 – odstavek 1 – točka 12</w:t>
      </w:r>
      <w:r>
        <w:rPr>
          <w:rStyle w:val="HideTWBExt"/>
          <w:b w:val="0"/>
        </w:rPr>
        <w:t>&lt;/Article&gt;</w:t>
      </w:r>
    </w:p>
    <w:p w:rsidR="0008167A" w:rsidRPr="006127FB"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11a – odstavek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1.</w:t>
            </w:r>
            <w:r>
              <w:tab/>
              <w:t xml:space="preserve">Če se priglašena sredstva elektronske identifikacije in evropske denarnice za digitalno identiteto uporabljajo za </w:t>
            </w:r>
            <w:r>
              <w:rPr>
                <w:b/>
                <w:i/>
              </w:rPr>
              <w:t>avtentikacijo</w:t>
            </w:r>
            <w:r>
              <w:t xml:space="preserve">, države članice zagotovijo </w:t>
            </w:r>
            <w:r>
              <w:rPr>
                <w:b/>
                <w:i/>
              </w:rPr>
              <w:t>enolično identifikacijo</w:t>
            </w:r>
            <w:r>
              <w:t>.</w:t>
            </w:r>
          </w:p>
        </w:tc>
        <w:tc>
          <w:tcPr>
            <w:tcW w:w="4876" w:type="dxa"/>
            <w:hideMark/>
          </w:tcPr>
          <w:p w:rsidR="0008167A" w:rsidRPr="00136C04" w:rsidRDefault="0075381D" w:rsidP="0008167A">
            <w:pPr>
              <w:pStyle w:val="Normal6"/>
              <w:rPr>
                <w:szCs w:val="24"/>
              </w:rPr>
            </w:pPr>
            <w:r>
              <w:t>1.</w:t>
            </w:r>
            <w:r>
              <w:tab/>
              <w:t xml:space="preserve">Če se priglašena sredstva elektronske identifikacije in evropske denarnice za digitalno identiteto uporabljajo za </w:t>
            </w:r>
            <w:r>
              <w:rPr>
                <w:b/>
                <w:i/>
              </w:rPr>
              <w:t>elektronsko identifikacijo</w:t>
            </w:r>
            <w:r>
              <w:t xml:space="preserve">, države članice zagotovijo </w:t>
            </w:r>
            <w:r>
              <w:rPr>
                <w:b/>
                <w:i/>
              </w:rPr>
              <w:t>ujemanje identitete</w:t>
            </w:r>
            <w:r>
              <w:t>.</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12</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11a – odstavek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136C04" w:rsidRDefault="0008167A" w:rsidP="0008167A">
            <w:pPr>
              <w:keepNext/>
              <w:rPr>
                <w:lang w:val="fr-FR"/>
              </w:rPr>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2.</w:t>
            </w:r>
            <w:r>
              <w:tab/>
            </w:r>
            <w:r>
              <w:rPr>
                <w:b/>
                <w:i/>
              </w:rPr>
              <w:t>Države</w:t>
            </w:r>
            <w:r>
              <w:t xml:space="preserve"> članice za </w:t>
            </w:r>
            <w:r>
              <w:rPr>
                <w:b/>
                <w:i/>
              </w:rPr>
              <w:t>namene te uredbe v minimalni niz</w:t>
            </w:r>
            <w:r>
              <w:t xml:space="preserve"> identifikacijskih podatkov osebe iz člena</w:t>
            </w:r>
            <w:r>
              <w:rPr>
                <w:b/>
                <w:i/>
              </w:rPr>
              <w:t> </w:t>
            </w:r>
            <w:r>
              <w:t>12</w:t>
            </w:r>
            <w:r>
              <w:rPr>
                <w:b/>
                <w:i/>
              </w:rPr>
              <w:t>.</w:t>
            </w:r>
            <w:r>
              <w:t>4(d)</w:t>
            </w:r>
            <w:r>
              <w:rPr>
                <w:b/>
                <w:i/>
              </w:rPr>
              <w:t xml:space="preserve"> v skladu s pravom Unije vključijo</w:t>
            </w:r>
            <w:r>
              <w:t xml:space="preserve"> enolični in stalni </w:t>
            </w:r>
            <w:r>
              <w:rPr>
                <w:b/>
                <w:i/>
              </w:rPr>
              <w:t>identifikator</w:t>
            </w:r>
            <w:r>
              <w:t xml:space="preserve"> za </w:t>
            </w:r>
            <w:r>
              <w:rPr>
                <w:b/>
                <w:i/>
              </w:rPr>
              <w:t>identifikacijo uporabnika na njegovo zahtevo v primerih</w:t>
            </w:r>
            <w:r>
              <w:t xml:space="preserve">, </w:t>
            </w:r>
            <w:r>
              <w:rPr>
                <w:b/>
                <w:i/>
              </w:rPr>
              <w:t>ko se identifikacija</w:t>
            </w:r>
            <w:r>
              <w:t xml:space="preserve"> uporabnika </w:t>
            </w:r>
            <w:r>
              <w:rPr>
                <w:b/>
                <w:i/>
              </w:rPr>
              <w:t>zahteva z zakonom</w:t>
            </w:r>
            <w:r>
              <w:t>.</w:t>
            </w:r>
          </w:p>
        </w:tc>
        <w:tc>
          <w:tcPr>
            <w:tcW w:w="4876" w:type="dxa"/>
            <w:hideMark/>
          </w:tcPr>
          <w:p w:rsidR="0008167A" w:rsidRPr="00136C04" w:rsidRDefault="0075381D" w:rsidP="0008167A">
            <w:pPr>
              <w:pStyle w:val="Normal6"/>
              <w:rPr>
                <w:szCs w:val="24"/>
              </w:rPr>
            </w:pPr>
            <w:r>
              <w:t>2.</w:t>
            </w:r>
            <w:r>
              <w:tab/>
            </w:r>
            <w:r>
              <w:rPr>
                <w:b/>
                <w:i/>
              </w:rPr>
              <w:t>Za identifikacijo uporabnika na njegovo zahtevo v primerih, ko se identifikacija uporabnika zahteva z zakonom, se zagotovijo enolični in stalni identifikatorji, ki jih izdajo države</w:t>
            </w:r>
            <w:r>
              <w:t xml:space="preserve"> članice </w:t>
            </w:r>
            <w:r>
              <w:rPr>
                <w:b/>
                <w:i/>
              </w:rPr>
              <w:t xml:space="preserve">ali ustvarijo evropske denarnice </w:t>
            </w:r>
            <w:r>
              <w:t xml:space="preserve">za </w:t>
            </w:r>
            <w:r>
              <w:rPr>
                <w:b/>
                <w:i/>
              </w:rPr>
              <w:t>digitalno identiteto, skupaj z minimalnim nizom</w:t>
            </w:r>
            <w:r>
              <w:t xml:space="preserve"> identifikacijskih podatkov osebe iz člena</w:t>
            </w:r>
            <w:r>
              <w:rPr>
                <w:b/>
                <w:i/>
              </w:rPr>
              <w:t xml:space="preserve"> </w:t>
            </w:r>
            <w:r>
              <w:t>12</w:t>
            </w:r>
            <w:r>
              <w:rPr>
                <w:b/>
                <w:i/>
              </w:rPr>
              <w:t>(</w:t>
            </w:r>
            <w:r>
              <w:t>4</w:t>
            </w:r>
            <w:r>
              <w:rPr>
                <w:b/>
                <w:i/>
              </w:rPr>
              <w:t xml:space="preserve">), točka </w:t>
            </w:r>
            <w:r>
              <w:t>(d)</w:t>
            </w:r>
            <w:r>
              <w:rPr>
                <w:b/>
                <w:i/>
              </w:rPr>
              <w:t>.</w:t>
            </w:r>
            <w:r>
              <w:t xml:space="preserve"> </w:t>
            </w:r>
            <w:r>
              <w:rPr>
                <w:b/>
                <w:i/>
              </w:rPr>
              <w:t>Države članice lahko zahtevajo, da so enolični in stalni identifikatorji značilni za posamezne sektorje ali zanašajoče se stranke, če enolično identificirajo uporabnika po vsej Uniji.</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13 – točka b</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12 – odstavek 4 – točka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(d)</w:t>
            </w:r>
            <w:r>
              <w:tab/>
              <w:t xml:space="preserve">sklicevanje na </w:t>
            </w:r>
            <w:r>
              <w:rPr>
                <w:b/>
                <w:i/>
              </w:rPr>
              <w:t xml:space="preserve">minimalni </w:t>
            </w:r>
            <w:r>
              <w:t xml:space="preserve">niz identifikacijskih podatkov osebe, ki so potrebni za enolično </w:t>
            </w:r>
            <w:r>
              <w:rPr>
                <w:b/>
                <w:i/>
              </w:rPr>
              <w:t xml:space="preserve">in stalno </w:t>
            </w:r>
            <w:r>
              <w:t>predstavljanje fizične ali pravne osebe;“;</w:t>
            </w:r>
          </w:p>
        </w:tc>
        <w:tc>
          <w:tcPr>
            <w:tcW w:w="4876" w:type="dxa"/>
            <w:hideMark/>
          </w:tcPr>
          <w:p w:rsidR="0008167A" w:rsidRPr="00136C04" w:rsidRDefault="0075381D" w:rsidP="0008167A">
            <w:pPr>
              <w:pStyle w:val="Normal6"/>
              <w:rPr>
                <w:szCs w:val="24"/>
              </w:rPr>
            </w:pPr>
            <w:r>
              <w:t>(d)</w:t>
            </w:r>
            <w:r>
              <w:tab/>
              <w:t>sklicevanje na niz identifikacijskih podatkov osebe, ki so potrebni za enolično predstavljanje fizične ali pravne osebe</w:t>
            </w:r>
            <w:r>
              <w:rPr>
                <w:b/>
                <w:i/>
              </w:rPr>
              <w:t xml:space="preserve"> in so dostopni v okviru shem elektronske identifikacije</w:t>
            </w:r>
            <w:r>
              <w:t>;“;</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20 – točka a – točka 2</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17 – odstavek 4 – točka f</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t>(f)</w:t>
            </w:r>
            <w:r>
              <w:tab/>
              <w:t>sodelovanje z nadzornimi organi, ustanovljenimi v skladu z Uredbo (EU) 2016/679, zlasti obveščanje teh organov o rezultatih revizij ponudnikov kvalificiranih storitev zaupanja brez nepotrebnega odlašanja, kadar so bila kršena pravila o varstvu osebnih podatkov, in o kršitvah varnosti, ki pomenijo kršitve varnosti osebnih podatkov</w:t>
            </w:r>
            <w:r>
              <w:rPr>
                <w:b/>
                <w:i/>
              </w:rPr>
              <w:t>;“;</w:t>
            </w:r>
          </w:p>
        </w:tc>
        <w:tc>
          <w:tcPr>
            <w:tcW w:w="4876" w:type="dxa"/>
            <w:hideMark/>
          </w:tcPr>
          <w:p w:rsidR="0008167A" w:rsidRPr="00136C04" w:rsidRDefault="0075381D" w:rsidP="0008167A">
            <w:pPr>
              <w:pStyle w:val="Normal6"/>
              <w:rPr>
                <w:szCs w:val="24"/>
              </w:rPr>
            </w:pPr>
            <w:r>
              <w:t>(f)</w:t>
            </w:r>
            <w:r>
              <w:tab/>
              <w:t xml:space="preserve">sodelovanje z nadzornimi organi, ustanovljenimi v skladu z Uredbo (EU) 2016/679, zlasti obveščanje teh organov o rezultatih revizij ponudnikov kvalificiranih storitev zaupanja brez nepotrebnega odlašanja, kadar </w:t>
            </w:r>
            <w:r>
              <w:rPr>
                <w:b/>
                <w:i/>
              </w:rPr>
              <w:t xml:space="preserve">obstajajo dokazi, da </w:t>
            </w:r>
            <w:r>
              <w:t xml:space="preserve">so bila kršena pravila o varstvu osebnih podatkov, in o kršitvah varnosti, ki </w:t>
            </w:r>
            <w:r>
              <w:rPr>
                <w:b/>
                <w:i/>
              </w:rPr>
              <w:t xml:space="preserve">verjetno </w:t>
            </w:r>
            <w:r>
              <w:t>pomenijo kršitve varnosti osebnih podatkov</w:t>
            </w:r>
            <w:r>
              <w:rPr>
                <w:b/>
                <w:i/>
              </w:rPr>
              <w:t xml:space="preserve"> ali o sumu kršitev, do katerega je prišlo med opravljanjem nalog, brez poseganja v Uredbo (EU) 2016/679.</w:t>
            </w:r>
          </w:p>
        </w:tc>
      </w:tr>
    </w:tbl>
    <w:p w:rsidR="0008167A" w:rsidRPr="00136C04" w:rsidRDefault="0075381D" w:rsidP="0008167A">
      <w:r>
        <w:rPr>
          <w:rStyle w:val="HideTWBExt"/>
        </w:rPr>
        <w:t>&lt;/Amend&gt;</w:t>
      </w:r>
    </w:p>
    <w:p w:rsidR="0008167A" w:rsidRPr="00136C04" w:rsidRDefault="0075381D" w:rsidP="0008167A">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08167A" w:rsidRPr="00136C04" w:rsidRDefault="0008167A" w:rsidP="0008167A"/>
    <w:p w:rsidR="0008167A" w:rsidRPr="00136C04" w:rsidRDefault="0075381D" w:rsidP="0008167A">
      <w:pPr>
        <w:pStyle w:val="NormalBold"/>
        <w:keepNext/>
      </w:pPr>
      <w:r>
        <w:rPr>
          <w:rStyle w:val="HideTWBExt"/>
          <w:b w:val="0"/>
        </w:rPr>
        <w:t>&lt;DocAmend&gt;</w:t>
      </w:r>
      <w:r>
        <w:t>Predlog uredbe</w:t>
      </w:r>
      <w:r>
        <w:rPr>
          <w:rStyle w:val="HideTWBExt"/>
          <w:b w:val="0"/>
        </w:rPr>
        <w:t>&lt;/DocAmend&gt;</w:t>
      </w:r>
    </w:p>
    <w:p w:rsidR="0008167A" w:rsidRPr="00136C04" w:rsidRDefault="0075381D" w:rsidP="0008167A">
      <w:pPr>
        <w:pStyle w:val="NormalBold"/>
      </w:pPr>
      <w:r>
        <w:rPr>
          <w:rStyle w:val="HideTWBExt"/>
          <w:b w:val="0"/>
        </w:rPr>
        <w:t>&lt;Article&gt;</w:t>
      </w:r>
      <w:r>
        <w:t>Člen 1 – odstavek 1 – točka 22 – točka b</w:t>
      </w:r>
      <w:r>
        <w:rPr>
          <w:rStyle w:val="HideTWBExt"/>
          <w:b w:val="0"/>
        </w:rPr>
        <w:t>&lt;/Article&gt;</w:t>
      </w:r>
    </w:p>
    <w:p w:rsidR="0008167A" w:rsidRPr="00136C04" w:rsidRDefault="0075381D" w:rsidP="0008167A">
      <w:pPr>
        <w:keepNext/>
      </w:pPr>
      <w:r>
        <w:rPr>
          <w:rStyle w:val="HideTWBExt"/>
        </w:rPr>
        <w:t>&lt;DocAmend2&gt;</w:t>
      </w:r>
      <w:r>
        <w:t>Uredba (EU) št. 910/2014</w:t>
      </w:r>
      <w:r>
        <w:rPr>
          <w:rStyle w:val="HideTWBExt"/>
        </w:rPr>
        <w:t>&lt;/DocAmend2&gt;</w:t>
      </w:r>
    </w:p>
    <w:p w:rsidR="0008167A" w:rsidRPr="00136C04" w:rsidRDefault="0075381D" w:rsidP="0008167A">
      <w:r>
        <w:rPr>
          <w:rStyle w:val="HideTWBExt"/>
        </w:rPr>
        <w:t>&lt;Article2&gt;</w:t>
      </w:r>
      <w:r>
        <w:t>Člen 20 – odstavek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ABF" w:rsidTr="0008167A">
        <w:trPr>
          <w:jc w:val="center"/>
        </w:trPr>
        <w:tc>
          <w:tcPr>
            <w:tcW w:w="9752" w:type="dxa"/>
            <w:gridSpan w:val="2"/>
          </w:tcPr>
          <w:p w:rsidR="0008167A" w:rsidRPr="0075381D" w:rsidRDefault="0008167A" w:rsidP="0008167A">
            <w:pPr>
              <w:keepNext/>
            </w:pPr>
          </w:p>
        </w:tc>
      </w:tr>
      <w:tr w:rsidR="004B0ABF" w:rsidTr="0008167A">
        <w:trPr>
          <w:jc w:val="center"/>
        </w:trPr>
        <w:tc>
          <w:tcPr>
            <w:tcW w:w="4876" w:type="dxa"/>
            <w:hideMark/>
          </w:tcPr>
          <w:p w:rsidR="0008167A" w:rsidRPr="00136C04" w:rsidRDefault="0075381D" w:rsidP="0008167A">
            <w:pPr>
              <w:pStyle w:val="ColumnHeading"/>
              <w:keepNext/>
            </w:pPr>
            <w:r>
              <w:t>Besedilo, ki ga predlaga Komisija</w:t>
            </w:r>
          </w:p>
        </w:tc>
        <w:tc>
          <w:tcPr>
            <w:tcW w:w="4876" w:type="dxa"/>
            <w:hideMark/>
          </w:tcPr>
          <w:p w:rsidR="0008167A" w:rsidRPr="00136C04" w:rsidRDefault="0075381D" w:rsidP="0008167A">
            <w:pPr>
              <w:pStyle w:val="ColumnHeading"/>
              <w:keepNext/>
            </w:pPr>
            <w:r>
              <w:t>Predlog spremembe</w:t>
            </w:r>
          </w:p>
        </w:tc>
      </w:tr>
      <w:tr w:rsidR="004B0ABF" w:rsidTr="0008167A">
        <w:trPr>
          <w:jc w:val="center"/>
        </w:trPr>
        <w:tc>
          <w:tcPr>
            <w:tcW w:w="4876" w:type="dxa"/>
            <w:hideMark/>
          </w:tcPr>
          <w:p w:rsidR="0008167A" w:rsidRPr="00136C04" w:rsidRDefault="0075381D" w:rsidP="0008167A">
            <w:pPr>
              <w:pStyle w:val="Normal6"/>
            </w:pPr>
            <w:r>
              <w:rPr>
                <w:b/>
                <w:i/>
              </w:rPr>
              <w:t>„V primeru</w:t>
            </w:r>
            <w:r>
              <w:t xml:space="preserve">, da </w:t>
            </w:r>
            <w:r>
              <w:rPr>
                <w:b/>
                <w:i/>
              </w:rPr>
              <w:t>so</w:t>
            </w:r>
            <w:r>
              <w:t xml:space="preserve"> bila pravila o varstvu </w:t>
            </w:r>
            <w:r>
              <w:rPr>
                <w:b/>
                <w:i/>
              </w:rPr>
              <w:t xml:space="preserve">osebnih </w:t>
            </w:r>
            <w:r>
              <w:t>podatkov</w:t>
            </w:r>
            <w:r>
              <w:rPr>
                <w:b/>
                <w:i/>
              </w:rPr>
              <w:t xml:space="preserve"> kršena, nadzorni organ</w:t>
            </w:r>
            <w:r>
              <w:t xml:space="preserve"> obvesti nadzorne organe iz Uredbe</w:t>
            </w:r>
            <w:r>
              <w:rPr>
                <w:b/>
                <w:i/>
              </w:rPr>
              <w:t> </w:t>
            </w:r>
            <w:r>
              <w:t>(EU) 2016/679</w:t>
            </w:r>
            <w:r>
              <w:rPr>
                <w:b/>
                <w:i/>
              </w:rPr>
              <w:t xml:space="preserve"> o rezultatih</w:t>
            </w:r>
            <w:r>
              <w:t xml:space="preserve"> svojih revizij.</w:t>
            </w:r>
            <w:r>
              <w:rPr>
                <w:b/>
                <w:i/>
              </w:rPr>
              <w:t>“</w:t>
            </w:r>
            <w:r>
              <w:t>;</w:t>
            </w:r>
          </w:p>
        </w:tc>
        <w:tc>
          <w:tcPr>
            <w:tcW w:w="4876" w:type="dxa"/>
            <w:hideMark/>
          </w:tcPr>
          <w:p w:rsidR="0008167A" w:rsidRPr="00136C04" w:rsidRDefault="0075381D" w:rsidP="0008167A">
            <w:pPr>
              <w:pStyle w:val="Normal6"/>
              <w:rPr>
                <w:szCs w:val="24"/>
              </w:rPr>
            </w:pPr>
            <w:r>
              <w:rPr>
                <w:b/>
                <w:i/>
              </w:rPr>
              <w:t>Brez poseganja v kakršne koli dodatne obveznosti upravljavcev ali obdelovalcev podatkov, ki izhajajo iz Uredbe (EU) 2016/679, nadzorni organ, kadar obstaja razlog za domnevo</w:t>
            </w:r>
            <w:r>
              <w:t xml:space="preserve">, da </w:t>
            </w:r>
            <w:r>
              <w:rPr>
                <w:b/>
                <w:i/>
              </w:rPr>
              <w:t>bi lahko</w:t>
            </w:r>
            <w:r>
              <w:t xml:space="preserve"> bila</w:t>
            </w:r>
            <w:r>
              <w:rPr>
                <w:b/>
                <w:i/>
              </w:rPr>
              <w:t xml:space="preserve"> kršena</w:t>
            </w:r>
            <w:r>
              <w:t xml:space="preserve"> pravila o varstvu podatkov</w:t>
            </w:r>
            <w:r>
              <w:rPr>
                <w:b/>
                <w:i/>
              </w:rPr>
              <w:t>, brez nepotrebnega odlašanja</w:t>
            </w:r>
            <w:r>
              <w:t xml:space="preserve"> obvesti nadzorne organe iz Uredbe</w:t>
            </w:r>
            <w:r>
              <w:rPr>
                <w:b/>
                <w:i/>
              </w:rPr>
              <w:t xml:space="preserve"> </w:t>
            </w:r>
            <w:r>
              <w:t>(EU) 2016/679</w:t>
            </w:r>
            <w:r>
              <w:rPr>
                <w:b/>
                <w:i/>
              </w:rPr>
              <w:t>, izdajatelja in upravljavca evropske denarnice za digitalno identiteto ter rezultate</w:t>
            </w:r>
            <w:r>
              <w:t xml:space="preserve"> svojih revizij</w:t>
            </w:r>
            <w:r>
              <w:rPr>
                <w:b/>
                <w:i/>
              </w:rPr>
              <w:t xml:space="preserve"> predloži takoj, ko so na voljo</w:t>
            </w:r>
            <w:r>
              <w:t>.;</w:t>
            </w:r>
          </w:p>
        </w:tc>
      </w:tr>
    </w:tbl>
    <w:p w:rsidR="00A96D64" w:rsidRPr="00A96D64" w:rsidRDefault="0075381D" w:rsidP="0008167A">
      <w:r>
        <w:rPr>
          <w:rStyle w:val="HideTWBExt"/>
        </w:rPr>
        <w:t>&lt;/Amend&gt;</w:t>
      </w:r>
    </w:p>
    <w:p w:rsidR="00A96D64" w:rsidRPr="00A96D64" w:rsidRDefault="0075381D">
      <w:pPr>
        <w:widowControl/>
      </w:pPr>
      <w:r>
        <w:rPr>
          <w:rStyle w:val="HideTWBExt"/>
        </w:rPr>
        <w:br w:type="page"/>
      </w:r>
    </w:p>
    <w:p w:rsidR="0008167A" w:rsidRPr="00136C04" w:rsidRDefault="0008167A" w:rsidP="0008167A"/>
    <w:p w:rsidR="0008167A" w:rsidRPr="00A96D64" w:rsidRDefault="0075381D" w:rsidP="0008167A">
      <w:pPr>
        <w:widowControl/>
      </w:pPr>
      <w:r>
        <w:rPr>
          <w:rStyle w:val="HideTWBExt"/>
        </w:rPr>
        <w:t>&lt;/RepeatBlock-Amend&gt;</w:t>
      </w:r>
    </w:p>
    <w:p w:rsidR="00EF32F6" w:rsidRPr="00A96D64" w:rsidRDefault="00EF32F6" w:rsidP="00EF32F6">
      <w:pPr>
        <w:pStyle w:val="AmNumberTabs"/>
        <w:keepNext/>
      </w:pPr>
    </w:p>
    <w:p w:rsidR="00EF32F6" w:rsidRPr="0008167A" w:rsidRDefault="00EF32F6" w:rsidP="00EF32F6">
      <w:pPr>
        <w:widowControl/>
        <w:rPr>
          <w:rStyle w:val="HideTWBExt"/>
        </w:rPr>
        <w:sectPr w:rsidR="00EF32F6" w:rsidRPr="0008167A" w:rsidSect="000816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F32F6" w:rsidRPr="00EF32F6" w:rsidRDefault="0075381D" w:rsidP="002B2C72">
      <w:pPr>
        <w:pStyle w:val="PageHeadingNotTOC"/>
      </w:pPr>
      <w:bookmarkStart w:id="2" w:name="FootprintPageAD"/>
      <w:r>
        <w:t>PRILOGA: SEZNAM SUBJEKTOV ALI OSEB,</w:t>
      </w:r>
      <w:r>
        <w:br/>
        <w:t>OD KATERIH JE PRIPRAVLJAVEC MNENJA PREJEL PRISPEVEK</w:t>
      </w:r>
    </w:p>
    <w:p w:rsidR="00EF32F6" w:rsidRPr="00EF32F6" w:rsidRDefault="0075381D" w:rsidP="00037518">
      <w:pPr>
        <w:pStyle w:val="Normal24a"/>
      </w:pPr>
      <w:r>
        <w:rPr>
          <w:rStyle w:val="HideTWBExt"/>
        </w:rPr>
        <w:t>&lt;FootprintIntro&gt;</w:t>
      </w:r>
      <w:r>
        <w:t>Priprava tega seznama je povsem prostovoljna in je v izključni pristojnosti pripravljavca mnenja. Pripravljavec mnenja je pri pripravi mnenja do njegovega sprejetja v odboru prejel prispevke od naslednjih subjektov ali oseb:</w:t>
      </w:r>
      <w:r>
        <w:rPr>
          <w:rStyle w:val="HideTWBExt"/>
        </w:rPr>
        <w:t>&lt;/FootprintIntro&gt;</w:t>
      </w:r>
    </w:p>
    <w:tbl>
      <w:tblPr>
        <w:tblW w:w="0" w:type="auto"/>
        <w:tblLook w:val="04A0" w:firstRow="1" w:lastRow="0" w:firstColumn="1" w:lastColumn="0" w:noHBand="0" w:noVBand="1"/>
      </w:tblPr>
      <w:tblGrid>
        <w:gridCol w:w="9070"/>
      </w:tblGrid>
      <w:tr w:rsidR="004B0ABF" w:rsidTr="00EF32F6">
        <w:tc>
          <w:tcPr>
            <w:tcW w:w="9286" w:type="dxa"/>
            <w:shd w:val="clear" w:color="auto" w:fill="auto"/>
          </w:tcPr>
          <w:p w:rsidR="00EF32F6" w:rsidRPr="00EF32F6" w:rsidRDefault="0075381D" w:rsidP="00F42F07">
            <w:pPr>
              <w:pStyle w:val="NormalBoldCenter"/>
            </w:pPr>
            <w:r>
              <w:t>Subjekt in/ali oseba</w:t>
            </w:r>
          </w:p>
        </w:tc>
      </w:tr>
      <w:tr w:rsidR="004B0ABF" w:rsidTr="00EF32F6">
        <w:tc>
          <w:tcPr>
            <w:tcW w:w="9286" w:type="dxa"/>
            <w:shd w:val="clear" w:color="auto" w:fill="auto"/>
          </w:tcPr>
          <w:p w:rsidR="00EF32F6" w:rsidRPr="00EF32F6" w:rsidRDefault="0075381D" w:rsidP="00EF32F6">
            <w:pPr>
              <w:spacing w:before="240" w:after="240"/>
              <w:ind w:left="720" w:hanging="360"/>
              <w:rPr>
                <w:sz w:val="23"/>
                <w:szCs w:val="23"/>
              </w:rPr>
            </w:pPr>
            <w:r>
              <w:rPr>
                <w:sz w:val="23"/>
              </w:rPr>
              <w:t>1.</w:t>
            </w:r>
            <w:r>
              <w:rPr>
                <w:sz w:val="23"/>
              </w:rPr>
              <w:tab/>
              <w:t>European Commission DG CNECT</w:t>
            </w:r>
          </w:p>
          <w:p w:rsidR="00EF32F6" w:rsidRPr="00EF32F6" w:rsidRDefault="0075381D" w:rsidP="00EF32F6">
            <w:pPr>
              <w:ind w:left="720" w:hanging="360"/>
              <w:rPr>
                <w:i/>
                <w:sz w:val="23"/>
                <w:szCs w:val="23"/>
              </w:rPr>
            </w:pPr>
            <w:r>
              <w:rPr>
                <w:i/>
                <w:sz w:val="23"/>
              </w:rPr>
              <w:t>2.</w:t>
            </w:r>
            <w:r>
              <w:rPr>
                <w:i/>
                <w:sz w:val="23"/>
              </w:rPr>
              <w:tab/>
            </w:r>
            <w:r>
              <w:rPr>
                <w:sz w:val="23"/>
              </w:rPr>
              <w:t xml:space="preserve">The European Data Protection Supervisor </w:t>
            </w:r>
          </w:p>
          <w:p w:rsidR="00EF32F6" w:rsidRPr="00EF32F6" w:rsidRDefault="0075381D" w:rsidP="00EF32F6">
            <w:pPr>
              <w:ind w:left="720" w:hanging="360"/>
              <w:rPr>
                <w:sz w:val="23"/>
                <w:szCs w:val="23"/>
              </w:rPr>
            </w:pPr>
            <w:r>
              <w:rPr>
                <w:sz w:val="23"/>
              </w:rPr>
              <w:t>3.</w:t>
            </w:r>
            <w:r>
              <w:rPr>
                <w:sz w:val="23"/>
              </w:rPr>
              <w:tab/>
              <w:t xml:space="preserve">Brussels Privacy Hub, </w:t>
            </w:r>
            <w:r>
              <w:rPr>
                <w:i/>
                <w:sz w:val="23"/>
              </w:rPr>
              <w:t>THE EUROPEAN COMMISSION PROPOSAL AMENDING THE eIDAS REGULATION (EU) No 910/2014: A PERSONAL DATA PROTECTION PERSPECTIVE</w:t>
            </w:r>
          </w:p>
          <w:p w:rsidR="00EF32F6" w:rsidRPr="00EF32F6" w:rsidRDefault="0075381D" w:rsidP="00EF32F6">
            <w:pPr>
              <w:ind w:left="720" w:hanging="360"/>
              <w:rPr>
                <w:sz w:val="23"/>
                <w:szCs w:val="23"/>
              </w:rPr>
            </w:pPr>
            <w:r>
              <w:rPr>
                <w:sz w:val="23"/>
              </w:rPr>
              <w:t>4.</w:t>
            </w:r>
            <w:r>
              <w:rPr>
                <w:sz w:val="23"/>
              </w:rPr>
              <w:tab/>
              <w:t xml:space="preserve">Professor Ricardo Genghini, Chairman of the European Standardization Committee E-Signature and Infrastructures (ESI) within the European Telecommunications Standards Institute (ETSI) </w:t>
            </w:r>
            <w:r>
              <w:rPr>
                <w:i/>
                <w:sz w:val="23"/>
              </w:rPr>
              <w:t>- Notes on the current draft of eIDAS Revision Proposal</w:t>
            </w:r>
          </w:p>
          <w:p w:rsidR="00EF32F6" w:rsidRPr="00EF32F6" w:rsidRDefault="0075381D" w:rsidP="00EF32F6">
            <w:pPr>
              <w:ind w:left="720" w:hanging="360"/>
              <w:rPr>
                <w:sz w:val="23"/>
                <w:szCs w:val="23"/>
              </w:rPr>
            </w:pPr>
            <w:r>
              <w:rPr>
                <w:sz w:val="23"/>
              </w:rPr>
              <w:t>5.</w:t>
            </w:r>
            <w:r>
              <w:rPr>
                <w:sz w:val="23"/>
              </w:rPr>
              <w:tab/>
              <w:t xml:space="preserve">epicenter.works &amp; European Digital Rights (EDRI) </w:t>
            </w:r>
          </w:p>
          <w:p w:rsidR="00EF32F6" w:rsidRPr="00EF32F6" w:rsidRDefault="0075381D" w:rsidP="00EF32F6">
            <w:pPr>
              <w:ind w:left="720" w:hanging="360"/>
              <w:rPr>
                <w:sz w:val="23"/>
                <w:szCs w:val="23"/>
              </w:rPr>
            </w:pPr>
            <w:r>
              <w:rPr>
                <w:sz w:val="23"/>
              </w:rPr>
              <w:t>6.</w:t>
            </w:r>
            <w:r>
              <w:rPr>
                <w:sz w:val="23"/>
              </w:rPr>
              <w:tab/>
              <w:t>Luukas Ilves, Deputy Secretary General of the Estonian Ministry of Economic Affairs and Communications for Digital Development</w:t>
            </w:r>
          </w:p>
          <w:p w:rsidR="00EF32F6" w:rsidRPr="00EF32F6" w:rsidRDefault="0075381D" w:rsidP="00EF32F6">
            <w:pPr>
              <w:ind w:left="720" w:hanging="360"/>
              <w:rPr>
                <w:sz w:val="23"/>
                <w:szCs w:val="23"/>
              </w:rPr>
            </w:pPr>
            <w:r>
              <w:rPr>
                <w:sz w:val="23"/>
              </w:rPr>
              <w:t>7.</w:t>
            </w:r>
            <w:r>
              <w:rPr>
                <w:sz w:val="23"/>
              </w:rPr>
              <w:tab/>
              <w:t xml:space="preserve">European Consumer Organisation (BEUC) - </w:t>
            </w:r>
            <w:r>
              <w:rPr>
                <w:i/>
                <w:sz w:val="23"/>
              </w:rPr>
              <w:t>Making European Digital Identity as Safe as It Is needed - BEUC Position Paper</w:t>
            </w:r>
            <w:r>
              <w:rPr>
                <w:sz w:val="23"/>
              </w:rPr>
              <w:t xml:space="preserve"> </w:t>
            </w:r>
          </w:p>
          <w:p w:rsidR="00EF32F6" w:rsidRPr="00EF32F6" w:rsidRDefault="0075381D" w:rsidP="00EF32F6">
            <w:pPr>
              <w:ind w:left="720" w:hanging="360"/>
              <w:rPr>
                <w:i/>
                <w:sz w:val="23"/>
                <w:szCs w:val="23"/>
              </w:rPr>
            </w:pPr>
            <w:r>
              <w:rPr>
                <w:i/>
                <w:sz w:val="23"/>
              </w:rPr>
              <w:t>8.</w:t>
            </w:r>
            <w:r>
              <w:rPr>
                <w:i/>
                <w:sz w:val="23"/>
              </w:rPr>
              <w:tab/>
            </w:r>
            <w:r>
              <w:rPr>
                <w:sz w:val="23"/>
              </w:rPr>
              <w:t xml:space="preserve">Jaap-Henk Hoepman, Associate Professor of privacy enhancing protocols and privacy by design in the Digital Security group at the Institute for Computing and Information Sciences of the Radboud University Nijmegen, </w:t>
            </w:r>
            <w:r>
              <w:rPr>
                <w:i/>
                <w:sz w:val="23"/>
              </w:rPr>
              <w:t>Civil liberties aspects of the commission proposal to amend the eIDAS regulation</w:t>
            </w:r>
          </w:p>
          <w:p w:rsidR="00EF32F6" w:rsidRPr="00EF32F6" w:rsidRDefault="0075381D" w:rsidP="00EF32F6">
            <w:pPr>
              <w:ind w:left="720" w:hanging="360"/>
              <w:rPr>
                <w:i/>
                <w:sz w:val="23"/>
                <w:szCs w:val="23"/>
              </w:rPr>
            </w:pPr>
            <w:r>
              <w:rPr>
                <w:i/>
                <w:sz w:val="23"/>
              </w:rPr>
              <w:t>9.</w:t>
            </w:r>
            <w:r>
              <w:rPr>
                <w:i/>
                <w:sz w:val="23"/>
              </w:rPr>
              <w:tab/>
            </w:r>
            <w:r>
              <w:rPr>
                <w:sz w:val="23"/>
              </w:rPr>
              <w:t xml:space="preserve">Eric Verheul, professor in the Digital Security Group of the Radboud University Nijmegen - </w:t>
            </w:r>
            <w:r>
              <w:rPr>
                <w:i/>
                <w:sz w:val="23"/>
              </w:rPr>
              <w:t>Issues and recommendations on the eIDAS wallet as proposed in the eIDAS update</w:t>
            </w:r>
          </w:p>
          <w:p w:rsidR="00EF32F6" w:rsidRPr="00EF32F6" w:rsidRDefault="0075381D" w:rsidP="00EF32F6">
            <w:pPr>
              <w:ind w:left="720" w:hanging="360"/>
              <w:rPr>
                <w:i/>
                <w:sz w:val="23"/>
                <w:szCs w:val="23"/>
              </w:rPr>
            </w:pPr>
            <w:r>
              <w:rPr>
                <w:i/>
                <w:sz w:val="23"/>
              </w:rPr>
              <w:t>10.</w:t>
            </w:r>
            <w:r>
              <w:rPr>
                <w:i/>
                <w:sz w:val="23"/>
              </w:rPr>
              <w:tab/>
            </w:r>
            <w:r>
              <w:rPr>
                <w:sz w:val="23"/>
              </w:rPr>
              <w:t xml:space="preserve">Manuel Atug expert in IT Security and engineering Chaos Computer Club &amp; Christian Kahlo eID expert - </w:t>
            </w:r>
            <w:r>
              <w:rPr>
                <w:i/>
                <w:sz w:val="23"/>
              </w:rPr>
              <w:t xml:space="preserve">written input </w:t>
            </w:r>
          </w:p>
          <w:p w:rsidR="00EF32F6" w:rsidRPr="00EF32F6" w:rsidRDefault="0075381D" w:rsidP="00EF32F6">
            <w:pPr>
              <w:ind w:left="720" w:hanging="360"/>
              <w:rPr>
                <w:i/>
                <w:sz w:val="23"/>
                <w:szCs w:val="23"/>
              </w:rPr>
            </w:pPr>
            <w:r>
              <w:rPr>
                <w:i/>
                <w:sz w:val="23"/>
              </w:rPr>
              <w:t>11.</w:t>
            </w:r>
            <w:r>
              <w:rPr>
                <w:i/>
                <w:sz w:val="23"/>
              </w:rPr>
              <w:tab/>
            </w:r>
            <w:r>
              <w:rPr>
                <w:sz w:val="23"/>
              </w:rPr>
              <w:t xml:space="preserve">Lukasz Olejnik, PhD, https://lukaszolejnik.com, </w:t>
            </w:r>
            <w:r>
              <w:rPr>
                <w:i/>
                <w:sz w:val="23"/>
              </w:rPr>
              <w:t>written contribution</w:t>
            </w:r>
          </w:p>
          <w:p w:rsidR="00EF32F6" w:rsidRPr="00EF32F6" w:rsidRDefault="0075381D" w:rsidP="00EF32F6">
            <w:pPr>
              <w:ind w:left="720" w:hanging="360"/>
              <w:rPr>
                <w:i/>
                <w:sz w:val="23"/>
                <w:szCs w:val="23"/>
              </w:rPr>
            </w:pPr>
            <w:r>
              <w:rPr>
                <w:i/>
                <w:sz w:val="23"/>
              </w:rPr>
              <w:t>12.</w:t>
            </w:r>
            <w:r>
              <w:rPr>
                <w:i/>
                <w:sz w:val="23"/>
              </w:rPr>
              <w:tab/>
            </w:r>
            <w:r>
              <w:rPr>
                <w:sz w:val="23"/>
              </w:rPr>
              <w:t xml:space="preserve">Carmela Troncoso - Professor on Security and Privacy at Swiss Federal Institute of Technology Lausanne - </w:t>
            </w:r>
            <w:r>
              <w:rPr>
                <w:i/>
                <w:sz w:val="23"/>
              </w:rPr>
              <w:t xml:space="preserve">written input </w:t>
            </w:r>
          </w:p>
          <w:p w:rsidR="00EF32F6" w:rsidRPr="00EF32F6" w:rsidRDefault="0075381D" w:rsidP="00EF32F6">
            <w:pPr>
              <w:ind w:left="720" w:hanging="360"/>
              <w:rPr>
                <w:i/>
                <w:sz w:val="23"/>
                <w:szCs w:val="23"/>
              </w:rPr>
            </w:pPr>
            <w:r>
              <w:rPr>
                <w:i/>
                <w:sz w:val="23"/>
              </w:rPr>
              <w:t>13.</w:t>
            </w:r>
            <w:r>
              <w:rPr>
                <w:i/>
                <w:sz w:val="23"/>
              </w:rPr>
              <w:tab/>
            </w:r>
            <w:r>
              <w:rPr>
                <w:sz w:val="23"/>
              </w:rPr>
              <w:t xml:space="preserve">Dr. F. S. Gürses, Associat Professor at the Faculty of Technology, Policy and Management, TU Delft - </w:t>
            </w:r>
            <w:r>
              <w:rPr>
                <w:i/>
                <w:sz w:val="23"/>
              </w:rPr>
              <w:t xml:space="preserve">written input </w:t>
            </w:r>
          </w:p>
          <w:p w:rsidR="00EF32F6" w:rsidRPr="00EF32F6" w:rsidRDefault="0075381D" w:rsidP="00EF32F6">
            <w:pPr>
              <w:ind w:left="720" w:hanging="360"/>
              <w:rPr>
                <w:sz w:val="23"/>
                <w:szCs w:val="23"/>
              </w:rPr>
            </w:pPr>
            <w:r>
              <w:rPr>
                <w:sz w:val="23"/>
              </w:rPr>
              <w:t>14.</w:t>
            </w:r>
            <w:r>
              <w:rPr>
                <w:sz w:val="23"/>
              </w:rPr>
              <w:tab/>
              <w:t>Eurosmart - The Voice Of The Digital Security Industry - Feedback on the revision of eIDAS</w:t>
            </w:r>
          </w:p>
          <w:p w:rsidR="00EF32F6" w:rsidRPr="00EF32F6" w:rsidRDefault="0075381D" w:rsidP="00EF32F6">
            <w:pPr>
              <w:ind w:left="720" w:hanging="360"/>
              <w:rPr>
                <w:sz w:val="23"/>
                <w:szCs w:val="23"/>
              </w:rPr>
            </w:pPr>
            <w:r>
              <w:rPr>
                <w:sz w:val="23"/>
              </w:rPr>
              <w:t>15.</w:t>
            </w:r>
            <w:r>
              <w:rPr>
                <w:sz w:val="23"/>
              </w:rPr>
              <w:tab/>
              <w:t xml:space="preserve">Mozzila </w:t>
            </w:r>
          </w:p>
          <w:p w:rsidR="00EF32F6" w:rsidRPr="00EF32F6" w:rsidRDefault="0075381D" w:rsidP="00EF32F6">
            <w:pPr>
              <w:ind w:left="720" w:hanging="360"/>
              <w:rPr>
                <w:sz w:val="23"/>
                <w:szCs w:val="23"/>
              </w:rPr>
            </w:pPr>
            <w:r>
              <w:rPr>
                <w:sz w:val="23"/>
              </w:rPr>
              <w:t>16.</w:t>
            </w:r>
            <w:r>
              <w:rPr>
                <w:sz w:val="23"/>
              </w:rPr>
              <w:tab/>
              <w:t>Google</w:t>
            </w:r>
          </w:p>
          <w:p w:rsidR="00EF32F6" w:rsidRPr="00EF32F6" w:rsidRDefault="0075381D" w:rsidP="00EF32F6">
            <w:pPr>
              <w:ind w:left="720" w:hanging="360"/>
              <w:rPr>
                <w:sz w:val="23"/>
                <w:szCs w:val="23"/>
              </w:rPr>
            </w:pPr>
            <w:r>
              <w:rPr>
                <w:sz w:val="23"/>
              </w:rPr>
              <w:t>17.</w:t>
            </w:r>
            <w:r>
              <w:rPr>
                <w:sz w:val="23"/>
              </w:rPr>
              <w:tab/>
              <w:t>Apple</w:t>
            </w:r>
          </w:p>
          <w:p w:rsidR="00EF32F6" w:rsidRPr="00EF32F6" w:rsidRDefault="0075381D" w:rsidP="00EF32F6">
            <w:pPr>
              <w:ind w:left="720" w:hanging="360"/>
              <w:rPr>
                <w:sz w:val="23"/>
                <w:szCs w:val="23"/>
              </w:rPr>
            </w:pPr>
            <w:r>
              <w:rPr>
                <w:sz w:val="23"/>
              </w:rPr>
              <w:t>18.</w:t>
            </w:r>
            <w:r>
              <w:rPr>
                <w:sz w:val="23"/>
              </w:rPr>
              <w:tab/>
              <w:t>The International Association for Trusted Blockchain Applications (INATBA) - Establishing a Framework for a European Digital Identity (eIDAS)  - Policy Position</w:t>
            </w:r>
          </w:p>
          <w:p w:rsidR="00EF32F6" w:rsidRPr="00EF32F6" w:rsidRDefault="0075381D" w:rsidP="00EF32F6">
            <w:pPr>
              <w:ind w:left="720" w:hanging="360"/>
              <w:rPr>
                <w:sz w:val="23"/>
                <w:szCs w:val="23"/>
              </w:rPr>
            </w:pPr>
            <w:r>
              <w:rPr>
                <w:sz w:val="23"/>
              </w:rPr>
              <w:t>19.</w:t>
            </w:r>
            <w:r>
              <w:rPr>
                <w:sz w:val="23"/>
              </w:rPr>
              <w:tab/>
              <w:t>TWG Trusted Information of the EU Observatory for ICT Standardisation - report on “Trust in the European digital space in the age of automated bots and fakes”</w:t>
            </w:r>
          </w:p>
          <w:p w:rsidR="00EF32F6" w:rsidRPr="00EF32F6" w:rsidRDefault="0075381D" w:rsidP="00EF32F6">
            <w:pPr>
              <w:ind w:left="720" w:hanging="360"/>
              <w:rPr>
                <w:sz w:val="23"/>
                <w:szCs w:val="23"/>
              </w:rPr>
            </w:pPr>
            <w:r>
              <w:rPr>
                <w:sz w:val="23"/>
              </w:rPr>
              <w:t>20.</w:t>
            </w:r>
            <w:r>
              <w:rPr>
                <w:sz w:val="23"/>
              </w:rPr>
              <w:tab/>
            </w:r>
            <w:r>
              <w:t>Rule of Law Defense Coalition, Bucharest Romania</w:t>
            </w:r>
          </w:p>
          <w:p w:rsidR="00EF32F6" w:rsidRPr="00EF32F6" w:rsidRDefault="0075381D" w:rsidP="00EF32F6">
            <w:pPr>
              <w:ind w:left="720" w:hanging="360"/>
            </w:pPr>
            <w:r>
              <w:t>21.</w:t>
            </w:r>
            <w:r>
              <w:tab/>
            </w:r>
            <w:r>
              <w:rPr>
                <w:sz w:val="23"/>
              </w:rPr>
              <w:t xml:space="preserve">American Chamber of Commerce to the European Union, Brussels - </w:t>
            </w:r>
            <w:r>
              <w:rPr>
                <w:i/>
                <w:sz w:val="23"/>
              </w:rPr>
              <w:t xml:space="preserve">written input </w:t>
            </w:r>
          </w:p>
          <w:p w:rsidR="00EF32F6" w:rsidRPr="00EF32F6" w:rsidRDefault="00EF32F6" w:rsidP="00EF32F6">
            <w:pPr>
              <w:ind w:left="720" w:hanging="360"/>
            </w:pPr>
          </w:p>
        </w:tc>
      </w:tr>
      <w:bookmarkEnd w:id="2"/>
    </w:tbl>
    <w:p w:rsidR="004A5C9F" w:rsidRPr="004A5C9F" w:rsidRDefault="0075381D" w:rsidP="004A5C9F">
      <w:r>
        <w:br w:type="page"/>
      </w:r>
    </w:p>
    <w:p w:rsidR="004A5C9F" w:rsidRDefault="0075381D" w:rsidP="004A5C9F">
      <w:pPr>
        <w:pStyle w:val="PageHeadingNotTOC"/>
      </w:pPr>
      <w:bookmarkStart w:id="3" w:name="ProcPageAD"/>
      <w:r>
        <w:t>POSTOPEK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Sprememba Uredbe (EU) št. 910/2014 v zvezi z vzpostavitvijo evropskega okvira za digitalno identiteto</w:t>
            </w:r>
          </w:p>
        </w:tc>
      </w:tr>
      <w:tr w:rsidR="004B0A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COM(2021)0281 – C9-0200/2021 – 2021/0136(COD)</w:t>
            </w: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Pristojni odbor</w:t>
            </w:r>
          </w:p>
          <w:p w:rsidR="004A5C9F" w:rsidRDefault="0075381D">
            <w:pPr>
              <w:autoSpaceDE w:val="0"/>
              <w:autoSpaceDN w:val="0"/>
              <w:adjustRightInd w:val="0"/>
              <w:rPr>
                <w:color w:val="000000"/>
                <w:sz w:val="20"/>
                <w:szCs w:val="20"/>
              </w:rPr>
            </w:pPr>
            <w:r>
              <w:rPr>
                <w:color w:val="000000"/>
                <w:sz w:val="20"/>
              </w:rPr>
              <w:t>       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ITRE</w:t>
            </w:r>
          </w:p>
          <w:p w:rsidR="004A5C9F" w:rsidRDefault="0075381D">
            <w:pPr>
              <w:autoSpaceDE w:val="0"/>
              <w:autoSpaceDN w:val="0"/>
              <w:adjustRightInd w:val="0"/>
              <w:rPr>
                <w:color w:val="000000"/>
                <w:sz w:val="20"/>
                <w:szCs w:val="20"/>
              </w:rPr>
            </w:pPr>
            <w:r>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Mnenje pripravil</w:t>
            </w:r>
          </w:p>
          <w:p w:rsidR="004A5C9F" w:rsidRDefault="0075381D">
            <w:pPr>
              <w:autoSpaceDE w:val="0"/>
              <w:autoSpaceDN w:val="0"/>
              <w:adjustRightInd w:val="0"/>
              <w:rPr>
                <w:color w:val="000000"/>
                <w:sz w:val="20"/>
                <w:szCs w:val="20"/>
              </w:rPr>
            </w:pPr>
            <w:r>
              <w:rPr>
                <w:color w:val="000000"/>
                <w:sz w:val="20"/>
              </w:rPr>
              <w:t>       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LIBE</w:t>
            </w:r>
          </w:p>
          <w:p w:rsidR="004A5C9F" w:rsidRDefault="0075381D">
            <w:pPr>
              <w:autoSpaceDE w:val="0"/>
              <w:autoSpaceDN w:val="0"/>
              <w:adjustRightInd w:val="0"/>
              <w:rPr>
                <w:color w:val="000000"/>
                <w:sz w:val="20"/>
                <w:szCs w:val="20"/>
              </w:rPr>
            </w:pPr>
            <w:r>
              <w:rPr>
                <w:color w:val="000000"/>
                <w:sz w:val="20"/>
              </w:rPr>
              <w:t>8.7.2021</w:t>
            </w:r>
          </w:p>
        </w:tc>
      </w:tr>
      <w:tr w:rsidR="004B0A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Pridruženi odbori - datum razglasitve na zasedanju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16.12.2021</w:t>
            </w: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Pripravljavec/-ka mnenja</w:t>
            </w:r>
          </w:p>
          <w:p w:rsidR="004A5C9F" w:rsidRDefault="0075381D">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Cristian Terheş</w:t>
            </w:r>
          </w:p>
          <w:p w:rsidR="004A5C9F" w:rsidRDefault="0075381D">
            <w:pPr>
              <w:autoSpaceDE w:val="0"/>
              <w:autoSpaceDN w:val="0"/>
              <w:adjustRightInd w:val="0"/>
              <w:rPr>
                <w:color w:val="000000"/>
                <w:sz w:val="20"/>
                <w:szCs w:val="20"/>
              </w:rPr>
            </w:pPr>
            <w:r>
              <w:rPr>
                <w:color w:val="000000"/>
                <w:sz w:val="20"/>
              </w:rPr>
              <w:t>29.11.2021</w:t>
            </w: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r>
      <w:tr w:rsidR="004B0A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A5C9F" w:rsidRDefault="004A5C9F">
            <w:pPr>
              <w:autoSpaceDE w:val="0"/>
              <w:autoSpaceDN w:val="0"/>
              <w:adjustRightInd w:val="0"/>
              <w:rPr>
                <w:rFonts w:ascii="sans-serif" w:hAnsi="sans-serif" w:cs="sans-serif"/>
                <w:color w:val="000000"/>
              </w:rPr>
            </w:pP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w:t>
            </w:r>
          </w:p>
          <w:p w:rsidR="004A5C9F" w:rsidRDefault="0075381D">
            <w:pPr>
              <w:autoSpaceDE w:val="0"/>
              <w:autoSpaceDN w:val="0"/>
              <w:adjustRightInd w:val="0"/>
              <w:rPr>
                <w:color w:val="000000"/>
                <w:sz w:val="20"/>
                <w:szCs w:val="20"/>
              </w:rPr>
            </w:pPr>
            <w:r>
              <w:rPr>
                <w:color w:val="000000"/>
                <w:sz w:val="20"/>
              </w:rPr>
              <w:t>–:</w:t>
            </w:r>
          </w:p>
          <w:p w:rsidR="004A5C9F" w:rsidRDefault="0075381D">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51</w:t>
            </w:r>
          </w:p>
          <w:p w:rsidR="004A5C9F" w:rsidRDefault="0075381D">
            <w:pPr>
              <w:autoSpaceDE w:val="0"/>
              <w:autoSpaceDN w:val="0"/>
              <w:adjustRightInd w:val="0"/>
              <w:rPr>
                <w:color w:val="000000"/>
                <w:sz w:val="20"/>
                <w:szCs w:val="20"/>
              </w:rPr>
            </w:pPr>
            <w:r>
              <w:rPr>
                <w:color w:val="000000"/>
                <w:sz w:val="20"/>
              </w:rPr>
              <w:t>1</w:t>
            </w:r>
          </w:p>
          <w:p w:rsidR="004A5C9F" w:rsidRDefault="0075381D">
            <w:pPr>
              <w:autoSpaceDE w:val="0"/>
              <w:autoSpaceDN w:val="0"/>
              <w:adjustRightInd w:val="0"/>
              <w:rPr>
                <w:color w:val="000000"/>
                <w:sz w:val="20"/>
                <w:szCs w:val="20"/>
              </w:rPr>
            </w:pPr>
            <w:r>
              <w:rPr>
                <w:color w:val="000000"/>
                <w:sz w:val="20"/>
              </w:rPr>
              <w:t>4</w:t>
            </w:r>
          </w:p>
        </w:tc>
      </w:tr>
      <w:tr w:rsidR="004B0A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Abir Al-Sahlani, Konstandinos Arvanitis (Konstantinos Arvanitis), Malik Azmani, Pietro Bartolo, Malin Björk, Patrick Breyer, Saskia Bricmont, Patricia Chagnon, Clare Daly, Andrzej Halicki, Evin Incir, Sophia in ‘t Veld, Assita Kanko, Alice Kuhnke, Jeroen Lenaers, Lukas Mandl, Nuno Melo, Nadine Morano, Javier Moreno Sánchez, Maite Pagazaurtundúa, Emil Radev, Paulo Rangel, Terry Reintke, Karlo Ressler, Diana Riba i Giner, Isabel Santos, Birgit Sippel, Sara Skyttedal, Vincenzo Sofo, Ramona Strugariu, Tomas Tobé, Yana Toom, Milan Uhrík, Elisavet Vozemberg-Vrionidi (Elissavet Vozemberg-Vrionidi), Elena Jončeva (Elena Yoncheva), Javier Zarzalejos</w:t>
            </w:r>
          </w:p>
        </w:tc>
      </w:tr>
      <w:tr w:rsidR="004B0A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Romeo Franz, Erik Marquardt, Fulvio Martusciello, Peter Pollák, Paul Tang, Róża Thun und Hohenstein, Miguel Urbán Crespo</w:t>
            </w:r>
          </w:p>
        </w:tc>
      </w:tr>
      <w:tr w:rsidR="004B0A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b/>
                <w:bCs/>
                <w:color w:val="000000"/>
                <w:sz w:val="20"/>
                <w:szCs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5C9F" w:rsidRDefault="0075381D">
            <w:pPr>
              <w:autoSpaceDE w:val="0"/>
              <w:autoSpaceDN w:val="0"/>
              <w:adjustRightInd w:val="0"/>
              <w:rPr>
                <w:color w:val="000000"/>
                <w:sz w:val="20"/>
                <w:szCs w:val="20"/>
              </w:rPr>
            </w:pPr>
            <w:r>
              <w:rPr>
                <w:color w:val="000000"/>
                <w:sz w:val="20"/>
              </w:rPr>
              <w:t>Marek Paweł Balt, Gilles Boyer, Jonás Fernández, Hannes Heide, Othmar Karas, Georgios Kircos (Georgios Kyrtsos), Karsten Lucke, Evelyn Regner, Antonio Maria Rinaldi, Simone Schmiedtbauer, Ralf Seekatz, Michal Šimečka, Ivan Štefanec</w:t>
            </w:r>
          </w:p>
        </w:tc>
      </w:tr>
    </w:tbl>
    <w:p w:rsidR="004A5C9F" w:rsidRPr="0008167A" w:rsidRDefault="004A5C9F" w:rsidP="0008167A"/>
    <w:bookmarkEnd w:id="3"/>
    <w:p w:rsidR="0008167A" w:rsidRDefault="0008167A" w:rsidP="0008167A">
      <w:pPr>
        <w:sectPr w:rsidR="0008167A" w:rsidSect="0008167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167A" w:rsidRPr="0099178F" w:rsidRDefault="0075381D" w:rsidP="0008167A">
      <w:pPr>
        <w:pStyle w:val="PageHeadingNotTOC"/>
      </w:pPr>
      <w:bookmarkStart w:id="4"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0ABF" w:rsidTr="0008167A">
        <w:trPr>
          <w:cantSplit/>
        </w:trPr>
        <w:tc>
          <w:tcPr>
            <w:tcW w:w="1701" w:type="dxa"/>
            <w:shd w:val="pct10" w:color="000000" w:fill="FFFFFF"/>
            <w:vAlign w:val="center"/>
          </w:tcPr>
          <w:p w:rsidR="0008167A" w:rsidRPr="00136C04" w:rsidRDefault="0075381D" w:rsidP="0008167A">
            <w:pPr>
              <w:pStyle w:val="RollCallVotes"/>
            </w:pPr>
            <w:r>
              <w:t>51</w:t>
            </w:r>
          </w:p>
        </w:tc>
        <w:tc>
          <w:tcPr>
            <w:tcW w:w="7371" w:type="dxa"/>
            <w:shd w:val="pct10" w:color="000000" w:fill="FFFFFF"/>
          </w:tcPr>
          <w:p w:rsidR="0008167A" w:rsidRPr="00136C04" w:rsidRDefault="0075381D" w:rsidP="0008167A">
            <w:pPr>
              <w:pStyle w:val="RollCallSymbols14pt"/>
            </w:pPr>
            <w:r>
              <w:t>+</w:t>
            </w:r>
          </w:p>
        </w:tc>
      </w:tr>
      <w:tr w:rsidR="004B0ABF" w:rsidTr="0008167A">
        <w:trPr>
          <w:cantSplit/>
        </w:trPr>
        <w:tc>
          <w:tcPr>
            <w:tcW w:w="1701" w:type="dxa"/>
            <w:shd w:val="clear" w:color="auto" w:fill="FFFFFF"/>
          </w:tcPr>
          <w:p w:rsidR="0008167A" w:rsidRPr="00136C04" w:rsidRDefault="0075381D" w:rsidP="0008167A">
            <w:pPr>
              <w:pStyle w:val="RollCallTable"/>
            </w:pPr>
            <w:r>
              <w:t>PPE</w:t>
            </w:r>
          </w:p>
        </w:tc>
        <w:tc>
          <w:tcPr>
            <w:tcW w:w="7371" w:type="dxa"/>
            <w:shd w:val="clear" w:color="auto" w:fill="FFFFFF"/>
          </w:tcPr>
          <w:p w:rsidR="0008167A" w:rsidRPr="00136C04" w:rsidRDefault="0075381D" w:rsidP="0008167A">
            <w:pPr>
              <w:pStyle w:val="RollCallTable"/>
            </w:pPr>
            <w:r>
              <w:t>Andrzej Halicki, Othmar Karas, Jeroen Lenaers, Lukas Mandl, Fulvio Martusciello, Nuno Melo, Nadine Morano, Peter Pollák, Emil Radev, Paulo Rangel, Karlo Ressler, Simone Schmiedtbauer, Ralf Seekatz, Sara Skyttedal, Ivan Štefanec, Tomas Tobé, Elisavet Vozemberg-Vrionidi (Elissavet Vozemberg-Vrionidi), Javier Zarzalejos</w:t>
            </w:r>
          </w:p>
        </w:tc>
      </w:tr>
      <w:tr w:rsidR="004B0ABF" w:rsidTr="0008167A">
        <w:trPr>
          <w:cantSplit/>
        </w:trPr>
        <w:tc>
          <w:tcPr>
            <w:tcW w:w="1701" w:type="dxa"/>
            <w:shd w:val="clear" w:color="auto" w:fill="FFFFFF"/>
          </w:tcPr>
          <w:p w:rsidR="0008167A" w:rsidRPr="00136C04" w:rsidRDefault="0075381D" w:rsidP="0008167A">
            <w:pPr>
              <w:pStyle w:val="RollCallTable"/>
            </w:pPr>
            <w:r>
              <w:t>RENEW</w:t>
            </w:r>
          </w:p>
        </w:tc>
        <w:tc>
          <w:tcPr>
            <w:tcW w:w="7371" w:type="dxa"/>
            <w:shd w:val="clear" w:color="auto" w:fill="FFFFFF"/>
          </w:tcPr>
          <w:p w:rsidR="0008167A" w:rsidRPr="00136C04" w:rsidRDefault="0075381D" w:rsidP="0008167A">
            <w:pPr>
              <w:pStyle w:val="RollCallTable"/>
            </w:pPr>
            <w:r>
              <w:t>Abir Al-Sahlani, Malik Azmani, Gilles Boyer, Sophia in 't Veld, Georgios Kircos (Georgios Kyrtsos), Maite Pagazaurtundúa, Michal Šimečka, Ramona Strugariu, Róża Thun und Hohenstein, Yana Toom</w:t>
            </w:r>
          </w:p>
        </w:tc>
      </w:tr>
      <w:tr w:rsidR="004B0ABF" w:rsidTr="0008167A">
        <w:trPr>
          <w:cantSplit/>
        </w:trPr>
        <w:tc>
          <w:tcPr>
            <w:tcW w:w="1701" w:type="dxa"/>
            <w:shd w:val="clear" w:color="auto" w:fill="FFFFFF"/>
          </w:tcPr>
          <w:p w:rsidR="0008167A" w:rsidRPr="00136C04" w:rsidRDefault="0075381D" w:rsidP="0008167A">
            <w:pPr>
              <w:pStyle w:val="RollCallTable"/>
            </w:pPr>
            <w:r>
              <w:t>S&amp;D</w:t>
            </w:r>
          </w:p>
        </w:tc>
        <w:tc>
          <w:tcPr>
            <w:tcW w:w="7371" w:type="dxa"/>
            <w:shd w:val="clear" w:color="auto" w:fill="FFFFFF"/>
          </w:tcPr>
          <w:p w:rsidR="0008167A" w:rsidRPr="00136C04" w:rsidRDefault="0075381D" w:rsidP="0008167A">
            <w:pPr>
              <w:pStyle w:val="RollCallTable"/>
            </w:pPr>
            <w:r>
              <w:t>Marek Paweł Balt, Pietro Bartolo, Jonás Fernández, Hannes Heide, Evin Incir, Karsten Lucke, Javier Moreno Sánchez, Evelyn Regner, Isabel Santos, Birgit Sippel, Paul Tang, Elena Jončeva (Elena Yoncheva)</w:t>
            </w:r>
          </w:p>
        </w:tc>
      </w:tr>
      <w:tr w:rsidR="004B0ABF" w:rsidTr="0008167A">
        <w:trPr>
          <w:cantSplit/>
        </w:trPr>
        <w:tc>
          <w:tcPr>
            <w:tcW w:w="1701" w:type="dxa"/>
            <w:shd w:val="clear" w:color="auto" w:fill="FFFFFF"/>
          </w:tcPr>
          <w:p w:rsidR="0008167A" w:rsidRPr="00136C04" w:rsidRDefault="0075381D" w:rsidP="0008167A">
            <w:pPr>
              <w:pStyle w:val="RollCallTable"/>
            </w:pPr>
            <w:r>
              <w:t>THE LEFT</w:t>
            </w:r>
          </w:p>
        </w:tc>
        <w:tc>
          <w:tcPr>
            <w:tcW w:w="7371" w:type="dxa"/>
            <w:shd w:val="clear" w:color="auto" w:fill="FFFFFF"/>
          </w:tcPr>
          <w:p w:rsidR="0008167A" w:rsidRPr="00136C04" w:rsidRDefault="0075381D" w:rsidP="0008167A">
            <w:pPr>
              <w:pStyle w:val="RollCallTable"/>
            </w:pPr>
            <w:r>
              <w:t>Konstandinos Arvanitis (Konstantinos Arvanitis), Malin Björk, Clare Daly, Miguel Urbán Crespo</w:t>
            </w:r>
          </w:p>
        </w:tc>
      </w:tr>
      <w:tr w:rsidR="004B0ABF" w:rsidTr="0008167A">
        <w:trPr>
          <w:cantSplit/>
        </w:trPr>
        <w:tc>
          <w:tcPr>
            <w:tcW w:w="1701" w:type="dxa"/>
            <w:shd w:val="clear" w:color="auto" w:fill="FFFFFF"/>
          </w:tcPr>
          <w:p w:rsidR="0008167A" w:rsidRPr="00136C04" w:rsidRDefault="0075381D" w:rsidP="0008167A">
            <w:pPr>
              <w:pStyle w:val="RollCallTable"/>
            </w:pPr>
            <w:r>
              <w:t>VERTS/ALE</w:t>
            </w:r>
          </w:p>
        </w:tc>
        <w:tc>
          <w:tcPr>
            <w:tcW w:w="7371" w:type="dxa"/>
            <w:shd w:val="clear" w:color="auto" w:fill="FFFFFF"/>
          </w:tcPr>
          <w:p w:rsidR="0008167A" w:rsidRPr="00136C04" w:rsidRDefault="0075381D" w:rsidP="0008167A">
            <w:pPr>
              <w:pStyle w:val="RollCallTable"/>
            </w:pPr>
            <w:r>
              <w:t>Patrick Breyer, Saskia Bricmont, Romeo Franz, Alice Kuhnke, Erik Marquardt, Terry Reintke, Diana Riba i Giner</w:t>
            </w:r>
          </w:p>
        </w:tc>
      </w:tr>
    </w:tbl>
    <w:p w:rsidR="0008167A" w:rsidRPr="00136C04" w:rsidRDefault="0008167A" w:rsidP="0008167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0ABF" w:rsidTr="0008167A">
        <w:trPr>
          <w:cantSplit/>
        </w:trPr>
        <w:tc>
          <w:tcPr>
            <w:tcW w:w="1701" w:type="dxa"/>
            <w:shd w:val="pct10" w:color="000000" w:fill="FFFFFF"/>
            <w:vAlign w:val="center"/>
          </w:tcPr>
          <w:p w:rsidR="0008167A" w:rsidRPr="00136C04" w:rsidRDefault="0075381D" w:rsidP="0008167A">
            <w:pPr>
              <w:pStyle w:val="RollCallVotes"/>
            </w:pPr>
            <w:r>
              <w:t>1</w:t>
            </w:r>
          </w:p>
        </w:tc>
        <w:tc>
          <w:tcPr>
            <w:tcW w:w="7371" w:type="dxa"/>
            <w:shd w:val="pct10" w:color="000000" w:fill="FFFFFF"/>
          </w:tcPr>
          <w:p w:rsidR="0008167A" w:rsidRPr="00136C04" w:rsidRDefault="0075381D" w:rsidP="0008167A">
            <w:pPr>
              <w:pStyle w:val="RollCallSymbols14pt"/>
            </w:pPr>
            <w:r>
              <w:t>-</w:t>
            </w:r>
          </w:p>
        </w:tc>
      </w:tr>
      <w:tr w:rsidR="004B0ABF" w:rsidTr="0008167A">
        <w:trPr>
          <w:cantSplit/>
        </w:trPr>
        <w:tc>
          <w:tcPr>
            <w:tcW w:w="1701" w:type="dxa"/>
            <w:shd w:val="clear" w:color="auto" w:fill="FFFFFF"/>
          </w:tcPr>
          <w:p w:rsidR="0008167A" w:rsidRPr="00136C04" w:rsidRDefault="0075381D" w:rsidP="0008167A">
            <w:pPr>
              <w:pStyle w:val="RollCallTable"/>
            </w:pPr>
            <w:r>
              <w:t>NI</w:t>
            </w:r>
          </w:p>
        </w:tc>
        <w:tc>
          <w:tcPr>
            <w:tcW w:w="7371" w:type="dxa"/>
            <w:shd w:val="clear" w:color="auto" w:fill="FFFFFF"/>
          </w:tcPr>
          <w:p w:rsidR="0008167A" w:rsidRPr="00136C04" w:rsidRDefault="0075381D" w:rsidP="0008167A">
            <w:pPr>
              <w:pStyle w:val="RollCallTable"/>
            </w:pPr>
            <w:r>
              <w:t>Milan Uhrík</w:t>
            </w:r>
          </w:p>
        </w:tc>
      </w:tr>
    </w:tbl>
    <w:p w:rsidR="0008167A" w:rsidRPr="00136C04" w:rsidRDefault="0008167A" w:rsidP="0008167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0ABF" w:rsidTr="0008167A">
        <w:trPr>
          <w:cantSplit/>
        </w:trPr>
        <w:tc>
          <w:tcPr>
            <w:tcW w:w="1701" w:type="dxa"/>
            <w:shd w:val="pct10" w:color="000000" w:fill="FFFFFF"/>
            <w:vAlign w:val="center"/>
          </w:tcPr>
          <w:p w:rsidR="0008167A" w:rsidRPr="00136C04" w:rsidRDefault="0075381D" w:rsidP="0008167A">
            <w:pPr>
              <w:pStyle w:val="RollCallVotes"/>
            </w:pPr>
            <w:r>
              <w:t>4</w:t>
            </w:r>
          </w:p>
        </w:tc>
        <w:tc>
          <w:tcPr>
            <w:tcW w:w="7371" w:type="dxa"/>
            <w:shd w:val="pct10" w:color="000000" w:fill="FFFFFF"/>
          </w:tcPr>
          <w:p w:rsidR="0008167A" w:rsidRPr="00136C04" w:rsidRDefault="0075381D" w:rsidP="0008167A">
            <w:pPr>
              <w:pStyle w:val="RollCallSymbols14pt"/>
            </w:pPr>
            <w:r>
              <w:t>0</w:t>
            </w:r>
          </w:p>
        </w:tc>
      </w:tr>
      <w:tr w:rsidR="004B0ABF" w:rsidTr="0008167A">
        <w:trPr>
          <w:cantSplit/>
        </w:trPr>
        <w:tc>
          <w:tcPr>
            <w:tcW w:w="1701" w:type="dxa"/>
            <w:shd w:val="clear" w:color="auto" w:fill="FFFFFF"/>
          </w:tcPr>
          <w:p w:rsidR="0008167A" w:rsidRPr="00136C04" w:rsidRDefault="0075381D" w:rsidP="0008167A">
            <w:pPr>
              <w:pStyle w:val="RollCallTable"/>
            </w:pPr>
            <w:r>
              <w:t>ECR</w:t>
            </w:r>
          </w:p>
        </w:tc>
        <w:tc>
          <w:tcPr>
            <w:tcW w:w="7371" w:type="dxa"/>
            <w:shd w:val="clear" w:color="auto" w:fill="FFFFFF"/>
          </w:tcPr>
          <w:p w:rsidR="0008167A" w:rsidRPr="00136C04" w:rsidRDefault="0075381D" w:rsidP="0008167A">
            <w:pPr>
              <w:pStyle w:val="RollCallTable"/>
            </w:pPr>
            <w:r>
              <w:t>Assita Kanko, Vincenzo Sofo</w:t>
            </w:r>
          </w:p>
        </w:tc>
      </w:tr>
      <w:tr w:rsidR="004B0ABF" w:rsidTr="0008167A">
        <w:trPr>
          <w:cantSplit/>
        </w:trPr>
        <w:tc>
          <w:tcPr>
            <w:tcW w:w="1701" w:type="dxa"/>
            <w:shd w:val="clear" w:color="auto" w:fill="FFFFFF"/>
          </w:tcPr>
          <w:p w:rsidR="0008167A" w:rsidRPr="00136C04" w:rsidRDefault="0075381D" w:rsidP="0008167A">
            <w:pPr>
              <w:pStyle w:val="RollCallTable"/>
            </w:pPr>
            <w:r>
              <w:t>ID</w:t>
            </w:r>
          </w:p>
        </w:tc>
        <w:tc>
          <w:tcPr>
            <w:tcW w:w="7371" w:type="dxa"/>
            <w:shd w:val="clear" w:color="auto" w:fill="FFFFFF"/>
          </w:tcPr>
          <w:p w:rsidR="0008167A" w:rsidRPr="00136C04" w:rsidRDefault="0075381D" w:rsidP="0008167A">
            <w:pPr>
              <w:pStyle w:val="RollCallTable"/>
            </w:pPr>
            <w:r>
              <w:t>Patricia Chagnon, Antonio Maria Rinaldi</w:t>
            </w:r>
          </w:p>
        </w:tc>
      </w:tr>
    </w:tbl>
    <w:p w:rsidR="0008167A" w:rsidRDefault="0008167A" w:rsidP="0008167A">
      <w:pPr>
        <w:pStyle w:val="Normal12a"/>
      </w:pPr>
    </w:p>
    <w:p w:rsidR="0008167A" w:rsidRDefault="0075381D" w:rsidP="0008167A">
      <w:r>
        <w:t>Uporabljeni znaki:</w:t>
      </w:r>
    </w:p>
    <w:p w:rsidR="0008167A" w:rsidRDefault="0075381D" w:rsidP="0008167A">
      <w:pPr>
        <w:pStyle w:val="RollCallTabs"/>
      </w:pPr>
      <w:r>
        <w:t>+</w:t>
      </w:r>
      <w:r>
        <w:tab/>
        <w:t>:</w:t>
      </w:r>
      <w:r>
        <w:tab/>
        <w:t>za</w:t>
      </w:r>
    </w:p>
    <w:p w:rsidR="0008167A" w:rsidRDefault="0075381D" w:rsidP="0008167A">
      <w:pPr>
        <w:pStyle w:val="RollCallTabs"/>
      </w:pPr>
      <w:r>
        <w:t>-</w:t>
      </w:r>
      <w:r>
        <w:tab/>
        <w:t>:</w:t>
      </w:r>
      <w:r>
        <w:tab/>
        <w:t>proti</w:t>
      </w:r>
    </w:p>
    <w:p w:rsidR="0008167A" w:rsidRDefault="0075381D" w:rsidP="0008167A">
      <w:pPr>
        <w:pStyle w:val="RollCallTabs"/>
      </w:pPr>
      <w:r>
        <w:t>0</w:t>
      </w:r>
      <w:r>
        <w:tab/>
        <w:t>:</w:t>
      </w:r>
      <w:r>
        <w:tab/>
        <w:t>vzdržani</w:t>
      </w:r>
    </w:p>
    <w:p w:rsidR="0008167A" w:rsidRDefault="0008167A" w:rsidP="0008167A"/>
    <w:bookmarkEnd w:id="4"/>
    <w:p w:rsidR="00DB56E4" w:rsidRPr="0008167A" w:rsidRDefault="00DB56E4" w:rsidP="0008167A"/>
    <w:sectPr w:rsidR="00DB56E4" w:rsidRPr="0008167A" w:rsidSect="000816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81D" w:rsidRDefault="0075381D">
      <w:r>
        <w:separator/>
      </w:r>
    </w:p>
  </w:endnote>
  <w:endnote w:type="continuationSeparator" w:id="0">
    <w:p w:rsidR="0075381D" w:rsidRDefault="0075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rsidP="004A5C9F">
    <w:pPr>
      <w:pStyle w:val="EPFooter"/>
    </w:pPr>
    <w:r>
      <w:t>PE</w:t>
    </w:r>
    <w:r w:rsidRPr="0008167A">
      <w:rPr>
        <w:rStyle w:val="HideTWBExt"/>
      </w:rPr>
      <w:t>&lt;NoPE&gt;</w:t>
    </w:r>
    <w:r>
      <w:t>732.601</w:t>
    </w:r>
    <w:r w:rsidRPr="0008167A">
      <w:rPr>
        <w:rStyle w:val="HideTWBExt"/>
      </w:rPr>
      <w:t>&lt;/NoPE&gt;&lt;Version&gt;</w:t>
    </w:r>
    <w:r>
      <w:t>v02-00</w:t>
    </w:r>
    <w:r w:rsidRPr="0008167A">
      <w:rPr>
        <w:rStyle w:val="HideTWBExt"/>
      </w:rPr>
      <w:t>&lt;/Version&gt;</w:t>
    </w:r>
    <w:r>
      <w:tab/>
    </w:r>
    <w:r>
      <w:fldChar w:fldCharType="begin"/>
    </w:r>
    <w:r>
      <w:instrText xml:space="preserve"> PAGE  \* MERGEFORMAT </w:instrText>
    </w:r>
    <w:r>
      <w:fldChar w:fldCharType="separate"/>
    </w:r>
    <w:r w:rsidR="00BA28B5">
      <w:rPr>
        <w:noProof/>
      </w:rPr>
      <w:t>2</w:t>
    </w:r>
    <w:r>
      <w:fldChar w:fldCharType="end"/>
    </w:r>
    <w:r>
      <w:t>/</w:t>
    </w:r>
    <w:fldSimple w:instr=" NUMPAGES  \* MERGEFORMAT ">
      <w:r w:rsidR="00BA28B5">
        <w:rPr>
          <w:noProof/>
        </w:rPr>
        <w:t>28</w:t>
      </w:r>
    </w:fldSimple>
    <w:r>
      <w:tab/>
    </w:r>
    <w:r w:rsidRPr="0008167A">
      <w:rPr>
        <w:rStyle w:val="HideTWBExt"/>
      </w:rPr>
      <w:t>&lt;PathFdR&gt;</w:t>
    </w:r>
    <w:r>
      <w:t>AD\1264811SL.docx</w:t>
    </w:r>
    <w:r w:rsidRPr="0008167A">
      <w:rPr>
        <w:rStyle w:val="HideTWBExt"/>
      </w:rPr>
      <w:t>&lt;/PathFdR&gt;</w:t>
    </w:r>
  </w:p>
  <w:p w:rsidR="0075381D" w:rsidRPr="00EF32F6" w:rsidRDefault="0075381D" w:rsidP="004A5C9F">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rsidP="004A5C9F">
    <w:pPr>
      <w:pStyle w:val="EPFooter"/>
    </w:pPr>
    <w:r w:rsidRPr="0008167A">
      <w:rPr>
        <w:rStyle w:val="HideTWBExt"/>
      </w:rPr>
      <w:t>&lt;PathFdR&gt;</w:t>
    </w:r>
    <w:r>
      <w:t>AD\1264811SL.docx</w:t>
    </w:r>
    <w:r w:rsidRPr="0008167A">
      <w:rPr>
        <w:rStyle w:val="HideTWBExt"/>
      </w:rPr>
      <w:t>&lt;/PathFdR&gt;</w:t>
    </w:r>
    <w:r>
      <w:tab/>
    </w:r>
    <w:r>
      <w:fldChar w:fldCharType="begin"/>
    </w:r>
    <w:r>
      <w:instrText xml:space="preserve"> PAGE  \* MERGEFORMAT </w:instrText>
    </w:r>
    <w:r>
      <w:fldChar w:fldCharType="separate"/>
    </w:r>
    <w:r w:rsidR="00BA28B5">
      <w:rPr>
        <w:noProof/>
      </w:rPr>
      <w:t>25</w:t>
    </w:r>
    <w:r>
      <w:fldChar w:fldCharType="end"/>
    </w:r>
    <w:r>
      <w:t>/</w:t>
    </w:r>
    <w:fldSimple w:instr=" NUMPAGES  \* MERGEFORMAT ">
      <w:r w:rsidR="00BA28B5">
        <w:rPr>
          <w:noProof/>
        </w:rPr>
        <w:t>28</w:t>
      </w:r>
    </w:fldSimple>
    <w:r>
      <w:tab/>
      <w:t>PE</w:t>
    </w:r>
    <w:r w:rsidRPr="0008167A">
      <w:rPr>
        <w:rStyle w:val="HideTWBExt"/>
      </w:rPr>
      <w:t>&lt;NoPE&gt;</w:t>
    </w:r>
    <w:r>
      <w:t>732.601</w:t>
    </w:r>
    <w:r w:rsidRPr="0008167A">
      <w:rPr>
        <w:rStyle w:val="HideTWBExt"/>
      </w:rPr>
      <w:t>&lt;/NoPE&gt;&lt;Version&gt;</w:t>
    </w:r>
    <w:r>
      <w:t>v02-00</w:t>
    </w:r>
    <w:r w:rsidRPr="0008167A">
      <w:rPr>
        <w:rStyle w:val="HideTWBExt"/>
      </w:rPr>
      <w:t>&lt;/Version&gt;</w:t>
    </w:r>
  </w:p>
  <w:p w:rsidR="0075381D" w:rsidRPr="00EF32F6" w:rsidRDefault="0075381D" w:rsidP="004A5C9F">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rsidP="004A5C9F">
    <w:pPr>
      <w:pStyle w:val="EPFooter"/>
    </w:pPr>
    <w:r w:rsidRPr="0008167A">
      <w:rPr>
        <w:rStyle w:val="HideTWBExt"/>
      </w:rPr>
      <w:t>&lt;PathFdR&gt;</w:t>
    </w:r>
    <w:r>
      <w:t>AD\1264811SL.docx</w:t>
    </w:r>
    <w:r w:rsidRPr="0008167A">
      <w:rPr>
        <w:rStyle w:val="HideTWBExt"/>
      </w:rPr>
      <w:t>&lt;/PathFdR&gt;</w:t>
    </w:r>
    <w:r>
      <w:tab/>
    </w:r>
    <w:r>
      <w:tab/>
      <w:t>PE</w:t>
    </w:r>
    <w:r w:rsidRPr="0008167A">
      <w:rPr>
        <w:rStyle w:val="HideTWBExt"/>
      </w:rPr>
      <w:t>&lt;NoPE&gt;</w:t>
    </w:r>
    <w:r>
      <w:t>732.601</w:t>
    </w:r>
    <w:r w:rsidRPr="0008167A">
      <w:rPr>
        <w:rStyle w:val="HideTWBExt"/>
      </w:rPr>
      <w:t>&lt;/NoPE&gt;&lt;Version&gt;</w:t>
    </w:r>
    <w:r>
      <w:t>v02-00</w:t>
    </w:r>
    <w:r w:rsidRPr="0008167A">
      <w:rPr>
        <w:rStyle w:val="HideTWBExt"/>
      </w:rPr>
      <w:t>&lt;/Version&gt;</w:t>
    </w:r>
  </w:p>
  <w:p w:rsidR="0075381D" w:rsidRPr="00EF32F6" w:rsidRDefault="0075381D" w:rsidP="004A5C9F">
    <w:pPr>
      <w:pStyle w:val="EPFooter2"/>
    </w:pPr>
    <w:r>
      <w:t>SL</w:t>
    </w:r>
    <w:r>
      <w:tab/>
    </w:r>
    <w:r w:rsidRPr="004A5C9F">
      <w:rPr>
        <w:b w:val="0"/>
        <w:i/>
        <w:color w:val="C0C0C0"/>
        <w:sz w:val="22"/>
      </w:rPr>
      <w:t>Združena v raznolikosti</w:t>
    </w:r>
    <w:r>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Pr="00EF32F6" w:rsidRDefault="0075381D" w:rsidP="009368B3">
    <w:pPr>
      <w:pStyle w:val="EPFooter"/>
    </w:pPr>
    <w:r w:rsidRPr="0008167A">
      <w:rPr>
        <w:rStyle w:val="HideTWBExt"/>
      </w:rPr>
      <w:t>&lt;PathFdR&gt;</w:t>
    </w:r>
    <w:r w:rsidRPr="00EF32F6">
      <w:rPr>
        <w:color w:val="auto"/>
      </w:rPr>
      <w:t>PA\1256340SL.docx</w:t>
    </w:r>
    <w:r w:rsidRPr="0008167A">
      <w:rPr>
        <w:rStyle w:val="HideTWBExt"/>
      </w:rPr>
      <w:t>&lt;/PathFdR&gt;</w:t>
    </w:r>
    <w:r w:rsidRPr="00EF32F6">
      <w:tab/>
    </w:r>
    <w:r w:rsidRPr="00EF32F6">
      <w:tab/>
      <w:t>PE</w:t>
    </w:r>
    <w:r w:rsidRPr="0008167A">
      <w:rPr>
        <w:rStyle w:val="HideTWBExt"/>
      </w:rPr>
      <w:t>&lt;NoPE&gt;</w:t>
    </w:r>
    <w:r w:rsidRPr="00EF32F6">
      <w:rPr>
        <w:color w:val="auto"/>
      </w:rPr>
      <w:t>732.601</w:t>
    </w:r>
    <w:r w:rsidRPr="0008167A">
      <w:rPr>
        <w:rStyle w:val="HideTWBExt"/>
      </w:rPr>
      <w:t>&lt;/NoPE&gt;&lt;Version&gt;</w:t>
    </w:r>
    <w:r w:rsidRPr="00EF32F6">
      <w:t>v</w:t>
    </w:r>
    <w:r w:rsidRPr="00EF32F6">
      <w:rPr>
        <w:color w:val="auto"/>
      </w:rPr>
      <w:t>01-00</w:t>
    </w:r>
    <w:r w:rsidRPr="0008167A">
      <w:rPr>
        <w:rStyle w:val="HideTWBExt"/>
      </w:rPr>
      <w:t>&lt;/Version&gt;</w:t>
    </w:r>
  </w:p>
  <w:p w:rsidR="0075381D" w:rsidRPr="00EF32F6" w:rsidRDefault="00BA28B5" w:rsidP="00924555">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75381D" w:rsidRPr="00EF32F6">
      <w:tab/>
    </w:r>
    <w:r w:rsidR="0075381D" w:rsidRPr="00EF32F6">
      <w:rPr>
        <w:b w:val="0"/>
        <w:i/>
        <w:color w:val="C0C0C0"/>
        <w:sz w:val="22"/>
        <w:szCs w:val="22"/>
      </w:rPr>
      <w:t>Združena v raznolikosti</w:t>
    </w:r>
    <w:r w:rsidR="0075381D" w:rsidRPr="00EF32F6">
      <w:tab/>
    </w:r>
    <w:fldSimple w:instr=" DOCPROPERTY &quot;&lt;Extension&gt;&quot; ">
      <w:r>
        <w:t>SL</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81D" w:rsidRDefault="0075381D">
      <w:r>
        <w:separator/>
      </w:r>
    </w:p>
  </w:footnote>
  <w:footnote w:type="continuationSeparator" w:id="0">
    <w:p w:rsidR="0075381D" w:rsidRDefault="00753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BADAF1AC">
      <w:start w:val="1"/>
      <w:numFmt w:val="decimal"/>
      <w:lvlText w:val="%1."/>
      <w:lvlJc w:val="left"/>
      <w:pPr>
        <w:ind w:left="720" w:hanging="360"/>
      </w:pPr>
    </w:lvl>
    <w:lvl w:ilvl="1" w:tplc="1A48A4B4">
      <w:start w:val="1"/>
      <w:numFmt w:val="lowerLetter"/>
      <w:lvlText w:val="%2."/>
      <w:lvlJc w:val="left"/>
      <w:pPr>
        <w:ind w:left="1440" w:hanging="360"/>
      </w:pPr>
    </w:lvl>
    <w:lvl w:ilvl="2" w:tplc="0BF06464">
      <w:start w:val="1"/>
      <w:numFmt w:val="lowerRoman"/>
      <w:lvlText w:val="%3."/>
      <w:lvlJc w:val="right"/>
      <w:pPr>
        <w:ind w:left="2160" w:hanging="180"/>
      </w:pPr>
    </w:lvl>
    <w:lvl w:ilvl="3" w:tplc="EBC8EA9E">
      <w:start w:val="1"/>
      <w:numFmt w:val="decimal"/>
      <w:lvlText w:val="%4."/>
      <w:lvlJc w:val="left"/>
      <w:pPr>
        <w:ind w:left="2880" w:hanging="360"/>
      </w:pPr>
    </w:lvl>
    <w:lvl w:ilvl="4" w:tplc="36F24618">
      <w:start w:val="1"/>
      <w:numFmt w:val="lowerLetter"/>
      <w:lvlText w:val="%5."/>
      <w:lvlJc w:val="left"/>
      <w:pPr>
        <w:ind w:left="3600" w:hanging="360"/>
      </w:pPr>
    </w:lvl>
    <w:lvl w:ilvl="5" w:tplc="68F61122">
      <w:start w:val="1"/>
      <w:numFmt w:val="lowerRoman"/>
      <w:lvlText w:val="%6."/>
      <w:lvlJc w:val="right"/>
      <w:pPr>
        <w:ind w:left="4320" w:hanging="180"/>
      </w:pPr>
    </w:lvl>
    <w:lvl w:ilvl="6" w:tplc="8780CDF4">
      <w:start w:val="1"/>
      <w:numFmt w:val="decimal"/>
      <w:lvlText w:val="%7."/>
      <w:lvlJc w:val="left"/>
      <w:pPr>
        <w:ind w:left="5040" w:hanging="360"/>
      </w:pPr>
    </w:lvl>
    <w:lvl w:ilvl="7" w:tplc="A9A6BF4A">
      <w:start w:val="1"/>
      <w:numFmt w:val="lowerLetter"/>
      <w:lvlText w:val="%8."/>
      <w:lvlJc w:val="left"/>
      <w:pPr>
        <w:ind w:left="5760" w:hanging="360"/>
      </w:pPr>
    </w:lvl>
    <w:lvl w:ilvl="8" w:tplc="2C20428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NU" w:val=" 1"/>
    <w:docVar w:name="CJMNU" w:val="1"/>
    <w:docVar w:name="CODEMNU" w:val=" 1"/>
    <w:docVar w:name="COM2KEY" w:val="ITRE"/>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555289 HideTWBExt;}{_x000d__x000a_\s18\ql \li0\ri0\sa120\nowidctlpar\wrapdefault\aspalpha\aspnum\faauto\adjustright\rin0\lin0\itap0 \rtlch\fcs1 \af0\afs20\alang1025 \ltrch\fcs0 \fs24\lang1060\langfe2057\cgrid\langnp1060\langfenp2057 \sbasedon0 \snext18 \spriority0 \styrsid3555289 _x000d__x000a_Normal6a;}{\s19\ql \li0\ri0\nowidctlpar\wrapdefault\aspalpha\aspnum\faauto\adjustright\rin0\lin0\itap0 \rtlch\fcs1 \af0\afs20\alang1025 \ltrch\fcs0 \b\fs24\lang1060\langfe2057\cgrid\langnp1060\langfenp2057 \sbasedon0 \snext19 \spriority0 \styrsid3555289 _x000d__x000a_NormalBold;}{\*\cs20 \additive \v\f1\fs20\cf15 \spriority0 \styrsid3555289 HideTWBInt;}{\s21\qc \li0\ri0\sa240\nowidctlpar\wrapdefault\aspalpha\aspnum\faauto\adjustright\rin0\lin0\itap0 \rtlch\fcs1 \af0\afs20\alang1025 \ltrch\fcs0 _x000d__x000a_\i\fs24\lang1060\langfe2057\cgrid\langnp1060\langfenp2057 \sbasedon0 \snext21 \spriority0 \styrsid355528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2 \spriority0 \styrsid3555289 AmNumberTabs;}{\s23\ql \li0\ri0\sb240\nowidctlpar\wrapdefault\aspalpha\aspnum\faauto\adjustright\rin0\lin0\itap0 \rtlch\fcs1 _x000d__x000a_\af0\afs20\alang1025 \ltrch\fcs0 \b\fs24\lang1060\langfe2057\cgrid\langnp1060\langfenp2057 \sbasedon0 \snext23 \spriority0 \styrsid3555289 NormalBold12b;}}{\*\rsidtbl \rsid24658\rsid223860\rsid735077\rsid1718133\rsid2892074\rsid3555289\rsid3565327_x000d__x000a_\rsid4666813\rsid6641733\rsid7823322\rsid9636012\rsid10377208\rsid11215221\rsid11549030\rsid12154954\rsid14382809\rsid14424199\rsid14682436\rsid15204470\rsid15285974\rsid15950462\rsid16324206\rsid16662270}{\mmathPr\mmathFont34\mbrkBin0\mbrkBinSub0_x000d__x000a_\msmallFrac0\mdispDef1\mlMargin0\mrMargin0\mdefJc1\mwrapIndent1440\mintLim0\mnaryLim1}{\info{\author FIC KUHARIC Romanca}{\operator FIC KUHARIC Romanca}{\creatim\yr2022\mo10\dy19\hr11\min12}{\revtim\yr2022\mo10\dy19\hr11\min12}{\version1}{\edmins0}_x000d__x000a_{\nofpages1}{\nofwords34}{\nofchars199}{\nofcharsws23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5289\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4682436 \chftnsep _x000d__x000a_\par }}{\*\ftnsepc \ltrpar \pard\plain \ltrpar\ql \li0\ri0\widctlpar\wrapdefault\aspalpha\aspnum\faauto\adjustright\rin0\lin0\itap0 \rtlch\fcs1 \af0\afs20\alang1025 \ltrch\fcs0 \fs24\lang2057\langfe2057\cgrid\langnp2057\langfenp2057 {\rtlch\fcs1 \af0 _x000d__x000a_\ltrch\fcs0 \insrsid14682436 \chftnsepc _x000d__x000a_\par }}{\*\aftnsep \ltrpar \pard\plain \ltrpar\ql \li0\ri0\widctlpar\wrapdefault\aspalpha\aspnum\faauto\adjustright\rin0\lin0\itap0 \rtlch\fcs1 \af0\afs20\alang1025 \ltrch\fcs0 \fs24\lang2057\langfe2057\cgrid\langnp2057\langfenp2057 {\rtlch\fcs1 \af0 _x000d__x000a_\ltrch\fcs0 \insrsid14682436 \chftnsep _x000d__x000a_\par }}{\*\aftnsepc \ltrpar \pard\plain \ltrpar\ql \li0\ri0\widctlpar\wrapdefault\aspalpha\aspnum\faauto\adjustright\rin0\lin0\itap0 \rtlch\fcs1 \af0\afs20\alang1025 \ltrch\fcs0 \fs24\lang2057\langfe2057\cgrid\langnp2057\langfenp2057 {\rtlch\fcs1 \af0 _x000d__x000a_\ltrch\fcs0 \insrsid146824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555289 \rtlch\fcs1 _x000d__x000a_\af0\afs20\alang1025 \ltrch\fcs0 \b\fs24\lang1060\langfe2057\cgrid\langnp1060\langfenp2057 {\rtlch\fcs1 \af0 \ltrch\fcs0 \cs17\b0\v\fs20\cf9\loch\af1\hich\af1\dbch\af31501\insrsid3555289\charrsid11865840 {\*\bkmkstart restartA}_x000d__x000a_\hich\af1\dbch\af31501\loch\f1 &lt;AmendA&gt;}{\rtlch\fcs1 \af0 \ltrch\fcs0 \insrsid3555289\charrsid11865840 Predlog spremembe\tab \tab }{\rtlch\fcs1 \af0 \ltrch\fcs0 \cs17\b0\v\fs20\cf9\loch\af1\hich\af1\dbch\af31501\insrsid3555289\charrsid11865840 _x000d__x000a_\hich\af1\dbch\af31501\loch\f1 &lt;NumAmA&gt;}{\rtlch\fcs1 \af0 \ltrch\fcs0 \insrsid3555289\charrsid11865840 #}{\rtlch\fcs1 \af1 \ltrch\fcs0 \cs20\v\f1\fs20\cf15\insrsid3555289\charrsid11865840 NRAMMSG}{\rtlch\fcs1 \af0 \ltrch\fcs0 _x000d__x000a_\insrsid3555289\charrsid11865840 #}{\rtlch\fcs1 \af0 \ltrch\fcs0 \cs17\b0\v\fs20\cf9\loch\af1\hich\af1\dbch\af31501\insrsid3555289\charrsid11865840 \hich\af1\dbch\af31501\loch\f1 &lt;/NumAmA&gt;}{\rtlch\fcs1 \af0 \ltrch\fcs0 \insrsid3555289\charrsid11865840 _x000d__x000a__x000d__x000a_\par }\pard\plain \ltrpar\s23\ql \li0\ri0\sb240\keepn\nowidctlpar\wrapdefault\aspalpha\aspnum\faauto\adjustright\rin0\lin0\itap0\pararsid3555289 \rtlch\fcs1 \af0\afs20\alang1025 \ltrch\fcs0 \b\fs24\lang1060\langfe2057\cgrid\langnp1060\langfenp2057 {_x000d__x000a_\rtlch\fcs1 \af0 \ltrch\fcs0 \cs17\b0\v\fs20\cf9\loch\af1\hich\af1\dbch\af31501\insrsid3555289\charrsid11865840 \hich\af1\dbch\af31501\loch\f1 &lt;DocAmend&gt;}{\rtlch\fcs1 \af0 \ltrch\fcs0 \insrsid3555289\charrsid11865840 Osnutek zakonodajne resolucije}{_x000d__x000a_\rtlch\fcs1 \af0 \ltrch\fcs0 \cs17\b0\v\fs20\cf9\loch\af1\hich\af1\dbch\af31501\insrsid3555289\charrsid11865840 \hich\af1\dbch\af31501\loch\f1 &lt;/DocAmend&gt;}{\rtlch\fcs1 \af0 \ltrch\fcs0 \insrsid3555289\charrsid11865840 _x000d__x000a_\par }\pard\plain \ltrpar\s19\ql \li0\ri0\nowidctlpar\wrapdefault\aspalpha\aspnum\faauto\adjustright\rin0\lin0\itap0\pararsid3555289 \rtlch\fcs1 \af0\afs20\alang1025 \ltrch\fcs0 \b\fs24\lang1060\langfe2057\cgrid\langnp1060\langfenp2057 {\rtlch\fcs1 \af0 _x000d__x000a_\ltrch\fcs0 \cs17\b0\v\fs20\cf9\loch\af1\hich\af1\dbch\af31501\insrsid3555289\charrsid11865840 \hich\af1\dbch\af31501\loch\f1 &lt;Article&gt;}{\rtlch\fcs1 \af0 \ltrch\fcs0 \cf10\insrsid3555289\charrsid8594448 \u9668\'3f}{\rtlch\fcs1 \af0 \ltrch\fcs0 _x000d__x000a_\insrsid3555289\charrsid11865840 #}{\rtlch\fcs1 \af1 \ltrch\fcs0 \cs20\v\f1\fs20\cf15\insrsid3555289\charrsid11865840 TVTRESPART@RESPART@}{\rtlch\fcs1 \af0 \ltrch\fcs0 \insrsid3555289\charrsid11865840 #}{\rtlch\fcs1 \af0 \ltrch\fcs0 _x000d__x000a_\cf10\insrsid3555289\charrsid8594448 \u9658\'3f}{\rtlch\fcs1 \af0 \ltrch\fcs0 \cs17\b0\v\fs20\cf9\loch\af1\hich\af1\dbch\af31501\insrsid3555289\charrsid11865840 \hich\af1\dbch\af31501\loch\f1 &lt;/Article&gt;}{\rtlch\fcs1 \af0 \ltrch\fcs0 _x000d__x000a_\insrsid3555289\charrsid118658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0\langfe2057\langnp1060\insrsid3555289\charrsid11865840 \cell }\pard \ltrpar_x000d__x000a_\ql \li0\ri0\widctlpar\intbl\wrapdefault\aspalpha\aspnum\faauto\adjustright\rin0\lin0 {\rtlch\fcs1 \af0 \ltrch\fcs0 \lang1060\langfe2057\langnp1060\insrsid3555289\charrsid11865840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60\langfe2057\cgrid\langnp1060\langfenp2057 {\rtlch\fcs1 \af0 \ltrch\fcs0 \insrsid3555289\charrsid11865840 Osnutek zakonodajne resolucije\cell Predlog spremembe\cell }\pard\plain \ltrpar_x000d__x000a_\ql \li0\ri0\widctlpar\intbl\wrapdefault\aspalpha\aspnum\faauto\adjustright\rin0\lin0 \rtlch\fcs1 \af0\afs20\alang1025 \ltrch\fcs0 \fs24\lang2057\langfe2057\cgrid\langnp2057\langfenp2057 {\rtlch\fcs1 \af0 \ltrch\fcs0 _x000d__x000a_\lang1060\langfe2057\langnp1060\insrsid3555289\charrsid11865840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0\langfe2057\cgrid\langnp1060\langfenp2057 {\rtlch\fcs1 \af0 \ltrch\fcs0 \insrsid3555289\charrsid11865840 #}{\rtlch\fcs1 \af1 \ltrch\fcs0 \cs20\v\f1\fs20\cf15\insrsid3555289\charrsid11865840 TEXTMSG}{\rtlch\fcs1 \af0 \ltrch\fcs0 _x000d__x000a_\insrsid3555289\charrsid11865840 #\cell #}{\rtlch\fcs1 \af1 \ltrch\fcs0 \cs20\v\f1\fs20\cf15\insrsid3555289\charrsid11865840 TEXTMSG}{\rtlch\fcs1 \af0 \ltrch\fcs0 \insrsid3555289\charrsid11865840 #}{\rtlch\fcs1 \af0\afs24 \ltrch\fcs0 _x000d__x000a_\insrsid3555289\charrsid11865840 \cell }\pard\plain \ltrpar\ql \li0\ri0\widctlpar\intbl\wrapdefault\aspalpha\aspnum\faauto\adjustright\rin0\lin0 \rtlch\fcs1 \af0\afs20\alang1025 \ltrch\fcs0 \fs24\lang2057\langfe2057\cgrid\langnp2057\langfenp2057 {_x000d__x000a_\rtlch\fcs1 \af0 \ltrch\fcs0 \lang1060\langfe2057\langnp1060\insrsid3555289\charrsid118658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555289 {\rtlch\fcs1 \af0 \ltrch\fcs0 \cs17\v\fs20\cf9\lang1060\langfe2057\loch\af1\hich\af1\dbch\af31501\langnp1060\insrsid3555289\charrsid11865840 _x000d__x000a_\hich\af1\dbch\af31501\loch\f1 &lt;/AmendA&gt;}{\rtlch\fcs1 \af0 \ltrch\fcs0 \insrsid355528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5_x000d__x000a_5cd99a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9010 HideTWBExt;}{_x000d__x000a_\s18\ql \li0\ri0\sa120\nowidctlpar\wrapdefault\aspalpha\aspnum\faauto\adjustright\rin0\lin0\itap0 \rtlch\fcs1 \af0\afs20\alang1025 \ltrch\fcs0 \fs24\lang1060\langfe2057\cgrid\langnp1060\langfenp2057 \sbasedon0 \snext18 \spriority0 \styrsid4029010 _x000d__x000a_Normal6a;}{\s19\ql \li0\ri0\nowidctlpar\wrapdefault\aspalpha\aspnum\faauto\adjustright\rin0\lin0\itap0 \rtlch\fcs1 \af0\afs20\alang1025 \ltrch\fcs0 \b\fs24\lang1060\langfe2057\cgrid\langnp1060\langfenp2057 \sbasedon0 \snext19 \spriority0 \styrsid4029010 _x000d__x000a_NormalBold;}{\s20\ql \li0\ri0\sa240\nowidctlpar\wrapdefault\aspalpha\aspnum\faauto\adjustright\rin0\lin0\itap0 \rtlch\fcs1 \af0\afs20\alang1025 \ltrch\fcs0 \i\fs24\lang1060\langfe2057\cgrid\langnp1060\langfenp2057 _x000d__x000a_\sbasedon0 \snext20 \spriority0 \styrsid4029010 AmJustText;}{\s21\qc \li0\ri0\sb240\sa240\nowidctlpar\wrapdefault\aspalpha\aspnum\faauto\adjustright\rin0\lin0\itap0 \rtlch\fcs1 \af0\afs20\alang1025 \ltrch\fcs0 _x000d__x000a_\i\fs24\lang1060\langfe2057\cgrid\langnp1060\langfenp2057 \sbasedon0 \snext21 \spriority0 \styrsid4029010 AmCrossRef;}{\*\cs22 \additive \v\f1\fs20\cf15 \spriority0 \styrsid4029010 HideTWBInt;}{_x000d__x000a_\s23\qc \li0\ri0\sb240\sa240\keepn\nowidctlpar\wrapdefault\aspalpha\aspnum\faauto\adjustright\rin0\lin0\itap0 \rtlch\fcs1 \af0\afs20\alang1025 \ltrch\fcs0 \i\fs24\lang1060\langfe2057\cgrid\langnp1060\langfenp2057 _x000d__x000a_\sbasedon0 \snext20 \spriority0 \styrsid4029010 AmJustTitle;}{\s24\qc \li0\ri0\sa240\nowidctlpar\wrapdefault\aspalpha\aspnum\faauto\adjustright\rin0\lin0\itap0 \rtlch\fcs1 \af0\afs20\alang1025 \ltrch\fcs0 _x000d__x000a_\i\fs24\lang1060\langfe2057\cgrid\langnp1060\langfenp2057 \sbasedon0 \snext24 \spriority0 \styrsid402901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5 \spriority0 \styrsid4029010 AmNumberTabs;}{\s26\ql \li0\ri0\sb240\nowidctlpar\wrapdefault\aspalpha\aspnum\faauto\adjustright\rin0\lin0\itap0 \rtlch\fcs1 _x000d__x000a_\af0\afs20\alang1025 \ltrch\fcs0 \b\fs24\lang1060\langfe2057\cgrid\langnp1060\langfenp2057 \sbasedon0 \snext26 \spriority0 \styrsid4029010 NormalBold12b;}}{\*\rsidtbl \rsid24658\rsid223860\rsid735077\rsid1718133\rsid2892074\rsid3565327\rsid4029010_x000d__x000a_\rsid4666813\rsid6641733\rsid7823322\rsid9636012\rsid10377208\rsid11215221\rsid11549030\rsid12154954\rsid13697964\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2\mo10\dy19\hr11\min12}{\revtim\yr2022\mo10\dy19\hr11\min12}{\version1}{\edmins0}_x000d__x000a_{\nofpages1}{\nofwords100}{\nofchars572}{\nofcharsws6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901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3697964 \chftnsep _x000d__x000a_\par }}{\*\ftnsepc \ltrpar \pard\plain \ltrpar\ql \li0\ri0\widctlpar\wrapdefault\aspalpha\aspnum\faauto\adjustright\rin0\lin0\itap0 \rtlch\fcs1 \af0\afs20\alang1025 \ltrch\fcs0 \fs24\lang2057\langfe2057\cgrid\langnp2057\langfenp2057 {\rtlch\fcs1 \af0 _x000d__x000a_\ltrch\fcs0 \insrsid13697964 \chftnsepc _x000d__x000a_\par }}{\*\aftnsep \ltrpar \pard\plain \ltrpar\ql \li0\ri0\widctlpar\wrapdefault\aspalpha\aspnum\faauto\adjustright\rin0\lin0\itap0 \rtlch\fcs1 \af0\afs20\alang1025 \ltrch\fcs0 \fs24\lang2057\langfe2057\cgrid\langnp2057\langfenp2057 {\rtlch\fcs1 \af0 _x000d__x000a_\ltrch\fcs0 \insrsid13697964 \chftnsep _x000d__x000a_\par }}{\*\aftnsepc \ltrpar \pard\plain \ltrpar\ql \li0\ri0\widctlpar\wrapdefault\aspalpha\aspnum\faauto\adjustright\rin0\lin0\itap0 \rtlch\fcs1 \af0\afs20\alang1025 \ltrch\fcs0 \fs24\lang2057\langfe2057\cgrid\langnp2057\langfenp2057 {\rtlch\fcs1 \af0 _x000d__x000a_\ltrch\fcs0 \insrsid136979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4029010 \rtlch\fcs1 _x000d__x000a_\af0\afs20\alang1025 \ltrch\fcs0 \b\fs24\lang1060\langfe2057\cgrid\langnp1060\langfenp2057 {\rtlch\fcs1 \af0 \ltrch\fcs0 \cs17\b0\v\fs20\cf9\loch\af1\hich\af1\dbch\af31501\insrsid4029010\charrsid11865840 {\*\bkmkstart restartB}_x000d__x000a_\hich\af1\dbch\af31501\loch\f1 &lt;AmendB&gt;}{\rtlch\fcs1 \af0 \ltrch\fcs0 \insrsid4029010\charrsid11865840 Predlog spremembe\tab \tab }{\rtlch\fcs1 \af0 \ltrch\fcs0 \cs17\b0\v\fs20\cf9\loch\af1\hich\af1\dbch\af31501\insrsid4029010\charrsid11865840 _x000d__x000a_\hich\af1\dbch\af31501\loch\f1 &lt;NumAmB&gt;}{\rtlch\fcs1 \af0 \ltrch\fcs0 \insrsid4029010\charrsid11865840 #}{\rtlch\fcs1 \af1 \ltrch\fcs0 \cs22\v\f1\fs20\cf15\insrsid4029010\charrsid11865840 NRAMMSG}{\rtlch\fcs1 \af0 \ltrch\fcs0 _x000d__x000a_\insrsid4029010\charrsid11865840 #}{\rtlch\fcs1 \af0 \ltrch\fcs0 \cs17\b0\v\fs20\cf9\loch\af1\hich\af1\dbch\af31501\insrsid4029010\charrsid11865840 \hich\af1\dbch\af31501\loch\f1 &lt;/NumAmB&gt;}{\rtlch\fcs1 \af0 \ltrch\fcs0 \insrsid4029010\charrsid11865840 _x000d__x000a__x000d__x000a_\par }\pard\plain \ltrpar\s26\ql \li0\ri0\sb240\keepn\nowidctlpar\wrapdefault\aspalpha\aspnum\faauto\adjustright\rin0\lin0\itap0\pararsid4029010 \rtlch\fcs1 \af0\afs20\alang1025 \ltrch\fcs0 \b\fs24\lang1060\langfe2057\cgrid\langnp1060\langfenp2057 {_x000d__x000a_\rtlch\fcs1 \af0 \ltrch\fcs0 \cs17\b0\v\fs20\cf9\loch\af1\hich\af1\dbch\af31501\insrsid4029010\charrsid11865840 \hich\af1\dbch\af31501\loch\f1 &lt;DocAmend&gt;}{\rtlch\fcs1 \af0 \ltrch\fcs0 \insrsid4029010\charrsid11865840 #}{\rtlch\fcs1 \af1 \ltrch\fcs0 _x000d__x000a_\cs22\v\f1\fs20\cf15\insrsid4029010\charrsid11865840 MNU[OPTPROPOSALCOD][OPTPROPOSALCNS][OPTPROPOSALNLE]@CHOICE@CODEMNU}{\rtlch\fcs1 \af0 \ltrch\fcs0 \insrsid4029010\charrsid11865840 ##}{\rtlch\fcs1 \af1 \ltrch\fcs0 _x000d__x000a_\cs22\v\f1\fs20\cf15\insrsid4029010\charrsid11865840 MNU[AMACTYES][NOTAPP]@CHOICE@AMACTMNU}{\rtlch\fcs1 \af0 \ltrch\fcs0 \insrsid4029010\charrsid11865840 #}{\rtlch\fcs1 \af0 \ltrch\fcs0 _x000d__x000a_\cs17\b0\v\fs20\cf9\loch\af1\hich\af1\dbch\af31501\insrsid4029010\charrsid11865840 \hich\af1\dbch\af31501\loch\f1 &lt;/DocAmend&gt;}{\rtlch\fcs1 \af0 \ltrch\fcs0 \insrsid4029010\charrsid11865840 _x000d__x000a_\par }\pard\plain \ltrpar\s19\ql \li0\ri0\keepn\nowidctlpar\wrapdefault\aspalpha\aspnum\faauto\adjustright\rin0\lin0\itap0\pararsid4029010 \rtlch\fcs1 \af0\afs20\alang1025 \ltrch\fcs0 \b\fs24\lang1060\langfe2057\cgrid\langnp1060\langfenp2057 {\rtlch\fcs1 \af0 _x000d__x000a_\ltrch\fcs0 \cs17\b0\v\fs20\cf9\loch\af1\hich\af1\dbch\af31501\insrsid4029010\charrsid11865840 \hich\af1\dbch\af31501\loch\f1 &lt;Article&gt;}{\rtlch\fcs1 \af0 \ltrch\fcs0 \insrsid4029010\charrsid11865840 #}{\rtlch\fcs1 \af1 \ltrch\fcs0 _x000d__x000a_\cs22\v\f1\fs20\cf15\insrsid4029010\charrsid11865840 MNU[AMACTPARTYES][AMACTPARTNO]@CHOICE@AMACTMNU}{\rtlch\fcs1 \af0 \ltrch\fcs0 \insrsid4029010\charrsid11865840 #}{\rtlch\fcs1 \af0 \ltrch\fcs0 _x000d__x000a_\cs17\b0\v\fs20\cf9\loch\af1\hich\af1\dbch\af31501\insrsid4029010\charrsid11865840 \hich\af1\dbch\af31501\loch\f1 &lt;/Article&gt;}{\rtlch\fcs1 \af0 \ltrch\fcs0 \insrsid4029010\charrsid11865840 _x000d__x000a_\par }\pard\plain \ltrpar\ql \li0\ri0\keepn\widctlpar\wrapdefault\aspalpha\aspnum\faauto\adjustright\rin0\lin0\itap0\pararsid4029010 \rtlch\fcs1 \af0\afs20\alang1025 \ltrch\fcs0 \fs24\lang2057\langfe2057\cgrid\langnp2057\langfenp2057 {\rtlch\fcs1 \af0 _x000d__x000a_\ltrch\fcs0 \cs17\v\fs20\cf9\lang1060\langfe2057\loch\af1\hich\af1\dbch\af31501\langnp1060\insrsid4029010\charrsid11865840 \hich\af1\dbch\af31501\loch\f1 &lt;DocAmend2&gt;&lt;O\hich\af1\dbch\af31501\loch\f1 ptDel&gt;}{\rtlch\fcs1 \af0 \ltrch\fcs0 _x000d__x000a_\lang1060\langfe2057\langnp1060\insrsid4029010\charrsid11865840 #}{\rtlch\fcs1 \af1 \ltrch\fcs0 \cs22\v\f1\fs20\cf15\lang1060\langfe2057\langnp1060\insrsid4029010\charrsid11865840 MNU[OPTNRACTYES][NOTAPP]@CHOICE@AMACTMNU}{\rtlch\fcs1 \af0 \ltrch\fcs0 _x000d__x000a_\lang1060\langfe2057\langnp1060\insrsid4029010\charrsid11865840 #}{\rtlch\fcs1 \af0 \ltrch\fcs0 \cs17\v\fs20\cf9\lang1060\langfe2057\loch\af1\hich\af1\dbch\af31501\langnp1060\insrsid4029010\charrsid11865840 \hich\af1\dbch\af31501\loch\f1 _x000d__x000a_&lt;/OptDel&gt;&lt;/DocAmend2&gt;}{\rtlch\fcs1 \af0 \ltrch\fcs0 \lang1060\langfe2057\langnp1060\insrsid4029010\charrsid11865840 _x000d__x000a_\par }\pard \ltrpar\ql \li0\ri0\widctlpar\wrapdefault\aspalpha\aspnum\faauto\adjustright\rin0\lin0\itap0\pararsid4029010 {\rtlch\fcs1 \af0 \ltrch\fcs0 _x000d__x000a_\cs17\v\fs20\cf9\lang1060\langfe2057\loch\af1\hich\af1\dbch\af31501\langnp1060\insrsid4029010\charrsid11865840 \hich\af1\dbch\af31501\loch\f1 &lt;Article2&gt;&lt;OptDel&gt;}{\rtlch\fcs1 \af0 \ltrch\fcs0 \lang1060\langfe2057\langnp1060\insrsid4029010\charrsid11865840 _x000d__x000a_#}{\rtlch\fcs1 \af1 \ltrch\fcs0 \cs22\v\f1\fs20\cf15\lang1060\langfe2057\langnp1060\insrsid4029010\charrsid11865840 MNU[OPTACTPARTYES][NOTAPP]@CHOICE@AMACTMNU}{\rtlch\fcs1 \af0 \ltrch\fcs0 \lang1060\langfe2057\langnp1060\insrsid4029010\charrsid11865840 #}_x000d__x000a_{\rtlch\fcs1 \af0 \ltrch\fcs0 \cs17\v\fs20\cf9\lang1060\langfe2057\loch\af1\hich\af1\dbch\af31501\langnp1060\insrsid4029010\charrsid11865840 \hich\af1\dbch\af31501\loch\f1 &lt;/OptDel&gt;&lt;/Article2&gt;}{\rtlch\fcs1 \af0 \ltrch\fcs0 _x000d__x000a_\lang1060\langfe2057\langnp1060\insrsid4029010\charrsid118658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60\langfe2057\langnp1060\insrsid4029010\charrsid11865840 \cell }\pard \ltrpar\ql \li0\ri0\widctlpar\intbl\wrapdefault\aspalpha\aspnum\faauto\adjustright\rin0\lin0 {\rtlch\fcs1 \af0 \ltrch\fcs0 _x000d__x000a_\lang1060\langfe2057\langnp1060\insrsid4029010\charrsid118658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0\langfe2057\cgrid\langnp1060\langfenp2057 {\rtlch\fcs1 \af0 \ltrch\fcs0 _x000d__x000a_\insrsid4029010\charrsid11865840 #}{\rtlch\fcs1 \af1 \ltrch\fcs0 \cs22\v\f1\fs20\cf15\insrsid4029010\charrsid11865840 MNU[OPTLEFTAMACT][LEFTPROP]@CHOICE@AMACTMNU}{\rtlch\fcs1 \af0 \ltrch\fcs0 \insrsid4029010\charrsid11865840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4029010\charrsid11865840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60\langfe2057\cgrid\langnp1060\langfenp2057 {\rtlch\fcs1 \af0 \ltrch\fcs0 _x000d__x000a_\insrsid4029010\charrsid11865840 #}{\rtlch\fcs1 \af1 \ltrch\fcs0 \cs22\v\f1\fs20\cf15\insrsid4029010\charrsid11865840 TEXTMSG}{\rtlch\fcs1 \af0 \ltrch\fcs0 \insrsid4029010\charrsid11865840 #\cell #}{\rtlch\fcs1 \af1 \ltrch\fcs0 _x000d__x000a_\cs22\v\f1\fs20\cf15\insrsid4029010\charrsid11865840 TEXTMSG}{\rtlch\fcs1 \af0 \ltrch\fcs0 \insrsid4029010\charrsid11865840 #}{\rtlch\fcs1 \af0\afs24 \ltrch\fcs0 \insrsid4029010\charrsid11865840 \cell }\pard\plain \ltrpar_x000d__x000a_\ql \li0\ri0\widctlpar\intbl\wrapdefault\aspalpha\aspnum\faauto\adjustright\rin0\lin0 \rtlch\fcs1 \af0\afs20\alang1025 \ltrch\fcs0 \fs24\lang2057\langfe2057\cgrid\langnp2057\langfenp2057 {\rtlch\fcs1 \af0 \ltrch\fcs0 _x000d__x000a_\lang1060\langfe2057\langnp1060\insrsid4029010\charrsid118658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029010 \rtlch\fcs1 \af0\afs20\alang1025 \ltrch\fcs0 \i\fs24\lang1060\langfe2057\cgrid\langnp1060\langfenp2057 {\rtlch\fcs1 \af0 \ltrch\fcs0 _x000d__x000a_\cs17\i0\v\fs20\cf9\loch\af1\hich\af1\dbch\af31501\insrsid4029010\charrsid11865840 \hich\af1\dbch\af31501\loch\f1 &lt;OptDel&gt;}{\rtlch\fcs1 \af0 \ltrch\fcs0 \insrsid4029010\charrsid11865840 #}{\rtlch\fcs1 \af1 \ltrch\fcs0 _x000d__x000a_\cs22\v\f1\fs20\cf15\insrsid4029010\charrsid11865840 MNU[CROSSREFNO][CROSSREFYES]@CHOICE@}{\rtlch\fcs1 \af0 \ltrch\fcs0 \insrsid4029010\charrsid11865840 #}{\rtlch\fcs1 \af0 \ltrch\fcs0 _x000d__x000a_\cs17\i0\v\fs20\cf9\loch\af1\hich\af1\dbch\af31501\insrsid4029010\charrsid11865840 \hich\af1\dbch\af31501\loch\f1 &lt;/OptDel&gt;}{\rtlch\fcs1 \af0 \ltrch\fcs0 \insrsid4029010\charrsid11865840 _x000d__x000a_\par }\pard\plain \ltrpar\s23\qc \li0\ri0\sb240\sa240\keepn\nowidctlpar\wrapdefault\aspalpha\aspnum\faauto\adjustright\rin0\lin0\itap0\pararsid4029010 \rtlch\fcs1 \af0\afs20\alang1025 \ltrch\fcs0 \i\fs24\lang1060\langfe2057\cgrid\langnp1060\langfenp2057 {_x000d__x000a_\rtlch\fcs1 \af0 \ltrch\fcs0 \cs17\i0\v\fs20\cf9\loch\af1\hich\af1\dbch\af31501\insrsid4029010\charrsid11865840 \hich\af1\dbch\af31501\loch\f1 &lt;TitreJust&gt;}{\rtlch\fcs1 \af0 \ltrch\fcs0 \insrsid4029010\charrsid11865840 Obrazlo\'9eitev}{\rtlch\fcs1 \af0 _x000d__x000a_\ltrch\fcs0 \cs17\i0\v\fs20\cf9\loch\af1\hich\af1\dbch\af31501\insrsid4029010\charrsid11865840 \hich\af1\dbch\af31501\loch\f1 &lt;/TitreJust&gt;}{\rtlch\fcs1 \af0 \ltrch\fcs0 \insrsid4029010\charrsid11865840 _x000d__x000a_\par }\pard\plain \ltrpar\s20\ql \li0\ri0\sa240\nowidctlpar\wrapdefault\aspalpha\aspnum\faauto\adjustright\rin0\lin0\itap0\pararsid4029010 \rtlch\fcs1 \af0\afs20\alang1025 \ltrch\fcs0 \i\fs24\lang1060\langfe2057\cgrid\langnp1060\langfenp2057 {\rtlch\fcs1 \af0 _x000d__x000a_\ltrch\fcs0 \cs17\i0\v\fs20\cf9\loch\af1\hich\af1\dbch\af31501\insrsid4029010\charrsid11865840 \hich\af1\dbch\af31501\loch\f1 &lt;OptDelPrev&gt;}{\rtlch\fcs1 \af0 \ltrch\fcs0 \insrsid4029010\charrsid11865840 #}{\rtlch\fcs1 \af1 \ltrch\fcs0 _x000d__x000a_\cs22\v\f1\fs20\cf15\insrsid4029010\charrsid11865840 MNU[TEXTJUSTYES][TEXTJUSTNO]@CHOICE@}{\rtlch\fcs1 \af0 \ltrch\fcs0 \insrsid4029010\charrsid11865840 #}{\rtlch\fcs1 \af0 \ltrch\fcs0 _x000d__x000a_\cs17\i0\v\fs20\cf9\loch\af1\hich\af1\dbch\af31501\insrsid4029010\charrsid11865840 \hich\af1\dbch\af31501\loch\f1 &lt;/OptDelPrev&gt;}{\rtlch\fcs1 \af0 \ltrch\fcs0 \insrsid4029010\charrsid11865840 _x000d__x000a_\par }\pard\plain \ltrpar\ql \li0\ri0\widctlpar\wrapdefault\aspalpha\aspnum\faauto\adjustright\rin0\lin0\itap0\pararsid4029010 \rtlch\fcs1 \af0\afs20\alang1025 \ltrch\fcs0 \fs24\lang2057\langfe2057\cgrid\langnp2057\langfenp2057 {\rtlch\fcs1 \af0 \ltrch\fcs0 _x000d__x000a_\cs17\v\fs20\cf9\lang1060\langfe2057\loch\af1\hich\af1\dbch\af31501\langnp1060\insrsid4029010\charrsid11865840 \hich\af1\dbch\af31501\loch\f1 &lt;/AmendB&gt;}{\rtlch\fcs1 \af0 \ltrch\fcs0 \insrsid402901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b_x000d__x000a_d1db9a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75343 HideTWBExt;}{_x000d__x000a_\s18\ql \li0\ri0\sa120\nowidctlpar\wrapdefault\aspalpha\aspnum\faauto\adjustright\rin0\lin0\itap0 \rtlch\fcs1 \af0\afs20\alang1025 \ltrch\fcs0 \fs24\lang2057\langfe2057\cgrid\langnp2057\langfenp2057 \sbasedon0 \snext18 \spriority0 \styrsid10575343 _x000d__x000a_Normal6a;}{\s19\ql \li0\ri0\nowidctlpar\wrapdefault\aspalpha\aspnum\faauto\adjustright\rin0\lin0\itap0 \rtlch\fcs1 \af0\afs20\alang1025 \ltrch\fcs0 \b\fs24\lang2057\langfe2057\cgrid\langnp2057\langfenp2057 \sbasedon0 \snext19 \spriority0 \styrsid10575343 _x000d__x000a_NormalBold;}{\s20\qc \li0\ri0\sa240\nowidctlpar\wrapdefault\aspalpha\aspnum\faauto\adjustright\rin0\lin0\itap0 \rtlch\fcs1 \af0\afs20\alang1025 \ltrch\fcs0 \i\fs24\lang2057\langfe2057\cgrid\langnp2057\langfenp2057 _x000d__x000a_\sbasedon0 \snext20 \spriority0 \styrsid105753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575343 AmNumberTabs;}{\s22\ql \li0\ri0\sb240\nowidctlpar\wrapdefault\aspalpha\aspnum\faauto\adjustright\rin0\lin0\itap0 \rtlch\fcs1 _x000d__x000a_\af0\afs20\alang1025 \ltrch\fcs0 \b\fs24\lang2057\langfe2057\cgrid\langnp2057\langfenp2057 \sbasedon0 \snext22 \spriority0 \styrsid10575343 NormalBold12b;}}{\*\rsidtbl \rsid24658\rsid223860\rsid735077\rsid1718133\rsid2106101\rsid2892074\rsid3565327_x000d__x000a_\rsid4666813\rsid6641733\rsid7823322\rsid9636012\rsid10377208\rsid10575343\rsid11215221\rsid11549030\rsid12154954\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2\mo10\dy19\hr11\min12}{\revtim\yr2022\mo10\dy19\hr11\min12}{\version1}{\edmins0}_x000d__x000a_{\nofpages1}{\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75343\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2106101 \chftnsep _x000d__x000a_\par }}{\*\ftnsepc \ltrpar \pard\plain \ltrpar\ql \li0\ri0\widctlpar\wrapdefault\aspalpha\aspnum\faauto\adjustright\rin0\lin0\itap0 \rtlch\fcs1 \af0\afs20\alang1025 \ltrch\fcs0 \fs24\lang2057\langfe2057\cgrid\langnp2057\langfenp2057 {\rtlch\fcs1 \af0 _x000d__x000a_\ltrch\fcs0 \insrsid2106101 \chftnsepc _x000d__x000a_\par }}{\*\aftnsep \ltrpar \pard\plain \ltrpar\ql \li0\ri0\widctlpar\wrapdefault\aspalpha\aspnum\faauto\adjustright\rin0\lin0\itap0 \rtlch\fcs1 \af0\afs20\alang1025 \ltrch\fcs0 \fs24\lang2057\langfe2057\cgrid\langnp2057\langfenp2057 {\rtlch\fcs1 \af0 _x000d__x000a_\ltrch\fcs0 \insrsid2106101 \chftnsep _x000d__x000a_\par }}{\*\aftnsepc \ltrpar \pard\plain \ltrpar\ql \li0\ri0\widctlpar\wrapdefault\aspalpha\aspnum\faauto\adjustright\rin0\lin0\itap0 \rtlch\fcs1 \af0\afs20\alang1025 \ltrch\fcs0 \fs24\lang2057\langfe2057\cgrid\langnp2057\langfenp2057 {\rtlch\fcs1 \af0 _x000d__x000a_\ltrch\fcs0 \insrsid2106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575343 \rtlch\fcs1 _x000d__x000a_\af0\afs20\alang1025 \ltrch\fcs0 \b\fs24\lang2057\langfe2057\cgrid\langnp2057\langfenp2057 {\rtlch\fcs1 \af0 \ltrch\fcs0 \cs17\b0\v\fs20\cf9\lang1024\langfe1024\loch\af1\hich\af1\dbch\af31501\noproof\insrsid10575343\charrsid15879488 {\*\bkmkstart restartA_x000d__x000a_}\hich\af1\dbch\af31501\loch\f1 &lt;AmendA&gt;}{\rtlch\fcs1 \af0 \ltrch\fcs0 \insrsid10575343\charrsid15879488 [ZAMENDMENT]\tab \tab }{\rtlch\fcs1 \af0 \ltrch\fcs0 _x000d__x000a_\cs17\b0\v\fs20\cf9\lang1024\langfe1024\loch\af1\hich\af1\dbch\af31501\noproof\insrsid10575343\charrsid15879488 \hich\af1\dbch\af31501\loch\f1 &lt;NumAmA&gt;}{\rtlch\fcs1 \af0 \ltrch\fcs0 \insrsid10575343\charrsid15879488 [ZNRAM]}{\rtlch\fcs1 \af0 \ltrch\fcs0 _x000d__x000a_\cs17\b0\v\fs20\cf9\lang1024\langfe1024\loch\af1\hich\af1\dbch\af31501\noproof\insrsid10575343\charrsid15879488 \hich\af1\dbch\af31501\loch\f1 &lt;/NumAmA&gt;}{\rtlch\fcs1 \af0 \ltrch\fcs0 \insrsid10575343\charrsid15879488 _x000d__x000a_\par }\pard\plain \ltrpar\s22\ql \li0\ri0\sb240\keepn\nowidctlpar\wrapdefault\aspalpha\aspnum\faauto\adjustright\rin0\lin0\itap0\pararsid10575343 \rtlch\fcs1 \af0\afs20\alang1025 \ltrch\fcs0 \b\fs24\lang2057\langfe2057\cgrid\langnp2057\langfenp2057 {_x000d__x000a_\rtlch\fcs1 \af0 \ltrch\fcs0 \cs17\b0\v\fs20\cf9\lang1024\langfe1024\loch\af1\hich\af1\dbch\af31501\noproof\langnp1036\insrsid10575343\charrsid11356624 \hich\af1\dbch\af31501\loch\f1 &lt;DocAmend&gt;}{\rtlch\fcs1 \af0 \ltrch\fcs0 _x000d__x000a_\lang1036\langfe2057\langnp1036\insrsid10575343\charrsid11356624 [ZRESOLUTION]}{\rtlch\fcs1 \af0 \ltrch\fcs0 \cs17\b0\v\fs20\cf9\lang1024\langfe1024\loch\af1\hich\af1\dbch\af31501\noproof\langnp1036\insrsid10575343\charrsid11356624 _x000d__x000a_\hich\af1\dbch\af31501\loch\f1 &lt;/DocAmend&gt;}{\rtlch\fcs1 \af0 \ltrch\fcs0 \lang1036\langfe2057\langnp1036\insrsid10575343\charrsid11356624 _x000d__x000a_\par }\pard\plain \ltrpar\s19\ql \li0\ri0\nowidctlpar\wrapdefault\aspalpha\aspnum\faauto\adjustright\rin0\lin0\itap0\pararsid10575343 \rtlch\fcs1 \af0\afs20\alang1025 \ltrch\fcs0 \b\fs24\lang2057\langfe2057\cgrid\langnp2057\langfenp2057 {\rtlch\fcs1 \af0 _x000d__x000a_\ltrch\fcs0 \cs17\b0\v\fs20\cf9\lang1024\langfe1024\loch\af1\hich\af1\dbch\af31501\noproof\langnp1036\insrsid10575343\charrsid11356624 \hich\af1\dbch\af31501\loch\f1 &lt;Article&gt;}{\rtlch\fcs1 \af0 \ltrch\fcs0 _x000d__x000a_\lang1036\langfe2057\langnp1036\insrsid10575343\charrsid11356624 [ZRESPART]}{\rtlch\fcs1 \af0 \ltrch\fcs0 \cs17\b0\v\fs20\cf9\lang1024\langfe1024\loch\af1\hich\af1\dbch\af31501\noproof\langnp1036\insrsid10575343\charrsid11356624 _x000d__x000a_\hich\af1\dbch\af31501\loch\f1 &lt;/Article&gt;}{\rtlch\fcs1 \af0 \ltrch\fcs0 \lang1036\langfe2057\langnp1036\insrsid1057534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575343\charrsid11356624 \cell }\pard \ltrpar_x000d__x000a_\ql \li0\ri0\widctlpar\intbl\wrapdefault\aspalpha\aspnum\faauto\adjustright\rin0\lin0 {\rtlch\fcs1 \af0 \ltrch\fcs0 \insrsid1057534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575343\charrsid15879488 [ZLEFTA]\cell [ZRIGHT]\cell }\pard\plain \ltrpar_x000d__x000a_\ql \li0\ri0\widctlpar\intbl\wrapdefault\aspalpha\aspnum\faauto\adjustright\rin0\lin0 \rtlch\fcs1 \af0\afs20\alang1025 \ltrch\fcs0 \fs24\lang2057\langfe2057\cgrid\langnp2057\langfenp2057 {\rtlch\fcs1 \af0 \ltrch\fcs0 \insrsid1057534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575343\charrsid15879488 [ZTEXTL]\cell [ZTEXTR]}{\rtlch\fcs1 \af0\afs24 \ltrch\fcs0 \insrsid10575343\charrsid15879488 \cell }\pard\plain \ltrpar\ql \li0\ri0\widctlpar\intbl\wrapdefault\aspalpha\aspnum\faauto\adjustright\rin0\lin0 \rtlch\fcs1 _x000d__x000a_\af0\afs20\alang1025 \ltrch\fcs0 \fs24\lang2057\langfe2057\cgrid\langnp2057\langfenp2057 {\rtlch\fcs1 \af0 \ltrch\fcs0 \insrsid1057534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575343 {\rtlch\fcs1 \af0 \ltrch\fcs0 \cs17\v\fs20\cf9\lang1024\langfe1024\loch\af1\hich\af1\dbch\af31501\noproof\insrsid10575343\charrsid15879488 _x000d__x000a_\hich\af1\dbch\af31501\loch\f1 &lt;/AmendA&gt;}{\rtlch\fcs1 \af0 \ltrch\fcs0 \insrsid1057534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3_x000d__x000a_4fde9a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13636 HideTWBExt;}{_x000d__x000a_\s18\ql \li0\ri0\sa120\nowidctlpar\wrapdefault\aspalpha\aspnum\faauto\adjustright\rin0\lin0\itap0 \rtlch\fcs1 \af0\afs20\alang1025 \ltrch\fcs0 \fs24\lang2057\langfe2057\cgrid\langnp2057\langfenp2057 \sbasedon0 \snext18 \spriority0 \styrsid5713636 _x000d__x000a_Normal6a;}{\s19\ql \li0\ri0\nowidctlpar\wrapdefault\aspalpha\aspnum\faauto\adjustright\rin0\lin0\itap0 \rtlch\fcs1 \af0\afs20\alang1025 \ltrch\fcs0 \b\fs24\lang2057\langfe2057\cgrid\langnp2057\langfenp2057 \sbasedon0 \snext19 \spriority0 \styrsid5713636 _x000d__x000a_NormalBold;}{\s20\ql \li0\ri0\sa240\nowidctlpar\wrapdefault\aspalpha\aspnum\faauto\adjustright\rin0\lin0\itap0 \rtlch\fcs1 \af0\afs20\alang1025 \ltrch\fcs0 \i\fs24\lang2057\langfe2057\cgrid\langnp2057\langfenp2057 _x000d__x000a_\sbasedon0 \snext20 \spriority0 \styrsid5713636 AmJustText;}{\s21\qc \li0\ri0\sb240\sa240\nowidctlpar\wrapdefault\aspalpha\aspnum\faauto\adjustright\rin0\lin0\itap0 \rtlch\fcs1 \af0\afs20\alang1025 \ltrch\fcs0 _x000d__x000a_\i\fs24\lang2057\langfe2057\cgrid\langnp2057\langfenp2057 \sbasedon0 \snext21 \spriority0 \styrsid5713636 AmCrossRef;}{\s22\qc \li0\ri0\sb240\sa240\keepn\nowidctlpar\wrapdefault\aspalpha\aspnum\faauto\adjustright\rin0\lin0\itap0 \rtlch\fcs1 _x000d__x000a_\af0\afs20\alang1025 \ltrch\fcs0 \i\fs24\lang2057\langfe2057\cgrid\langnp2057\langfenp2057 \sbasedon0 \snext20 \spriority0 \styrsid5713636 AmJustTitle;}{\s23\qc \li0\ri0\sa240\nowidctlpar\wrapdefault\aspalpha\aspnum\faauto\adjustright\rin0\lin0\itap0 _x000d__x000a_\rtlch\fcs1 \af0\afs20\alang1025 \ltrch\fcs0 \i\fs24\lang2057\langfe2057\cgrid\langnp2057\langfenp2057 \sbasedon0 \snext23 \spriority0 \styrsid571363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13636 AmNumberTabs;}{\s25\ql \li0\ri0\sb240\nowidctlpar\wrapdefault\aspalpha\aspnum\faauto\adjustright\rin0\lin0\itap0 \rtlch\fcs1 _x000d__x000a_\af0\afs20\alang1025 \ltrch\fcs0 \b\fs24\lang2057\langfe2057\cgrid\langnp2057\langfenp2057 \sbasedon0 \snext25 \spriority0 \styrsid5713636 NormalBold12b;}}{\*\rsidtbl \rsid24658\rsid223860\rsid735077\rsid1212026\rsid1718133\rsid2892074\rsid3565327_x000d__x000a_\rsid4666813\rsid571363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2\mo10\dy19\hr11\min12}{\revtim\yr2022\mo10\dy19\hr11\min12}{\version1}{\edmins0}_x000d__x000a_{\nofpages1}{\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13636\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212026 \chftnsep _x000d__x000a_\par }}{\*\ftnsepc \ltrpar \pard\plain \ltrpar\ql \li0\ri0\widctlpar\wrapdefault\aspalpha\aspnum\faauto\adjustright\rin0\lin0\itap0 \rtlch\fcs1 \af0\afs20\alang1025 \ltrch\fcs0 \fs24\lang2057\langfe2057\cgrid\langnp2057\langfenp2057 {\rtlch\fcs1 \af0 _x000d__x000a_\ltrch\fcs0 \insrsid1212026 \chftnsepc _x000d__x000a_\par }}{\*\aftnsep \ltrpar \pard\plain \ltrpar\ql \li0\ri0\widctlpar\wrapdefault\aspalpha\aspnum\faauto\adjustright\rin0\lin0\itap0 \rtlch\fcs1 \af0\afs20\alang1025 \ltrch\fcs0 \fs24\lang2057\langfe2057\cgrid\langnp2057\langfenp2057 {\rtlch\fcs1 \af0 _x000d__x000a_\ltrch\fcs0 \insrsid1212026 \chftnsep _x000d__x000a_\par }}{\*\aftnsepc \ltrpar \pard\plain \ltrpar\ql \li0\ri0\widctlpar\wrapdefault\aspalpha\aspnum\faauto\adjustright\rin0\lin0\itap0 \rtlch\fcs1 \af0\afs20\alang1025 \ltrch\fcs0 \fs24\lang2057\langfe2057\cgrid\langnp2057\langfenp2057 {\rtlch\fcs1 \af0 _x000d__x000a_\ltrch\fcs0 \insrsid1212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13636 \rtlch\fcs1 _x000d__x000a_\af0\afs20\alang1025 \ltrch\fcs0 \b\fs24\lang2057\langfe2057\cgrid\langnp2057\langfenp2057 {\rtlch\fcs1 \af0 \ltrch\fcs0 \cs17\b0\v\fs20\cf9\lang1024\langfe1024\loch\af1\hich\af1\dbch\af31501\noproof\insrsid5713636\charrsid15879488 {\*\bkmkstart restartB}_x000d__x000a_\hich\af1\dbch\af31501\loch\f1 &lt;AmendB&gt;}{\rtlch\fcs1 \af0 \ltrch\fcs0 \insrsid5713636\charrsid15879488 [ZAMENDMENT]\tab \tab }{\rtlch\fcs1 \af0 \ltrch\fcs0 _x000d__x000a_\cs17\b0\v\fs20\cf9\lang1024\langfe1024\loch\af1\hich\af1\dbch\af31501\noproof\insrsid5713636\charrsid15879488 \hich\af1\dbch\af31501\loch\f1 &lt;NumAmB&gt;}{\rtlch\fcs1 \af0 \ltrch\fcs0 \insrsid5713636\charrsid15879488 [ZNRAM]}{\rtlch\fcs1 \af0 \ltrch\fcs0 _x000d__x000a_\cs17\b0\v\fs20\cf9\lang1024\langfe1024\loch\af1\hich\af1\dbch\af31501\noproof\insrsid5713636\charrsid15879488 \hich\af1\dbch\af31501\loch\f1 &lt;/NumAmB&gt;}{\rtlch\fcs1 \af0 \ltrch\fcs0 \insrsid5713636\charrsid15879488 _x000d__x000a_\par }\pard\plain \ltrpar\s25\ql \li0\ri0\sb240\keepn\nowidctlpar\wrapdefault\aspalpha\aspnum\faauto\adjustright\rin0\lin0\itap0\pararsid5713636 \rtlch\fcs1 \af0\afs20\alang1025 \ltrch\fcs0 \b\fs24\lang2057\langfe2057\cgrid\langnp2057\langfenp2057 {_x000d__x000a_\rtlch\fcs1 \af0 \ltrch\fcs0 \cs17\b0\v\fs20\cf9\lang1024\langfe1024\loch\af1\hich\af1\dbch\af31501\noproof\insrsid5713636\charrsid15879488 \hich\af1\dbch\af31501\loch\f1 &lt;DocAmend&gt;}{\rtlch\fcs1 \af0 \ltrch\fcs0 \insrsid5713636\charrsid15879488 _x000d__x000a_[ZPROPOSAL][ZAMACT]}{\rtlch\fcs1 \af0 \ltrch\fcs0 \cs17\b0\v\fs20\cf9\lang1024\langfe1024\loch\af1\hich\af1\dbch\af31501\noproof\insrsid5713636\charrsid15879488 \hich\af1\dbch\af31501\loch\f1 &lt;/DocAmend&gt;}{\rtlch\fcs1 \af0 \ltrch\fcs0 _x000d__x000a_\insrsid5713636\charrsid15879488 _x000d__x000a_\par }\pard\plain \ltrpar\s19\ql \li0\ri0\keepn\nowidctlpar\wrapdefault\aspalpha\aspnum\faauto\adjustright\rin0\lin0\itap0\pararsid5713636 \rtlch\fcs1 \af0\afs20\alang1025 \ltrch\fcs0 \b\fs24\lang2057\langfe2057\cgrid\langnp2057\langfenp2057 {\rtlch\fcs1 \af0 _x000d__x000a_\ltrch\fcs0 \cs17\b0\v\fs20\cf9\lang1024\langfe1024\loch\af1\hich\af1\dbch\af31501\noproof\insrsid5713636\charrsid15879488 \hich\af1\dbch\af31501\loch\f1 &lt;Article&gt;}{\rtlch\fcs1 \af0 \ltrch\fcs0 \insrsid5713636\charrsid15879488 [ZAMPART]}{\rtlch\fcs1 \af0 _x000d__x000a_\ltrch\fcs0 \cs17\b0\v\fs20\cf9\lang1024\langfe1024\loch\af1\hich\af1\dbch\af31501\noproof\insrsid5713636\charrsid15879488 \hich\af1\dbch\af31501\loch\f1 &lt;/Article&gt;}{\rtlch\fcs1 \af0 \ltrch\fcs0 \insrsid5713636\charrsid15879488 _x000d__x000a_\par }\pard\plain \ltrpar\ql \li0\ri0\keepn\widctlpar\wrapdefault\aspalpha\aspnum\faauto\adjustright\rin0\lin0\itap0\pararsid5713636 \rtlch\fcs1 \af0\afs20\alang1025 \ltrch\fcs0 \fs24\lang2057\langfe2057\cgrid\langnp2057\langfenp2057 {\rtlch\fcs1 \af0 _x000d__x000a_\ltrch\fcs0 \cs17\v\fs20\cf9\lang1024\langfe1024\loch\af1\hich\af1\dbch\af31501\noproof\insrsid5713636\charrsid15879488 \hich\af1\dbch\af31501\loch\f1 &lt;DocAmend2&gt;&lt;OptDel&gt;}{\rtlch\fcs1 \af0 \ltrch\fcs0 \insrsid5713636\charrsid15879488 [ZNRACT]}{_x000d__x000a_\rtlch\fcs1 \af0 \ltrch\fcs0 \cs17\v\fs20\cf9\lang1024\langfe1024\loch\af1\hich\af1\dbch\af31501\noproof\insrsid5713636\charrsid15879488 \hich\af1\dbch\af31501\loch\f1 &lt;/OptDel&gt;&lt;/DocAmend2&gt;}{\rtlch\fcs1 \af0 \ltrch\fcs0 \insrsid5713636\charrsid15879488 _x000d__x000a__x000d__x000a_\par }\pard \ltrpar\ql \li0\ri0\widctlpar\wrapdefault\aspalpha\aspnum\faauto\adjustright\rin0\lin0\itap0\pararsid5713636 {\rtlch\fcs1 \af0 \ltrch\fcs0 _x000d__x000a_\cs17\v\fs20\cf9\lang1024\langfe1024\loch\af1\hich\af1\dbch\af31501\noproof\langnp1036\insrsid5713636\charrsid11356624 \hich\af1\dbch\af31501\loch\f1 &lt;Article2&gt;&lt;OptDel&gt;}{\rtlch\fcs1 \af0 \ltrch\fcs0 _x000d__x000a_\lang1036\langfe2057\langnp1036\insrsid5713636\charrsid11356624 [ZACTPART]}{\rtlch\fcs1 \af0 \ltrch\fcs0 \cs17\v\fs20\cf9\lang1024\langfe1024\loch\af1\hich\af1\dbch\af31501\noproof\langnp1036\insrsid5713636\charrsid11356624 \hich\af1\dbch\af31501\loch\f1 _x000d__x000a_&lt;/OptDel&gt;&lt;/Article2&gt;}{\rtlch\fcs1 \af0 \ltrch\fcs0 \lang1036\langfe2057\langnp1036\insrsid571363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13636\charrsid11356624 \cell }\pard \ltrpar\ql \li0\ri0\widctlpar\intbl\wrapdefault\aspalpha\aspnum\faauto\adjustright\rin0\lin0 {\rtlch\fcs1 \af0 \ltrch\fcs0 \insrsid571363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13636\charrsid15879488 [ZLEFTB]\cell [ZRIGHT]\cell }\pard\plain \ltrpar\ql \li0\ri0\widctlpar\intbl\wrapdefault\aspalpha\aspnum\faauto\adjustright\rin0\lin0 \rtlch\fcs1 \af0\afs20\alang1025 \ltrch\fcs0 _x000d__x000a_\fs24\lang2057\langfe2057\cgrid\langnp2057\langfenp2057 {\rtlch\fcs1 \af0 \ltrch\fcs0 \insrsid571363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13636\charrsid15879488 [ZTEXTL]\cell [ZTEXTR]}{\rtlch\fcs1 \af0\afs24 \ltrch\fcs0 \insrsid5713636\charrsid15879488 \cell }\pard\plain \ltrpar\ql \li0\ri0\widctlpar\intbl\wrapdefault\aspalpha\aspnum\faauto\adjustright\rin0\lin0 \rtlch\fcs1 _x000d__x000a_\af0\afs20\alang1025 \ltrch\fcs0 \fs24\lang2057\langfe2057\cgrid\langnp2057\langfenp2057 {\rtlch\fcs1 \af0 \ltrch\fcs0 \insrsid571363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13636 \rtlch\fcs1 \af0\afs20\alang1025 \ltrch\fcs0 \i\fs24\lang2057\langfe2057\cgrid\langnp2057\langfenp2057 {\rtlch\fcs1 \af0 \ltrch\fcs0 _x000d__x000a_\cs17\i0\v\fs20\cf9\lang1024\langfe1024\loch\af1\hich\af1\dbch\af31501\noproof\insrsid5713636\charrsid15879488 \hich\af1\dbch\af31501\loch\f1 &lt;OptDel&gt;}{\rtlch\fcs1 \af0 \ltrch\fcs0 \insrsid5713636\charrsid15879488 [ZCROSSREF]}{\rtlch\fcs1 \af0 _x000d__x000a_\ltrch\fcs0 \cs17\i0\v\fs20\cf9\lang1024\langfe1024\loch\af1\hich\af1\dbch\af31501\noproof\insrsid5713636\charrsid15879488 \hich\af1\dbch\af31501\loch\f1 &lt;/OptDel&gt;}{\rtlch\fcs1 \af0 \ltrch\fcs0 \insrsid5713636\charrsid15879488 _x000d__x000a_\par }\pard\plain \ltrpar\s22\qc \li0\ri0\sb240\sa240\keepn\nowidctlpar\wrapdefault\aspalpha\aspnum\faauto\adjustright\rin0\lin0\itap0\pararsid5713636 \rtlch\fcs1 \af0\afs20\alang1025 \ltrch\fcs0 \i\fs24\lang2057\langfe2057\cgrid\langnp2057\langfenp2057 {_x000d__x000a_\rtlch\fcs1 \af0 \ltrch\fcs0 \cs17\i0\v\fs20\cf9\lang1024\langfe1024\loch\af1\hich\af1\dbch\af31501\noproof\insrsid5713636\charrsid15879488 \hich\af1\dbch\af31501\loch\f1 &lt;TitreJust&gt;}{\rtlch\fcs1 \af0 \ltrch\fcs0 \insrsid5713636\charrsid15879488 _x000d__x000a_[ZJUSTIFICATION]}{\rtlch\fcs1 \af0 \ltrch\fcs0 \cs17\i0\v\fs20\cf9\lang1024\langfe1024\loch\af1\hich\af1\dbch\af31501\noproof\insrsid5713636\charrsid15879488 \hich\af1\dbch\af31501\loch\f1 &lt;/TitreJust&gt;}{\rtlch\fcs1 \af0 \ltrch\fcs0 _x000d__x000a_\insrsid5713636\charrsid15879488 _x000d__x000a_\par }\pard\plain \ltrpar\s20\ql \li0\ri0\sa240\nowidctlpar\wrapdefault\aspalpha\aspnum\faauto\adjustright\rin0\lin0\itap0\pararsid5713636 \rtlch\fcs1 \af0\afs20\alang1025 \ltrch\fcs0 \i\fs24\lang2057\langfe2057\cgrid\langnp2057\langfenp2057 {\rtlch\fcs1 \af0 _x000d__x000a_\ltrch\fcs0 \cs17\i0\v\fs20\cf9\lang1024\langfe1024\loch\af1\hich\af1\dbch\af31501\noproof\insrsid5713636\charrsid15879488 \hich\af1\dbch\af31501\loch\f1 &lt;OptDelPrev&gt;}{\rtlch\fcs1 \af0 \ltrch\fcs0 \insrsid5713636\charrsid15879488 [ZTEXTJUST]}{\rtlch\fcs1 _x000d__x000a_\af0 \ltrch\fcs0 \cs17\i0\v\fs20\cf9\lang1024\langfe1024\loch\af1\hich\af1\dbch\af31501\noproof\insrsid5713636\charrsid15879488 \hich\af1\dbch\af31501\loch\f1 &lt;/OptDelPrev&gt;}{\rtlch\fcs1 \af0 \ltrch\fcs0 \insrsid5713636\charrsid15879488 _x000d__x000a_\par }\pard\plain \ltrpar\ql \li0\ri0\widctlpar\wrapdefault\aspalpha\aspnum\faauto\adjustright\rin0\lin0\itap0\pararsid5713636 \rtlch\fcs1 \af0\afs20\alang1025 \ltrch\fcs0 \fs24\lang2057\langfe2057\cgrid\langnp2057\langfenp2057 {\rtlch\fcs1 \af0 \ltrch\fcs0 _x000d__x000a_\cs17\v\fs20\cf9\lang1024\langfe1024\loch\af1\hich\af1\dbch\af31501\noproof\insrsid5713636\charrsid15879488 \hich\af1\dbch\af31501\loch\f1 &lt;/AmendB&gt;}{\rtlch\fcs1 \af0 \ltrch\fcs0 \insrsid571363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7_x000d__x000a_f3e09a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SL"/>
    <w:docVar w:name="TXTLANGUEMIN" w:val="sl"/>
    <w:docVar w:name="TXTNRC" w:val="0200/2021"/>
    <w:docVar w:name="TXTNRCOM" w:val="(2021)0281"/>
    <w:docVar w:name="TXTNRPE" w:val="732.601"/>
    <w:docVar w:name="TXTNRPROC" w:val="2021/0136"/>
    <w:docVar w:name="TXTPE" w:val="732.601"/>
    <w:docVar w:name="TXTPEorAP" w:val="PE"/>
    <w:docVar w:name="TXTROUTE" w:val="AD\1264811SL.docx"/>
    <w:docVar w:name="TXTVERSION" w:val="02-00"/>
  </w:docVars>
  <w:rsids>
    <w:rsidRoot w:val="00B50EF0"/>
    <w:rsid w:val="00026559"/>
    <w:rsid w:val="00027FA8"/>
    <w:rsid w:val="00037518"/>
    <w:rsid w:val="0004474F"/>
    <w:rsid w:val="0008167A"/>
    <w:rsid w:val="00082EC4"/>
    <w:rsid w:val="000D44A6"/>
    <w:rsid w:val="000D66C0"/>
    <w:rsid w:val="00122C05"/>
    <w:rsid w:val="00134974"/>
    <w:rsid w:val="00136C04"/>
    <w:rsid w:val="00141CD7"/>
    <w:rsid w:val="001616BD"/>
    <w:rsid w:val="001820A9"/>
    <w:rsid w:val="0018280C"/>
    <w:rsid w:val="001A0556"/>
    <w:rsid w:val="001B0A1E"/>
    <w:rsid w:val="001C0886"/>
    <w:rsid w:val="001D5154"/>
    <w:rsid w:val="001E3AC4"/>
    <w:rsid w:val="0020077A"/>
    <w:rsid w:val="0023131B"/>
    <w:rsid w:val="002A50FF"/>
    <w:rsid w:val="002A67EE"/>
    <w:rsid w:val="002B2C72"/>
    <w:rsid w:val="002D72D9"/>
    <w:rsid w:val="00304EA8"/>
    <w:rsid w:val="00341A99"/>
    <w:rsid w:val="00360FAA"/>
    <w:rsid w:val="0038294E"/>
    <w:rsid w:val="003A2F84"/>
    <w:rsid w:val="003C7390"/>
    <w:rsid w:val="003E1280"/>
    <w:rsid w:val="003F128E"/>
    <w:rsid w:val="0040055C"/>
    <w:rsid w:val="00487596"/>
    <w:rsid w:val="004A5C9F"/>
    <w:rsid w:val="004B0ABF"/>
    <w:rsid w:val="004B3A53"/>
    <w:rsid w:val="004C2A0D"/>
    <w:rsid w:val="004F1D2F"/>
    <w:rsid w:val="004F2A0E"/>
    <w:rsid w:val="00502B76"/>
    <w:rsid w:val="00513F6F"/>
    <w:rsid w:val="00522B51"/>
    <w:rsid w:val="00524707"/>
    <w:rsid w:val="005539B7"/>
    <w:rsid w:val="0056441A"/>
    <w:rsid w:val="00571233"/>
    <w:rsid w:val="006127FB"/>
    <w:rsid w:val="00613134"/>
    <w:rsid w:val="00626D52"/>
    <w:rsid w:val="00643DA8"/>
    <w:rsid w:val="00657D5C"/>
    <w:rsid w:val="00683DD1"/>
    <w:rsid w:val="00691B1C"/>
    <w:rsid w:val="006A0F0A"/>
    <w:rsid w:val="006A48AA"/>
    <w:rsid w:val="006B1267"/>
    <w:rsid w:val="006D292E"/>
    <w:rsid w:val="00712462"/>
    <w:rsid w:val="00716BAA"/>
    <w:rsid w:val="0075381D"/>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9178F"/>
    <w:rsid w:val="009C73D0"/>
    <w:rsid w:val="009E7319"/>
    <w:rsid w:val="00A71228"/>
    <w:rsid w:val="00A74E25"/>
    <w:rsid w:val="00A96D64"/>
    <w:rsid w:val="00AA155F"/>
    <w:rsid w:val="00AC2A60"/>
    <w:rsid w:val="00AD49D0"/>
    <w:rsid w:val="00AD5932"/>
    <w:rsid w:val="00B00EE6"/>
    <w:rsid w:val="00B476DC"/>
    <w:rsid w:val="00B50EF0"/>
    <w:rsid w:val="00B556CD"/>
    <w:rsid w:val="00B62D4B"/>
    <w:rsid w:val="00B904FA"/>
    <w:rsid w:val="00BA28B5"/>
    <w:rsid w:val="00BA3E40"/>
    <w:rsid w:val="00BD1F76"/>
    <w:rsid w:val="00BE20CF"/>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77FF5"/>
    <w:rsid w:val="00E94D64"/>
    <w:rsid w:val="00EA3802"/>
    <w:rsid w:val="00EF1432"/>
    <w:rsid w:val="00EF32F6"/>
    <w:rsid w:val="00EF33D5"/>
    <w:rsid w:val="00F15744"/>
    <w:rsid w:val="00F24D40"/>
    <w:rsid w:val="00F42F0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231A65-F8F0-4905-A0D4-16976BE1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08167A"/>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Sup">
    <w:name w:val="Sup"/>
    <w:uiPriority w:val="1"/>
    <w:qFormat/>
    <w:rsid w:val="00EF32F6"/>
    <w:rPr>
      <w:vertAlign w:val="superscript"/>
    </w:rPr>
  </w:style>
  <w:style w:type="paragraph" w:customStyle="1" w:styleId="Normal24a">
    <w:name w:val="Normal24a"/>
    <w:basedOn w:val="Normal"/>
    <w:rsid w:val="00EF32F6"/>
    <w:pPr>
      <w:spacing w:after="480"/>
    </w:pPr>
    <w:rPr>
      <w:szCs w:val="20"/>
    </w:rPr>
  </w:style>
  <w:style w:type="paragraph" w:customStyle="1" w:styleId="NormalBoldCenter">
    <w:name w:val="NormalBoldCenter"/>
    <w:basedOn w:val="Normal"/>
    <w:rsid w:val="00EF32F6"/>
    <w:pPr>
      <w:jc w:val="center"/>
    </w:pPr>
    <w:rPr>
      <w:b/>
      <w:szCs w:val="20"/>
    </w:rPr>
  </w:style>
  <w:style w:type="paragraph" w:styleId="Footer">
    <w:name w:val="footer"/>
    <w:basedOn w:val="Normal"/>
    <w:link w:val="FooterChar"/>
    <w:rsid w:val="00EF32F6"/>
    <w:pPr>
      <w:tabs>
        <w:tab w:val="center" w:pos="4513"/>
        <w:tab w:val="right" w:pos="9026"/>
      </w:tabs>
    </w:pPr>
  </w:style>
  <w:style w:type="character" w:customStyle="1" w:styleId="FooterChar">
    <w:name w:val="Footer Char"/>
    <w:basedOn w:val="DefaultParagraphFont"/>
    <w:link w:val="Footer"/>
    <w:rsid w:val="00EF32F6"/>
    <w:rPr>
      <w:sz w:val="24"/>
      <w:szCs w:val="24"/>
      <w:lang w:val="sl-SI"/>
    </w:rPr>
  </w:style>
  <w:style w:type="paragraph" w:styleId="ListParagraph">
    <w:name w:val="List Paragraph"/>
    <w:basedOn w:val="Normal"/>
    <w:uiPriority w:val="34"/>
    <w:qFormat/>
    <w:rsid w:val="0008167A"/>
    <w:pPr>
      <w:widowControl/>
      <w:ind w:left="720"/>
      <w:contextualSpacing/>
      <w:jc w:val="both"/>
    </w:pPr>
    <w:rPr>
      <w:rFonts w:eastAsiaTheme="minorHAnsi"/>
      <w:lang w:eastAsia="en-US"/>
    </w:rPr>
  </w:style>
  <w:style w:type="character" w:customStyle="1" w:styleId="BalloonTextChar">
    <w:name w:val="Balloon Text Char"/>
    <w:basedOn w:val="DefaultParagraphFont"/>
    <w:link w:val="BalloonText"/>
    <w:semiHidden/>
    <w:rsid w:val="0008167A"/>
    <w:rPr>
      <w:rFonts w:ascii="Segoe UI" w:hAnsi="Segoe UI" w:cs="Segoe UI"/>
      <w:sz w:val="18"/>
      <w:szCs w:val="18"/>
      <w:lang w:val="sl-SI"/>
    </w:rPr>
  </w:style>
  <w:style w:type="paragraph" w:styleId="BalloonText">
    <w:name w:val="Balloon Text"/>
    <w:basedOn w:val="Normal"/>
    <w:link w:val="BalloonTextChar"/>
    <w:semiHidden/>
    <w:unhideWhenUsed/>
    <w:rsid w:val="0008167A"/>
    <w:rPr>
      <w:rFonts w:ascii="Segoe UI" w:hAnsi="Segoe UI" w:cs="Segoe UI"/>
      <w:sz w:val="18"/>
      <w:szCs w:val="18"/>
    </w:rPr>
  </w:style>
  <w:style w:type="paragraph" w:styleId="CommentText">
    <w:name w:val="annotation text"/>
    <w:basedOn w:val="Normal"/>
    <w:link w:val="CommentTextChar"/>
    <w:rsid w:val="0008167A"/>
    <w:rPr>
      <w:sz w:val="20"/>
      <w:szCs w:val="20"/>
    </w:rPr>
  </w:style>
  <w:style w:type="character" w:customStyle="1" w:styleId="CommentTextChar">
    <w:name w:val="Comment Text Char"/>
    <w:basedOn w:val="DefaultParagraphFont"/>
    <w:link w:val="CommentText"/>
    <w:rsid w:val="0008167A"/>
    <w:rPr>
      <w:lang w:val="sl-SI"/>
    </w:rPr>
  </w:style>
  <w:style w:type="character" w:customStyle="1" w:styleId="CommentSubjectChar">
    <w:name w:val="Comment Subject Char"/>
    <w:basedOn w:val="CommentTextChar"/>
    <w:link w:val="CommentSubject"/>
    <w:semiHidden/>
    <w:rsid w:val="0008167A"/>
    <w:rPr>
      <w:b/>
      <w:bCs/>
      <w:lang w:val="sl-SI"/>
    </w:rPr>
  </w:style>
  <w:style w:type="paragraph" w:styleId="CommentSubject">
    <w:name w:val="annotation subject"/>
    <w:basedOn w:val="CommentText"/>
    <w:next w:val="CommentText"/>
    <w:link w:val="CommentSubjectChar"/>
    <w:semiHidden/>
    <w:unhideWhenUsed/>
    <w:rsid w:val="0008167A"/>
    <w:rPr>
      <w:b/>
      <w:bCs/>
    </w:rPr>
  </w:style>
  <w:style w:type="character" w:customStyle="1" w:styleId="SupBoldItalic">
    <w:name w:val="SupBoldItalic"/>
    <w:uiPriority w:val="1"/>
    <w:qFormat/>
    <w:rsid w:val="0008167A"/>
    <w:rPr>
      <w:b/>
      <w:bCs w:val="0"/>
      <w:i/>
      <w:iCs w:val="0"/>
      <w:vertAlign w:val="superscript"/>
    </w:rPr>
  </w:style>
  <w:style w:type="character" w:customStyle="1" w:styleId="Normal6Char">
    <w:name w:val="Normal6 Char"/>
    <w:link w:val="Normal6"/>
    <w:locked/>
    <w:rsid w:val="0008167A"/>
    <w:rPr>
      <w:sz w:val="24"/>
      <w:lang w:val="sl-SI"/>
    </w:rPr>
  </w:style>
  <w:style w:type="paragraph" w:customStyle="1" w:styleId="Normal6">
    <w:name w:val="Normal6"/>
    <w:basedOn w:val="Normal"/>
    <w:link w:val="Normal6Char"/>
    <w:rsid w:val="0008167A"/>
    <w:pPr>
      <w:spacing w:after="120"/>
    </w:pPr>
    <w:rPr>
      <w:szCs w:val="20"/>
    </w:rPr>
  </w:style>
  <w:style w:type="paragraph" w:customStyle="1" w:styleId="ColumnHeading">
    <w:name w:val="ColumnHeading"/>
    <w:basedOn w:val="Normal"/>
    <w:rsid w:val="0008167A"/>
    <w:pPr>
      <w:spacing w:after="240"/>
      <w:jc w:val="center"/>
    </w:pPr>
    <w:rPr>
      <w:i/>
      <w:szCs w:val="20"/>
    </w:rPr>
  </w:style>
  <w:style w:type="paragraph" w:customStyle="1" w:styleId="RollCallSymbols14pt">
    <w:name w:val="RollCallSymbols14pt"/>
    <w:basedOn w:val="Normal"/>
    <w:rsid w:val="0008167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8167A"/>
    <w:pPr>
      <w:tabs>
        <w:tab w:val="center" w:pos="284"/>
        <w:tab w:val="left" w:pos="426"/>
      </w:tabs>
    </w:pPr>
    <w:rPr>
      <w:snapToGrid w:val="0"/>
      <w:szCs w:val="20"/>
      <w:lang w:eastAsia="en-US"/>
    </w:rPr>
  </w:style>
  <w:style w:type="paragraph" w:customStyle="1" w:styleId="RollCallVotes">
    <w:name w:val="RollCallVotes"/>
    <w:basedOn w:val="Normal"/>
    <w:rsid w:val="0008167A"/>
    <w:pPr>
      <w:spacing w:before="120" w:after="120"/>
      <w:jc w:val="center"/>
    </w:pPr>
    <w:rPr>
      <w:b/>
      <w:bCs/>
      <w:snapToGrid w:val="0"/>
      <w:sz w:val="16"/>
      <w:szCs w:val="20"/>
      <w:lang w:eastAsia="en-US"/>
    </w:rPr>
  </w:style>
  <w:style w:type="paragraph" w:customStyle="1" w:styleId="RollCallTable">
    <w:name w:val="RollCallTable"/>
    <w:basedOn w:val="Normal"/>
    <w:rsid w:val="0008167A"/>
    <w:pPr>
      <w:spacing w:before="120" w:after="120"/>
    </w:pPr>
    <w:rPr>
      <w:snapToGrid w:val="0"/>
      <w:sz w:val="16"/>
      <w:szCs w:val="20"/>
      <w:lang w:eastAsia="en-US"/>
    </w:rPr>
  </w:style>
  <w:style w:type="character" w:styleId="Hyperlink">
    <w:name w:val="Hyperlink"/>
    <w:basedOn w:val="DefaultParagraphFont"/>
    <w:rsid w:val="000816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D7C28-2978-4726-AB69-887ADBA09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6583</Words>
  <Characters>40785</Characters>
  <Application>Microsoft Office Word</Application>
  <DocSecurity>0</DocSecurity>
  <Lines>1487</Lines>
  <Paragraphs>419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2022-10-27T14:10:00Z</dcterms:created>
  <dcterms:modified xsi:type="dcterms:W3CDTF">2022-10-27T14:10:00Z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\\eiciLUXpr1\pdocep$\DocEP\TRANSFIL\SL\PA_Legam.SL(10/07/2020 22:22:05)</vt:lpwstr>
  </property>
  <property fmtid="{D5CDD505-2E9C-101B-9397-08002B2CF9AE}" pid="7" name="&lt;Type&gt;">
    <vt:lpwstr>AD</vt:lpwstr>
  </property>
  <property fmtid="{D5CDD505-2E9C-101B-9397-08002B2CF9AE}" pid="8" name="Bookout">
    <vt:lpwstr>OK - 2022/10/27 16:10</vt:lpwstr>
  </property>
  <property fmtid="{D5CDD505-2E9C-101B-9397-08002B2CF9AE}" pid="9" name="Created with">
    <vt:lpwstr>9.11.0 Build [20211103]</vt:lpwstr>
  </property>
  <property fmtid="{D5CDD505-2E9C-101B-9397-08002B2CF9AE}" pid="10" name="FooterPath">
    <vt:lpwstr>AD\1264811SL.docx</vt:lpwstr>
  </property>
  <property fmtid="{D5CDD505-2E9C-101B-9397-08002B2CF9AE}" pid="11" name="LastEdited with">
    <vt:lpwstr>9.11.0 Build [20211103]</vt:lpwstr>
  </property>
  <property fmtid="{D5CDD505-2E9C-101B-9397-08002B2CF9AE}" pid="12" name="PE number">
    <vt:lpwstr>732.601</vt:lpwstr>
  </property>
  <property fmtid="{D5CDD505-2E9C-101B-9397-08002B2CF9AE}" pid="13" name="SDLStudio">
    <vt:lpwstr/>
  </property>
</Properties>
</file>