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05880" w:rsidTr="00C85D0F">
        <w:trPr>
          <w:trHeight w:hRule="exact" w:val="1418"/>
        </w:trPr>
        <w:tc>
          <w:tcPr>
            <w:tcW w:w="6804" w:type="dxa"/>
            <w:shd w:val="clear" w:color="auto" w:fill="auto"/>
            <w:vAlign w:val="center"/>
          </w:tcPr>
          <w:p w:rsidR="00C06DFF" w:rsidRPr="00970DA5" w:rsidRDefault="000A453B" w:rsidP="00C85D0F">
            <w:pPr>
              <w:pStyle w:val="EPName"/>
            </w:pPr>
            <w:bookmarkStart w:id="0" w:name="_GoBack"/>
            <w:bookmarkEnd w:id="0"/>
            <w:r>
              <w:t>Europos Parlamentas</w:t>
            </w:r>
          </w:p>
          <w:p w:rsidR="00C06DFF" w:rsidRPr="001D5738" w:rsidRDefault="000A453B" w:rsidP="001D5738">
            <w:pPr>
              <w:pStyle w:val="EPTerm"/>
            </w:pPr>
            <w:r>
              <w:t>2019-2024</w:t>
            </w:r>
          </w:p>
        </w:tc>
        <w:tc>
          <w:tcPr>
            <w:tcW w:w="2268" w:type="dxa"/>
            <w:shd w:val="clear" w:color="auto" w:fill="auto"/>
          </w:tcPr>
          <w:p w:rsidR="00C06DFF" w:rsidRPr="00970DA5" w:rsidRDefault="000A453B" w:rsidP="00C85D0F">
            <w:pPr>
              <w:pStyle w:val="EPLogo"/>
            </w:pPr>
            <w:r w:rsidRPr="00970D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07206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970DA5" w:rsidRDefault="001746D0" w:rsidP="001746D0">
      <w:pPr>
        <w:pStyle w:val="LineTop"/>
      </w:pPr>
    </w:p>
    <w:p w:rsidR="001746D0" w:rsidRPr="00970DA5" w:rsidRDefault="000A453B" w:rsidP="001746D0">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1746D0" w:rsidRPr="00970DA5" w:rsidRDefault="001746D0" w:rsidP="001746D0">
      <w:pPr>
        <w:pStyle w:val="LineBottom"/>
      </w:pPr>
    </w:p>
    <w:p w:rsidR="00DE4330" w:rsidRPr="00970DA5" w:rsidRDefault="000A453B" w:rsidP="00DE4330">
      <w:pPr>
        <w:pStyle w:val="CoverReference"/>
      </w:pPr>
      <w:r>
        <w:rPr>
          <w:rStyle w:val="HideTWBExt"/>
          <w:b w:val="0"/>
        </w:rPr>
        <w:t>&lt;RefProc&gt;</w:t>
      </w:r>
      <w:r>
        <w:t>2021/0372</w:t>
      </w:r>
      <w:r>
        <w:rPr>
          <w:rStyle w:val="HideTWBExt"/>
          <w:b w:val="0"/>
        </w:rPr>
        <w:t>&lt;/RefProc&gt;&lt;RefTypeProc&gt;</w:t>
      </w:r>
      <w:r>
        <w:t>(CNS)</w:t>
      </w:r>
      <w:r>
        <w:rPr>
          <w:rStyle w:val="HideTWBExt"/>
          <w:b w:val="0"/>
        </w:rPr>
        <w:t>&lt;/RefTypeProc&gt;</w:t>
      </w:r>
    </w:p>
    <w:p w:rsidR="002E2F2E" w:rsidRPr="00970DA5" w:rsidRDefault="000A453B">
      <w:pPr>
        <w:pStyle w:val="CoverDate"/>
      </w:pPr>
      <w:r>
        <w:rPr>
          <w:rStyle w:val="HideTWBExt"/>
        </w:rPr>
        <w:t>&lt;Date&gt;</w:t>
      </w:r>
      <w:r>
        <w:rPr>
          <w:rStyle w:val="HideTWBInt"/>
          <w:color w:val="auto"/>
        </w:rPr>
        <w:t>{26/10/2022}</w:t>
      </w:r>
      <w:r>
        <w:t>26.10.2022</w:t>
      </w:r>
      <w:r>
        <w:rPr>
          <w:rStyle w:val="HideTWBExt"/>
        </w:rPr>
        <w:t>&lt;/Date&gt;</w:t>
      </w:r>
    </w:p>
    <w:p w:rsidR="002E2F2E" w:rsidRPr="00970DA5" w:rsidRDefault="000A453B">
      <w:pPr>
        <w:pStyle w:val="CoverDocType24a"/>
      </w:pPr>
      <w:r>
        <w:rPr>
          <w:rStyle w:val="HideTWBExt"/>
          <w:b w:val="0"/>
        </w:rPr>
        <w:t>&lt;TitreType&gt;</w:t>
      </w:r>
      <w:r>
        <w:t>NUOMONĖ</w:t>
      </w:r>
      <w:r>
        <w:rPr>
          <w:rStyle w:val="HideTWBExt"/>
          <w:b w:val="0"/>
        </w:rPr>
        <w:t>&lt;/TitreType&gt;</w:t>
      </w:r>
    </w:p>
    <w:p w:rsidR="002E2F2E" w:rsidRPr="00970DA5" w:rsidRDefault="000A453B">
      <w:pPr>
        <w:pStyle w:val="CoverNormal24a"/>
      </w:pPr>
      <w:r>
        <w:rPr>
          <w:rStyle w:val="HideTWBExt"/>
        </w:rPr>
        <w:t>&lt;CommissionResp&gt;</w:t>
      </w:r>
      <w:r>
        <w:t>Piliečių laisvių, teisingumo ir vidaus reikalų komiteto</w:t>
      </w:r>
      <w:r>
        <w:rPr>
          <w:rStyle w:val="HideTWBExt"/>
        </w:rPr>
        <w:t>&lt;/CommissionResp&gt;</w:t>
      </w:r>
    </w:p>
    <w:p w:rsidR="002E2F2E" w:rsidRPr="00970DA5" w:rsidRDefault="000A453B">
      <w:pPr>
        <w:pStyle w:val="CoverNormal24a"/>
      </w:pPr>
      <w:r>
        <w:rPr>
          <w:rStyle w:val="HideTWBExt"/>
        </w:rPr>
        <w:t>&lt;CommissionInt&gt;</w:t>
      </w:r>
      <w:r>
        <w:t>pateikta Konstitucinių reikalų komitetui</w:t>
      </w:r>
      <w:r>
        <w:rPr>
          <w:rStyle w:val="HideTWBExt"/>
        </w:rPr>
        <w:t>&lt;/CommissionInt&gt;</w:t>
      </w:r>
    </w:p>
    <w:p w:rsidR="002E2F2E" w:rsidRPr="00970DA5" w:rsidRDefault="000A453B">
      <w:pPr>
        <w:pStyle w:val="CoverNormal"/>
      </w:pPr>
      <w:r>
        <w:rPr>
          <w:rStyle w:val="HideTWBExt"/>
        </w:rPr>
        <w:t>&lt;Titre&gt;</w:t>
      </w:r>
      <w:r>
        <w:t>dėl pasiūlymo dėl Tarybos direktyvos, kuria nustatoma išsami Sąjungos piliečių, gyvenanč</w:t>
      </w:r>
      <w:r>
        <w:t>ių valstybėje narėje ir neturinčių jos pilietybės, naudojimosi teise balsuoti ir kandidatuoti Europos Parlamento rinkimuose tvarka (nauja redakcija)</w:t>
      </w:r>
      <w:r>
        <w:rPr>
          <w:rStyle w:val="HideTWBExt"/>
        </w:rPr>
        <w:t>&lt;/Titre&gt;</w:t>
      </w:r>
    </w:p>
    <w:p w:rsidR="002E2F2E" w:rsidRPr="00970DA5" w:rsidRDefault="000A453B">
      <w:pPr>
        <w:pStyle w:val="CoverNormal24a"/>
      </w:pPr>
      <w:r>
        <w:rPr>
          <w:rStyle w:val="HideTWBExt"/>
        </w:rPr>
        <w:t>&lt;DocRef&gt;</w:t>
      </w:r>
      <w:r>
        <w:t>(COM(2021)0732 – C9</w:t>
      </w:r>
      <w:r>
        <w:noBreakHyphen/>
        <w:t>0021/2022 – 2021/0372(CNS))</w:t>
      </w:r>
      <w:r>
        <w:rPr>
          <w:rStyle w:val="HideTWBExt"/>
        </w:rPr>
        <w:t>&lt;/DocRef&gt;</w:t>
      </w:r>
    </w:p>
    <w:p w:rsidR="002E2F2E" w:rsidRPr="00970DA5" w:rsidRDefault="000A453B" w:rsidP="00EB001A">
      <w:pPr>
        <w:pStyle w:val="CoverNormal24a"/>
        <w:ind w:left="697" w:firstLine="720"/>
      </w:pPr>
      <w:r>
        <w:t xml:space="preserve">Nuomonės referentas: </w:t>
      </w:r>
      <w:r>
        <w:rPr>
          <w:rStyle w:val="HideTWBExt"/>
        </w:rPr>
        <w:t>&lt;Depute&gt;</w:t>
      </w:r>
      <w:r>
        <w:t>Domènec Ruiz Devesa</w:t>
      </w:r>
      <w:r>
        <w:rPr>
          <w:rStyle w:val="HideTWBExt"/>
        </w:rPr>
        <w:t>&lt;/Depute&gt;</w:t>
      </w:r>
    </w:p>
    <w:p w:rsidR="00A72C35" w:rsidRPr="00970DA5" w:rsidRDefault="00A72C35" w:rsidP="00A72C35">
      <w:pPr>
        <w:pStyle w:val="CoverNormal"/>
      </w:pPr>
    </w:p>
    <w:p w:rsidR="002E2F2E" w:rsidRPr="00970DA5" w:rsidRDefault="000A453B" w:rsidP="00E856D2">
      <w:pPr>
        <w:widowControl/>
        <w:tabs>
          <w:tab w:val="center" w:pos="4677"/>
        </w:tabs>
      </w:pPr>
      <w:r>
        <w:br w:type="page"/>
      </w:r>
      <w:r>
        <w:lastRenderedPageBreak/>
        <w:t>PA_LegPosition</w:t>
      </w:r>
    </w:p>
    <w:p w:rsidR="008B277F" w:rsidRPr="00970DA5" w:rsidRDefault="000A453B" w:rsidP="008B277F">
      <w:pPr>
        <w:pStyle w:val="PageHeadingNotTOC"/>
      </w:pPr>
      <w:r>
        <w:br w:type="page"/>
      </w:r>
      <w:r>
        <w:lastRenderedPageBreak/>
        <w:t>PAKEITIMAI</w:t>
      </w:r>
    </w:p>
    <w:p w:rsidR="00EB001A" w:rsidRPr="00ED38A0" w:rsidRDefault="000A453B" w:rsidP="00EB001A">
      <w:pPr>
        <w:pStyle w:val="Normal12a"/>
      </w:pPr>
      <w:r>
        <w:t>Piliečių laisvių, teisingumo ir vidaus reikalų komitetas ragina atsakingą Konstitucinių reikalų komitetą atsižvelgti į šiuos pakeitimus:</w:t>
      </w:r>
    </w:p>
    <w:p w:rsidR="00EB001A" w:rsidRPr="00ED38A0" w:rsidRDefault="000A453B" w:rsidP="00EB001A">
      <w:pPr>
        <w:rPr>
          <w:b/>
        </w:rPr>
      </w:pPr>
      <w:r>
        <w:rPr>
          <w:rStyle w:val="HideTWBExt"/>
        </w:rPr>
        <w:t>&lt;RepeatBlock-Amend&gt;</w:t>
      </w:r>
      <w:bookmarkStart w:id="1" w:name="IntroB"/>
      <w:r>
        <w:rPr>
          <w:rStyle w:val="HideTWBExt"/>
          <w:b/>
          <w:lang w:val="pt-PT"/>
        </w:rPr>
        <w:t>&lt;Amend&gt;</w:t>
      </w:r>
      <w:r>
        <w:rPr>
          <w:b/>
        </w:rPr>
        <w:t>Pakeitimas</w:t>
      </w:r>
      <w:r>
        <w:tab/>
      </w:r>
      <w:r>
        <w:tab/>
      </w:r>
      <w:r>
        <w:rPr>
          <w:rStyle w:val="HideTWBExt"/>
          <w:b/>
          <w:lang w:val="pt-PT"/>
        </w:rPr>
        <w:t>&lt;NumAm&gt;</w:t>
      </w:r>
      <w:r>
        <w:rPr>
          <w:b/>
        </w:rPr>
        <w:t>1</w:t>
      </w:r>
      <w:r>
        <w:rPr>
          <w:rStyle w:val="HideTWBExt"/>
          <w:b/>
          <w:lang w:val="pt-PT"/>
        </w:rPr>
        <w:t>&lt;/NumAm&gt;</w:t>
      </w:r>
    </w:p>
    <w:p w:rsidR="00EB001A" w:rsidRPr="00ED38A0" w:rsidRDefault="000A453B" w:rsidP="00EB001A">
      <w:pPr>
        <w:pStyle w:val="NormalBold12b"/>
      </w:pPr>
      <w:r>
        <w:rPr>
          <w:rStyle w:val="HideTWBExt"/>
          <w:lang w:val="pt-PT"/>
        </w:rPr>
        <w:t>&lt;DocAmend&gt;</w:t>
      </w:r>
      <w:r>
        <w:t>Pasiūlymas dėl direktyvos</w:t>
      </w:r>
      <w:r>
        <w:rPr>
          <w:rStyle w:val="HideTWBExt"/>
          <w:lang w:val="pt-PT"/>
        </w:rPr>
        <w:t>&lt;/DocAmend&gt;</w:t>
      </w:r>
    </w:p>
    <w:p w:rsidR="00EB001A" w:rsidRPr="00ED38A0" w:rsidRDefault="000A453B" w:rsidP="00EB001A">
      <w:pPr>
        <w:pStyle w:val="NormalBold"/>
      </w:pPr>
      <w:r>
        <w:rPr>
          <w:rStyle w:val="HideTWBExt"/>
        </w:rPr>
        <w:t>&lt;Article&gt;</w:t>
      </w:r>
      <w:r>
        <w:t>1 a konstatuojamoji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(1a)</w:t>
            </w:r>
            <w:r>
              <w:tab/>
            </w:r>
            <w:r>
              <w:rPr>
                <w:b/>
                <w:i/>
              </w:rPr>
              <w:t xml:space="preserve">1992 m. Europos Sąjungos sutartis (toliau – Mastrichto sutartis) žymėjo naują etapą kuriant vis glaudesnę </w:t>
            </w:r>
            <w:r>
              <w:rPr>
                <w:b/>
                <w:i/>
              </w:rPr>
              <w:t>Europos tautų sąjungą. Vienas iš jos uždavinių buvo darniai ir solidariai tvarkyti valstybių narių tautų santykius. Ja buvo siekiama, be kita ko, stiprinti savo valstybių narių piliečių teisių ir interesų apsaugą įvedant Sąjungos pilietybę. Šiuo tikslu Mas</w:t>
            </w:r>
            <w:r>
              <w:rPr>
                <w:b/>
                <w:i/>
              </w:rPr>
              <w:t>trichto sutartimi visiems valstybių narių piliečiams nustatyta Sąjungos pilietybė ir tuo remiantis tiems piliečiams suteikiamos tam tikros teisės;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2</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 b kon</w:t>
      </w:r>
      <w:r>
        <w:t>statuojamoji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(1b)</w:t>
            </w:r>
            <w:r>
              <w:tab/>
            </w:r>
            <w:r>
              <w:rPr>
                <w:b/>
                <w:i/>
              </w:rPr>
              <w:t xml:space="preserve">demokratija yra viena iš vertybių, kuriomis grindžiama Sąjunga. Kiekvienas pilietis turi teisę dalyvauti demokratiniame Sąjungos gyvenime. Svarbu užtikrinti, kad judūs </w:t>
            </w:r>
            <w:r>
              <w:rPr>
                <w:b/>
                <w:i/>
              </w:rPr>
              <w:t>Sąjungos piliečiai galėtų visapusiškai naudotis savo politinėmis teisėmis per būsimus Europos Parlamento, kuriame Sąjungos piliečiai atstovaujami tiesiogiai, rinkimus. Sąjungos piliečių įgytų politinių teisių praradimas dėl judumo Europoje gali trukdyti ju</w:t>
            </w:r>
            <w:r>
              <w:rPr>
                <w:b/>
                <w:i/>
              </w:rPr>
              <w:t xml:space="preserve">diems rinkėjams dalyvauti Europos Parlamento rinkimuose. Vis glaudesnė sąjunga būtinai reiškia </w:t>
            </w:r>
            <w:r>
              <w:rPr>
                <w:b/>
                <w:i/>
              </w:rPr>
              <w:lastRenderedPageBreak/>
              <w:t>laipsnišką Sąjungos piliečių politinių teisių konvergenciją balsuojant ir kandidatuojant rinkimuose į Europos Parlamentą;</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3</w:t>
      </w:r>
      <w:r>
        <w:rPr>
          <w:rStyle w:val="HideTWBExt"/>
        </w:rPr>
        <w:t>&lt;/</w:t>
      </w:r>
      <w:r>
        <w:rPr>
          <w:rStyle w:val="HideTWBExt"/>
        </w:rPr>
        <w: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 c konstatuojamoji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(1c)</w:t>
            </w:r>
            <w:r>
              <w:tab/>
            </w:r>
            <w:r>
              <w:rPr>
                <w:b/>
                <w:i/>
              </w:rPr>
              <w:t xml:space="preserve">2022 m. gegužės 3 d. teisėkūros rezoliucija dėl pasiūlymo dėl Tarybos reglamento dėl Europos </w:t>
            </w:r>
            <w:r>
              <w:rPr>
                <w:b/>
                <w:i/>
              </w:rPr>
              <w:t>Parlamento narių rinkimų remiantis tiesiogine visuotine rinkimų teise, kuriuo panaikinamas Tarybos sprendimas 76/787/EAPB, EEB, Euratomas ir prie to sprendimo pridėtas Aktas dėl Europos Parlamento narių rinkimų remiantis tiesiogine visuotine rinkimų teise,</w:t>
            </w:r>
            <w:r>
              <w:rPr>
                <w:b/>
                <w:i/>
              </w:rPr>
              <w:t xml:space="preserve"> Europos Parlamentas, remdamasis Sutarties dėl Europos Sąjungos veikimo (SESV) 223 straipsnio 1 dalimi, priėmė pasiūlymą dėl naujo Europos rinkimų akto, kuriuo toliau derinamos valstybių narių rinkimų sistemos nustatant elementus, kuriais siekiama didinti </w:t>
            </w:r>
            <w:r>
              <w:rPr>
                <w:b/>
                <w:i/>
              </w:rPr>
              <w:t>demokratinį teisėtumą ir tiksliau atspindėti Europos Parlamento vaidmens ir kompetencijos mastą. Judžių piliečių teisė balsuoti ir būti kandidatais turėtų būti taikoma visuose Akte nustatytuose rinkėjų sąrašuose ir rinkimų apygardose, įskaitant Sąjungos ma</w:t>
            </w:r>
            <w:r>
              <w:rPr>
                <w:b/>
                <w:i/>
              </w:rPr>
              <w:t>sto rinkimų apygardą, siekiant užtikrinti, kad būtų laikomasi nediskriminavimo principo;</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lastRenderedPageBreak/>
              <w:t>(2)</w:t>
            </w:r>
            <w:r>
              <w:tab/>
              <w:t xml:space="preserve">Sutarties dėl Europos Sąjungos veikimo (SESV) 20 straipsnio 2 dalies b punktu ir 22 straipsnio 2 dalimi Sąjungos piliečiams, gyvenantiems valstybėje narėje ir neturintiems jos pilietybės, suteikiama teisė balsuoti ir kandidatuoti Europos </w:t>
            </w:r>
            <w:r>
              <w:t xml:space="preserve">Parlamento rinkimuose savo gyvenamosios vietos valstybėje narėje tokiomis pačiomis sąlygomis kaip ir priimančiosios valstybės narės piliečiams. Ši teisė, taip pat įtvirtinta Europos Sąjungos pagrindinių teisių chartijos (toliau – Chartija) 39 straipsnyje, </w:t>
            </w:r>
            <w:r>
              <w:t>yra konkreti 21 straipsnyje įtvirtinto lygybės ir nediskriminavimo dėl pilietybės principo išraiška. Ji taip pat yra teisės laisvai judėti ir apsigyventi, įtvirtintos SESV 20 straipsnio 2 dalies a punkte, 21 straipsnyje ir Chartijos 45 straipsnyje, pasekmė</w:t>
            </w:r>
            <w:r>
              <w:t>;</w:t>
            </w:r>
          </w:p>
        </w:tc>
        <w:tc>
          <w:tcPr>
            <w:tcW w:w="4876" w:type="dxa"/>
            <w:hideMark/>
          </w:tcPr>
          <w:p w:rsidR="00EB001A" w:rsidRPr="00ED38A0" w:rsidRDefault="000A453B" w:rsidP="006E1648">
            <w:pPr>
              <w:pStyle w:val="Normal6a"/>
            </w:pPr>
            <w:r>
              <w:rPr>
                <w:i/>
              </w:rPr>
              <w:t>(Tekstas lietuvių kalba nekeičiamas.)</w:t>
            </w:r>
            <w:r>
              <w:tab/>
              <w:t xml:space="preserve">     </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5</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3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(3)</w:t>
            </w:r>
            <w:r>
              <w:tab/>
              <w:t xml:space="preserve">išsami naudojimosi teise </w:t>
            </w:r>
            <w:r>
              <w:t>balsuoti ir kandidatuoti Europos Parlamento rinkimuose tvarka nustatyta Tarybos direktyvoje 93/109/EB;</w:t>
            </w:r>
          </w:p>
        </w:tc>
        <w:tc>
          <w:tcPr>
            <w:tcW w:w="4876" w:type="dxa"/>
            <w:hideMark/>
          </w:tcPr>
          <w:p w:rsidR="00EB001A" w:rsidRPr="00ED38A0" w:rsidRDefault="000A453B" w:rsidP="006E1648">
            <w:pPr>
              <w:pStyle w:val="Normal6a"/>
            </w:pPr>
            <w:r>
              <w:t>(3)</w:t>
            </w:r>
            <w:r>
              <w:tab/>
              <w:t>išsami Sąjungos piliečių, gyvenančių valstybėje narėje ir neturinčių jos pilietybės, naudojimosi teise balsuoti ir kandidatuoti Europos Parlamento ri</w:t>
            </w:r>
            <w:r>
              <w:t xml:space="preserve">nkimuose tvarka nustatyta Tarybos direktyvoje 93/109/EB. </w:t>
            </w:r>
            <w:r>
              <w:rPr>
                <w:b/>
                <w:i/>
              </w:rPr>
              <w:t>Šios nuostatos turėtų atitikti SESV 223 straipsnio 1 dalį ir galiojančias jos įgyvendinimo nuostatas. Tokia tvarka neturėtų daryti poveikio nė vienos valstybės narės nuostatoms dėl jos piliečių, kuri</w:t>
            </w:r>
            <w:r>
              <w:rPr>
                <w:b/>
                <w:i/>
              </w:rPr>
              <w:t>e gyvena ne jos rinkimų teritorijoje, ir tam tikrų asmenų, kurie yra susiję artimu ryšiu su šia valstybe nare, tačiau nėra jos ar Sąjungos piliečiai, gyvenantys šioje valstybėje narėje, teisės balsuoti ar kandidatuoti;</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6</w:t>
      </w:r>
      <w:r>
        <w:rPr>
          <w:rStyle w:val="HideTWBExt"/>
        </w:rPr>
        <w:t>&lt;/NumAm&gt;</w:t>
      </w:r>
    </w:p>
    <w:p w:rsidR="00EB001A" w:rsidRPr="00ED38A0" w:rsidRDefault="000A453B" w:rsidP="00EB001A">
      <w:pPr>
        <w:pStyle w:val="NormalBold12b"/>
      </w:pPr>
      <w:r>
        <w:rPr>
          <w:rStyle w:val="HideTWBExt"/>
        </w:rPr>
        <w:lastRenderedPageBreak/>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4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(4)</w:t>
            </w:r>
            <w:r>
              <w:tab/>
              <w:t>2020</w:t>
            </w:r>
            <w:r>
              <w:rPr>
                <w:b/>
                <w:i/>
              </w:rPr>
              <w:t xml:space="preserve"> </w:t>
            </w:r>
            <w:r>
              <w:t>m. ES pilietybės ataskaitoje</w:t>
            </w:r>
            <w:r>
              <w:rPr>
                <w:rStyle w:val="Sup"/>
              </w:rPr>
              <w:t>24</w:t>
            </w:r>
            <w:r>
              <w:t xml:space="preserve"> Komisija pabrėžė, kad reikia atnaujinti, paaiškinti ir </w:t>
            </w:r>
            <w:r>
              <w:rPr>
                <w:b/>
                <w:i/>
              </w:rPr>
              <w:t>sugriežtinti</w:t>
            </w:r>
            <w:r>
              <w:t xml:space="preserve"> naudojimosi teise balsuoti ir kandidatuoti Europos Parlamento rinkimuose taisykles, siekiant užtikrinti, kad jomis būtų remiamas platus ir įtraukus </w:t>
            </w:r>
            <w:r>
              <w:rPr>
                <w:b/>
                <w:i/>
              </w:rPr>
              <w:t>judžių ES</w:t>
            </w:r>
            <w:r>
              <w:t xml:space="preserve"> piliečių dalyvavimas. Be to, atsižvelgiant į patirtį, įgytą taikant Tarybos direktyvą 93/109/EB v</w:t>
            </w:r>
            <w:r>
              <w:t>ėlesniems rinkimams, ir į pakeitimus, padarytus Sutarčių pakeitimais, reikėtų atnaujinti kelias tos direktyvos nuostatas;</w:t>
            </w:r>
          </w:p>
        </w:tc>
        <w:tc>
          <w:tcPr>
            <w:tcW w:w="4876" w:type="dxa"/>
            <w:hideMark/>
          </w:tcPr>
          <w:p w:rsidR="00EB001A" w:rsidRPr="00ED38A0" w:rsidRDefault="000A453B" w:rsidP="006E1648">
            <w:pPr>
              <w:pStyle w:val="Normal6a"/>
            </w:pPr>
            <w:r>
              <w:t>(4)</w:t>
            </w:r>
            <w:r>
              <w:tab/>
              <w:t>2020</w:t>
            </w:r>
            <w:r>
              <w:rPr>
                <w:b/>
                <w:i/>
              </w:rPr>
              <w:t> </w:t>
            </w:r>
            <w:r>
              <w:t>m. ES pilietybės ataskaitoje</w:t>
            </w:r>
            <w:r>
              <w:rPr>
                <w:rStyle w:val="Sup"/>
              </w:rPr>
              <w:t>24</w:t>
            </w:r>
            <w:r>
              <w:t xml:space="preserve"> Komisija pabrėžė, kad reikia atnaujinti, paaiškinti ir </w:t>
            </w:r>
            <w:r>
              <w:rPr>
                <w:b/>
                <w:i/>
              </w:rPr>
              <w:t>sustiprinti</w:t>
            </w:r>
            <w:r>
              <w:t xml:space="preserve"> naudojimosi teise balsuoti </w:t>
            </w:r>
            <w:r>
              <w:t xml:space="preserve">ir kandidatuoti Europos Parlamento rinkimuose taisykles, siekiant užtikrinti, kad jomis būtų remiamas platus ir įtraukus </w:t>
            </w:r>
            <w:r>
              <w:rPr>
                <w:b/>
                <w:i/>
              </w:rPr>
              <w:t>Sąjungos</w:t>
            </w:r>
            <w:r>
              <w:t xml:space="preserve"> piliečių</w:t>
            </w:r>
            <w:r>
              <w:rPr>
                <w:b/>
                <w:i/>
              </w:rPr>
              <w:t>, gyvenančių valstybėje narėje ir neturinčių jos pilietybės,</w:t>
            </w:r>
            <w:r>
              <w:t xml:space="preserve"> dalyvavimas. Be to, atsižvelgiant į patirtį, įgytą taikan</w:t>
            </w:r>
            <w:r>
              <w:t>t Tarybos direktyvą 93/109/EB vėlesniems rinkimams, ir į pakeitimus, padarytus Sutarčių pakeitimais, reikėtų atnaujinti kelias tos direktyvos nuostatas;</w:t>
            </w:r>
          </w:p>
        </w:tc>
      </w:tr>
      <w:tr w:rsidR="00505880" w:rsidTr="006E1648">
        <w:trPr>
          <w:jc w:val="center"/>
        </w:trPr>
        <w:tc>
          <w:tcPr>
            <w:tcW w:w="4876" w:type="dxa"/>
            <w:hideMark/>
          </w:tcPr>
          <w:p w:rsidR="00EB001A" w:rsidRPr="00ED38A0" w:rsidRDefault="000A453B" w:rsidP="006E1648">
            <w:pPr>
              <w:pStyle w:val="Normal6a"/>
            </w:pPr>
            <w:r>
              <w:rPr>
                <w:b/>
                <w:i/>
              </w:rPr>
              <w:t>_________________</w:t>
            </w:r>
          </w:p>
        </w:tc>
        <w:tc>
          <w:tcPr>
            <w:tcW w:w="4876" w:type="dxa"/>
            <w:hideMark/>
          </w:tcPr>
          <w:p w:rsidR="00EB001A" w:rsidRPr="00ED38A0" w:rsidRDefault="000A453B" w:rsidP="006E1648">
            <w:pPr>
              <w:pStyle w:val="Normal6a"/>
            </w:pPr>
            <w:r>
              <w:rPr>
                <w:b/>
                <w:i/>
              </w:rPr>
              <w:t>_________________</w:t>
            </w:r>
          </w:p>
        </w:tc>
      </w:tr>
      <w:tr w:rsidR="00505880" w:rsidTr="006E1648">
        <w:trPr>
          <w:jc w:val="center"/>
        </w:trPr>
        <w:tc>
          <w:tcPr>
            <w:tcW w:w="4876" w:type="dxa"/>
            <w:hideMark/>
          </w:tcPr>
          <w:p w:rsidR="00EB001A" w:rsidRPr="00ED38A0" w:rsidRDefault="000A453B" w:rsidP="006E1648">
            <w:pPr>
              <w:pStyle w:val="Normal6a"/>
            </w:pPr>
            <w:r>
              <w:rPr>
                <w:rStyle w:val="Sup"/>
              </w:rPr>
              <w:t>24</w:t>
            </w:r>
            <w:r>
              <w:t xml:space="preserve"> https://ec.europa.eu/info/files/eu-citizenship-report-2020-empowering-citizens-and-protecting-their-rights_en</w:t>
            </w:r>
          </w:p>
        </w:tc>
        <w:tc>
          <w:tcPr>
            <w:tcW w:w="4876" w:type="dxa"/>
            <w:hideMark/>
          </w:tcPr>
          <w:p w:rsidR="00EB001A" w:rsidRPr="00ED38A0" w:rsidRDefault="000A453B" w:rsidP="006E1648">
            <w:pPr>
              <w:pStyle w:val="Normal6a"/>
            </w:pPr>
            <w:r>
              <w:rPr>
                <w:rStyle w:val="Sup"/>
              </w:rPr>
              <w:t>24</w:t>
            </w:r>
            <w:r>
              <w:t xml:space="preserve"> https://ec.europa.eu/info/files/eu-citizenship-report-2020-empowering-citizens-and-protecting-their-rights_en</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w:t>
      </w:r>
      <w:r>
        <w:rPr>
          <w:rStyle w:val="HideTWBExt"/>
        </w:rPr>
        <w:t>mAm&gt;</w:t>
      </w:r>
      <w:r>
        <w:t>7</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5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(5)</w:t>
            </w:r>
            <w:r>
              <w:tab/>
              <w:t xml:space="preserve">SESV 20 straipsnio 2 </w:t>
            </w:r>
            <w:r>
              <w:rPr>
                <w:b/>
                <w:i/>
              </w:rPr>
              <w:t>dalimi nedaroma</w:t>
            </w:r>
            <w:r>
              <w:t xml:space="preserve"> poveikio SESV 223 straipsnio 1 daliai, kurioje numatyta, kad visose valstybėse narėse nustatoma vienoda </w:t>
            </w:r>
            <w:r>
              <w:rPr>
                <w:b/>
                <w:i/>
              </w:rPr>
              <w:t xml:space="preserve">tų </w:t>
            </w:r>
            <w:r>
              <w:t>rinkimų tvarka, laikantis visoms valstybėms narėms bendrų principų;</w:t>
            </w:r>
          </w:p>
        </w:tc>
        <w:tc>
          <w:tcPr>
            <w:tcW w:w="4876" w:type="dxa"/>
            <w:hideMark/>
          </w:tcPr>
          <w:p w:rsidR="00EB001A" w:rsidRPr="00ED38A0" w:rsidRDefault="000A453B" w:rsidP="006E1648">
            <w:pPr>
              <w:pStyle w:val="Normal6a"/>
            </w:pPr>
            <w:r>
              <w:t>(5)</w:t>
            </w:r>
            <w:r>
              <w:tab/>
              <w:t>SESV 20 straipsnio 2 </w:t>
            </w:r>
            <w:r>
              <w:rPr>
                <w:b/>
                <w:i/>
              </w:rPr>
              <w:t>dalis nedaro</w:t>
            </w:r>
            <w:r>
              <w:t xml:space="preserve"> poveikio SESV 223 straipsnio 1 daliai, kur</w:t>
            </w:r>
            <w:r>
              <w:t>ioje numatyta, kad visose valstybėse narėse nustatoma vienoda rinkimų</w:t>
            </w:r>
            <w:r>
              <w:rPr>
                <w:b/>
                <w:i/>
              </w:rPr>
              <w:t xml:space="preserve"> į Europos Parlamentą</w:t>
            </w:r>
            <w:r>
              <w:t xml:space="preserve"> tvarka, laikantis visoms valstybėms narėms bendrų principų;</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8</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6 k</w:t>
      </w:r>
      <w:r>
        <w:t>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lastRenderedPageBreak/>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(6)</w:t>
            </w:r>
            <w:r>
              <w:tab/>
              <w:t xml:space="preserve">siekiant užtikrinti, kad Sąjungos piliečiai, gyvenantys valstybėje narėje ir neturintys jos pilietybės, (toliau – valstybės narės pilietybės neturintys Sąjungos piliečiai) galėtų </w:t>
            </w:r>
            <w:r>
              <w:t>naudotis savo teise balsuoti ir kandidatuoti Europos Parlamento rinkimuose tokiomis pačiomis sąlygomis kaip ir priimančiosios valstybės narės piliečiai, turėtų būti patikslintos registravimo ir dalyvavimo tokiuose rinkimuose sąlygos, kad būtų užtikrintos v</w:t>
            </w:r>
            <w:r>
              <w:t>ienodos sąlygos valstybės narės pilietybę turintiems ir jos neturintiems Sąjungos piliečiams. Visų pirma Sąjungos piliečiams, norintiems balsuoti ir kandidatuoti Europos Parlamento rinkimuose savo gyvenamosios vietos valstybėje narėje, turėtų būti taikomos</w:t>
            </w:r>
            <w:r>
              <w:t xml:space="preserve"> vienodos sąlygos, kiek tai susiję su sąlygos, kad asmuo turi būti valstybėje narėje pragyvenęs tam tikrą laikotarpį, kad galėtų naudotis šia teise, įvykdymu, taip pat su įrodymais, patvirtinančiais, kad tokia sąlyga įvykdyta;</w:t>
            </w:r>
          </w:p>
        </w:tc>
        <w:tc>
          <w:tcPr>
            <w:tcW w:w="4876" w:type="dxa"/>
            <w:hideMark/>
          </w:tcPr>
          <w:p w:rsidR="00EB001A" w:rsidRPr="00ED38A0" w:rsidRDefault="000A453B" w:rsidP="006E1648">
            <w:pPr>
              <w:pStyle w:val="Normal6a"/>
            </w:pPr>
            <w:r>
              <w:t>(6)</w:t>
            </w:r>
            <w:r>
              <w:tab/>
              <w:t xml:space="preserve">siekiant užtikrinti, kad </w:t>
            </w:r>
            <w:r>
              <w:t>Sąjungos piliečiai, gyvenantys valstybėje narėje ir neturintys jos pilietybės, (toliau – valstybės narės pilietybės neturintys Sąjungos piliečiai) galėtų naudotis savo teise balsuoti ir kandidatuoti Europos Parlamento rinkimuose tokiomis pačiomis sąlygomis</w:t>
            </w:r>
            <w:r>
              <w:t xml:space="preserve"> kaip ir priimančiosios valstybės narės piliečiai, turėtų būti patikslintos registravimo ir dalyvavimo tokiuose rinkimuose sąlygos, kad būtų užtikrintos vienodos sąlygos valstybės narės pilietybę turintiems ir jos neturintiems Sąjungos piliečiams. Visų pir</w:t>
            </w:r>
            <w:r>
              <w:t>ma</w:t>
            </w:r>
            <w:r>
              <w:rPr>
                <w:b/>
                <w:i/>
              </w:rPr>
              <w:t>,</w:t>
            </w:r>
            <w:r>
              <w:t xml:space="preserve"> Sąjungos piliečiams, norintiems balsuoti ir kandidatuoti Europos Parlamento rinkimuose savo gyvenamosios vietos valstybėje narėje, turėtų būti taikomos vienodos sąlygos</w:t>
            </w:r>
            <w:r>
              <w:rPr>
                <w:b/>
                <w:i/>
              </w:rPr>
              <w:t xml:space="preserve"> kaip ir tos valstybės narės piliečiams</w:t>
            </w:r>
            <w:r>
              <w:t xml:space="preserve">, kiek tai susiję su sąlygos, kad asmuo turi </w:t>
            </w:r>
            <w:r>
              <w:t>būti valstybėje narėje pragyvenęs tam tikrą laikotarpį, kad galėtų naudotis šia teise, įvykdymu, taip pat su įrodymais, patvirtinančiais, kad tokia sąlyga įvykdyta;</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9</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7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(7)</w:t>
            </w:r>
            <w:r>
              <w:tab/>
              <w:t>turi būti gerbiama Sąjungos piliečių laisvė pasirinkti valstybę narę, kurioje jie gali dalyvauti Europos Parlamento rinkimuose, kartu imantis tinkamų priemo</w:t>
            </w:r>
            <w:r>
              <w:t>nių užtikrinti, kad nė vienas asmuo nebalsuotų daugiau negu vieną kartą ir nekandidatuotų daugiau negu vienoje šalyje;</w:t>
            </w:r>
          </w:p>
        </w:tc>
        <w:tc>
          <w:tcPr>
            <w:tcW w:w="4876" w:type="dxa"/>
            <w:hideMark/>
          </w:tcPr>
          <w:p w:rsidR="00EB001A" w:rsidRPr="00ED38A0" w:rsidRDefault="000A453B" w:rsidP="006E1648">
            <w:pPr>
              <w:pStyle w:val="Normal6a"/>
            </w:pPr>
            <w:r>
              <w:rPr>
                <w:i/>
              </w:rPr>
              <w:t>(Tekstas lietuvių kalba nekeičiamas.)</w:t>
            </w:r>
            <w:r>
              <w:tab/>
              <w:t xml:space="preserve"> </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10</w:t>
      </w:r>
      <w:r>
        <w:rPr>
          <w:rStyle w:val="HideTWBExt"/>
        </w:rPr>
        <w:t>&lt;/NumAm&gt;</w:t>
      </w:r>
    </w:p>
    <w:p w:rsidR="00EB001A" w:rsidRPr="00ED38A0" w:rsidRDefault="000A453B" w:rsidP="00EB001A">
      <w:pPr>
        <w:pStyle w:val="NormalBold12b"/>
      </w:pPr>
      <w:r>
        <w:rPr>
          <w:rStyle w:val="HideTWBExt"/>
        </w:rPr>
        <w:lastRenderedPageBreak/>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8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(8)</w:t>
            </w:r>
            <w:r>
              <w:tab/>
              <w:t>pagal tarptautinius ir Europos standartus, įskaitant Tarptautinio pilietinių ir politinių teisių pakto</w:t>
            </w:r>
            <w:r>
              <w:rPr>
                <w:b/>
                <w:i/>
              </w:rPr>
              <w:t xml:space="preserve"> ir</w:t>
            </w:r>
            <w:r>
              <w:t xml:space="preserve"> Europos žmogaus teisių konvencijos reikalavimus, valstybės narės turėtų ne tik pripažinti ir gerbti Sąjungos piliečių teisę balsuoti ir kandidatuoti, bet ir užtikrinti jiems galimybę lengvai naudotis savo rinkimų teisėmis, pašalindamos </w:t>
            </w:r>
            <w:r>
              <w:rPr>
                <w:b/>
                <w:i/>
              </w:rPr>
              <w:t>kuo daugiau kliūčių</w:t>
            </w:r>
            <w:r>
              <w:t xml:space="preserve">, </w:t>
            </w:r>
            <w:r>
              <w:rPr>
                <w:b/>
                <w:i/>
              </w:rPr>
              <w:t>trukdančių</w:t>
            </w:r>
            <w:r>
              <w:t xml:space="preserve"> dalyvauti rinkimuose;</w:t>
            </w:r>
          </w:p>
        </w:tc>
        <w:tc>
          <w:tcPr>
            <w:tcW w:w="4876" w:type="dxa"/>
            <w:hideMark/>
          </w:tcPr>
          <w:p w:rsidR="00EB001A" w:rsidRPr="00ED38A0" w:rsidRDefault="000A453B" w:rsidP="006E1648">
            <w:pPr>
              <w:pStyle w:val="Normal6a"/>
            </w:pPr>
            <w:r>
              <w:t>(8)</w:t>
            </w:r>
            <w:r>
              <w:tab/>
              <w:t>pagal tarptautinius ir Europos standartus, įskaitant Tarptautinio pilietinių ir politinių teisių pakto</w:t>
            </w:r>
            <w:r>
              <w:rPr>
                <w:b/>
                <w:i/>
              </w:rPr>
              <w:t>,</w:t>
            </w:r>
            <w:r>
              <w:t xml:space="preserve"> Europos žmogaus teisių</w:t>
            </w:r>
            <w:r>
              <w:rPr>
                <w:b/>
                <w:i/>
              </w:rPr>
              <w:t xml:space="preserve"> konvencijos ir Jungtinių Tautų neįgaliųjų teisių</w:t>
            </w:r>
            <w:r>
              <w:t xml:space="preserve"> konvencijos reikalavimus, valstybės narės</w:t>
            </w:r>
            <w:r>
              <w:t xml:space="preserve"> turėtų ne tik pripažinti ir gerbti Sąjungos piliečių teisę balsuoti ir kandidatuoti, bet ir užtikrinti jiems galimybę lengvai naudotis savo rinkimų teisėmis, pašalindamos </w:t>
            </w:r>
            <w:r>
              <w:rPr>
                <w:b/>
                <w:i/>
              </w:rPr>
              <w:t>visas kliūtis</w:t>
            </w:r>
            <w:r>
              <w:t xml:space="preserve">, </w:t>
            </w:r>
            <w:r>
              <w:rPr>
                <w:b/>
                <w:i/>
              </w:rPr>
              <w:t>trukdančias</w:t>
            </w:r>
            <w:r>
              <w:t xml:space="preserve"> dalyvauti rinkimuose;</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11</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9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(9)</w:t>
            </w:r>
            <w:r>
              <w:tab/>
            </w:r>
            <w:r>
              <w:t xml:space="preserve">siekiant sudaryti palankesnes sąlygas Sąjungos piliečiams naudotis savo teise balsuoti ir kandidatuoti savo gyvenamosios vietos šalyje, </w:t>
            </w:r>
            <w:r>
              <w:rPr>
                <w:b/>
                <w:i/>
              </w:rPr>
              <w:t>tokie piliečiai</w:t>
            </w:r>
            <w:r>
              <w:t xml:space="preserve"> turėtų </w:t>
            </w:r>
            <w:r>
              <w:rPr>
                <w:b/>
                <w:i/>
              </w:rPr>
              <w:t>būti</w:t>
            </w:r>
            <w:r>
              <w:t xml:space="preserve"> į rinkėjų sąrašą </w:t>
            </w:r>
            <w:r>
              <w:rPr>
                <w:b/>
                <w:i/>
              </w:rPr>
              <w:t>įrašomi</w:t>
            </w:r>
            <w:r>
              <w:t xml:space="preserve"> likus pakankamai laiko iki rinkimų dienos. Jų registracijai taikomi</w:t>
            </w:r>
            <w:r>
              <w:t xml:space="preserve"> formalumai turėtų būti kuo paprastesni. Atitinkamiems Sąjungos piliečiams turėtų pakakti pateikti galiojančią tapatybės kortelę ir oficialią deklaraciją, kurioje būtų pateikta informacija, patvirtinanti jų teisę dalyvauti rinkimuose. Užsiregistravę valsty</w:t>
            </w:r>
            <w:r>
              <w:t>bės narės pilietybės neturintys Sąjungos piliečiai turėtų likti rinkėjų sąraše tomis pačiomis sąlygomis, kaip ir Sąjungos piliečiai, turintys tos valstybės narės pilietybę, tol, kol jie atitinka naudojimosi teise balsuoti sąlygas. Be to, Sąjungos piliečiai</w:t>
            </w:r>
            <w:r>
              <w:t xml:space="preserve"> kompetentingoms institucijoms turėtų pateikti kontaktinę informaciją, kad tos institucijos galėtų reguliariai juos informuoti;</w:t>
            </w:r>
          </w:p>
        </w:tc>
        <w:tc>
          <w:tcPr>
            <w:tcW w:w="4876" w:type="dxa"/>
            <w:hideMark/>
          </w:tcPr>
          <w:p w:rsidR="00EB001A" w:rsidRPr="00ED38A0" w:rsidRDefault="000A453B" w:rsidP="006E1648">
            <w:pPr>
              <w:pStyle w:val="Normal6a"/>
            </w:pPr>
            <w:r>
              <w:t>(9)</w:t>
            </w:r>
            <w:r>
              <w:tab/>
              <w:t xml:space="preserve">siekiant sudaryti palankesnes sąlygas </w:t>
            </w:r>
            <w:r>
              <w:rPr>
                <w:b/>
                <w:i/>
              </w:rPr>
              <w:t xml:space="preserve">valstybės narės pilietybės neturintiems </w:t>
            </w:r>
            <w:r>
              <w:t>Sąjungos piliečiams naudotis savo teise balsuo</w:t>
            </w:r>
            <w:r>
              <w:t xml:space="preserve">ti ir kandidatuoti savo gyvenamosios vietos šalyje, </w:t>
            </w:r>
            <w:r>
              <w:rPr>
                <w:b/>
                <w:i/>
              </w:rPr>
              <w:t>valstybės narės</w:t>
            </w:r>
            <w:r>
              <w:t xml:space="preserve"> turėtų </w:t>
            </w:r>
            <w:r>
              <w:rPr>
                <w:b/>
                <w:i/>
              </w:rPr>
              <w:t>siekti sudaryti galimybę naudotis automatinės rinkėjų registracijos priemonėmis Sąjungos piliečiams pareiškus norą balsuoti savo gyvenamosios vietos valstybėje narėje. Kai automatin</w:t>
            </w:r>
            <w:r>
              <w:rPr>
                <w:b/>
                <w:i/>
              </w:rPr>
              <w:t>ės registracijos priemonėmis nebuvo naudojamasi, valstybės narės pilietybės neturintys Sąjungos piliečiai</w:t>
            </w:r>
            <w:r>
              <w:t xml:space="preserve"> į rinkėjų sąrašą </w:t>
            </w:r>
            <w:r>
              <w:rPr>
                <w:b/>
                <w:i/>
              </w:rPr>
              <w:t>turėtų būti įtraukiami</w:t>
            </w:r>
            <w:r>
              <w:t xml:space="preserve"> likus pakankamai laiko iki rinkimų dienos. Jų registracijai taikomi formalumai turėtų būti kuo paprastesni</w:t>
            </w:r>
            <w:r>
              <w:rPr>
                <w:b/>
                <w:i/>
              </w:rPr>
              <w:t xml:space="preserve"> ir </w:t>
            </w:r>
            <w:r>
              <w:rPr>
                <w:b/>
                <w:i/>
              </w:rPr>
              <w:t>kuo panašesni visose valstybėse narėse</w:t>
            </w:r>
            <w:r>
              <w:t>. Atitinkamiems Sąjungos piliečiams turėtų pakakti pateikti galiojančią tapatybės kortelę ir oficialią deklaraciją, kurioje būtų pateikta informacija, patvirtinanti jų teisę dalyvauti rinkimuose. Užsiregistravę valstyb</w:t>
            </w:r>
            <w:r>
              <w:t xml:space="preserve">ės narės </w:t>
            </w:r>
            <w:r>
              <w:lastRenderedPageBreak/>
              <w:t xml:space="preserve">pilietybės neturintys Sąjungos piliečiai turėtų likti rinkėjų sąraše tomis pačiomis sąlygomis, kaip ir Sąjungos piliečiai, turintys tos valstybės narės pilietybę, tol, kol jie atitinka naudojimosi teise balsuoti sąlygas. Be to, Sąjungos piliečiai </w:t>
            </w:r>
            <w:r>
              <w:t>kompetentingoms institucijoms turėtų pateikti kontaktinę informaciją, kad tos institucijos galėtų reguliariai juos informuoti;</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12</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11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(11)</w:t>
            </w:r>
            <w:r>
              <w:tab/>
              <w:t>siekiant užtikrinti, kad valstybės narės pilietybės neturintys Sąjungos piliečiai galėtų naudotis savo teise kandidatuoti rinkimuose savo gyvenamosios vietos valstybėje narėje, turėtų būti reikalauja</w:t>
            </w:r>
            <w:r>
              <w:t>ma, kad tokie piliečiai pateiktų tokius pačius patvirtinamuosius dokumentus, kokių reikalaujama iš kandidatų, kurie yra atitinkamos valstybės narės piliečiai. Tačiau</w:t>
            </w:r>
            <w:r>
              <w:rPr>
                <w:b/>
                <w:i/>
              </w:rPr>
              <w:t>, siekiant</w:t>
            </w:r>
            <w:r>
              <w:t xml:space="preserve"> nustatyti, kad tokie piliečiai naudojasi SESV 20</w:t>
            </w:r>
            <w:r>
              <w:rPr>
                <w:b/>
                <w:i/>
              </w:rPr>
              <w:t xml:space="preserve"> </w:t>
            </w:r>
            <w:r>
              <w:t>straipsnio 2</w:t>
            </w:r>
            <w:r>
              <w:rPr>
                <w:b/>
                <w:i/>
              </w:rPr>
              <w:t xml:space="preserve"> </w:t>
            </w:r>
            <w:r>
              <w:t>dalies b</w:t>
            </w:r>
            <w:r>
              <w:rPr>
                <w:b/>
                <w:i/>
              </w:rPr>
              <w:t xml:space="preserve"> </w:t>
            </w:r>
            <w:r>
              <w:t>punkte ir</w:t>
            </w:r>
            <w:r>
              <w:t xml:space="preserve"> 22</w:t>
            </w:r>
            <w:r>
              <w:rPr>
                <w:b/>
                <w:i/>
              </w:rPr>
              <w:t xml:space="preserve"> </w:t>
            </w:r>
            <w:r>
              <w:t>straipsnio 2</w:t>
            </w:r>
            <w:r>
              <w:rPr>
                <w:b/>
                <w:i/>
              </w:rPr>
              <w:t xml:space="preserve"> </w:t>
            </w:r>
            <w:r>
              <w:t>dalyje nustatyta teise</w:t>
            </w:r>
            <w:r>
              <w:rPr>
                <w:b/>
                <w:i/>
              </w:rPr>
              <w:t>,</w:t>
            </w:r>
            <w:r>
              <w:t xml:space="preserve"> valstybės narės turėtų turėti galimybę </w:t>
            </w:r>
            <w:r>
              <w:rPr>
                <w:b/>
                <w:i/>
              </w:rPr>
              <w:t>reikalauti</w:t>
            </w:r>
            <w:r>
              <w:t xml:space="preserve"> pateikti oficialią deklaraciją, kurioje būtų pateikta informacija, </w:t>
            </w:r>
            <w:r>
              <w:rPr>
                <w:b/>
                <w:i/>
              </w:rPr>
              <w:t>patvirtinanti</w:t>
            </w:r>
            <w:r>
              <w:t xml:space="preserve"> jų </w:t>
            </w:r>
            <w:r>
              <w:rPr>
                <w:b/>
                <w:i/>
              </w:rPr>
              <w:t>teisę</w:t>
            </w:r>
            <w:r>
              <w:t xml:space="preserve"> kandidatuoti atitinkamuose rinkimuose;</w:t>
            </w:r>
          </w:p>
        </w:tc>
        <w:tc>
          <w:tcPr>
            <w:tcW w:w="4876" w:type="dxa"/>
            <w:hideMark/>
          </w:tcPr>
          <w:p w:rsidR="00EB001A" w:rsidRPr="00ED38A0" w:rsidRDefault="000A453B" w:rsidP="006E1648">
            <w:pPr>
              <w:pStyle w:val="Normal6a"/>
            </w:pPr>
            <w:r>
              <w:t>(11)</w:t>
            </w:r>
            <w:r>
              <w:tab/>
              <w:t>siekiant užtikrinti, kad valsty</w:t>
            </w:r>
            <w:r>
              <w:t>bės narės pilietybės neturintys Sąjungos piliečiai galėtų naudotis savo teise kandidatuoti rinkimuose savo gyvenamosios vietos valstybėje narėje, turėtų būti reikalaujama, kad tokie piliečiai pateiktų tokius pačius patvirtinamuosius dokumentus, kokių reika</w:t>
            </w:r>
            <w:r>
              <w:t>laujama iš kandidatų, kurie yra atitinkamos valstybės narės piliečiai. Tačiau</w:t>
            </w:r>
            <w:r>
              <w:rPr>
                <w:b/>
                <w:i/>
              </w:rPr>
              <w:t xml:space="preserve"> valstybėms narėms neabejotinai svarbu</w:t>
            </w:r>
            <w:r>
              <w:t xml:space="preserve"> nustatyti, kad tokie piliečiai naudojasi SESV 20</w:t>
            </w:r>
            <w:r>
              <w:rPr>
                <w:b/>
                <w:i/>
              </w:rPr>
              <w:t> </w:t>
            </w:r>
            <w:r>
              <w:t>straipsnio 2</w:t>
            </w:r>
            <w:r>
              <w:rPr>
                <w:b/>
                <w:i/>
              </w:rPr>
              <w:t> </w:t>
            </w:r>
            <w:r>
              <w:t>dalies b</w:t>
            </w:r>
            <w:r>
              <w:rPr>
                <w:b/>
                <w:i/>
              </w:rPr>
              <w:t> </w:t>
            </w:r>
            <w:r>
              <w:t>punkte ir 22</w:t>
            </w:r>
            <w:r>
              <w:rPr>
                <w:b/>
                <w:i/>
              </w:rPr>
              <w:t> </w:t>
            </w:r>
            <w:r>
              <w:t>straipsnio 2</w:t>
            </w:r>
            <w:r>
              <w:rPr>
                <w:b/>
                <w:i/>
              </w:rPr>
              <w:t> </w:t>
            </w:r>
            <w:r>
              <w:t>dalyje nustatyta teise</w:t>
            </w:r>
            <w:r>
              <w:rPr>
                <w:b/>
                <w:i/>
              </w:rPr>
              <w:t xml:space="preserve">. Dėl šios </w:t>
            </w:r>
            <w:r>
              <w:rPr>
                <w:b/>
                <w:i/>
              </w:rPr>
              <w:t>priežasties</w:t>
            </w:r>
            <w:r>
              <w:t xml:space="preserve"> valstybės narės turėtų turėti galimybę </w:t>
            </w:r>
            <w:r>
              <w:rPr>
                <w:b/>
                <w:i/>
              </w:rPr>
              <w:t>išimtiniais atvejais prašyti</w:t>
            </w:r>
            <w:r>
              <w:t xml:space="preserve"> pateikti oficialią deklaraciją, kurioje būtų pateikta informacija, </w:t>
            </w:r>
            <w:r>
              <w:rPr>
                <w:b/>
                <w:i/>
              </w:rPr>
              <w:t>būtina</w:t>
            </w:r>
            <w:r>
              <w:t xml:space="preserve"> jų </w:t>
            </w:r>
            <w:r>
              <w:rPr>
                <w:b/>
                <w:i/>
              </w:rPr>
              <w:t>teisei</w:t>
            </w:r>
            <w:r>
              <w:t xml:space="preserve"> kandidatuoti atitinkamuose rinkimuose</w:t>
            </w:r>
            <w:r>
              <w:rPr>
                <w:b/>
                <w:i/>
              </w:rPr>
              <w:t xml:space="preserve"> patvirtinti</w:t>
            </w:r>
            <w:r>
              <w:t>;</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13</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11 a konstatuojamoji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(11a)</w:t>
            </w:r>
            <w:r>
              <w:tab/>
            </w:r>
            <w:r>
              <w:rPr>
                <w:b/>
                <w:i/>
              </w:rPr>
              <w:t xml:space="preserve">kad ES piliečiai, gyvenantys </w:t>
            </w:r>
            <w:r>
              <w:rPr>
                <w:b/>
                <w:i/>
              </w:rPr>
              <w:lastRenderedPageBreak/>
              <w:t xml:space="preserve">valstybėje narėje ir neturintys jos pilietybės, faktiškai turėtų </w:t>
            </w:r>
            <w:r>
              <w:rPr>
                <w:b/>
                <w:i/>
              </w:rPr>
              <w:t>teisę kandidatuoti Europos Parlamento rinkimuose, nacionalinės politinės partijos turėtų būti skatinamos narystės jose nesusieti su sąlyga turėti valstybės narės, kurioje vyksta rinkimai, pilietybę;</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14</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12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(12)</w:t>
            </w:r>
            <w:r>
              <w:tab/>
            </w:r>
            <w:r>
              <w:t xml:space="preserve">siekiant sudaryti palankesnes sąlygas tiksliai nustatyti rinkėjų ir kandidatų, registruotų tiek kilmės valstybėje narėje, tiek gyvenamosios vietos valstybėje narėje, tapatybę, reikalaujamų duomenų, kuriuos turi pateikti </w:t>
            </w:r>
            <w:r>
              <w:rPr>
                <w:b/>
                <w:i/>
              </w:rPr>
              <w:t>Sąjungos piliečiai kartu su paraiška</w:t>
            </w:r>
            <w:r>
              <w:rPr>
                <w:b/>
                <w:i/>
              </w:rPr>
              <w:t xml:space="preserve"> būti įrašytiems</w:t>
            </w:r>
            <w:r>
              <w:t xml:space="preserve"> į rinkėjų sąrašą arba </w:t>
            </w:r>
            <w:r>
              <w:rPr>
                <w:b/>
                <w:i/>
              </w:rPr>
              <w:t>kandidatuoti</w:t>
            </w:r>
            <w:r>
              <w:t xml:space="preserve"> gyvenamosios vietos valstybėje narėje, sąraše turėtų būti jų asmens kodas arba galiojančio asmens tapatybės ar kelionės dokumento serijos numeris;</w:t>
            </w:r>
          </w:p>
        </w:tc>
        <w:tc>
          <w:tcPr>
            <w:tcW w:w="4876" w:type="dxa"/>
            <w:hideMark/>
          </w:tcPr>
          <w:p w:rsidR="00EB001A" w:rsidRPr="00ED38A0" w:rsidRDefault="000A453B" w:rsidP="006E1648">
            <w:pPr>
              <w:pStyle w:val="Normal6a"/>
            </w:pPr>
            <w:r>
              <w:t>(12)</w:t>
            </w:r>
            <w:r>
              <w:tab/>
              <w:t>siekiant sudaryti palankesnes sąlygas tiksliai nusta</w:t>
            </w:r>
            <w:r>
              <w:t xml:space="preserve">tyti rinkėjų ir kandidatų, registruotų tiek kilmės valstybėje narėje, tiek gyvenamosios vietos valstybėje narėje, tapatybę, reikalaujamų duomenų, kuriuos </w:t>
            </w:r>
            <w:r>
              <w:rPr>
                <w:b/>
                <w:i/>
              </w:rPr>
              <w:t xml:space="preserve">Sąjungos piliečiai </w:t>
            </w:r>
            <w:r>
              <w:t xml:space="preserve">turi pateikti </w:t>
            </w:r>
            <w:r>
              <w:rPr>
                <w:b/>
                <w:i/>
              </w:rPr>
              <w:t>automatinės registracijos metu arba pateikdami oficialią savo ketinim</w:t>
            </w:r>
            <w:r>
              <w:rPr>
                <w:b/>
                <w:i/>
              </w:rPr>
              <w:t>ų deklaraciją, kad būtų įrašyti</w:t>
            </w:r>
            <w:r>
              <w:t xml:space="preserve"> į rinkėjų sąrašą arba </w:t>
            </w:r>
            <w:r>
              <w:rPr>
                <w:b/>
                <w:i/>
              </w:rPr>
              <w:t>kandidatuotų</w:t>
            </w:r>
            <w:r>
              <w:t xml:space="preserve"> gyvenamosios vietos valstybėje narėje, sąraše turėtų būti jų asmens kodas arba galiojančio asmens tapatybės ar kelionės dokumento serijos numeris;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15</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13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(13)</w:t>
            </w:r>
            <w:r>
              <w:tab/>
              <w:t xml:space="preserve">Sąjungos piliečiams, iš kurių individualiu sprendimu, kompetentingos institucijos priimtu pagal civilinę ar </w:t>
            </w:r>
            <w:r>
              <w:t xml:space="preserve">baudžiamąją teisę, buvo atimta teisė balsuoti ir kandidatuoti, turėtų būti neleidžiama naudotis šia teise gyvenamosios vietos valstybėje narėje per Europos Parlamento rinkimus. </w:t>
            </w:r>
            <w:r>
              <w:rPr>
                <w:b/>
                <w:i/>
              </w:rPr>
              <w:t>Valstybės narės, gavusios</w:t>
            </w:r>
            <w:r>
              <w:t xml:space="preserve"> rinkėjo registracijos </w:t>
            </w:r>
            <w:r>
              <w:lastRenderedPageBreak/>
              <w:t xml:space="preserve">paraišką, gali reikalauti, kad </w:t>
            </w:r>
            <w:r>
              <w:t xml:space="preserve">atitinkamas pilietis pateiktų oficialią deklaraciją, kuria patvirtinama, kad iš jo nebuvo atimta teisė balsuoti. </w:t>
            </w:r>
            <w:r>
              <w:rPr>
                <w:b/>
                <w:i/>
              </w:rPr>
              <w:t>Turėtų būti reikalaujama, kad Sąjungos piliečiai</w:t>
            </w:r>
            <w:r>
              <w:t xml:space="preserve">, </w:t>
            </w:r>
            <w:r>
              <w:rPr>
                <w:b/>
                <w:i/>
              </w:rPr>
              <w:t>kandidatuojantys gyvenamosios vietos šalyje,</w:t>
            </w:r>
            <w:r>
              <w:t xml:space="preserve"> pateiktų pareiškimą, kuriuo patvirtintų, kad iš </w:t>
            </w:r>
            <w:r>
              <w:rPr>
                <w:b/>
                <w:i/>
              </w:rPr>
              <w:t>jų</w:t>
            </w:r>
            <w:r>
              <w:t xml:space="preserve"> nebuvo atimta teisė kandidatuoti Europos Parlamento rinkimuose;</w:t>
            </w:r>
          </w:p>
        </w:tc>
        <w:tc>
          <w:tcPr>
            <w:tcW w:w="4876" w:type="dxa"/>
            <w:hideMark/>
          </w:tcPr>
          <w:p w:rsidR="00EB001A" w:rsidRPr="00ED38A0" w:rsidRDefault="000A453B" w:rsidP="006E1648">
            <w:pPr>
              <w:pStyle w:val="Normal6a"/>
            </w:pPr>
            <w:r>
              <w:lastRenderedPageBreak/>
              <w:t>(13)</w:t>
            </w:r>
            <w:r>
              <w:tab/>
              <w:t>Sąjungos piliečiams, iš kurių individualiu sprendimu, kompetentingos institucijos priimtu pagal civilinę ar baudžiamąją teisę, buvo atimta teisė balsuoti ir kandidatuoti, turėtų būti n</w:t>
            </w:r>
            <w:r>
              <w:t xml:space="preserve">eleidžiama naudotis šia teise gyvenamosios vietos valstybėje narėje per Europos Parlamento rinkimus. </w:t>
            </w:r>
            <w:r>
              <w:rPr>
                <w:b/>
                <w:i/>
              </w:rPr>
              <w:t xml:space="preserve">Automatinės registracijos metu arba </w:t>
            </w:r>
            <w:r>
              <w:rPr>
                <w:b/>
                <w:i/>
              </w:rPr>
              <w:lastRenderedPageBreak/>
              <w:t>priimdamos</w:t>
            </w:r>
            <w:r>
              <w:t xml:space="preserve"> rinkėjo registracijos paraišką,</w:t>
            </w:r>
            <w:r>
              <w:rPr>
                <w:b/>
                <w:i/>
              </w:rPr>
              <w:t xml:space="preserve"> valstybės narės</w:t>
            </w:r>
            <w:r>
              <w:t xml:space="preserve"> gali reikalauti, kad atitinkamas pilietis pateiktų oficialią</w:t>
            </w:r>
            <w:r>
              <w:t xml:space="preserve"> deklaraciją, kuria patvirtinama, kad iš jo nebuvo atimta teisė balsuoti. </w:t>
            </w:r>
            <w:r>
              <w:rPr>
                <w:b/>
                <w:i/>
              </w:rPr>
              <w:t>Valstybės narės, priimdamos paraišką dėl kandidatavimo</w:t>
            </w:r>
            <w:r>
              <w:t xml:space="preserve">, </w:t>
            </w:r>
            <w:r>
              <w:rPr>
                <w:b/>
                <w:i/>
              </w:rPr>
              <w:t>gali reikalauti, kad atitinkamas pilietis</w:t>
            </w:r>
            <w:r>
              <w:t xml:space="preserve"> pateiktų pareiškimą, kuriuo patvirtintų, kad iš </w:t>
            </w:r>
            <w:r>
              <w:rPr>
                <w:b/>
                <w:i/>
              </w:rPr>
              <w:t>jo</w:t>
            </w:r>
            <w:r>
              <w:t xml:space="preserve"> nebuvo atimta teisė kandidatuoti </w:t>
            </w:r>
            <w:r>
              <w:t>Europos Parlamento rinkimuose</w:t>
            </w:r>
            <w:r>
              <w:rPr>
                <w:b/>
                <w:i/>
              </w:rPr>
              <w:t>.</w:t>
            </w:r>
            <w:r>
              <w:t xml:space="preserve"> </w:t>
            </w:r>
            <w:r>
              <w:rPr>
                <w:b/>
                <w:i/>
              </w:rPr>
              <w:t>Tie reikalavimai turėtų būti taikomi tik tais atvejais, kai jie taip pat taikomi gyvenamosios vietos valstybės narės piliečiams;</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16</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16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(16)</w:t>
            </w:r>
            <w:r>
              <w:tab/>
            </w:r>
            <w:r>
              <w:rPr>
                <w:b/>
                <w:i/>
              </w:rPr>
              <w:t>siekiant</w:t>
            </w:r>
            <w:r>
              <w:t xml:space="preserve"> užkirsti kelią balsavimui kelis kartus arba atvejams, kai tas pats asmuo tuose pačiuose rinkimuose kandidatuoja daugiau nei vieną kartą, valstybės narės turėtų keistis informacija, surinkta iš oficialių deklaracijų, kurias </w:t>
            </w:r>
            <w:r>
              <w:rPr>
                <w:b/>
                <w:i/>
              </w:rPr>
              <w:t>pateikė</w:t>
            </w:r>
            <w:r>
              <w:t xml:space="preserve"> Sąjungos rinkėjai ir Sąj</w:t>
            </w:r>
            <w:r>
              <w:t>ungos piliečiai, turintys teisę kandidatuoti. Kadangi valstybės narės piliečių tapatybei nustatyti remiasi skirtingais duomenimis, reikėtų numatyti bendrą duomenų rinkinį, kad būtų galima tiksliai nustatyti Sąjungos rinkėjų ir Sąjungos piliečių, turinčių t</w:t>
            </w:r>
            <w:r>
              <w:t>eisę kandidatuoti, tapatybę ir neleisti jiems balsuoti arba kandidatuoti daugiau nei vieną kartą. Turėtų būti keičiamasi tik tais asmens duomenimis, kurie būtini šiems tikslams pasiekti;</w:t>
            </w:r>
          </w:p>
        </w:tc>
        <w:tc>
          <w:tcPr>
            <w:tcW w:w="4876" w:type="dxa"/>
            <w:hideMark/>
          </w:tcPr>
          <w:p w:rsidR="00EB001A" w:rsidRPr="00ED38A0" w:rsidRDefault="000A453B" w:rsidP="006E1648">
            <w:pPr>
              <w:pStyle w:val="Normal6a"/>
            </w:pPr>
            <w:r>
              <w:t>(16)</w:t>
            </w:r>
            <w:r>
              <w:tab/>
            </w:r>
            <w:r>
              <w:rPr>
                <w:b/>
                <w:i/>
              </w:rPr>
              <w:t>siekdamos</w:t>
            </w:r>
            <w:r>
              <w:t xml:space="preserve"> užkirsti kelią balsavimui kelis kartus arba atvejams, </w:t>
            </w:r>
            <w:r>
              <w:t>kai tas pats asmuo tuose pačiuose rinkimuose kandidatuoja daugiau nei vieną kartą,</w:t>
            </w:r>
            <w:r>
              <w:rPr>
                <w:b/>
                <w:i/>
              </w:rPr>
              <w:t xml:space="preserve"> valstybės narės turi nuosekliai koordinuoti savo administracines sistemas. Todėl</w:t>
            </w:r>
            <w:r>
              <w:t xml:space="preserve"> valstybės narės turėtų </w:t>
            </w:r>
            <w:r>
              <w:rPr>
                <w:b/>
                <w:i/>
              </w:rPr>
              <w:t xml:space="preserve">privalėti </w:t>
            </w:r>
            <w:r>
              <w:t>keistis informacija, surinkta iš oficialių deklaracijų, kur</w:t>
            </w:r>
            <w:r>
              <w:t xml:space="preserve">ias </w:t>
            </w:r>
            <w:r>
              <w:rPr>
                <w:b/>
                <w:i/>
              </w:rPr>
              <w:t>pateikia valstybės narės pilietybės neturintys</w:t>
            </w:r>
            <w:r>
              <w:t xml:space="preserve"> Sąjungos rinkėjai ir Sąjungos piliečiai, turintys teisę kandidatuoti</w:t>
            </w:r>
            <w:r>
              <w:rPr>
                <w:b/>
                <w:i/>
              </w:rPr>
              <w:t xml:space="preserve"> gyvenamosios vietos valstybėje narėje</w:t>
            </w:r>
            <w:r>
              <w:t>. Kadangi valstybės narės piliečių tapatybei nustatyti remiasi skirtingais duomenimis, reikėtų numa</w:t>
            </w:r>
            <w:r>
              <w:t>tyti bendrą duomenų rinkinį, kad būtų galima tiksliai nustatyti Sąjungos rinkėjų ir Sąjungos piliečių, turinčių teisę kandidatuoti, tapatybę ir neleisti jiems balsuoti arba kandidatuoti daugiau nei vieną kartą. Turėtų būti keičiamasi tik tais asmens duomen</w:t>
            </w:r>
            <w:r>
              <w:t>imis, kurie būtini šiems tikslams pasiekti;</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lastRenderedPageBreak/>
        <w:t>&lt;Amend&gt;</w:t>
      </w:r>
      <w:r>
        <w:t>Pakeitimas</w:t>
      </w:r>
      <w:r>
        <w:tab/>
      </w:r>
      <w:r>
        <w:tab/>
      </w:r>
      <w:r>
        <w:rPr>
          <w:rStyle w:val="HideTWBExt"/>
        </w:rPr>
        <w:t>&lt;NumAm&gt;</w:t>
      </w:r>
      <w:r>
        <w:t>17</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17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(17)</w:t>
            </w:r>
            <w:r>
              <w:tab/>
              <w:t xml:space="preserve">valstybių narių keitimasis </w:t>
            </w:r>
            <w:r>
              <w:t>informacija siekiant užkirsti kelią balsavimui kelis kartus arba atvejams, kai tas pats asmuo tuose pačiuose rinkimuose kandidatuoja daugiau nei vieną kartą, neturėtų neleisti jų piliečiams balsuoti ar kandidatuoti kitų rūšių rinkimuose. Siekiant palengvin</w:t>
            </w:r>
            <w:r>
              <w:t xml:space="preserve">ti nacionalinių valdžios institucijų bendravimą, turėtų būti reikalaujama, kad valstybės narės to keitimosi informacija reikmėms paskirtų vieną </w:t>
            </w:r>
            <w:r>
              <w:rPr>
                <w:b/>
                <w:i/>
              </w:rPr>
              <w:t>kontaktinį punktą</w:t>
            </w:r>
            <w:r>
              <w:t>. Praeityje Komisija sukūrė saugią priemonę, kurią valstybės narės, prisiimdamos atsakomybę, tu</w:t>
            </w:r>
            <w:r>
              <w:t xml:space="preserve">rėjo naudoti keitimosi būtinais duomenimis reikmėms. Ta saugi priemonė turėtų būti įtraukta į šią direktyvą, siekiant toliau remti valstybių narių kompetentingų institucijų tarpusavio mainus. Tvarkydamos asmens duomenis šioje srityje valstybės narės veiks </w:t>
            </w:r>
            <w:r>
              <w:t>kaip atskiros duomenų valdytojos;</w:t>
            </w:r>
          </w:p>
        </w:tc>
        <w:tc>
          <w:tcPr>
            <w:tcW w:w="4876" w:type="dxa"/>
            <w:hideMark/>
          </w:tcPr>
          <w:p w:rsidR="00EB001A" w:rsidRPr="00ED38A0" w:rsidRDefault="000A453B" w:rsidP="006E1648">
            <w:pPr>
              <w:pStyle w:val="Normal6a"/>
            </w:pPr>
            <w:r>
              <w:t>(17)</w:t>
            </w:r>
            <w:r>
              <w:tab/>
              <w:t xml:space="preserve">valstybių narių keitimasis informacija siekiant užkirsti kelią balsavimui kelis kartus arba atvejams, kai tas pats asmuo tuose pačiuose rinkimuose kandidatuoja daugiau nei vieną kartą, neturėtų neleisti jų piliečiams </w:t>
            </w:r>
            <w:r>
              <w:t xml:space="preserve">balsuoti ar kandidatuoti kitų rūšių rinkimuose. Siekiant palengvinti nacionalinių valdžios institucijų bendravimą, turėtų būti reikalaujama, kad valstybės narės to keitimosi informacija reikmėms paskirtų vieną </w:t>
            </w:r>
            <w:r>
              <w:rPr>
                <w:b/>
                <w:i/>
              </w:rPr>
              <w:t>kontaktinę instituciją</w:t>
            </w:r>
            <w:r>
              <w:t>. Praeityje Komisija suk</w:t>
            </w:r>
            <w:r>
              <w:t>ūrė saugią priemonę, kurią valstybės narės, prisiimdamos atsakomybę, turėjo naudoti keitimosi būtinais duomenimis reikmėms. Ta saugi priemonė turėtų būti įtraukta į šią direktyvą, siekiant toliau remti valstybių narių kompetentingų institucijų tarpusavio m</w:t>
            </w:r>
            <w:r>
              <w:t>ainus. Tvarkydamos asmens duomenis šioje srityje valstybės narės veiks kaip atskiros duomenų valdytojos;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18</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20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 xml:space="preserve">Komisijos </w:t>
            </w:r>
            <w:r>
              <w:t>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(20)</w:t>
            </w:r>
            <w:r>
              <w:tab/>
              <w:t>tinkamos informacijos, susijusios su rinkimų procedūromis, trūkumas daro poveikį piliečiams naudojantis savo, kaip Sąjungos piliečių, rinkimų teisėmis. Tai taip pat daro poveikį kompetentingų institucijų gebėjimui naudotis</w:t>
            </w:r>
            <w:r>
              <w:t xml:space="preserve"> savo teisėmis ir vykdyti savo pareigas. Turėtų būti reikalaujama, kad valstybės narės paskirtų institucijas, konkrečiai atsakingas už tinkamą Sąjungos piliečių informavimą </w:t>
            </w:r>
            <w:r>
              <w:lastRenderedPageBreak/>
              <w:t>apie jų teises pagal SESV 20 straipsnio 2 dalies b punktą ir 22 straipsnio 2 dalį b</w:t>
            </w:r>
            <w:r>
              <w:t>ei nacionalines taisykles ir procedūras, susijusias su dalyvavimu Europos Parlamento rinkimuose ir jų organizavimu. Siekiant užtikrinti komunikacijos veiksmingumą, informacija turėtų būti teikiama aiškiai ir suprantamai;</w:t>
            </w:r>
          </w:p>
        </w:tc>
        <w:tc>
          <w:tcPr>
            <w:tcW w:w="4876" w:type="dxa"/>
            <w:hideMark/>
          </w:tcPr>
          <w:p w:rsidR="00EB001A" w:rsidRPr="00ED38A0" w:rsidRDefault="000A453B" w:rsidP="006E1648">
            <w:pPr>
              <w:pStyle w:val="Normal6a"/>
            </w:pPr>
            <w:r>
              <w:lastRenderedPageBreak/>
              <w:t>(20)</w:t>
            </w:r>
            <w:r>
              <w:tab/>
              <w:t>tinkamos informacijos, susijus</w:t>
            </w:r>
            <w:r>
              <w:t>ios su rinkimų procedūromis, trūkumas daro poveikį piliečiams naudojantis savo, kaip Sąjungos piliečių, rinkimų teisėmis. Tai taip pat daro poveikį kompetentingų institucijų gebėjimui naudotis savo teisėmis ir vykdyti savo pareigas. Turėtų būti reikalaujam</w:t>
            </w:r>
            <w:r>
              <w:t xml:space="preserve">a, kad valstybės narės paskirtų institucijas, konkrečiai atsakingas už tinkamą Sąjungos piliečių informavimą </w:t>
            </w:r>
            <w:r>
              <w:lastRenderedPageBreak/>
              <w:t>apie jų teises pagal SESV 20 straipsnio 2 dalies b punktą ir 22 straipsnio 2 dalį bei nacionalines taisykles ir procedūras, susijusias su dalyvavim</w:t>
            </w:r>
            <w:r>
              <w:t xml:space="preserve">u Europos Parlamento rinkimuose ir jų organizavimu. </w:t>
            </w:r>
            <w:r>
              <w:rPr>
                <w:b/>
                <w:i/>
              </w:rPr>
              <w:t>Kai įmanoma, tokios institucijos turėtų koordinuoti informavimo kampanijas kartu su vietos valdžios institucijomis ir pilietinės visuomenės organizacijomis.</w:t>
            </w:r>
            <w:r>
              <w:t xml:space="preserve"> Siekiant užtikrinti komunikacijos veiksmingumą,</w:t>
            </w:r>
            <w:r>
              <w:t xml:space="preserve"> informacija turėtų būti teikiama aiškiai ir suprantamai</w:t>
            </w:r>
            <w:r>
              <w:rPr>
                <w:b/>
                <w:i/>
              </w:rPr>
              <w:t>, idealiu atveju neviršijant sudėtingumo lygio, aukštesnio nei B1 lygis (pažengęs vartotojas) pagal Europos Tarybos bendrą Europos kalbų mokėjimo orientacinę sistemą.</w:t>
            </w:r>
            <w:r>
              <w:t xml:space="preserve"> </w:t>
            </w:r>
            <w:r>
              <w:rPr>
                <w:b/>
                <w:i/>
              </w:rPr>
              <w:t>Atsižvelgiant į tai, kad galutini</w:t>
            </w:r>
            <w:r>
              <w:rPr>
                <w:b/>
                <w:i/>
              </w:rPr>
              <w:t>ai rinkėjų sąrašai turi būti sudaryti likus 14 savaičių, o kandidatai turi būti paskelbti likus 12 savaičių iki rinkimų dienos, informacija turėtų būti teikiama laiku, kad valstybės narės galėtų keistis informacija pagal 13 straipsnio 1 dalies nuostatas;</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19</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21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(21)</w:t>
            </w:r>
            <w:r>
              <w:tab/>
            </w:r>
            <w:r>
              <w:t xml:space="preserve">siekiant pagerinti rinkimų informacijos prieinamumą, tokia informacija turėtų būti prieinama </w:t>
            </w:r>
            <w:r>
              <w:rPr>
                <w:b/>
                <w:i/>
              </w:rPr>
              <w:t>ne tik priimančiosios valstybės narės kalba (-omis), bet ir bent dar viena oficialiąja Sąjungos kalba, kurią plačiai supranta kuo daugiau Sąjungos piliečių, gyvena</w:t>
            </w:r>
            <w:r>
              <w:rPr>
                <w:b/>
                <w:i/>
              </w:rPr>
              <w:t>nčių jos teritorijoje. Valstybės narės konkrečiose savo teritorijos dalyse arba regionuose gali vartoti skirtingas oficialiąsias Sąjungos kalbas, priklausomai nuo to, kokią kalbą supranta didžiausia ten gyvenančių</w:t>
            </w:r>
            <w:r>
              <w:t xml:space="preserve"> Sąjungos </w:t>
            </w:r>
            <w:r>
              <w:rPr>
                <w:b/>
                <w:i/>
              </w:rPr>
              <w:t>piliečių grupė</w:t>
            </w:r>
            <w:r>
              <w:t>;</w:t>
            </w:r>
          </w:p>
        </w:tc>
        <w:tc>
          <w:tcPr>
            <w:tcW w:w="4876" w:type="dxa"/>
            <w:hideMark/>
          </w:tcPr>
          <w:p w:rsidR="00EB001A" w:rsidRPr="00ED38A0" w:rsidRDefault="000A453B" w:rsidP="006E1648">
            <w:pPr>
              <w:pStyle w:val="Normal6a"/>
            </w:pPr>
            <w:r>
              <w:t>(21)</w:t>
            </w:r>
            <w:r>
              <w:tab/>
            </w:r>
            <w:r>
              <w:t xml:space="preserve">siekiant pagerinti rinkimų informacijos prieinamumą, tokia informacija turėtų būti prieinama </w:t>
            </w:r>
            <w:r>
              <w:rPr>
                <w:b/>
                <w:i/>
              </w:rPr>
              <w:t>visomis oficialiosiomis</w:t>
            </w:r>
            <w:r>
              <w:t xml:space="preserve"> Sąjungos </w:t>
            </w:r>
            <w:r>
              <w:rPr>
                <w:b/>
                <w:i/>
              </w:rPr>
              <w:t>kalbomis</w:t>
            </w:r>
            <w:r>
              <w:t>;</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lastRenderedPageBreak/>
        <w:t>&lt;Amend&gt;</w:t>
      </w:r>
      <w:r>
        <w:t>Pakeitimas</w:t>
      </w:r>
      <w:r>
        <w:tab/>
      </w:r>
      <w:r>
        <w:tab/>
      </w:r>
      <w:r>
        <w:rPr>
          <w:rStyle w:val="HideTWBExt"/>
        </w:rPr>
        <w:t>&lt;NumAm&gt;</w:t>
      </w:r>
      <w:r>
        <w:t>20</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22 konstatuojamoj</w:t>
      </w:r>
      <w:r>
        <w:t>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rPr>
                <w:b/>
                <w:i/>
              </w:rPr>
              <w:t>(22)</w:t>
            </w:r>
            <w:r>
              <w:tab/>
            </w:r>
            <w:r>
              <w:rPr>
                <w:b/>
                <w:i/>
              </w:rPr>
              <w:t xml:space="preserve">laikantis SESV 22 straipsnio 2 dalies, bet kuri nuo šios direktyvos bendrų taisyklių nukrypti leidžianti nuostata turi būti pateisinta valstybei narei iškylančiais specifiniais sunkumais ir </w:t>
            </w:r>
            <w:r>
              <w:rPr>
                <w:b/>
                <w:i/>
              </w:rPr>
              <w:t>turi atitikti Chartijos 52 straipsnio reikalavimus, įskaitant reikalavimą, kad bet kokie naudojimosi teise balsuoti ir kandidatuoti Europos Parlamento rinkimuose apribojimai turi būti numatyti įstatymo ir jiems turi būti taikomi proporcingumo ir būtinumo p</w:t>
            </w:r>
            <w:r>
              <w:rPr>
                <w:b/>
                <w:i/>
              </w:rPr>
              <w:t>rincipai . Be to, bet kuri nukrypti leidžianti nuostata turi būti peržiūrima, kaip numatyta Chartijos 47 straipsnyje;</w:t>
            </w:r>
          </w:p>
        </w:tc>
        <w:tc>
          <w:tcPr>
            <w:tcW w:w="4876" w:type="dxa"/>
            <w:hideMark/>
          </w:tcPr>
          <w:p w:rsidR="00EB001A" w:rsidRPr="00ED38A0" w:rsidRDefault="000A453B" w:rsidP="006E1648">
            <w:pPr>
              <w:pStyle w:val="Normal6a"/>
            </w:pPr>
            <w:r>
              <w:rPr>
                <w:b/>
                <w:i/>
              </w:rPr>
              <w:t>Išbraukta.</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21</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23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rPr>
                <w:b/>
                <w:i/>
              </w:rPr>
              <w:t>(23)</w:t>
            </w:r>
            <w:r>
              <w:tab/>
            </w:r>
            <w:r>
              <w:rPr>
                <w:b/>
                <w:i/>
              </w:rPr>
              <w:t>tokie specifiniai sunkumai gali iškilti valstybėje narėje, kurioje gyvenančių jos pilietybės neturinčių Sąjungos piliečių, sulaukusių rinkimų teisės amžiaus, dalis gerokai viršija bendrą vidurkį. Nuk</w:t>
            </w:r>
            <w:r>
              <w:rPr>
                <w:b/>
                <w:i/>
              </w:rPr>
              <w:t>rypti leidžiančios nuostatos dėl teisės balsuoti turėtų būti pateisinamos tais atvejais, kai tokie piliečiai sudaro daugiau kaip 20 proc. bendro rinkėjų skaičiaus, ir grindžiamos gyvenimo laikotarpio kriterijumi;</w:t>
            </w:r>
          </w:p>
        </w:tc>
        <w:tc>
          <w:tcPr>
            <w:tcW w:w="4876" w:type="dxa"/>
            <w:hideMark/>
          </w:tcPr>
          <w:p w:rsidR="00EB001A" w:rsidRPr="00ED38A0" w:rsidRDefault="000A453B" w:rsidP="006E1648">
            <w:pPr>
              <w:pStyle w:val="Normal6a"/>
            </w:pPr>
            <w:r>
              <w:rPr>
                <w:b/>
                <w:i/>
              </w:rPr>
              <w:t>Išbraukta.</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22</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24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rPr>
                <w:b/>
                <w:i/>
              </w:rPr>
              <w:t>(24)</w:t>
            </w:r>
            <w:r>
              <w:tab/>
            </w:r>
            <w:r>
              <w:rPr>
                <w:b/>
                <w:i/>
              </w:rPr>
              <w:t xml:space="preserve">valstybės narės, kuriose jų pilietybės neturinčių Sąjungos piliečių, sulaukusių rinkimų teisės </w:t>
            </w:r>
            <w:r>
              <w:rPr>
                <w:b/>
                <w:i/>
              </w:rPr>
              <w:t>amžiaus, dalis viršija 20 proc. bendro ten gyvenančių to amžiaus Sąjungos piliečių skaičiaus, turėtų turėti galimybę pagal SESV 22 straipsnio 2 dalį nustatyti konkrečias nuostatas dėl kandidatų sąrašų sudėties;</w:t>
            </w:r>
          </w:p>
        </w:tc>
        <w:tc>
          <w:tcPr>
            <w:tcW w:w="4876" w:type="dxa"/>
            <w:hideMark/>
          </w:tcPr>
          <w:p w:rsidR="00EB001A" w:rsidRPr="00ED38A0" w:rsidRDefault="000A453B" w:rsidP="006E1648">
            <w:pPr>
              <w:pStyle w:val="Normal6a"/>
            </w:pPr>
            <w:r>
              <w:rPr>
                <w:b/>
                <w:i/>
              </w:rPr>
              <w:t>Išbraukta.</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w:t>
      </w:r>
      <w:r>
        <w:rPr>
          <w:rStyle w:val="HideTWBExt"/>
        </w:rPr>
        <w:t>m&gt;</w:t>
      </w:r>
      <w:r>
        <w:t>23</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26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(26)</w:t>
            </w:r>
            <w:r>
              <w:tab/>
              <w:t xml:space="preserve">duomenys apie naudojimąsi teisėmis ir šios direktyvos taikymą gali būti naudingi nustatant priemones, </w:t>
            </w:r>
            <w:r>
              <w:t xml:space="preserve">būtinas siekiant užtikrinti veiksmingą naudojimąsi Sąjungos piliečių rinkimų teisėmis. Siekiant </w:t>
            </w:r>
            <w:r>
              <w:rPr>
                <w:b/>
                <w:i/>
              </w:rPr>
              <w:t>pagerinti</w:t>
            </w:r>
            <w:r>
              <w:t xml:space="preserve"> Europos Parlamento rinkimų duomenų rinkimą, būtina nustatyti reguliarią įgyvendinimo valstybėse narėse stebėseną ir ataskaitų teikimą. Be to, Komisija</w:t>
            </w:r>
            <w:r>
              <w:t xml:space="preserve"> turėtų įvertinti šios direktyvos taikymą ir po kiekvienų Europos Parlamento rinkimų turėtų Europos Parlamentui ir Tarybai pateikti ataskaitą, kurioje būtų pateiktas toks vertinimas;</w:t>
            </w:r>
          </w:p>
        </w:tc>
        <w:tc>
          <w:tcPr>
            <w:tcW w:w="4876" w:type="dxa"/>
            <w:hideMark/>
          </w:tcPr>
          <w:p w:rsidR="00EB001A" w:rsidRPr="00ED38A0" w:rsidRDefault="000A453B" w:rsidP="006E1648">
            <w:pPr>
              <w:pStyle w:val="Normal6a"/>
            </w:pPr>
            <w:r>
              <w:t>(26)</w:t>
            </w:r>
            <w:r>
              <w:tab/>
              <w:t>duomenys apie naudojimąsi teisėmis ir šios direktyvos taikymą gali b</w:t>
            </w:r>
            <w:r>
              <w:t xml:space="preserve">ūti naudingi nustatant priemones, būtinas siekiant užtikrinti veiksmingą naudojimąsi Sąjungos piliečių rinkimų teisėmis. Siekiant </w:t>
            </w:r>
            <w:r>
              <w:rPr>
                <w:b/>
                <w:i/>
              </w:rPr>
              <w:t>patobulinti ir suderinti</w:t>
            </w:r>
            <w:r>
              <w:t xml:space="preserve"> Europos Parlamento rinkimų duomenų rinkimą, būtina nustatyti reguliarią įgyvendinimo valstybėse narės</w:t>
            </w:r>
            <w:r>
              <w:t>e stebėseną ir ataskaitų teikimą</w:t>
            </w:r>
            <w:r>
              <w:rPr>
                <w:b/>
                <w:i/>
              </w:rPr>
              <w:t>. Tokie duomenys visose valstybėse narėse turėtų būti renkami skaidriai bei koordinuotai ir remiantis bendrais rodikliais</w:t>
            </w:r>
            <w:r>
              <w:t>. Be to, Komisija turėtų įvertinti šios direktyvos taikymą ir po kiekvienų Europos Parlamento rinkimų t</w:t>
            </w:r>
            <w:r>
              <w:t>urėtų Europos Parlamentui ir Tarybai pateikti ataskaitą, kurioje būtų pateiktas toks vertinimas;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24</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27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 xml:space="preserve">Komisijos siūlomas </w:t>
            </w:r>
            <w:r>
              <w:t>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(27)</w:t>
            </w:r>
            <w:r>
              <w:tab/>
              <w:t xml:space="preserve">būtina, kad Komisija pati įvertintų </w:t>
            </w:r>
            <w:r>
              <w:lastRenderedPageBreak/>
              <w:t xml:space="preserve">šios direktyvos taikymą </w:t>
            </w:r>
            <w:r>
              <w:rPr>
                <w:b/>
                <w:i/>
              </w:rPr>
              <w:t>per pagrįstą laikotarpį</w:t>
            </w:r>
            <w:r>
              <w:t xml:space="preserve">, </w:t>
            </w:r>
            <w:r>
              <w:rPr>
                <w:b/>
                <w:i/>
              </w:rPr>
              <w:t>nuo Europos Parlamento rinkimų praėjus bent dvejiems metams</w:t>
            </w:r>
            <w:r>
              <w:t>;</w:t>
            </w:r>
          </w:p>
        </w:tc>
        <w:tc>
          <w:tcPr>
            <w:tcW w:w="4876" w:type="dxa"/>
            <w:hideMark/>
          </w:tcPr>
          <w:p w:rsidR="00EB001A" w:rsidRPr="00ED38A0" w:rsidRDefault="000A453B" w:rsidP="006E1648">
            <w:pPr>
              <w:pStyle w:val="Normal6a"/>
            </w:pPr>
            <w:r>
              <w:lastRenderedPageBreak/>
              <w:t>(27)</w:t>
            </w:r>
            <w:r>
              <w:tab/>
              <w:t xml:space="preserve">būtina, kad </w:t>
            </w:r>
            <w:r>
              <w:rPr>
                <w:b/>
                <w:i/>
              </w:rPr>
              <w:t xml:space="preserve">po kiekvienų rinkimų į </w:t>
            </w:r>
            <w:r>
              <w:rPr>
                <w:b/>
                <w:i/>
              </w:rPr>
              <w:lastRenderedPageBreak/>
              <w:t xml:space="preserve">Europos Parlamentą </w:t>
            </w:r>
            <w:r>
              <w:t xml:space="preserve">Komisija </w:t>
            </w:r>
            <w:r>
              <w:rPr>
                <w:b/>
                <w:i/>
              </w:rPr>
              <w:t>per pagrįstą laik</w:t>
            </w:r>
            <w:r>
              <w:rPr>
                <w:b/>
                <w:i/>
              </w:rPr>
              <w:t xml:space="preserve">otarpį </w:t>
            </w:r>
            <w:r>
              <w:t xml:space="preserve">pati įvertintų šios direktyvos taikymą </w:t>
            </w:r>
            <w:r>
              <w:rPr>
                <w:b/>
                <w:i/>
              </w:rPr>
              <w:t>ir, jei tinkama</w:t>
            </w:r>
            <w:r>
              <w:t xml:space="preserve">, </w:t>
            </w:r>
            <w:r>
              <w:rPr>
                <w:b/>
                <w:i/>
              </w:rPr>
              <w:t>kartu pateiktų pasiūlymą dėl teisėkūros procedūra priimamo akto, kuriuo iš dalies keičiama ši direktyva</w:t>
            </w:r>
            <w:r>
              <w:t>;</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25</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29 konstatuojamoji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(29)</w:t>
            </w:r>
            <w:r>
              <w:tab/>
              <w:t>valstybės narės, ratifikuodamos</w:t>
            </w:r>
            <w:r>
              <w:rPr>
                <w:rStyle w:val="Sup"/>
              </w:rPr>
              <w:t>27</w:t>
            </w:r>
            <w:r>
              <w:t xml:space="preserve"> Jungtinių Tautų neįgaliųjų teisių konvenciją, ir Sąjunga, ją sudarydama, įsipareigojo užtikrinti, kad šios konvencijos būtų laikomasi. Siekiant </w:t>
            </w:r>
            <w:r>
              <w:rPr>
                <w:b/>
                <w:i/>
              </w:rPr>
              <w:t>remti</w:t>
            </w:r>
            <w:r>
              <w:t xml:space="preserve"> įtraukų ir lygiateisį neįgaliųjų dalyvavimą rinkimuose, Sąjungos piliečių, gyvenančių valstybėje narėje i</w:t>
            </w:r>
            <w:r>
              <w:t>r neturinčių jos pilietybės, naudojimosi teise balsuoti ir kandidatuoti Europos Parlamento rinkimuose tvarka turėtų būti tinkamai atsižvelgiama į neįgalių ir vyresnio amžiaus piliečių poreikius;</w:t>
            </w:r>
          </w:p>
        </w:tc>
        <w:tc>
          <w:tcPr>
            <w:tcW w:w="4876" w:type="dxa"/>
            <w:hideMark/>
          </w:tcPr>
          <w:p w:rsidR="00EB001A" w:rsidRPr="00ED38A0" w:rsidRDefault="000A453B" w:rsidP="006E1648">
            <w:pPr>
              <w:pStyle w:val="Normal6a"/>
            </w:pPr>
            <w:r>
              <w:t>(29)</w:t>
            </w:r>
            <w:r>
              <w:tab/>
              <w:t>valstybės narės, ratifikuodamos</w:t>
            </w:r>
            <w:r>
              <w:rPr>
                <w:rStyle w:val="Sup"/>
              </w:rPr>
              <w:t>27</w:t>
            </w:r>
            <w:r>
              <w:t xml:space="preserve"> Jungtinių Tautų neįgal</w:t>
            </w:r>
            <w:r>
              <w:t xml:space="preserve">iųjų teisių konvenciją, ir Sąjunga, ją sudarydama, įsipareigojo užtikrinti, kad šios konvencijos būtų laikomasi. Siekiant </w:t>
            </w:r>
            <w:r>
              <w:rPr>
                <w:b/>
                <w:i/>
              </w:rPr>
              <w:t>užtikrinti</w:t>
            </w:r>
            <w:r>
              <w:t xml:space="preserve"> įtraukų ir lygiateisį neįgaliųjų dalyvavimą rinkimuose, Sąjungos piliečių, gyvenančių valstybėje narėje ir neturinčių jos p</w:t>
            </w:r>
            <w:r>
              <w:t xml:space="preserve">ilietybės, naudojimosi teise balsuoti ir kandidatuoti Europos Parlamento rinkimuose tvarka turėtų būti tinkamai atsižvelgiama į </w:t>
            </w:r>
            <w:r>
              <w:rPr>
                <w:b/>
                <w:i/>
              </w:rPr>
              <w:t xml:space="preserve">konkrečius </w:t>
            </w:r>
            <w:r>
              <w:t>neįgalių ir vyresnio amžiaus piliečių poreikius</w:t>
            </w:r>
            <w:r>
              <w:rPr>
                <w:b/>
                <w:i/>
              </w:rPr>
              <w:t>.</w:t>
            </w:r>
            <w:r>
              <w:t xml:space="preserve"> </w:t>
            </w:r>
            <w:r>
              <w:rPr>
                <w:b/>
                <w:i/>
              </w:rPr>
              <w:t>Be to, valstybės narės turėtų užtikrinti, kad asmenų su negalia praš</w:t>
            </w:r>
            <w:r>
              <w:rPr>
                <w:b/>
                <w:i/>
              </w:rPr>
              <w:t>ymu jiems balsuoti padėtų jų pasirinktas asmuo. Valstybės narės turėtų numatyti galimybę balsuoti paštu ir balsuoti iš anksto fiziškai;</w:t>
            </w:r>
          </w:p>
        </w:tc>
      </w:tr>
      <w:tr w:rsidR="00505880" w:rsidTr="006E1648">
        <w:trPr>
          <w:jc w:val="center"/>
        </w:trPr>
        <w:tc>
          <w:tcPr>
            <w:tcW w:w="4876" w:type="dxa"/>
            <w:hideMark/>
          </w:tcPr>
          <w:p w:rsidR="00EB001A" w:rsidRPr="00ED38A0" w:rsidRDefault="000A453B" w:rsidP="006E1648">
            <w:pPr>
              <w:pStyle w:val="Normal6a"/>
            </w:pPr>
            <w:r>
              <w:rPr>
                <w:b/>
                <w:i/>
              </w:rPr>
              <w:t>_________________</w:t>
            </w:r>
          </w:p>
        </w:tc>
        <w:tc>
          <w:tcPr>
            <w:tcW w:w="4876" w:type="dxa"/>
            <w:hideMark/>
          </w:tcPr>
          <w:p w:rsidR="00EB001A" w:rsidRPr="00ED38A0" w:rsidRDefault="000A453B" w:rsidP="006E1648">
            <w:pPr>
              <w:pStyle w:val="Normal6a"/>
            </w:pPr>
            <w:r>
              <w:rPr>
                <w:b/>
                <w:i/>
              </w:rPr>
              <w:t>_________________</w:t>
            </w:r>
          </w:p>
        </w:tc>
      </w:tr>
      <w:tr w:rsidR="00505880" w:rsidTr="006E1648">
        <w:trPr>
          <w:jc w:val="center"/>
        </w:trPr>
        <w:tc>
          <w:tcPr>
            <w:tcW w:w="4876" w:type="dxa"/>
            <w:hideMark/>
          </w:tcPr>
          <w:p w:rsidR="00EB001A" w:rsidRPr="00ED38A0" w:rsidRDefault="000A453B" w:rsidP="006E1648">
            <w:pPr>
              <w:pStyle w:val="Normal6a"/>
            </w:pPr>
            <w:r>
              <w:rPr>
                <w:rStyle w:val="Sup"/>
              </w:rPr>
              <w:t>27</w:t>
            </w:r>
            <w:r>
              <w:t xml:space="preserve"> 2009 m. lapkričio 26 d. Tarybos sprendimas 2010/48/EB dėl Jungtinių Tautų neįga</w:t>
            </w:r>
            <w:r>
              <w:t>liųjų teisių konvencijos sudarymo Europos bendrijos vardu (OL L 23, 2010 1 27, p. 35).</w:t>
            </w:r>
          </w:p>
        </w:tc>
        <w:tc>
          <w:tcPr>
            <w:tcW w:w="4876" w:type="dxa"/>
            <w:hideMark/>
          </w:tcPr>
          <w:p w:rsidR="00EB001A" w:rsidRPr="00ED38A0" w:rsidRDefault="000A453B" w:rsidP="006E1648">
            <w:pPr>
              <w:pStyle w:val="Normal6a"/>
            </w:pPr>
            <w:r>
              <w:rPr>
                <w:rStyle w:val="Sup"/>
              </w:rPr>
              <w:t>27</w:t>
            </w:r>
            <w:r>
              <w:t xml:space="preserve"> 2009 m. lapkričio 26 d. Tarybos sprendimas 2010/48/EB dėl Jungtinių Tautų neįgaliųjų teisių konvencijos sudarymo Europos bendrijos vardu (OL L 23, 2010 1 27, p. 35).</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26</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3 straipsnio 2 a dalis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lastRenderedPageBreak/>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 xml:space="preserve">Visos valstybės narės stengiasi įdiegti automatinę valstybės narės </w:t>
            </w:r>
            <w:r>
              <w:rPr>
                <w:b/>
                <w:i/>
              </w:rPr>
              <w:t>pilietybės neturinčių Sąjungos rinkėjų registraciją atitinkamų Sąjungos piliečių įregistravimo kaip gyvenamosios vietos valstybės narės gyventojų momentu gavusios jų sutikimą. Valstybės narės pilietybės neturintiems Sąjungos rinkėjams, kurie nusprendė atsi</w:t>
            </w:r>
            <w:r>
              <w:rPr>
                <w:b/>
                <w:i/>
              </w:rPr>
              <w:t>sakyti automatinės registracijos, likus pakankamai laiko iki rinkimų laikotarpio turi būti pasiūlyti įsiregistruoti kaip rinkėjams.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27</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5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 xml:space="preserve">Jei, norėdami balsuoti ar kandidatuoti, gyvenamosios vietos valstybės narės piliečiai turi būti pragyvenę tos valstybės rinkimų teritorijoje tam tikrą minimalų laikotarpį, Sąjungos rinkėjai ir teisę </w:t>
            </w:r>
            <w:r>
              <w:t xml:space="preserve">kandidatuoti turintys Sąjungos piliečiai laikomi atitinkančiais tą reikalavimą tais atvejais, jei jie yra pragyvenę tolygų laikotarpį kitose valstybėse narėse. Ši nuostata taikoma nepažeidžiant jokių specifinių gyvenimo laikotarpio trukmės reikalavimų tam </w:t>
            </w:r>
            <w:r>
              <w:t>tikroje rinkimų apygardoje ar vietovėje.</w:t>
            </w:r>
          </w:p>
        </w:tc>
        <w:tc>
          <w:tcPr>
            <w:tcW w:w="4876" w:type="dxa"/>
            <w:hideMark/>
          </w:tcPr>
          <w:p w:rsidR="00EB001A" w:rsidRPr="00ED38A0" w:rsidRDefault="000A453B" w:rsidP="006E1648">
            <w:pPr>
              <w:pStyle w:val="Normal6a"/>
            </w:pPr>
            <w:r>
              <w:rPr>
                <w:i/>
              </w:rPr>
              <w:t>(Tekstas lietuvių kalba nekeičiamas.)</w:t>
            </w:r>
            <w:r>
              <w:t xml:space="preserve">  </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28</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6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w:t>
            </w:r>
            <w:r>
              <w:tab/>
              <w:t xml:space="preserve">Sąjungos piliečiams, gyvenantiems valstybėje narėje ir neturintiems jos </w:t>
            </w:r>
            <w:r>
              <w:lastRenderedPageBreak/>
              <w:t>pilietybės, iš kurių individualiu teisminiu arba administraciniu sprendimu, jei pastarąjį sprendimą galima apskųsti teismine tvarka, buvo atimta teisė kandidatuoti pagal jų gyvenamo</w:t>
            </w:r>
            <w:r>
              <w:t>sios vietos valstybės narės teisę arba pagal jų kilmės valstybės narės teisę, neleidžiama naudotis ta teise gyvenamosios vietos valstybėje narėje per Europos Parlamento rinkimus.</w:t>
            </w:r>
          </w:p>
        </w:tc>
        <w:tc>
          <w:tcPr>
            <w:tcW w:w="4876" w:type="dxa"/>
            <w:hideMark/>
          </w:tcPr>
          <w:p w:rsidR="00EB001A" w:rsidRPr="00ED38A0" w:rsidRDefault="000A453B" w:rsidP="006E1648">
            <w:pPr>
              <w:pStyle w:val="Normal6a"/>
            </w:pPr>
            <w:r>
              <w:lastRenderedPageBreak/>
              <w:t>1.</w:t>
            </w:r>
            <w:r>
              <w:tab/>
              <w:t xml:space="preserve">Sąjungos piliečiams, gyvenantiems valstybėje narėje ir neturintiems jos </w:t>
            </w:r>
            <w:r>
              <w:lastRenderedPageBreak/>
              <w:t>pi</w:t>
            </w:r>
            <w:r>
              <w:t>lietybės, iš kurių individualiu teisminiu arba administraciniu sprendimu, jei pastarąjį sprendimą galima apskųsti teismine tvarka, buvo atimta teisė kandidatuoti pagal jų gyvenamosios vietos valstybės narės teisę arba pagal jų kilmės valstybės narės teisę,</w:t>
            </w:r>
            <w:r>
              <w:t xml:space="preserve"> neleidžiama naudotis ta teise gyvenamosios vietos valstybėje narėje per Europos Parlamento rinkimus. </w:t>
            </w:r>
            <w:r>
              <w:rPr>
                <w:b/>
                <w:i/>
              </w:rPr>
              <w:t>Tačiau kilmės valstybės narės priimti sprendimai dėl asmens pripažinimo neveiksniu dėl negalios nereiškia, kad Sąjungos piliečiai neturi teisės būti kandi</w:t>
            </w:r>
            <w:r>
              <w:rPr>
                <w:b/>
                <w:i/>
              </w:rPr>
              <w:t>datais Europos Parlamento rinkimuose savo gyvenamosios vietos valstybėje narėje, jeigu pagal tos valstybės narės teisę ta teisė visiems asmenims su negalia užtikrinama netaikant jokių apribojimų.</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29</w:t>
      </w:r>
      <w:r>
        <w:rPr>
          <w:rStyle w:val="HideTWBExt"/>
        </w:rPr>
        <w:t>&lt;/NumAm&gt;</w:t>
      </w:r>
    </w:p>
    <w:p w:rsidR="00EB001A" w:rsidRPr="00ED38A0" w:rsidRDefault="000A453B" w:rsidP="00EB001A">
      <w:pPr>
        <w:pStyle w:val="NormalBold12b"/>
      </w:pPr>
      <w:r>
        <w:rPr>
          <w:rStyle w:val="HideTWBExt"/>
        </w:rPr>
        <w:t>&lt;DocAmend&gt;</w:t>
      </w:r>
      <w:r>
        <w:t>Pas</w:t>
      </w:r>
      <w:r>
        <w:t>iūlymas dėl direktyvos</w:t>
      </w:r>
      <w:r>
        <w:rPr>
          <w:rStyle w:val="HideTWBExt"/>
        </w:rPr>
        <w:t>&lt;/DocAmend&gt;</w:t>
      </w:r>
    </w:p>
    <w:p w:rsidR="00EB001A" w:rsidRPr="00ED38A0" w:rsidRDefault="000A453B" w:rsidP="00EB001A">
      <w:pPr>
        <w:pStyle w:val="NormalBold"/>
      </w:pPr>
      <w:r>
        <w:rPr>
          <w:rStyle w:val="HideTWBExt"/>
        </w:rPr>
        <w:t>&lt;Article&gt;</w:t>
      </w:r>
      <w:r>
        <w:t>6 straipsnio 5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5.</w:t>
            </w:r>
            <w:r>
              <w:tab/>
              <w:t xml:space="preserve">Valstybės narės paskiria ryšių palaikymo </w:t>
            </w:r>
            <w:r>
              <w:rPr>
                <w:b/>
                <w:i/>
              </w:rPr>
              <w:t>punktą</w:t>
            </w:r>
            <w:r>
              <w:t xml:space="preserve"> informacijai, kuri būtina taikant 3</w:t>
            </w:r>
            <w:r>
              <w:rPr>
                <w:b/>
                <w:i/>
              </w:rPr>
              <w:t xml:space="preserve"> </w:t>
            </w:r>
            <w:r>
              <w:t xml:space="preserve">dalį, priimti ir perduoti. Jos praneša Komisijai </w:t>
            </w:r>
            <w:r>
              <w:rPr>
                <w:b/>
                <w:i/>
              </w:rPr>
              <w:t>šio</w:t>
            </w:r>
            <w:r>
              <w:t xml:space="preserve"> ryšių palaikymo </w:t>
            </w:r>
            <w:r>
              <w:rPr>
                <w:b/>
                <w:i/>
              </w:rPr>
              <w:t>punkto</w:t>
            </w:r>
            <w:r>
              <w:t xml:space="preserve"> pavadinimą ir kontaktinius duomenis bei visą su juo susijusią atnaujintą informaciją arba informaciją apie pasikeitimus. Komisija tvarko ryšių palaikymo </w:t>
            </w:r>
            <w:r>
              <w:rPr>
                <w:b/>
                <w:i/>
              </w:rPr>
              <w:t>punktų</w:t>
            </w:r>
            <w:r>
              <w:t xml:space="preserve"> sąrašą ir sudaro galimybę jį gauti valstybėms narėms.</w:t>
            </w:r>
          </w:p>
        </w:tc>
        <w:tc>
          <w:tcPr>
            <w:tcW w:w="4876" w:type="dxa"/>
            <w:hideMark/>
          </w:tcPr>
          <w:p w:rsidR="00EB001A" w:rsidRPr="00ED38A0" w:rsidRDefault="000A453B" w:rsidP="006E1648">
            <w:pPr>
              <w:pStyle w:val="Normal6a"/>
            </w:pPr>
            <w:r>
              <w:t>5.</w:t>
            </w:r>
            <w:r>
              <w:tab/>
              <w:t>Valstybės narės</w:t>
            </w:r>
            <w:r>
              <w:t xml:space="preserve"> paskiria ryšių palaikymo </w:t>
            </w:r>
            <w:r>
              <w:rPr>
                <w:b/>
                <w:i/>
              </w:rPr>
              <w:t>instituciją</w:t>
            </w:r>
            <w:r>
              <w:t xml:space="preserve"> informacijai, kuri būtina taikant 3</w:t>
            </w:r>
            <w:r>
              <w:rPr>
                <w:b/>
                <w:i/>
              </w:rPr>
              <w:t> </w:t>
            </w:r>
            <w:r>
              <w:t xml:space="preserve">dalį, priimti ir perduoti. Jos praneša Komisijai </w:t>
            </w:r>
            <w:r>
              <w:rPr>
                <w:b/>
                <w:i/>
              </w:rPr>
              <w:t>šios</w:t>
            </w:r>
            <w:r>
              <w:t xml:space="preserve"> ryšių palaikymo </w:t>
            </w:r>
            <w:r>
              <w:rPr>
                <w:b/>
                <w:i/>
              </w:rPr>
              <w:t>institucijos</w:t>
            </w:r>
            <w:r>
              <w:t xml:space="preserve"> pavadinimą ir kontaktinius duomenis bei visą su juo susijusią atnaujintą informaciją arba informaci</w:t>
            </w:r>
            <w:r>
              <w:t xml:space="preserve">ją apie pasikeitimus. Komisija tvarko ryšių palaikymo </w:t>
            </w:r>
            <w:r>
              <w:rPr>
                <w:b/>
                <w:i/>
              </w:rPr>
              <w:t>institucijų</w:t>
            </w:r>
            <w:r>
              <w:t xml:space="preserve"> sąrašą ir sudaro galimybę jį gauti valstybėms narėms.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30</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7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w:t>
            </w:r>
            <w:r>
              <w:tab/>
              <w:t xml:space="preserve">Gyvenamosios vietos valstybė narė </w:t>
            </w:r>
            <w:r>
              <w:lastRenderedPageBreak/>
              <w:t>gali patikrinti, ar iš Sąjungos piliečių, pareiškusių norą pasinaudoti teise balsuoti, ta teisė nebuvo atimta kilmės valstybėje narėje individualiu sprendimu, priimtu pagal civilin</w:t>
            </w:r>
            <w:r>
              <w:t>ę ar baudžiamąją teisę.</w:t>
            </w:r>
          </w:p>
        </w:tc>
        <w:tc>
          <w:tcPr>
            <w:tcW w:w="4876" w:type="dxa"/>
            <w:hideMark/>
          </w:tcPr>
          <w:p w:rsidR="00EB001A" w:rsidRPr="00ED38A0" w:rsidRDefault="000A453B" w:rsidP="006E1648">
            <w:pPr>
              <w:pStyle w:val="Normal6a"/>
            </w:pPr>
            <w:r>
              <w:lastRenderedPageBreak/>
              <w:t>1.</w:t>
            </w:r>
            <w:r>
              <w:tab/>
              <w:t xml:space="preserve">Gyvenamosios vietos valstybė narė </w:t>
            </w:r>
            <w:r>
              <w:lastRenderedPageBreak/>
              <w:t>gali patikrinti, ar iš Sąjungos piliečių, pareiškusių norą pasinaudoti teise balsuoti, ta teisė nebuvo atimta kilmės valstybėje narėje individualiu sprendimu, priimtu pagal civilinę ar baudžiamąj</w:t>
            </w:r>
            <w:r>
              <w:t xml:space="preserve">ą teisę. </w:t>
            </w:r>
            <w:r>
              <w:rPr>
                <w:b/>
                <w:i/>
              </w:rPr>
              <w:t>Tačiau kilmės valstybės narės priimti sprendimai dėl asmens pripažinimo neveiksniu dėl negalios nereiškia, kad Sąjungos piliečiai neturi teisės balsuoti Europos Parlamento rinkimuose savo gyvenamosios vietos valstybėje narėje, jeigu pagal tos vals</w:t>
            </w:r>
            <w:r>
              <w:rPr>
                <w:b/>
                <w:i/>
              </w:rPr>
              <w:t>tybės narės teisę ta teisė visiems asmenims su negalia užtikrinama netaikant jokių apribojimų.</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31</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9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 xml:space="preserve">Komisijos siūlomas </w:t>
            </w:r>
            <w:r>
              <w:t>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w:t>
            </w:r>
            <w:r>
              <w:tab/>
              <w:t>Valstybės narės imasi būtinų priemonių, kad sudarytų sąlygas Sąjungos rinkėjui, pareiškusiam norą būti įregistruotam kaip rinkėjui, pakankamai iš anksto prieš rinkimų dieną būti įrašytam į rinkėjų sąrašą.</w:t>
            </w:r>
          </w:p>
        </w:tc>
        <w:tc>
          <w:tcPr>
            <w:tcW w:w="4876" w:type="dxa"/>
            <w:hideMark/>
          </w:tcPr>
          <w:p w:rsidR="00EB001A" w:rsidRPr="00ED38A0" w:rsidRDefault="000A453B" w:rsidP="006E1648">
            <w:pPr>
              <w:pStyle w:val="Normal6a"/>
            </w:pPr>
            <w:r>
              <w:t>1.</w:t>
            </w:r>
            <w:r>
              <w:tab/>
              <w:t xml:space="preserve">Valstybės narės imasi </w:t>
            </w:r>
            <w:r>
              <w:t>būtinų priemonių, kad sudarytų sąlygas Sąjungos rinkėjui, pareiškusiam norą būti įregistruotam kaip rinkėjui, ne vėliau kaip likus 14 savaičių iki rinkimų dienos būti įrašytam į rinkėjų sąrašą, kad valstybės narės galėtų keistis informacija siekdamos laiku</w:t>
            </w:r>
            <w:r>
              <w:t xml:space="preserve"> užkirsti kelią balsavimo ne vieną kartą atvejams pagal 13 straipsnio 1 dalies nuostatas.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32</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9 straipsnio 3 dalies a punktas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 xml:space="preserve">Komisijos siūlomas </w:t>
            </w:r>
            <w:r>
              <w:t>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a)</w:t>
            </w:r>
            <w:r>
              <w:tab/>
              <w:t>savo deklaracijoje, numatytoje 2</w:t>
            </w:r>
            <w:r>
              <w:rPr>
                <w:b/>
                <w:i/>
              </w:rPr>
              <w:t xml:space="preserve"> </w:t>
            </w:r>
            <w:r>
              <w:t>dalyje, nurodytų, kad iš jų neatimta teisė balsuoti jų kilmės valstybėje narėje;</w:t>
            </w:r>
          </w:p>
        </w:tc>
        <w:tc>
          <w:tcPr>
            <w:tcW w:w="4876" w:type="dxa"/>
            <w:hideMark/>
          </w:tcPr>
          <w:p w:rsidR="00EB001A" w:rsidRPr="00ED38A0" w:rsidRDefault="000A453B" w:rsidP="006E1648">
            <w:pPr>
              <w:pStyle w:val="Normal6a"/>
            </w:pPr>
            <w:r>
              <w:t>a)</w:t>
            </w:r>
            <w:r>
              <w:tab/>
              <w:t>savo deklaracijoje, numatytoje 2</w:t>
            </w:r>
            <w:r>
              <w:rPr>
                <w:b/>
                <w:i/>
              </w:rPr>
              <w:t> </w:t>
            </w:r>
            <w:r>
              <w:t>dalyje, nurodytų, kad iš jų neatimta teisė balsuoti jų kilmės valstybėje narėje</w:t>
            </w:r>
            <w:r>
              <w:rPr>
                <w:b/>
                <w:i/>
              </w:rPr>
              <w:t>, je</w:t>
            </w:r>
            <w:r>
              <w:rPr>
                <w:b/>
                <w:i/>
              </w:rPr>
              <w:t>i toks reikalavimas taikomas ir gyvenamosios vietos valstybės narės piliečiams</w:t>
            </w:r>
            <w:r>
              <w:t>;</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33</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9 straipsnio 3 dalies c a punktas (naujas)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w:t>
            </w:r>
            <w:r>
              <w:t xml:space="preserve">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ca)</w:t>
            </w:r>
            <w:r>
              <w:tab/>
            </w:r>
            <w:r>
              <w:rPr>
                <w:b/>
                <w:i/>
              </w:rPr>
              <w:t>įvardytų, kuriomis oficialiosiomis Sąjungos kalbomis jie norėtų gauti 12 straipsnio 2 dalyje nurodytą informaciją, jei to pageidauja.</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34</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9 straipsnio 4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4.</w:t>
            </w:r>
            <w:r>
              <w:tab/>
              <w:t xml:space="preserve">Sąjungos rinkėjai, įrašyti į rinkėjų sąrašą, jame išlieka tokiomis pačiomis sąlygomis kaip ir atitinkamos valstybės narės piliečiai iki to momento, kai jie paprašo būti </w:t>
            </w:r>
            <w:r>
              <w:t>išbrauktais arba kai jie išbraukiami, nes jie nebeatitinka reikalavimų naudotis teise balsuoti . Kai taikomos nuostatos</w:t>
            </w:r>
            <w:r>
              <w:rPr>
                <w:b/>
                <w:i/>
              </w:rPr>
              <w:t>, kuriomis</w:t>
            </w:r>
            <w:r>
              <w:t xml:space="preserve"> piliečiams</w:t>
            </w:r>
            <w:r>
              <w:rPr>
                <w:b/>
                <w:i/>
              </w:rPr>
              <w:t xml:space="preserve"> pranešama</w:t>
            </w:r>
            <w:r>
              <w:t xml:space="preserve"> apie tokį išbraukimą iš rinkėjų sąrašo, šios nuostatos vienodai taikomos Sąjungos rinkėjams.</w:t>
            </w:r>
          </w:p>
        </w:tc>
        <w:tc>
          <w:tcPr>
            <w:tcW w:w="4876" w:type="dxa"/>
            <w:hideMark/>
          </w:tcPr>
          <w:p w:rsidR="00EB001A" w:rsidRPr="00ED38A0" w:rsidRDefault="000A453B" w:rsidP="006E1648">
            <w:pPr>
              <w:pStyle w:val="Normal6a"/>
            </w:pPr>
            <w:r>
              <w:t>4.</w:t>
            </w:r>
            <w:r>
              <w:tab/>
              <w:t xml:space="preserve">Sąjungos </w:t>
            </w:r>
            <w:r>
              <w:t>rinkėjai, įrašyti į rinkėjų sąrašą, jame išlieka tokiomis pačiomis sąlygomis kaip ir atitinkamos valstybės narės piliečiai iki to momento, kai jie paprašo būti išbrauktais arba kai jie išbraukiami, nes jie nebeatitinka reikalavimų naudotis teise balsuoti .</w:t>
            </w:r>
            <w:r>
              <w:t xml:space="preserve"> Kai </w:t>
            </w:r>
            <w:r>
              <w:rPr>
                <w:b/>
                <w:i/>
              </w:rPr>
              <w:t xml:space="preserve">gyvenamosios vietos valstybėje narėje </w:t>
            </w:r>
            <w:r>
              <w:t>taikomos nuostatos</w:t>
            </w:r>
            <w:r>
              <w:rPr>
                <w:b/>
                <w:i/>
              </w:rPr>
              <w:t xml:space="preserve"> dėl pranešimo</w:t>
            </w:r>
            <w:r>
              <w:t xml:space="preserve"> piliečiams apie tokį išbraukimą iš rinkėjų sąrašo, šios nuostatos vienodai taikomos</w:t>
            </w:r>
            <w:r>
              <w:rPr>
                <w:b/>
                <w:i/>
              </w:rPr>
              <w:t xml:space="preserve"> Sąjungos rinkėjams, o pranešimai teikiami oficialiąja Sąjungos kalba, kuri suprantama atitinkami</w:t>
            </w:r>
            <w:r>
              <w:rPr>
                <w:b/>
                <w:i/>
              </w:rPr>
              <w:t>ems</w:t>
            </w:r>
            <w:r>
              <w:t xml:space="preserve"> Sąjungos rinkėjams.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35</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11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w:t>
            </w:r>
            <w:r>
              <w:tab/>
              <w:t xml:space="preserve">Gyvenamosios vietos valstybė narė </w:t>
            </w:r>
            <w:r>
              <w:rPr>
                <w:b/>
                <w:i/>
              </w:rPr>
              <w:t xml:space="preserve">neatidėliodama </w:t>
            </w:r>
            <w:r>
              <w:rPr>
                <w:b/>
                <w:i/>
              </w:rPr>
              <w:t>aiškia</w:t>
            </w:r>
            <w:r>
              <w:t xml:space="preserve"> ir </w:t>
            </w:r>
            <w:r>
              <w:rPr>
                <w:b/>
                <w:i/>
              </w:rPr>
              <w:t>paprasta</w:t>
            </w:r>
            <w:r>
              <w:t xml:space="preserve"> kalba praneša </w:t>
            </w:r>
            <w:r>
              <w:rPr>
                <w:b/>
                <w:i/>
              </w:rPr>
              <w:t>atitinkamiems asmenims</w:t>
            </w:r>
            <w:r>
              <w:t xml:space="preserve"> apie </w:t>
            </w:r>
            <w:r>
              <w:lastRenderedPageBreak/>
              <w:t xml:space="preserve">sprendimą dėl jų paraiškos būti įrašytiems į rinkėjų </w:t>
            </w:r>
            <w:r>
              <w:rPr>
                <w:b/>
                <w:i/>
              </w:rPr>
              <w:t>sąrašus</w:t>
            </w:r>
            <w:r>
              <w:t xml:space="preserve"> arba apie sprendimą dėl jų paraiškos būti kandidatais priimtinumo.</w:t>
            </w:r>
          </w:p>
        </w:tc>
        <w:tc>
          <w:tcPr>
            <w:tcW w:w="4876" w:type="dxa"/>
            <w:hideMark/>
          </w:tcPr>
          <w:p w:rsidR="00EB001A" w:rsidRPr="00ED38A0" w:rsidRDefault="000A453B" w:rsidP="006E1648">
            <w:pPr>
              <w:pStyle w:val="Normal6a"/>
            </w:pPr>
            <w:r>
              <w:lastRenderedPageBreak/>
              <w:t>1.</w:t>
            </w:r>
            <w:r>
              <w:tab/>
              <w:t xml:space="preserve">Gyvenamosios vietos valstybė narė </w:t>
            </w:r>
            <w:r>
              <w:rPr>
                <w:b/>
                <w:i/>
              </w:rPr>
              <w:t>aiškiai, laiku</w:t>
            </w:r>
            <w:r>
              <w:t xml:space="preserve"> ir </w:t>
            </w:r>
            <w:r>
              <w:rPr>
                <w:b/>
                <w:i/>
              </w:rPr>
              <w:t>atitinkamiem</w:t>
            </w:r>
            <w:r>
              <w:rPr>
                <w:b/>
                <w:i/>
              </w:rPr>
              <w:t>s asmenims suprantama oficialiąja Sąjungos</w:t>
            </w:r>
            <w:r>
              <w:t xml:space="preserve"> kalba </w:t>
            </w:r>
            <w:r>
              <w:lastRenderedPageBreak/>
              <w:t xml:space="preserve">praneša </w:t>
            </w:r>
            <w:r>
              <w:rPr>
                <w:b/>
                <w:i/>
              </w:rPr>
              <w:t>jiems</w:t>
            </w:r>
            <w:r>
              <w:t xml:space="preserve"> apie</w:t>
            </w:r>
            <w:r>
              <w:rPr>
                <w:b/>
                <w:i/>
              </w:rPr>
              <w:t xml:space="preserve"> priimtą</w:t>
            </w:r>
            <w:r>
              <w:t xml:space="preserve"> sprendimą dėl jų </w:t>
            </w:r>
            <w:r>
              <w:rPr>
                <w:b/>
                <w:i/>
              </w:rPr>
              <w:t xml:space="preserve">automatinės registracijos ar </w:t>
            </w:r>
            <w:r>
              <w:t xml:space="preserve">paraiškos būti įrašytiems į rinkėjų </w:t>
            </w:r>
            <w:r>
              <w:rPr>
                <w:b/>
                <w:i/>
              </w:rPr>
              <w:t>sąrašą</w:t>
            </w:r>
            <w:r>
              <w:t xml:space="preserve"> arba apie sprendimą dėl jų paraiškos būti kandidatais priimtinumo.</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w:t>
      </w:r>
      <w:r>
        <w:t>mas</w:t>
      </w:r>
      <w:r>
        <w:tab/>
      </w:r>
      <w:r>
        <w:tab/>
      </w:r>
      <w:r>
        <w:rPr>
          <w:rStyle w:val="HideTWBExt"/>
        </w:rPr>
        <w:t>&lt;NumAm&gt;</w:t>
      </w:r>
      <w:r>
        <w:t>36</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11 straipsnio 3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3.</w:t>
            </w:r>
            <w:r>
              <w:tab/>
            </w:r>
            <w:r>
              <w:rPr>
                <w:b/>
                <w:i/>
              </w:rPr>
              <w:t>Europos</w:t>
            </w:r>
            <w:r>
              <w:t xml:space="preserve"> Parlamento rinkimų rinkėjų </w:t>
            </w:r>
            <w:r>
              <w:rPr>
                <w:b/>
                <w:i/>
              </w:rPr>
              <w:t>sąrašų</w:t>
            </w:r>
            <w:r>
              <w:t xml:space="preserve"> arba kandidatų </w:t>
            </w:r>
            <w:r>
              <w:rPr>
                <w:b/>
                <w:i/>
              </w:rPr>
              <w:t>sąrašų</w:t>
            </w:r>
            <w:r>
              <w:t xml:space="preserve"> klaidų</w:t>
            </w:r>
            <w:r>
              <w:rPr>
                <w:b/>
                <w:i/>
              </w:rPr>
              <w:t xml:space="preserve"> atveju</w:t>
            </w:r>
            <w:r>
              <w:t>, atitinkamas asmuo turi</w:t>
            </w:r>
            <w:r>
              <w:t xml:space="preserve"> teisę į teisių gynimo priemones panašiomis sąlygomis, kokios gyvenamosios vietos valstybės narės įstatymais numatytos rinkėjams ir teisę kandidatuoti turintiems asmenims, kurie yra jos piliečiai.</w:t>
            </w:r>
          </w:p>
        </w:tc>
        <w:tc>
          <w:tcPr>
            <w:tcW w:w="4876" w:type="dxa"/>
            <w:hideMark/>
          </w:tcPr>
          <w:p w:rsidR="00EB001A" w:rsidRPr="00ED38A0" w:rsidRDefault="000A453B" w:rsidP="006E1648">
            <w:pPr>
              <w:pStyle w:val="Normal6a"/>
            </w:pPr>
            <w:r>
              <w:t>3.</w:t>
            </w:r>
            <w:r>
              <w:tab/>
            </w:r>
            <w:r>
              <w:rPr>
                <w:b/>
                <w:i/>
              </w:rPr>
              <w:t>Tuo atveju, kai Europos</w:t>
            </w:r>
            <w:r>
              <w:t xml:space="preserve"> Parlamento rinkimų rinkėjų </w:t>
            </w:r>
            <w:r>
              <w:rPr>
                <w:b/>
                <w:i/>
              </w:rPr>
              <w:t>sąraš</w:t>
            </w:r>
            <w:r>
              <w:rPr>
                <w:b/>
                <w:i/>
              </w:rPr>
              <w:t>uose</w:t>
            </w:r>
            <w:r>
              <w:t xml:space="preserve"> arba kandidatų </w:t>
            </w:r>
            <w:r>
              <w:rPr>
                <w:b/>
                <w:i/>
              </w:rPr>
              <w:t>sąrašuose yra</w:t>
            </w:r>
            <w:r>
              <w:t xml:space="preserve"> klaidų, atitinkamas asmuo turi teisę į</w:t>
            </w:r>
            <w:r>
              <w:rPr>
                <w:b/>
                <w:i/>
              </w:rPr>
              <w:t xml:space="preserve"> veiksmingas</w:t>
            </w:r>
            <w:r>
              <w:t xml:space="preserve"> teisių gynimo priemones panašiomis sąlygomis, kokios gyvenamosios vietos valstybės narės įstatymais numatytos rinkėjams ir teisę kandidatuoti turintiems asmenims, kurie yr</w:t>
            </w:r>
            <w:r>
              <w:t>a jos piliečiai.</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37</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4.</w:t>
            </w:r>
            <w:r>
              <w:tab/>
              <w:t xml:space="preserve">Valstybės narės aiškiai ir laiku informuoja atitinkamą </w:t>
            </w:r>
            <w:r>
              <w:t>asmenį apie 1 dalyje nurodytą sprendimą ir apie 2 ir 3 dalyse nurodytas teisių gynimo priemones.</w:t>
            </w:r>
          </w:p>
        </w:tc>
        <w:tc>
          <w:tcPr>
            <w:tcW w:w="4876" w:type="dxa"/>
            <w:hideMark/>
          </w:tcPr>
          <w:p w:rsidR="00EB001A" w:rsidRPr="00ED38A0" w:rsidRDefault="000A453B" w:rsidP="006E1648">
            <w:pPr>
              <w:pStyle w:val="Normal6a"/>
            </w:pPr>
            <w:r>
              <w:t>4.</w:t>
            </w:r>
            <w:r>
              <w:tab/>
              <w:t>Valstybės narės aiškiai ir laiku informuoja atitinkamą asmenį apie 1 dalyje nurodytą sprendimą ir apie 2 ir 3 dalyse nurodytas teisių gynimo priemones</w:t>
            </w:r>
            <w:r>
              <w:rPr>
                <w:b/>
                <w:i/>
              </w:rPr>
              <w:t xml:space="preserve"> jam s</w:t>
            </w:r>
            <w:r>
              <w:rPr>
                <w:b/>
                <w:i/>
              </w:rPr>
              <w:t>uprantama oficialiąja Sąjungos kalba</w:t>
            </w:r>
            <w:r>
              <w:t>.</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lang w:val="pt-PT"/>
        </w:rPr>
        <w:t>&lt;Amend&gt;</w:t>
      </w:r>
      <w:r>
        <w:t>Pakeitimas</w:t>
      </w:r>
      <w:r>
        <w:tab/>
      </w:r>
      <w:r>
        <w:tab/>
      </w:r>
      <w:r>
        <w:rPr>
          <w:rStyle w:val="HideTWBExt"/>
          <w:lang w:val="pt-PT"/>
        </w:rPr>
        <w:t>&lt;NumAm&gt;</w:t>
      </w:r>
      <w:r>
        <w:t>38</w:t>
      </w:r>
      <w:r>
        <w:rPr>
          <w:rStyle w:val="HideTWBExt"/>
          <w:lang w:val="pt-PT"/>
        </w:rPr>
        <w:t>&lt;/NumAm&gt;</w:t>
      </w:r>
    </w:p>
    <w:p w:rsidR="00EB001A" w:rsidRPr="00ED38A0" w:rsidRDefault="000A453B" w:rsidP="00EB001A">
      <w:pPr>
        <w:pStyle w:val="NormalBold12b"/>
      </w:pPr>
      <w:r>
        <w:rPr>
          <w:rStyle w:val="HideTWBExt"/>
          <w:lang w:val="pt-PT"/>
        </w:rPr>
        <w:t>&lt;DocAmend&gt;</w:t>
      </w:r>
      <w:r>
        <w:t>Pasiūlymas dėl direktyvos</w:t>
      </w:r>
      <w:r>
        <w:rPr>
          <w:rStyle w:val="HideTWBExt"/>
          <w:lang w:val="pt-PT"/>
        </w:rPr>
        <w:t>&lt;/DocAmend&gt;</w:t>
      </w:r>
    </w:p>
    <w:p w:rsidR="00EB001A" w:rsidRPr="00ED38A0" w:rsidRDefault="000A453B" w:rsidP="00EB001A">
      <w:pPr>
        <w:pStyle w:val="NormalBold"/>
      </w:pPr>
      <w:r>
        <w:rPr>
          <w:rStyle w:val="HideTWBExt"/>
        </w:rPr>
        <w:t>&lt;Article&gt;</w:t>
      </w:r>
      <w:r>
        <w:t>12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w:t>
            </w:r>
            <w:r>
              <w:tab/>
              <w:t xml:space="preserve">Valstybės narės paskiria nacionalinę </w:t>
            </w:r>
            <w:r>
              <w:t xml:space="preserve">instituciją, atsakingą už </w:t>
            </w:r>
            <w:r>
              <w:lastRenderedPageBreak/>
              <w:t>priemonių, būtinų užtikrinti, kad valstybės pilietybės neturintys Sąjungos piliečiai būtų laiku informuojami apie rinkėjų ar kandidatų registravimo Europos Parlamento rinkimuose sąlygas ir išsamias taisykles, taikymą.</w:t>
            </w:r>
          </w:p>
        </w:tc>
        <w:tc>
          <w:tcPr>
            <w:tcW w:w="4876" w:type="dxa"/>
            <w:hideMark/>
          </w:tcPr>
          <w:p w:rsidR="00EB001A" w:rsidRPr="00ED38A0" w:rsidRDefault="000A453B" w:rsidP="006E1648">
            <w:pPr>
              <w:pStyle w:val="Normal6a"/>
            </w:pPr>
            <w:r>
              <w:lastRenderedPageBreak/>
              <w:t>1.</w:t>
            </w:r>
            <w:r>
              <w:tab/>
              <w:t>Valstybės</w:t>
            </w:r>
            <w:r>
              <w:t xml:space="preserve"> narės paskiria kompetentingą instituciją, atsakingą už </w:t>
            </w:r>
            <w:r>
              <w:lastRenderedPageBreak/>
              <w:t>priemonių, būtinų užtikrinti, kad valstybės pilietybės neturintys Sąjungos piliečiai būtų laiku informuojami apie rinkėjų ar kandidatų registravimo Europos Parlamento rinkimuose sąlygas ir išsamias ta</w:t>
            </w:r>
            <w:r>
              <w:t xml:space="preserve">isykles, taikymą. </w:t>
            </w:r>
            <w:r>
              <w:rPr>
                <w:b/>
                <w:i/>
              </w:rPr>
              <w:t>Atsižvelgiant į tai, kad galutiniai rinkėjų sąrašai turi būti sudaryti likus 14 savaičių, o kandidatai turi būti paskelbti likus 12 savaičių iki rinkimų dienos, informacija teikiama vietos ir nacionaliniu lygmenimis koordinuotai ir, kai į</w:t>
            </w:r>
            <w:r>
              <w:rPr>
                <w:b/>
                <w:i/>
              </w:rPr>
              <w:t>manoma, bendradarbiaujant su pilietinės visuomenės organizacijomis, automatinės registracijos metu arba pateikus prašymą įrašyti į rinkėjų sąrašą, kad valstybės narės galėtų laiku keistis informacija pagal 13 straipsnio 1 dalies nuostatas.</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w:t>
      </w:r>
      <w:r>
        <w:rPr>
          <w:rStyle w:val="HideTWBExt"/>
        </w:rPr>
        <w:t>&gt;</w:t>
      </w:r>
      <w:r>
        <w:t>Pakeitimas</w:t>
      </w:r>
      <w:r>
        <w:tab/>
      </w:r>
      <w:r>
        <w:tab/>
      </w:r>
      <w:r>
        <w:rPr>
          <w:rStyle w:val="HideTWBExt"/>
        </w:rPr>
        <w:t>&lt;NumAm&gt;</w:t>
      </w:r>
      <w:r>
        <w:t>39</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12 straipsnio 2 dalies c a punktas (naujas)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ca)</w:t>
            </w:r>
            <w:r>
              <w:tab/>
            </w:r>
            <w:r>
              <w:rPr>
                <w:b/>
                <w:i/>
              </w:rPr>
              <w:t>informaciją apie Europos Sąjungos rinkimų sistemą, pagal kurią galima</w:t>
            </w:r>
            <w:r>
              <w:rPr>
                <w:b/>
                <w:i/>
              </w:rPr>
              <w:t xml:space="preserve"> rinkti Europos Parlamento narius, ir apie nacionalines taisykles ir procedūras, susijusias su dalyvavimu Europos Parlamento rinkimuose ir jų organizavimu;</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40</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12 straipsnio 2 dalies d a punktas (naujas)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da)</w:t>
            </w:r>
            <w:r>
              <w:tab/>
            </w:r>
            <w:r>
              <w:rPr>
                <w:b/>
                <w:i/>
              </w:rPr>
              <w:t xml:space="preserve">konkrečias priemones, kuriomis tam tikroms rinkėjų grupėms, pavyzdžiui, asmenims su negalia arba rinkėjams, kurie negali dalyvauti rinkimų dieną, </w:t>
            </w:r>
            <w:r>
              <w:rPr>
                <w:b/>
                <w:i/>
              </w:rPr>
              <w:t xml:space="preserve">sudaromos palankesnės sąlygos naudotis </w:t>
            </w:r>
            <w:r>
              <w:rPr>
                <w:b/>
                <w:i/>
              </w:rPr>
              <w:lastRenderedPageBreak/>
              <w:t>balsavimo teise.</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41</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12 straipsnio 3 dalies įžanginė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3.</w:t>
            </w:r>
            <w:r>
              <w:tab/>
            </w:r>
            <w:r>
              <w:t xml:space="preserve">Informacija apie rinkėjų ar kandidatų registravimo Europos Parlamento rinkimuose sąlygas ir išsamias taisykles bei 2 dalyje nurodyta informacija pateikiama </w:t>
            </w:r>
            <w:r>
              <w:rPr>
                <w:b/>
                <w:i/>
              </w:rPr>
              <w:t>aiškia</w:t>
            </w:r>
            <w:r>
              <w:t xml:space="preserve"> ir </w:t>
            </w:r>
            <w:r>
              <w:rPr>
                <w:b/>
                <w:i/>
              </w:rPr>
              <w:t>paprasta kalba</w:t>
            </w:r>
            <w:r>
              <w:t>.</w:t>
            </w:r>
          </w:p>
        </w:tc>
        <w:tc>
          <w:tcPr>
            <w:tcW w:w="4876" w:type="dxa"/>
            <w:hideMark/>
          </w:tcPr>
          <w:p w:rsidR="00EB001A" w:rsidRPr="00ED38A0" w:rsidRDefault="000A453B" w:rsidP="006E1648">
            <w:pPr>
              <w:pStyle w:val="Normal6a"/>
            </w:pPr>
            <w:r>
              <w:t>3.</w:t>
            </w:r>
            <w:r>
              <w:tab/>
              <w:t>Informacija apie rinkėjų ar kandidatų registravimo Europos Parlamento r</w:t>
            </w:r>
            <w:r>
              <w:t xml:space="preserve">inkimuose sąlygas ir išsamias taisykles bei </w:t>
            </w:r>
            <w:r>
              <w:rPr>
                <w:b/>
                <w:i/>
              </w:rPr>
              <w:t>bet kuri informacija, teikiama pagal šios direktyvos nuostatas, pateikiama aiškia ir paprasta kalba;</w:t>
            </w:r>
            <w:r>
              <w:t xml:space="preserve"> 2 dalyje nurodyta informacija pateikiama </w:t>
            </w:r>
            <w:r>
              <w:rPr>
                <w:b/>
                <w:i/>
              </w:rPr>
              <w:t xml:space="preserve">visomis oficialiosiomis Sąjungos kalbomis. Komisija suteikia galimybę </w:t>
            </w:r>
            <w:r>
              <w:rPr>
                <w:b/>
                <w:i/>
              </w:rPr>
              <w:t>susipažinti su šia informacija</w:t>
            </w:r>
            <w:r>
              <w:t xml:space="preserve"> ir </w:t>
            </w:r>
            <w:r>
              <w:rPr>
                <w:b/>
                <w:i/>
              </w:rPr>
              <w:t>padeda piliečiams ją suprasti, be kita ko, per portalus „Europe Direct“ ir „Jūsų Europa“</w:t>
            </w:r>
            <w:r>
              <w:t>.</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42</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12 straipsnio 4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4.</w:t>
            </w:r>
            <w:r>
              <w:tab/>
              <w:t>Valstybės narės užtikrina, kad informacija apie rinkėjų ar kandidatų registravimo Europos Parlamento rinkimuose sąlygas ir išsamias taisykles bei 2</w:t>
            </w:r>
            <w:r>
              <w:rPr>
                <w:b/>
                <w:i/>
              </w:rPr>
              <w:t xml:space="preserve"> </w:t>
            </w:r>
            <w:r>
              <w:t>dalyje nurodyta informacija būtų prieinama neįgaliesi</w:t>
            </w:r>
            <w:r>
              <w:t>ems</w:t>
            </w:r>
            <w:r>
              <w:rPr>
                <w:b/>
                <w:i/>
              </w:rPr>
              <w:t xml:space="preserve"> ir</w:t>
            </w:r>
            <w:r>
              <w:t xml:space="preserve"> vyresnio amžiaus asmenims tinkamomis </w:t>
            </w:r>
            <w:r>
              <w:rPr>
                <w:b/>
                <w:i/>
              </w:rPr>
              <w:t>ryšio</w:t>
            </w:r>
            <w:r>
              <w:t xml:space="preserve"> priemonėmis, būdais ir formatais.</w:t>
            </w:r>
          </w:p>
        </w:tc>
        <w:tc>
          <w:tcPr>
            <w:tcW w:w="4876" w:type="dxa"/>
            <w:hideMark/>
          </w:tcPr>
          <w:p w:rsidR="00EB001A" w:rsidRPr="00ED38A0" w:rsidRDefault="000A453B" w:rsidP="006E1648">
            <w:pPr>
              <w:pStyle w:val="Normal6a"/>
            </w:pPr>
            <w:r>
              <w:t>4.</w:t>
            </w:r>
            <w:r>
              <w:tab/>
              <w:t>Valstybės narės užtikrina, kad informacija apie rinkėjų ar kandidatų registravimo Europos Parlamento rinkimuose sąlygas ir išsamias taisykles bei 2</w:t>
            </w:r>
            <w:r>
              <w:rPr>
                <w:b/>
                <w:i/>
              </w:rPr>
              <w:t> </w:t>
            </w:r>
            <w:r>
              <w:t>dalyje nurodyta infor</w:t>
            </w:r>
            <w:r>
              <w:t>macija būtų prieinama neįgaliesiems</w:t>
            </w:r>
            <w:r>
              <w:rPr>
                <w:b/>
                <w:i/>
              </w:rPr>
              <w:t>,</w:t>
            </w:r>
            <w:r>
              <w:t xml:space="preserve"> vyresnio amžiaus asmenims</w:t>
            </w:r>
            <w:r>
              <w:rPr>
                <w:b/>
                <w:i/>
              </w:rPr>
              <w:t xml:space="preserve">, atokiose vietovėse gyvenantiems asmenims, mažumų grupėms ir tiems, kurie norėdami balsuoti paprastai susiduria su sunkumais, taikant Direktyvos (ES) 2019/8821a I priede išdėstytus prieinamumo </w:t>
            </w:r>
            <w:r>
              <w:rPr>
                <w:b/>
                <w:i/>
              </w:rPr>
              <w:t>reikalavimus ir</w:t>
            </w:r>
            <w:r>
              <w:t xml:space="preserve"> tinkamomis </w:t>
            </w:r>
            <w:r>
              <w:rPr>
                <w:b/>
                <w:i/>
              </w:rPr>
              <w:t>komunikacijos</w:t>
            </w:r>
            <w:r>
              <w:t xml:space="preserve"> priemonėmis, būdais ir formatais</w:t>
            </w:r>
            <w:r>
              <w:rPr>
                <w:b/>
                <w:i/>
              </w:rPr>
              <w:t>, pvz., gestų kalba, Brailio raštu arba lengvai perskaitomu formatu.</w:t>
            </w:r>
            <w:r>
              <w:t xml:space="preserve"> </w:t>
            </w:r>
            <w:r>
              <w:rPr>
                <w:b/>
                <w:i/>
              </w:rPr>
              <w:t xml:space="preserve">Valstybės narės gali užtikrinti, </w:t>
            </w:r>
            <w:r>
              <w:rPr>
                <w:b/>
                <w:i/>
              </w:rPr>
              <w:lastRenderedPageBreak/>
              <w:t>kad asmenų su negalia prašymu jiems balsuoti padėtų jų pasirinktas asmuo.</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_________________</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rStyle w:val="SupBoldItalic"/>
              </w:rPr>
              <w:t>1a</w:t>
            </w:r>
            <w:r>
              <w:t xml:space="preserve"> </w:t>
            </w:r>
            <w:r>
              <w:rPr>
                <w:b/>
                <w:i/>
              </w:rPr>
              <w:t>2019 m. balandžio 17 d. Europos Parlamento ir Tarybos direktyva (ES) 2019/882 dėl gaminių ir paslaugų prieinamumo reikalavimų (OL L 151, 2019 6 7, p. 70).</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43</w:t>
      </w:r>
      <w:r>
        <w:rPr>
          <w:rStyle w:val="HideTWBExt"/>
        </w:rPr>
        <w:t>&lt;/NumAm&gt;</w:t>
      </w:r>
    </w:p>
    <w:p w:rsidR="00EB001A" w:rsidRPr="00ED38A0" w:rsidRDefault="000A453B" w:rsidP="00EB001A">
      <w:pPr>
        <w:pStyle w:val="NormalBold12b"/>
      </w:pPr>
      <w:r>
        <w:rPr>
          <w:rStyle w:val="HideTWBExt"/>
        </w:rPr>
        <w:t>&lt;DocAmend&gt;</w:t>
      </w:r>
      <w:r>
        <w:t>Pasiūlymas dėl direkt</w:t>
      </w:r>
      <w:r>
        <w:t>yvos</w:t>
      </w:r>
      <w:r>
        <w:rPr>
          <w:rStyle w:val="HideTWBExt"/>
        </w:rPr>
        <w:t>&lt;/DocAmend&gt;</w:t>
      </w:r>
    </w:p>
    <w:p w:rsidR="00EB001A" w:rsidRPr="00ED38A0" w:rsidRDefault="000A453B" w:rsidP="00EB001A">
      <w:pPr>
        <w:pStyle w:val="NormalBold"/>
      </w:pPr>
      <w:r>
        <w:rPr>
          <w:rStyle w:val="HideTWBExt"/>
        </w:rPr>
        <w:t>&lt;Article&gt;</w:t>
      </w:r>
      <w:r>
        <w:t>13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w:t>
            </w:r>
            <w:r>
              <w:tab/>
              <w:t>Valstybės narės keičiasi informacija, reikalinga, kad būtų įgyvendinamas 4</w:t>
            </w:r>
            <w:r>
              <w:rPr>
                <w:b/>
                <w:i/>
              </w:rPr>
              <w:t xml:space="preserve"> </w:t>
            </w:r>
            <w:r>
              <w:t>straipsnis,</w:t>
            </w:r>
            <w:r>
              <w:rPr>
                <w:b/>
                <w:i/>
              </w:rPr>
              <w:t> </w:t>
            </w:r>
            <w:r>
              <w:t xml:space="preserve">pakankamai </w:t>
            </w:r>
            <w:r>
              <w:rPr>
                <w:b/>
                <w:i/>
              </w:rPr>
              <w:t>iš anksto prieš rinkimų dieną</w:t>
            </w:r>
            <w:r>
              <w:t xml:space="preserve">. </w:t>
            </w:r>
            <w:r>
              <w:t xml:space="preserve">Tuo tikslu gyvenamosios vietos valstybė narė ne vėliau kaip likus </w:t>
            </w:r>
            <w:r>
              <w:rPr>
                <w:b/>
                <w:i/>
              </w:rPr>
              <w:t>šešioms savaitėms</w:t>
            </w:r>
            <w:r>
              <w:t xml:space="preserve"> iki Akto dėl Europos Parlamento narių rinkimų remiantis tiesiogine visuotine rinkimų teise 10</w:t>
            </w:r>
            <w:r>
              <w:rPr>
                <w:b/>
                <w:i/>
              </w:rPr>
              <w:t xml:space="preserve"> </w:t>
            </w:r>
            <w:r>
              <w:t>straipsnio 1</w:t>
            </w:r>
            <w:r>
              <w:rPr>
                <w:b/>
                <w:i/>
              </w:rPr>
              <w:t xml:space="preserve"> </w:t>
            </w:r>
            <w:r>
              <w:t xml:space="preserve">dalyje nurodyto rinkimų laikotarpio pirmos dienos pradeda kilmės </w:t>
            </w:r>
            <w:r>
              <w:t>valstybei narei teikti III</w:t>
            </w:r>
            <w:r>
              <w:rPr>
                <w:b/>
                <w:i/>
              </w:rPr>
              <w:t xml:space="preserve"> </w:t>
            </w:r>
            <w:r>
              <w:t>priede nurodytą informaciją. Kilmės valstybė narė, remdamasi savo nacionalinės teisės aktais, imasi atitinkamų priemonių užtikrinti, kad jos piliečiai nebalsuotų daugiau kaip vieną kartą arba nekandidatuotų daugiau kaip vienoje v</w:t>
            </w:r>
            <w:r>
              <w:t>alstybėje narėje.</w:t>
            </w:r>
          </w:p>
        </w:tc>
        <w:tc>
          <w:tcPr>
            <w:tcW w:w="4876" w:type="dxa"/>
            <w:hideMark/>
          </w:tcPr>
          <w:p w:rsidR="00EB001A" w:rsidRPr="00ED38A0" w:rsidRDefault="000A453B" w:rsidP="006E1648">
            <w:pPr>
              <w:pStyle w:val="Normal6a"/>
            </w:pPr>
            <w:r>
              <w:t>1.</w:t>
            </w:r>
            <w:r>
              <w:tab/>
              <w:t>Valstybės narės keičiasi informacija, reikalinga, kad būtų įgyvendinamas 4</w:t>
            </w:r>
            <w:r>
              <w:rPr>
                <w:b/>
                <w:i/>
              </w:rPr>
              <w:t> </w:t>
            </w:r>
            <w:r>
              <w:t>straipsnis,</w:t>
            </w:r>
            <w:r>
              <w:rPr>
                <w:b/>
                <w:i/>
              </w:rPr>
              <w:t xml:space="preserve"> likus </w:t>
            </w:r>
            <w:r>
              <w:t xml:space="preserve">pakankamai </w:t>
            </w:r>
            <w:r>
              <w:rPr>
                <w:b/>
                <w:i/>
              </w:rPr>
              <w:t>laiko iki rinkimų dienos ir deramai atsižvelgdamos į tai, iki kurios dienos turi būti paskelbti rinkimuose dalyvaujantys kandidatai</w:t>
            </w:r>
            <w:r>
              <w:rPr>
                <w:b/>
                <w:i/>
              </w:rPr>
              <w:t xml:space="preserve"> bei sudaryti galutiniai rinkėjų sąrašai</w:t>
            </w:r>
            <w:r>
              <w:t xml:space="preserve">. Tuo tikslu gyvenamosios vietos valstybė narė ne vėliau kaip likus </w:t>
            </w:r>
            <w:r>
              <w:rPr>
                <w:b/>
                <w:i/>
              </w:rPr>
              <w:t>šešiolikai savaičių</w:t>
            </w:r>
            <w:r>
              <w:t xml:space="preserve"> iki Akto dėl Europos Parlamento narių rinkimų remiantis tiesiogine visuotine rinkimų teise 10</w:t>
            </w:r>
            <w:r>
              <w:rPr>
                <w:b/>
                <w:i/>
              </w:rPr>
              <w:t> </w:t>
            </w:r>
            <w:r>
              <w:t>straipsnio 1</w:t>
            </w:r>
            <w:r>
              <w:rPr>
                <w:b/>
                <w:i/>
              </w:rPr>
              <w:t> </w:t>
            </w:r>
            <w:r>
              <w:t>dalyje nurodyto rinki</w:t>
            </w:r>
            <w:r>
              <w:t>mų laikotarpio pirmos dienos pradeda kilmės valstybei narei teikti III</w:t>
            </w:r>
            <w:r>
              <w:rPr>
                <w:b/>
                <w:i/>
              </w:rPr>
              <w:t> </w:t>
            </w:r>
            <w:r>
              <w:t>priede nurodytą informaciją. Kilmės valstybė narė, remdamasi savo nacionalinės teisės aktais, imasi atitinkamų priemonių užtikrinti, kad jos piliečiai nebalsuotų daugiau kaip vieną kart</w:t>
            </w:r>
            <w:r>
              <w:t>ą arba nekandidatuotų daugiau kaip vienoje valstybėje narėje.</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44</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14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lastRenderedPageBreak/>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Valstybės narės</w:t>
            </w:r>
            <w:r>
              <w:rPr>
                <w:b/>
                <w:i/>
              </w:rPr>
              <w:t xml:space="preserve">, </w:t>
            </w:r>
            <w:r>
              <w:rPr>
                <w:b/>
                <w:i/>
              </w:rPr>
              <w:t>kurios numato išankstinio balsavimo,</w:t>
            </w:r>
            <w:r>
              <w:t xml:space="preserve"> balsavimo paštu, </w:t>
            </w:r>
            <w:r>
              <w:rPr>
                <w:b/>
                <w:i/>
              </w:rPr>
              <w:t>elektroninio ir internetinio balsavimo</w:t>
            </w:r>
            <w:r>
              <w:t xml:space="preserve"> Europos Parlamento </w:t>
            </w:r>
            <w:r>
              <w:rPr>
                <w:b/>
                <w:i/>
              </w:rPr>
              <w:t>rinkimuose galimybes</w:t>
            </w:r>
            <w:r>
              <w:t xml:space="preserve">, </w:t>
            </w:r>
            <w:r>
              <w:rPr>
                <w:b/>
                <w:i/>
              </w:rPr>
              <w:t>užtikrina</w:t>
            </w:r>
            <w:r>
              <w:t xml:space="preserve">, kad Sąjungos rinkėjai galėtų naudotis tais balsavimo </w:t>
            </w:r>
            <w:r>
              <w:rPr>
                <w:b/>
                <w:i/>
              </w:rPr>
              <w:t>metodais panašiomis</w:t>
            </w:r>
            <w:r>
              <w:t xml:space="preserve"> sąlygomis</w:t>
            </w:r>
            <w:r>
              <w:rPr>
                <w:b/>
                <w:i/>
              </w:rPr>
              <w:t xml:space="preserve"> į tas</w:t>
            </w:r>
            <w:r>
              <w:t>, kurios taikomos jų pi</w:t>
            </w:r>
            <w:r>
              <w:t>liečiams.</w:t>
            </w:r>
          </w:p>
        </w:tc>
        <w:tc>
          <w:tcPr>
            <w:tcW w:w="4876" w:type="dxa"/>
            <w:hideMark/>
          </w:tcPr>
          <w:p w:rsidR="00EB001A" w:rsidRPr="00ED38A0" w:rsidRDefault="000A453B" w:rsidP="006E1648">
            <w:pPr>
              <w:pStyle w:val="Normal6a"/>
            </w:pPr>
            <w:r>
              <w:t>Valstybės narės</w:t>
            </w:r>
            <w:r>
              <w:rPr>
                <w:b/>
                <w:i/>
              </w:rPr>
              <w:t xml:space="preserve"> turi numatyti galimybę balsuoti paštu Europos Parlamento rinkimuose. </w:t>
            </w:r>
            <w:r>
              <w:t>Balsavimo paštu</w:t>
            </w:r>
            <w:r>
              <w:rPr>
                <w:b/>
                <w:i/>
              </w:rPr>
              <w:t xml:space="preserve"> atveju</w:t>
            </w:r>
            <w:r>
              <w:t xml:space="preserve">, </w:t>
            </w:r>
            <w:r>
              <w:rPr>
                <w:b/>
                <w:i/>
              </w:rPr>
              <w:t>kai valstybės narės suteikia savo piliečiams galimybę per</w:t>
            </w:r>
            <w:r>
              <w:t xml:space="preserve"> Europos Parlamento </w:t>
            </w:r>
            <w:r>
              <w:rPr>
                <w:b/>
                <w:i/>
              </w:rPr>
              <w:t>rinkimus balsuoti iš anksto ir elektroniniu būdu bei interne</w:t>
            </w:r>
            <w:r>
              <w:rPr>
                <w:b/>
                <w:i/>
              </w:rPr>
              <w:t>tu</w:t>
            </w:r>
            <w:r>
              <w:t xml:space="preserve">, </w:t>
            </w:r>
            <w:r>
              <w:rPr>
                <w:b/>
                <w:i/>
              </w:rPr>
              <w:t>jos turi užtikrinti</w:t>
            </w:r>
            <w:r>
              <w:t xml:space="preserve">, kad Sąjungos rinkėjai galėtų naudotis tais balsavimo </w:t>
            </w:r>
            <w:r>
              <w:rPr>
                <w:b/>
                <w:i/>
              </w:rPr>
              <w:t>būdais tokiomis pat</w:t>
            </w:r>
            <w:r>
              <w:t xml:space="preserve"> sąlygomis</w:t>
            </w:r>
            <w:r>
              <w:rPr>
                <w:b/>
                <w:i/>
              </w:rPr>
              <w:t>, kaip tos</w:t>
            </w:r>
            <w:r>
              <w:t>, kurios taikomos jų piliečiams</w:t>
            </w:r>
            <w:r>
              <w:rPr>
                <w:b/>
                <w:i/>
              </w:rPr>
              <w:t>; valstybės narės priima visas priemones, būtinas balsavimo patikimumui ir slaptumui užtikrinti</w:t>
            </w:r>
            <w:r>
              <w:t>.</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45</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15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 xml:space="preserve">Valstybės narės paskiria instituciją, atsakingą už </w:t>
            </w:r>
            <w:r>
              <w:rPr>
                <w:b/>
                <w:i/>
              </w:rPr>
              <w:t xml:space="preserve">atitinkamų </w:t>
            </w:r>
            <w:r>
              <w:t xml:space="preserve">statistinių duomenų apie </w:t>
            </w:r>
            <w:r>
              <w:t>Sąjungos piliečių, kurie neturi valstybės narės pilietybės, dalyvavimą Europos Parlamento rinkimuose rinkimą ir teikimą visuomenei ir Komisijai.</w:t>
            </w:r>
          </w:p>
        </w:tc>
        <w:tc>
          <w:tcPr>
            <w:tcW w:w="4876" w:type="dxa"/>
            <w:hideMark/>
          </w:tcPr>
          <w:p w:rsidR="00EB001A" w:rsidRPr="00ED38A0" w:rsidRDefault="000A453B" w:rsidP="006E1648">
            <w:pPr>
              <w:pStyle w:val="Normal6a"/>
            </w:pPr>
            <w:r>
              <w:t>Valstybės narės paskiria instituciją, atsakingą už statistinių duomenų apie Sąjungos piliečių, kurie neturi val</w:t>
            </w:r>
            <w:r>
              <w:t xml:space="preserve">stybės narės pilietybės, dalyvavimą Europos Parlamento rinkimuose rinkimą ir teikimą visuomenei ir Komisijai. </w:t>
            </w:r>
            <w:r>
              <w:rPr>
                <w:b/>
                <w:i/>
              </w:rPr>
              <w:t>Tokie statistiniai duomenys visose valstybėse narėse renkami skaidriai ir koordinuotai bei remiantis tais pačiais rodikliais.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Komisijai suteikia</w:t>
            </w:r>
            <w:r>
              <w:rPr>
                <w:b/>
                <w:i/>
              </w:rPr>
              <w:t>mi įgaliojimai priimti įgyvendinimo aktus dėl 1 dalyje nurodytų duomenų pobūdžio. Tie įgyvendinimo aktai priimami laikantis 19 straipsnyje nurodytos nagrinėjimo procedūros.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46</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w:t>
      </w:r>
      <w:r>
        <w:rPr>
          <w:rStyle w:val="HideTWBExt"/>
        </w:rPr>
        <w:t>/DocAmend&gt;</w:t>
      </w:r>
    </w:p>
    <w:p w:rsidR="00EB001A" w:rsidRPr="00ED38A0" w:rsidRDefault="000A453B" w:rsidP="00EB001A">
      <w:pPr>
        <w:pStyle w:val="NormalBold"/>
      </w:pPr>
      <w:r>
        <w:rPr>
          <w:rStyle w:val="HideTWBExt"/>
        </w:rPr>
        <w:t>&lt;Article&gt;</w:t>
      </w:r>
      <w:r>
        <w:t>16 straipsnis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jc w:val="center"/>
              <w:rPr>
                <w:bCs/>
                <w:iCs/>
              </w:rPr>
            </w:pPr>
            <w:r>
              <w:rPr>
                <w:b/>
                <w:i/>
              </w:rPr>
              <w:lastRenderedPageBreak/>
              <w:t>16 straipsnis</w:t>
            </w:r>
          </w:p>
        </w:tc>
        <w:tc>
          <w:tcPr>
            <w:tcW w:w="4876" w:type="dxa"/>
            <w:hideMark/>
          </w:tcPr>
          <w:p w:rsidR="00EB001A" w:rsidRPr="00ED38A0" w:rsidRDefault="000A453B" w:rsidP="006E1648">
            <w:pPr>
              <w:pStyle w:val="Normal6a"/>
              <w:rPr>
                <w:b/>
                <w:bCs/>
                <w:i/>
                <w:iCs/>
              </w:rPr>
            </w:pPr>
            <w:r>
              <w:rPr>
                <w:b/>
                <w:i/>
              </w:rPr>
              <w:t>Išbraukta.</w:t>
            </w:r>
          </w:p>
        </w:tc>
      </w:tr>
      <w:tr w:rsidR="00505880" w:rsidTr="006E1648">
        <w:trPr>
          <w:jc w:val="center"/>
        </w:trPr>
        <w:tc>
          <w:tcPr>
            <w:tcW w:w="4876" w:type="dxa"/>
            <w:hideMark/>
          </w:tcPr>
          <w:p w:rsidR="00EB001A" w:rsidRPr="00ED38A0" w:rsidRDefault="000A453B" w:rsidP="006E1648">
            <w:pPr>
              <w:pStyle w:val="Normal6a"/>
              <w:jc w:val="center"/>
              <w:rPr>
                <w:bCs/>
                <w:iCs/>
              </w:rPr>
            </w:pPr>
            <w:r>
              <w:rPr>
                <w:b/>
                <w:i/>
              </w:rPr>
              <w:t>Nukrypti leidžiančios nuostatos</w:t>
            </w:r>
          </w:p>
        </w:tc>
        <w:tc>
          <w:tcPr>
            <w:tcW w:w="4876" w:type="dxa"/>
          </w:tcPr>
          <w:p w:rsidR="00EB001A" w:rsidRPr="00ED38A0" w:rsidRDefault="00EB001A" w:rsidP="006E1648">
            <w:pPr>
              <w:pStyle w:val="Normal6a"/>
              <w:rPr>
                <w:b/>
                <w:bCs/>
                <w:i/>
                <w:iCs/>
              </w:rPr>
            </w:pPr>
          </w:p>
        </w:tc>
      </w:tr>
      <w:tr w:rsidR="00505880" w:rsidTr="006E1648">
        <w:trPr>
          <w:jc w:val="center"/>
        </w:trPr>
        <w:tc>
          <w:tcPr>
            <w:tcW w:w="4876" w:type="dxa"/>
            <w:hideMark/>
          </w:tcPr>
          <w:p w:rsidR="00EB001A" w:rsidRPr="00ED38A0" w:rsidRDefault="000A453B" w:rsidP="006E1648">
            <w:pPr>
              <w:pStyle w:val="Normal6a"/>
            </w:pPr>
            <w:r>
              <w:rPr>
                <w:b/>
                <w:i/>
              </w:rPr>
              <w:t xml:space="preserve">1. Jei tam tikroje valstybėje narėje gyvenančių ir jos pilietybės neturinčių Sąjungos piliečių, sulaukusių </w:t>
            </w:r>
            <w:r>
              <w:rPr>
                <w:b/>
                <w:i/>
              </w:rPr>
              <w:t>rinkimų teisės amžiaus, dalis viršija 20 proc. bendro ten gyvenančių to amžiaus valstybės narės pilietybę turinčių ir jos neturinčių Sąjungos piliečių skaičiaus, ta valstybė narė, nukrypdama nuo 3, 9 ir 10 straipsnių, gali:</w:t>
            </w:r>
          </w:p>
        </w:tc>
        <w:tc>
          <w:tcPr>
            <w:tcW w:w="4876" w:type="dxa"/>
          </w:tcPr>
          <w:p w:rsidR="00EB001A" w:rsidRPr="00ED38A0" w:rsidRDefault="00EB001A" w:rsidP="006E1648">
            <w:pPr>
              <w:pStyle w:val="Normal6a"/>
            </w:pPr>
          </w:p>
        </w:tc>
      </w:tr>
      <w:tr w:rsidR="00505880" w:rsidTr="006E1648">
        <w:trPr>
          <w:jc w:val="center"/>
        </w:trPr>
        <w:tc>
          <w:tcPr>
            <w:tcW w:w="4876" w:type="dxa"/>
            <w:hideMark/>
          </w:tcPr>
          <w:p w:rsidR="00EB001A" w:rsidRPr="00ED38A0" w:rsidRDefault="000A453B" w:rsidP="006E1648">
            <w:pPr>
              <w:pStyle w:val="Normal6a"/>
            </w:pPr>
            <w:r>
              <w:rPr>
                <w:b/>
                <w:i/>
              </w:rPr>
              <w:t>a) suteikti teisę balsuoti tik</w:t>
            </w:r>
            <w:r>
              <w:rPr>
                <w:b/>
                <w:i/>
              </w:rPr>
              <w:t xml:space="preserve"> Sąjungos rinkėjams, pragyvenusiems toje valstybėje narėje minimalų, ne ilgesnį kaip penkerių metų laikotarpį ;</w:t>
            </w:r>
          </w:p>
        </w:tc>
        <w:tc>
          <w:tcPr>
            <w:tcW w:w="4876" w:type="dxa"/>
          </w:tcPr>
          <w:p w:rsidR="00EB001A" w:rsidRPr="00ED38A0" w:rsidRDefault="00EB001A" w:rsidP="006E1648">
            <w:pPr>
              <w:pStyle w:val="Normal6a"/>
            </w:pPr>
          </w:p>
        </w:tc>
      </w:tr>
      <w:tr w:rsidR="00505880" w:rsidTr="006E1648">
        <w:trPr>
          <w:jc w:val="center"/>
        </w:trPr>
        <w:tc>
          <w:tcPr>
            <w:tcW w:w="4876" w:type="dxa"/>
            <w:hideMark/>
          </w:tcPr>
          <w:p w:rsidR="00EB001A" w:rsidRPr="00ED38A0" w:rsidRDefault="000A453B" w:rsidP="006E1648">
            <w:pPr>
              <w:pStyle w:val="Normal6a"/>
            </w:pPr>
            <w:r>
              <w:rPr>
                <w:b/>
                <w:i/>
              </w:rPr>
              <w:t>b) suteikti teisę kandidatuoti tik Sąjungos piliečiams, turintiems teisę kandidatuoti, pragyvenusiems toje valstybėje narėje minimalų, ne ilge</w:t>
            </w:r>
            <w:r>
              <w:rPr>
                <w:b/>
                <w:i/>
              </w:rPr>
              <w:t>snį kaip 10 metų laikotarpį .</w:t>
            </w:r>
          </w:p>
        </w:tc>
        <w:tc>
          <w:tcPr>
            <w:tcW w:w="4876" w:type="dxa"/>
          </w:tcPr>
          <w:p w:rsidR="00EB001A" w:rsidRPr="00ED38A0" w:rsidRDefault="00EB001A" w:rsidP="006E1648">
            <w:pPr>
              <w:pStyle w:val="Normal6a"/>
            </w:pPr>
          </w:p>
        </w:tc>
      </w:tr>
      <w:tr w:rsidR="00505880" w:rsidTr="006E1648">
        <w:trPr>
          <w:jc w:val="center"/>
        </w:trPr>
        <w:tc>
          <w:tcPr>
            <w:tcW w:w="4876" w:type="dxa"/>
            <w:hideMark/>
          </w:tcPr>
          <w:p w:rsidR="00EB001A" w:rsidRPr="00ED38A0" w:rsidRDefault="000A453B" w:rsidP="006E1648">
            <w:pPr>
              <w:pStyle w:val="Normal6a"/>
            </w:pPr>
            <w:r>
              <w:rPr>
                <w:b/>
                <w:i/>
              </w:rPr>
              <w:t>Šios nuostatos nedaro poveikio atitinkamos priemonėms, kurių ta valstybė narė gali imtis dėl kandidatų sąrašų sudėties ir kuriomis pirmiausia siekiama skatinti valstybės narės pilietybės neturinčių Sąjungos piliečių integrac</w:t>
            </w:r>
            <w:r>
              <w:rPr>
                <w:b/>
                <w:i/>
              </w:rPr>
              <w:t>iją.</w:t>
            </w:r>
          </w:p>
        </w:tc>
        <w:tc>
          <w:tcPr>
            <w:tcW w:w="4876" w:type="dxa"/>
          </w:tcPr>
          <w:p w:rsidR="00EB001A" w:rsidRPr="00ED38A0" w:rsidRDefault="00EB001A" w:rsidP="006E1648">
            <w:pPr>
              <w:pStyle w:val="Normal6a"/>
            </w:pPr>
          </w:p>
        </w:tc>
      </w:tr>
      <w:tr w:rsidR="00505880" w:rsidTr="006E1648">
        <w:trPr>
          <w:jc w:val="center"/>
        </w:trPr>
        <w:tc>
          <w:tcPr>
            <w:tcW w:w="4876" w:type="dxa"/>
            <w:hideMark/>
          </w:tcPr>
          <w:p w:rsidR="00EB001A" w:rsidRPr="00ED38A0" w:rsidRDefault="000A453B" w:rsidP="006E1648">
            <w:pPr>
              <w:pStyle w:val="Normal6a"/>
            </w:pPr>
            <w:r>
              <w:rPr>
                <w:b/>
                <w:i/>
              </w:rPr>
              <w:t>Tačiau Sąjungos rinkėjams ir Sąjungos piliečiams, turintiems teisę kandidatuoti , kurie dėl to, kad pasirinko gyventi ne kilmės valstybėje narėje, arba dėl tokio gyvenimo trukmės neturi teisės balsuoti ar kandidatuoti toje kilmės valstybėje, pirmiau</w:t>
            </w:r>
            <w:r>
              <w:rPr>
                <w:b/>
                <w:i/>
              </w:rPr>
              <w:t xml:space="preserve"> išdėstyti su gyvenimo trukme susiję reikalavimai netaikomi.</w:t>
            </w:r>
          </w:p>
        </w:tc>
        <w:tc>
          <w:tcPr>
            <w:tcW w:w="4876" w:type="dxa"/>
          </w:tcPr>
          <w:p w:rsidR="00EB001A" w:rsidRPr="00ED38A0" w:rsidRDefault="00EB001A" w:rsidP="006E1648">
            <w:pPr>
              <w:pStyle w:val="Normal6a"/>
            </w:pPr>
          </w:p>
        </w:tc>
      </w:tr>
      <w:tr w:rsidR="00505880" w:rsidTr="006E1648">
        <w:trPr>
          <w:jc w:val="center"/>
        </w:trPr>
        <w:tc>
          <w:tcPr>
            <w:tcW w:w="4876" w:type="dxa"/>
            <w:hideMark/>
          </w:tcPr>
          <w:p w:rsidR="00EB001A" w:rsidRPr="00ED38A0" w:rsidRDefault="000A453B" w:rsidP="006E1648">
            <w:pPr>
              <w:pStyle w:val="Normal6a"/>
            </w:pPr>
            <w:r>
              <w:rPr>
                <w:b/>
                <w:i/>
              </w:rPr>
              <w:t>2. Tais atvejais, kai kurios nors valstybės narės įstatymai numato, kad ten gyvenantys kitos valstybės narės piliečiai turi teisę balsuoti tos valstybės parlamento rinkimuose ir gali būti įrašy</w:t>
            </w:r>
            <w:r>
              <w:rPr>
                <w:b/>
                <w:i/>
              </w:rPr>
              <w:t xml:space="preserve">ti į tos valstybės rinkėjų sąrašą lygiai pagal tokius pačius reikalavimus kaip ir jos pilietybę turintys rinkėjai , pirmoji valstybė narė, nukrypdama nuo šios direktyvos, tokiems piliečiams gali </w:t>
            </w:r>
            <w:r>
              <w:rPr>
                <w:b/>
                <w:i/>
              </w:rPr>
              <w:lastRenderedPageBreak/>
              <w:t>netaikyti 6–13 straipsnių.</w:t>
            </w:r>
          </w:p>
        </w:tc>
        <w:tc>
          <w:tcPr>
            <w:tcW w:w="4876" w:type="dxa"/>
          </w:tcPr>
          <w:p w:rsidR="00EB001A" w:rsidRPr="00ED38A0" w:rsidRDefault="00EB001A" w:rsidP="006E1648">
            <w:pPr>
              <w:pStyle w:val="Normal6a"/>
            </w:pPr>
          </w:p>
        </w:tc>
      </w:tr>
      <w:tr w:rsidR="00505880" w:rsidTr="006E1648">
        <w:trPr>
          <w:jc w:val="center"/>
        </w:trPr>
        <w:tc>
          <w:tcPr>
            <w:tcW w:w="4876" w:type="dxa"/>
            <w:hideMark/>
          </w:tcPr>
          <w:p w:rsidR="00EB001A" w:rsidRPr="00ED38A0" w:rsidRDefault="000A453B" w:rsidP="006E1648">
            <w:pPr>
              <w:pStyle w:val="Normal6a"/>
            </w:pPr>
            <w:r>
              <w:rPr>
                <w:b/>
                <w:i/>
              </w:rPr>
              <w:t>3. 18 mėnesių iki kiekvienų Euro</w:t>
            </w:r>
            <w:r>
              <w:rPr>
                <w:b/>
                <w:i/>
              </w:rPr>
              <w:t>pos Parlamento rinkimų Komisija pateikia Europos Parlamentui ir Tarybai ataskaitą, kurioje ji pareiškia pastabas dėl to, ar atitinkamoms valstybėms narėms vadovaujantis SESV 22 straipsnio 2 dalimi suteikta nukrypti leidžianti nuostata yra vis dar pateisina</w:t>
            </w:r>
            <w:r>
              <w:rPr>
                <w:b/>
                <w:i/>
              </w:rPr>
              <w:t>ma, ir pasiūlo daryti reikalingus pakeitimus.</w:t>
            </w:r>
          </w:p>
        </w:tc>
        <w:tc>
          <w:tcPr>
            <w:tcW w:w="4876" w:type="dxa"/>
          </w:tcPr>
          <w:p w:rsidR="00EB001A" w:rsidRPr="00ED38A0" w:rsidRDefault="00EB001A" w:rsidP="006E1648">
            <w:pPr>
              <w:pStyle w:val="Normal6a"/>
            </w:pPr>
          </w:p>
        </w:tc>
      </w:tr>
      <w:tr w:rsidR="00505880" w:rsidTr="006E1648">
        <w:trPr>
          <w:jc w:val="center"/>
        </w:trPr>
        <w:tc>
          <w:tcPr>
            <w:tcW w:w="4876" w:type="dxa"/>
            <w:hideMark/>
          </w:tcPr>
          <w:p w:rsidR="00EB001A" w:rsidRPr="00ED38A0" w:rsidRDefault="000A453B" w:rsidP="006E1648">
            <w:pPr>
              <w:pStyle w:val="Normal6a"/>
            </w:pPr>
            <w:r>
              <w:rPr>
                <w:b/>
                <w:i/>
              </w:rPr>
              <w:t>Valstybės narės, taikančios nukrypti leidžiančias nuostatas pagal 1 dalį, pateikia Komisijai visą reikalingą paaiškinamojo pobūdžio informaciją.</w:t>
            </w:r>
          </w:p>
        </w:tc>
        <w:tc>
          <w:tcPr>
            <w:tcW w:w="4876" w:type="dxa"/>
          </w:tcPr>
          <w:p w:rsidR="00EB001A" w:rsidRPr="00ED38A0" w:rsidRDefault="00EB001A" w:rsidP="006E1648">
            <w:pPr>
              <w:pStyle w:val="Normal6a"/>
            </w:pP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47</w:t>
      </w:r>
      <w:r>
        <w:rPr>
          <w:rStyle w:val="HideTWBExt"/>
        </w:rPr>
        <w:t>&lt;/NumAm&gt;</w:t>
      </w:r>
    </w:p>
    <w:p w:rsidR="00EB001A" w:rsidRPr="00ED38A0" w:rsidRDefault="000A453B" w:rsidP="00EB001A">
      <w:pPr>
        <w:pStyle w:val="NormalBold12b"/>
      </w:pPr>
      <w:r>
        <w:rPr>
          <w:rStyle w:val="HideTWBExt"/>
        </w:rPr>
        <w:t>&lt;DocAmend&gt;</w:t>
      </w:r>
      <w:r>
        <w:t>Pasiū</w:t>
      </w:r>
      <w:r>
        <w:t>lymas dėl direktyvos</w:t>
      </w:r>
      <w:r>
        <w:rPr>
          <w:rStyle w:val="HideTWBExt"/>
        </w:rPr>
        <w:t>&lt;/DocAmend&gt;</w:t>
      </w:r>
    </w:p>
    <w:p w:rsidR="00EB001A" w:rsidRPr="00ED38A0" w:rsidRDefault="000A453B" w:rsidP="00EB001A">
      <w:pPr>
        <w:pStyle w:val="NormalBold"/>
      </w:pPr>
      <w:r>
        <w:rPr>
          <w:rStyle w:val="HideTWBExt"/>
        </w:rPr>
        <w:t>&lt;Article&gt;</w:t>
      </w:r>
      <w:r>
        <w:t>17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1.</w:t>
            </w:r>
            <w:r>
              <w:tab/>
              <w:t xml:space="preserve">Per šešis mėnesius nuo kiekvienų Europos Parlamento rinkimų valstybės narės </w:t>
            </w:r>
            <w:r>
              <w:rPr>
                <w:b/>
                <w:i/>
              </w:rPr>
              <w:t>siunčia</w:t>
            </w:r>
            <w:r>
              <w:t xml:space="preserve"> Komisijai informaciją apie šios direktyvos taikymą savo teritorijoje. Be bendrų pastabų, ataskaitoje pateikiami statistiniai duomenys apie Sąjungos rinkėjų ir Sąjungos piliečių, turinčių teisę kandidatuoti, dalyvavimą Europos Parlamento rinkimuose ir prie</w:t>
            </w:r>
            <w:r>
              <w:t>monių, kurių imtasi tokiam dalyvavimui remti, santrauka.</w:t>
            </w:r>
          </w:p>
        </w:tc>
        <w:tc>
          <w:tcPr>
            <w:tcW w:w="4876" w:type="dxa"/>
            <w:hideMark/>
          </w:tcPr>
          <w:p w:rsidR="00EB001A" w:rsidRPr="00ED38A0" w:rsidRDefault="000A453B" w:rsidP="006E1648">
            <w:pPr>
              <w:pStyle w:val="Normal6a"/>
            </w:pPr>
            <w:r>
              <w:t>1.</w:t>
            </w:r>
            <w:r>
              <w:tab/>
              <w:t xml:space="preserve">Per šešis mėnesius nuo kiekvienų Europos Parlamento rinkimų valstybės narės </w:t>
            </w:r>
            <w:r>
              <w:rPr>
                <w:b/>
                <w:i/>
              </w:rPr>
              <w:t>nusiunčia</w:t>
            </w:r>
            <w:r>
              <w:t xml:space="preserve"> Komisijai</w:t>
            </w:r>
            <w:r>
              <w:rPr>
                <w:b/>
                <w:i/>
              </w:rPr>
              <w:t xml:space="preserve"> ir Europos Parlamentui</w:t>
            </w:r>
            <w:r>
              <w:t xml:space="preserve"> informaciją apie šios direktyvos taikymą savo teritorijoje. Be bendrų pastabų</w:t>
            </w:r>
            <w:r>
              <w:t>, ataskaitoje pateikiami statistiniai duomenys apie Sąjungos rinkėjų ir Sąjungos piliečių, turinčių teisę kandidatuoti, dalyvavimą Europos Parlamento rinkimuose</w:t>
            </w:r>
            <w:r>
              <w:rPr>
                <w:b/>
                <w:i/>
              </w:rPr>
              <w:t>, kaip nurodyta 15 straipsnyje,</w:t>
            </w:r>
            <w:r>
              <w:t xml:space="preserve"> ir priemonių, kurių imtasi tokiam dalyvavimui remti, santrauka.</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48</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18 straipsnio 1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 xml:space="preserve">Per dvejus metus nuo </w:t>
            </w:r>
            <w:r>
              <w:rPr>
                <w:b/>
                <w:i/>
              </w:rPr>
              <w:t>2029 m.</w:t>
            </w:r>
            <w:r>
              <w:t xml:space="preserve"> Europos Parlamento rinkimų Komisija įvertina šios direktyvos taikymą ir parengia šioje </w:t>
            </w:r>
            <w:r>
              <w:lastRenderedPageBreak/>
              <w:t xml:space="preserve">direktyvoje nustatytų tikslų įgyvendinimo pažangos vertinimo ataskaitą. </w:t>
            </w:r>
            <w:r>
              <w:rPr>
                <w:b/>
                <w:i/>
              </w:rPr>
              <w:t>Įvertinimas</w:t>
            </w:r>
            <w:r>
              <w:t xml:space="preserve"> taip pat </w:t>
            </w:r>
            <w:r>
              <w:rPr>
                <w:b/>
                <w:i/>
              </w:rPr>
              <w:t>apima</w:t>
            </w:r>
            <w:r>
              <w:t xml:space="preserve"> 13 straipsnio veikimo </w:t>
            </w:r>
            <w:r>
              <w:rPr>
                <w:b/>
                <w:i/>
              </w:rPr>
              <w:t>peržiūrą</w:t>
            </w:r>
            <w:r>
              <w:t>.</w:t>
            </w:r>
          </w:p>
        </w:tc>
        <w:tc>
          <w:tcPr>
            <w:tcW w:w="4876" w:type="dxa"/>
            <w:hideMark/>
          </w:tcPr>
          <w:p w:rsidR="00EB001A" w:rsidRPr="00ED38A0" w:rsidRDefault="000A453B" w:rsidP="006E1648">
            <w:pPr>
              <w:pStyle w:val="Normal6a"/>
            </w:pPr>
            <w:r>
              <w:lastRenderedPageBreak/>
              <w:t xml:space="preserve">Per dvejus metus nuo </w:t>
            </w:r>
            <w:r>
              <w:rPr>
                <w:b/>
                <w:i/>
              </w:rPr>
              <w:t>kiekvienų</w:t>
            </w:r>
            <w:r>
              <w:t xml:space="preserve"> Europo</w:t>
            </w:r>
            <w:r>
              <w:t xml:space="preserve">s Parlamento rinkimų Komisija įvertina šios direktyvos taikymą ir parengia šioje </w:t>
            </w:r>
            <w:r>
              <w:lastRenderedPageBreak/>
              <w:t xml:space="preserve">direktyvoje nustatytų tikslų įgyvendinimo pažangos vertinimo ataskaitą. </w:t>
            </w:r>
            <w:r>
              <w:rPr>
                <w:b/>
                <w:i/>
              </w:rPr>
              <w:t>Vertinimo ataskaitoje</w:t>
            </w:r>
            <w:r>
              <w:t xml:space="preserve"> taip pat </w:t>
            </w:r>
            <w:r>
              <w:rPr>
                <w:b/>
                <w:i/>
              </w:rPr>
              <w:t>pateikiamas</w:t>
            </w:r>
            <w:r>
              <w:t xml:space="preserve"> 13 straipsnio veikimo </w:t>
            </w:r>
            <w:r>
              <w:rPr>
                <w:b/>
                <w:i/>
              </w:rPr>
              <w:t>vertinimas.</w:t>
            </w:r>
            <w:r>
              <w:t xml:space="preserve"> </w:t>
            </w:r>
            <w:r>
              <w:rPr>
                <w:b/>
                <w:i/>
              </w:rPr>
              <w:t>Jei tinkama, kartu su įver</w:t>
            </w:r>
            <w:r>
              <w:rPr>
                <w:b/>
                <w:i/>
              </w:rPr>
              <w:t>tinimu pateikiamas pasiūlymas dėl teisėkūros procedūra priimamo akto, kuriuo iš dalies keičiama ši direktyva.</w:t>
            </w:r>
          </w:p>
        </w:tc>
      </w:tr>
    </w:tbl>
    <w:p w:rsidR="00EB001A" w:rsidRPr="00ED38A0" w:rsidRDefault="000A453B" w:rsidP="00EB001A">
      <w:r>
        <w:rPr>
          <w:rStyle w:val="HideTWBExt"/>
        </w:rPr>
        <w:lastRenderedPageBreak/>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49</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20 straipsnio 2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w:t>
            </w:r>
            <w:r>
              <w:t xml:space="preserve">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2.</w:t>
            </w:r>
            <w:r>
              <w:tab/>
              <w:t>9, 10 ir 13</w:t>
            </w:r>
            <w:r>
              <w:rPr>
                <w:b/>
                <w:i/>
              </w:rPr>
              <w:t xml:space="preserve"> straipsniuose</w:t>
            </w:r>
            <w:r>
              <w:t xml:space="preserve"> nurodyti įgaliojimai priimti deleguotuosius aktus Komisijai suteikiami neribotam laikotarpiui nuo šios direktyvos įsigaliojimo </w:t>
            </w:r>
            <w:r>
              <w:rPr>
                <w:b/>
                <w:i/>
              </w:rPr>
              <w:t>datos</w:t>
            </w:r>
            <w:r>
              <w:t>.</w:t>
            </w:r>
          </w:p>
        </w:tc>
        <w:tc>
          <w:tcPr>
            <w:tcW w:w="4876" w:type="dxa"/>
            <w:hideMark/>
          </w:tcPr>
          <w:p w:rsidR="00EB001A" w:rsidRPr="00ED38A0" w:rsidRDefault="000A453B" w:rsidP="006E1648">
            <w:pPr>
              <w:pStyle w:val="Normal6a"/>
            </w:pPr>
            <w:r>
              <w:t>2.</w:t>
            </w:r>
            <w:r>
              <w:tab/>
              <w:t>9</w:t>
            </w:r>
            <w:r>
              <w:rPr>
                <w:b/>
                <w:i/>
              </w:rPr>
              <w:t> straipsnio 5 dalyje</w:t>
            </w:r>
            <w:r>
              <w:t>, 10</w:t>
            </w:r>
            <w:r>
              <w:rPr>
                <w:b/>
                <w:i/>
              </w:rPr>
              <w:t> straipsnio 3 dalyje</w:t>
            </w:r>
            <w:r>
              <w:t xml:space="preserve"> ir 13</w:t>
            </w:r>
            <w:r>
              <w:rPr>
                <w:b/>
                <w:i/>
              </w:rPr>
              <w:t> straipsnio 4 dalyje</w:t>
            </w:r>
            <w:r>
              <w:t xml:space="preserve"> nurodyti įgaliojimai priimti deleguotuosius aktus Komisijai suteikiami neribotam laikotarpiui nuo šios direktyvos įsigaliojimo </w:t>
            </w:r>
            <w:r>
              <w:rPr>
                <w:b/>
                <w:i/>
              </w:rPr>
              <w:t>dienos</w:t>
            </w:r>
            <w:r>
              <w:t>.</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50</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20 straipsnio 3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3.</w:t>
            </w:r>
            <w:r>
              <w:tab/>
              <w:t>Taryba gali bet kada atšaukti 9, 10 ir 13</w:t>
            </w:r>
            <w:r>
              <w:rPr>
                <w:b/>
                <w:i/>
              </w:rPr>
              <w:t xml:space="preserve"> straipsniuose</w:t>
            </w:r>
            <w:r>
              <w:t xml:space="preserve"> nurodytus deleguotuosius įgaliojimus. Sprendimu dėl įgaliojimų atšaukimo nutraukiami tame sprendime nurodyti </w:t>
            </w:r>
            <w:r>
              <w:t xml:space="preserve">įgaliojimai priimti deleguotuosius aktus. Sprendimas įsigalioja kitą dieną po jo paskelbimo </w:t>
            </w:r>
            <w:r>
              <w:rPr>
                <w:i/>
                <w:iCs/>
              </w:rPr>
              <w:t>Europos Sąjungos oficialiajame leidinyje</w:t>
            </w:r>
            <w:r>
              <w:t xml:space="preserve"> arba vėlesnę jame nurodytą dieną. Jis nedaro poveikio jau galiojančių deleguotųjų aktų galiojimui.</w:t>
            </w:r>
          </w:p>
        </w:tc>
        <w:tc>
          <w:tcPr>
            <w:tcW w:w="4876" w:type="dxa"/>
            <w:hideMark/>
          </w:tcPr>
          <w:p w:rsidR="00EB001A" w:rsidRPr="00ED38A0" w:rsidRDefault="000A453B" w:rsidP="006E1648">
            <w:pPr>
              <w:pStyle w:val="Normal6a"/>
            </w:pPr>
            <w:r>
              <w:t>3.</w:t>
            </w:r>
            <w:r>
              <w:tab/>
              <w:t xml:space="preserve">Taryba gali bet kada </w:t>
            </w:r>
            <w:r>
              <w:t>atšaukti 9</w:t>
            </w:r>
            <w:r>
              <w:rPr>
                <w:b/>
                <w:i/>
              </w:rPr>
              <w:t> straipsnio 5 dalyje</w:t>
            </w:r>
            <w:r>
              <w:t>, 10</w:t>
            </w:r>
            <w:r>
              <w:rPr>
                <w:b/>
                <w:i/>
              </w:rPr>
              <w:t> straipsnio 3 dalyje</w:t>
            </w:r>
            <w:r>
              <w:t xml:space="preserve"> ir 13</w:t>
            </w:r>
            <w:r>
              <w:rPr>
                <w:b/>
                <w:i/>
              </w:rPr>
              <w:t> straipsnio 4 dalyje</w:t>
            </w:r>
            <w:r>
              <w:t xml:space="preserve"> nurodytus deleguotuosius įgaliojimus. Sprendimu dėl įgaliojimų atšaukimo nutraukiami tame sprendime nurodyti įgaliojimai priimti deleguotuosius aktus. Sprendimas įsigalioja ki</w:t>
            </w:r>
            <w:r>
              <w:t xml:space="preserve">tą dieną po jo paskelbimo </w:t>
            </w:r>
            <w:r>
              <w:rPr>
                <w:i/>
                <w:iCs/>
              </w:rPr>
              <w:t>Europos Sąjungos oficialiajame leidinyje</w:t>
            </w:r>
            <w:r>
              <w:t xml:space="preserve"> arba vėlesnę jame nurodytą dieną. Jis nedaro poveikio jau galiojančių deleguotųjų aktų galiojimui.</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51</w:t>
      </w:r>
      <w:r>
        <w:rPr>
          <w:rStyle w:val="HideTWBExt"/>
        </w:rPr>
        <w:t>&lt;/NumAm&gt;</w:t>
      </w:r>
    </w:p>
    <w:p w:rsidR="00EB001A" w:rsidRPr="00ED38A0" w:rsidRDefault="000A453B" w:rsidP="00EB001A">
      <w:pPr>
        <w:pStyle w:val="NormalBold12b"/>
      </w:pPr>
      <w:r>
        <w:rPr>
          <w:rStyle w:val="HideTWBExt"/>
        </w:rPr>
        <w:lastRenderedPageBreak/>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20 straipsnio 6 dalis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6.</w:t>
            </w:r>
            <w:r>
              <w:tab/>
              <w:t>Pagal 9, 10 ir 13</w:t>
            </w:r>
            <w:r>
              <w:rPr>
                <w:b/>
                <w:i/>
              </w:rPr>
              <w:t xml:space="preserve"> straipsnius</w:t>
            </w:r>
            <w:r>
              <w:t xml:space="preserve"> priimtas deleguotasis aktas įsigalioja tik tuo atveju, jeigu per du mėnesius nuo pranešimo Europos Parlamentui ir Tarybai apie šį</w:t>
            </w:r>
            <w:r>
              <w:t xml:space="preserve"> aktą dienos Taryba nepareiškia prieštaravimų arba jeigu dar nepasibaigus šiam laikotarpiui Taryba praneša Komisijai, kad prieštaravimų nereikš. Tarybos iniciatyva šis laikotarpis pratęsiamas dviem mėnesiais.</w:t>
            </w:r>
          </w:p>
        </w:tc>
        <w:tc>
          <w:tcPr>
            <w:tcW w:w="4876" w:type="dxa"/>
            <w:hideMark/>
          </w:tcPr>
          <w:p w:rsidR="00EB001A" w:rsidRPr="00ED38A0" w:rsidRDefault="000A453B" w:rsidP="006E1648">
            <w:pPr>
              <w:pStyle w:val="Normal6a"/>
            </w:pPr>
            <w:r>
              <w:t>6.</w:t>
            </w:r>
            <w:r>
              <w:tab/>
              <w:t>Pagal 9</w:t>
            </w:r>
            <w:r>
              <w:rPr>
                <w:b/>
                <w:i/>
              </w:rPr>
              <w:t> straipsnio 5 dalį</w:t>
            </w:r>
            <w:r>
              <w:t>, 10</w:t>
            </w:r>
            <w:r>
              <w:rPr>
                <w:b/>
                <w:i/>
              </w:rPr>
              <w:t> straipsnio 3 d</w:t>
            </w:r>
            <w:r>
              <w:rPr>
                <w:b/>
                <w:i/>
              </w:rPr>
              <w:t>alį</w:t>
            </w:r>
            <w:r>
              <w:t xml:space="preserve"> ir 13</w:t>
            </w:r>
            <w:r>
              <w:rPr>
                <w:b/>
                <w:i/>
              </w:rPr>
              <w:t> straipsnio 4 dalį</w:t>
            </w:r>
            <w:r>
              <w:t xml:space="preserve"> priimtas deleguotasis aktas įsigalioja tik tuo atveju, jeigu per du mėnesius nuo pranešimo Europos Parlamentui ir Tarybai apie šį aktą dienos Taryba nepareiškia prieštaravimų arba jeigu dar nepasibaigus šiam laikotarpiui Taryba </w:t>
            </w:r>
            <w:r>
              <w:t>praneša Komisijai, kad prieštaravimų nereikš. Tarybos iniciatyva šis laikotarpis pratęsiamas dviem mėnesiais.</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52</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I priedo 4 a pastraipa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Visą būsimą informaciją, susijusią su Europos Parlamento rinkimais, pageidauju gauti viena iš šių kalbų:</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53</w:t>
      </w:r>
      <w:r>
        <w:rPr>
          <w:rStyle w:val="HideTWBExt"/>
        </w:rPr>
        <w:t>&lt;/NumAm&gt;</w:t>
      </w:r>
    </w:p>
    <w:p w:rsidR="00EB001A" w:rsidRPr="00ED38A0" w:rsidRDefault="000A453B" w:rsidP="00EB001A">
      <w:pPr>
        <w:pStyle w:val="NormalBold12b"/>
      </w:pPr>
      <w:r>
        <w:rPr>
          <w:rStyle w:val="HideTWBExt"/>
        </w:rPr>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 xml:space="preserve">II </w:t>
      </w:r>
      <w:r>
        <w:t>priedo 4 pastraipa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hideMark/>
          </w:tcPr>
          <w:p w:rsidR="00EB001A" w:rsidRPr="00ED38A0" w:rsidRDefault="000A453B" w:rsidP="006E1648">
            <w:pPr>
              <w:pStyle w:val="Normal6a"/>
            </w:pPr>
            <w:r>
              <w:t>Iš manęs neatimta teisė kandidatuoti kilmės valstybėje narėje.</w:t>
            </w:r>
          </w:p>
        </w:tc>
        <w:tc>
          <w:tcPr>
            <w:tcW w:w="4876" w:type="dxa"/>
            <w:hideMark/>
          </w:tcPr>
          <w:p w:rsidR="00EB001A" w:rsidRPr="00ED38A0" w:rsidRDefault="000A453B" w:rsidP="006E1648">
            <w:pPr>
              <w:pStyle w:val="Normal6a"/>
            </w:pPr>
            <w:r>
              <w:t>Iš manęs neatimta teisė kandidatuoti kilmės valstybėje narėje</w:t>
            </w:r>
            <w:r>
              <w:rPr>
                <w:rStyle w:val="SupBoldItalic"/>
              </w:rPr>
              <w:t>1a</w:t>
            </w:r>
            <w:r>
              <w:t>.</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_________________</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rStyle w:val="SupBoldItalic"/>
              </w:rPr>
              <w:t>1a</w:t>
            </w:r>
            <w:r>
              <w:rPr>
                <w:b/>
                <w:i/>
              </w:rPr>
              <w:t xml:space="preserve"> Tik jei toks reikalavimas taikomas ir gyvenamosios vietos valstybės narės piliečiams. </w:t>
            </w:r>
          </w:p>
        </w:tc>
      </w:tr>
    </w:tbl>
    <w:p w:rsidR="00EB001A" w:rsidRPr="00ED38A0" w:rsidRDefault="000A453B" w:rsidP="00EB001A">
      <w:r>
        <w:rPr>
          <w:rStyle w:val="HideTWBExt"/>
        </w:rPr>
        <w:t>&lt;/Amend&gt;</w:t>
      </w:r>
    </w:p>
    <w:p w:rsidR="00EB001A" w:rsidRPr="00ED38A0" w:rsidRDefault="000A453B" w:rsidP="00EB001A">
      <w:pPr>
        <w:pStyle w:val="AmNumberTabs"/>
      </w:pPr>
      <w:r>
        <w:rPr>
          <w:rStyle w:val="HideTWBExt"/>
        </w:rPr>
        <w:t>&lt;Amend&gt;</w:t>
      </w:r>
      <w:r>
        <w:t>Pakeitimas</w:t>
      </w:r>
      <w:r>
        <w:tab/>
      </w:r>
      <w:r>
        <w:tab/>
      </w:r>
      <w:r>
        <w:rPr>
          <w:rStyle w:val="HideTWBExt"/>
        </w:rPr>
        <w:t>&lt;NumAm&gt;</w:t>
      </w:r>
      <w:r>
        <w:t>54</w:t>
      </w:r>
      <w:r>
        <w:rPr>
          <w:rStyle w:val="HideTWBExt"/>
        </w:rPr>
        <w:t>&lt;/NumAm&gt;</w:t>
      </w:r>
    </w:p>
    <w:p w:rsidR="00EB001A" w:rsidRPr="00ED38A0" w:rsidRDefault="000A453B" w:rsidP="00EB001A">
      <w:pPr>
        <w:pStyle w:val="NormalBold12b"/>
      </w:pPr>
      <w:r>
        <w:rPr>
          <w:rStyle w:val="HideTWBExt"/>
        </w:rPr>
        <w:lastRenderedPageBreak/>
        <w:t>&lt;DocAmend&gt;</w:t>
      </w:r>
      <w:r>
        <w:t>Pasiūlymas dėl direktyvos</w:t>
      </w:r>
      <w:r>
        <w:rPr>
          <w:rStyle w:val="HideTWBExt"/>
        </w:rPr>
        <w:t>&lt;/DocAmend&gt;</w:t>
      </w:r>
    </w:p>
    <w:p w:rsidR="00EB001A" w:rsidRPr="00ED38A0" w:rsidRDefault="000A453B" w:rsidP="00EB001A">
      <w:pPr>
        <w:pStyle w:val="NormalBold"/>
      </w:pPr>
      <w:r>
        <w:rPr>
          <w:rStyle w:val="HideTWBExt"/>
        </w:rPr>
        <w:t>&lt;Article&gt;</w:t>
      </w:r>
      <w:r>
        <w:t>II priedo 4 a pastraipa (nauja)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5880" w:rsidTr="006E1648">
        <w:trPr>
          <w:trHeight w:val="240"/>
          <w:jc w:val="center"/>
        </w:trPr>
        <w:tc>
          <w:tcPr>
            <w:tcW w:w="9752" w:type="dxa"/>
            <w:gridSpan w:val="2"/>
          </w:tcPr>
          <w:p w:rsidR="00EB001A" w:rsidRPr="00ED38A0" w:rsidRDefault="00EB001A" w:rsidP="006E1648"/>
        </w:tc>
      </w:tr>
      <w:tr w:rsidR="00505880" w:rsidTr="006E1648">
        <w:trPr>
          <w:trHeight w:val="240"/>
          <w:jc w:val="center"/>
        </w:trPr>
        <w:tc>
          <w:tcPr>
            <w:tcW w:w="4876" w:type="dxa"/>
            <w:hideMark/>
          </w:tcPr>
          <w:p w:rsidR="00EB001A" w:rsidRPr="00ED38A0" w:rsidRDefault="000A453B" w:rsidP="006E1648">
            <w:pPr>
              <w:pStyle w:val="AmColumnHeading"/>
            </w:pPr>
            <w:r>
              <w:t>Komisijos siūlomas te</w:t>
            </w:r>
            <w:r>
              <w:t>kstas</w:t>
            </w:r>
          </w:p>
        </w:tc>
        <w:tc>
          <w:tcPr>
            <w:tcW w:w="4876" w:type="dxa"/>
            <w:hideMark/>
          </w:tcPr>
          <w:p w:rsidR="00EB001A" w:rsidRPr="00ED38A0" w:rsidRDefault="000A453B" w:rsidP="006E1648">
            <w:pPr>
              <w:pStyle w:val="AmColumnHeading"/>
            </w:pPr>
            <w:r>
              <w:t>Pakeitimas</w:t>
            </w:r>
          </w:p>
        </w:tc>
      </w:tr>
      <w:tr w:rsidR="00505880" w:rsidTr="006E1648">
        <w:trPr>
          <w:jc w:val="center"/>
        </w:trPr>
        <w:tc>
          <w:tcPr>
            <w:tcW w:w="4876" w:type="dxa"/>
          </w:tcPr>
          <w:p w:rsidR="00EB001A" w:rsidRPr="00ED38A0" w:rsidRDefault="00EB001A" w:rsidP="006E1648">
            <w:pPr>
              <w:pStyle w:val="Normal6a"/>
            </w:pPr>
          </w:p>
        </w:tc>
        <w:tc>
          <w:tcPr>
            <w:tcW w:w="4876" w:type="dxa"/>
            <w:hideMark/>
          </w:tcPr>
          <w:p w:rsidR="00EB001A" w:rsidRPr="00ED38A0" w:rsidRDefault="000A453B" w:rsidP="006E1648">
            <w:pPr>
              <w:pStyle w:val="Normal6a"/>
            </w:pPr>
            <w:r>
              <w:rPr>
                <w:b/>
                <w:i/>
              </w:rPr>
              <w:t>Visą būsimą informaciją, susijusią su Europos Parlamento rinkimais, pageidauju gauti viena iš šių kalbų:</w:t>
            </w:r>
          </w:p>
        </w:tc>
      </w:tr>
    </w:tbl>
    <w:p w:rsidR="00EB001A" w:rsidRPr="00ED38A0" w:rsidRDefault="000A453B" w:rsidP="00EB001A">
      <w:r>
        <w:rPr>
          <w:rStyle w:val="HideTWBExt"/>
        </w:rPr>
        <w:t>&lt;/Amend&gt;</w:t>
      </w:r>
    </w:p>
    <w:p w:rsidR="00EB001A" w:rsidRPr="00ED38A0" w:rsidRDefault="000A453B" w:rsidP="00EB001A">
      <w:r>
        <w:rPr>
          <w:rStyle w:val="HideTWBExt"/>
        </w:rPr>
        <w:t>&lt;/RepeatBlock-Amend&gt;</w:t>
      </w:r>
    </w:p>
    <w:bookmarkEnd w:id="1"/>
    <w:p w:rsidR="002272A8" w:rsidRPr="002272A8" w:rsidRDefault="000A453B" w:rsidP="002272A8">
      <w:r>
        <w:br w:type="page"/>
      </w:r>
    </w:p>
    <w:p w:rsidR="002272A8" w:rsidRDefault="000A453B" w:rsidP="002272A8">
      <w:pPr>
        <w:pStyle w:val="PageHeadingNotTOC"/>
      </w:pPr>
      <w:bookmarkStart w:id="2" w:name="ProcPageAD"/>
      <w:r>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058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Išsamios Sąjungos piliečių, gyvenančių valstybėje</w:t>
            </w:r>
            <w:r>
              <w:rPr>
                <w:color w:val="000000"/>
                <w:sz w:val="20"/>
              </w:rPr>
              <w:t xml:space="preserve"> narėje ir neturinčių jos pilietybės, naudojimosi teise balsuoti ir kandidatuoti Europos Parlamento rinkimuose tvarkos nustatymas (nauja redakcija)</w:t>
            </w:r>
          </w:p>
        </w:tc>
      </w:tr>
      <w:tr w:rsidR="005058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COM(2021)0732 – C9-0021/2022 – 2021/0372(CNS)</w:t>
            </w:r>
          </w:p>
        </w:tc>
      </w:tr>
      <w:tr w:rsidR="005058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Atsakingas komitetas</w:t>
            </w:r>
          </w:p>
          <w:p w:rsidR="002272A8" w:rsidRDefault="000A453B">
            <w:pPr>
              <w:autoSpaceDE w:val="0"/>
              <w:autoSpaceDN w:val="0"/>
              <w:adjustRightInd w:val="0"/>
              <w:rPr>
                <w:color w:val="000000"/>
                <w:sz w:val="20"/>
              </w:rPr>
            </w:pPr>
            <w:r>
              <w:rPr>
                <w:color w:val="000000"/>
                <w:sz w:val="20"/>
              </w:rPr>
              <w:t>       Paskelbimo plenariniame</w:t>
            </w:r>
            <w:r>
              <w:rPr>
                <w:color w:val="000000"/>
                <w:sz w:val="20"/>
              </w:rPr>
              <w:t xml:space="preserv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AFCO</w:t>
            </w:r>
          </w:p>
          <w:p w:rsidR="002272A8" w:rsidRDefault="000A453B">
            <w:pPr>
              <w:autoSpaceDE w:val="0"/>
              <w:autoSpaceDN w:val="0"/>
              <w:adjustRightInd w:val="0"/>
              <w:rPr>
                <w:color w:val="000000"/>
                <w:sz w:val="20"/>
              </w:rPr>
            </w:pPr>
            <w:r>
              <w:rPr>
                <w:color w:val="000000"/>
                <w:sz w:val="20"/>
              </w:rPr>
              <w:t>27.1.2022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272A8" w:rsidRDefault="002272A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272A8" w:rsidRDefault="002272A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272A8" w:rsidRDefault="002272A8">
            <w:pPr>
              <w:autoSpaceDE w:val="0"/>
              <w:autoSpaceDN w:val="0"/>
              <w:adjustRightInd w:val="0"/>
              <w:rPr>
                <w:rFonts w:ascii="sans-serif" w:hAnsi="sans-serif" w:cs="sans-serif"/>
                <w:color w:val="000000"/>
                <w:szCs w:val="24"/>
              </w:rPr>
            </w:pPr>
          </w:p>
        </w:tc>
      </w:tr>
      <w:tr w:rsidR="005058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Nuomonę pateikė</w:t>
            </w:r>
          </w:p>
          <w:p w:rsidR="002272A8" w:rsidRDefault="000A453B">
            <w:pPr>
              <w:autoSpaceDE w:val="0"/>
              <w:autoSpaceDN w:val="0"/>
              <w:adjustRightInd w:val="0"/>
              <w:rPr>
                <w:color w:val="000000"/>
                <w:sz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LIBE</w:t>
            </w:r>
          </w:p>
          <w:p w:rsidR="002272A8" w:rsidRDefault="000A453B">
            <w:pPr>
              <w:autoSpaceDE w:val="0"/>
              <w:autoSpaceDN w:val="0"/>
              <w:adjustRightInd w:val="0"/>
              <w:rPr>
                <w:color w:val="000000"/>
                <w:sz w:val="20"/>
              </w:rPr>
            </w:pPr>
            <w:r>
              <w:rPr>
                <w:color w:val="000000"/>
                <w:sz w:val="20"/>
              </w:rPr>
              <w:t>27.1.2022</w:t>
            </w:r>
          </w:p>
        </w:tc>
      </w:tr>
      <w:tr w:rsidR="005058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Nuomonės referentas (-ė)</w:t>
            </w:r>
          </w:p>
          <w:p w:rsidR="002272A8" w:rsidRDefault="000A453B">
            <w:pPr>
              <w:autoSpaceDE w:val="0"/>
              <w:autoSpaceDN w:val="0"/>
              <w:adjustRightInd w:val="0"/>
              <w:rPr>
                <w:color w:val="000000"/>
                <w:sz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Domènec Ruiz Devesa</w:t>
            </w:r>
          </w:p>
          <w:p w:rsidR="002272A8" w:rsidRDefault="000A453B">
            <w:pPr>
              <w:autoSpaceDE w:val="0"/>
              <w:autoSpaceDN w:val="0"/>
              <w:adjustRightInd w:val="0"/>
              <w:rPr>
                <w:color w:val="000000"/>
                <w:sz w:val="20"/>
              </w:rPr>
            </w:pPr>
            <w:r>
              <w:rPr>
                <w:color w:val="000000"/>
                <w:sz w:val="20"/>
              </w:rPr>
              <w:t>20.4.2022</w:t>
            </w:r>
          </w:p>
        </w:tc>
      </w:tr>
      <w:tr w:rsidR="005058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27.6.2022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272A8" w:rsidRDefault="002272A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272A8" w:rsidRDefault="002272A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272A8" w:rsidRDefault="002272A8">
            <w:pPr>
              <w:autoSpaceDE w:val="0"/>
              <w:autoSpaceDN w:val="0"/>
              <w:adjustRightInd w:val="0"/>
              <w:rPr>
                <w:rFonts w:ascii="sans-serif" w:hAnsi="sans-serif" w:cs="sans-serif"/>
                <w:color w:val="000000"/>
                <w:szCs w:val="24"/>
              </w:rPr>
            </w:pPr>
          </w:p>
        </w:tc>
      </w:tr>
      <w:tr w:rsidR="005058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25.10.2022</w:t>
            </w:r>
          </w:p>
        </w:tc>
        <w:tc>
          <w:tcPr>
            <w:tcW w:w="1474" w:type="dxa"/>
            <w:tcBorders>
              <w:top w:val="nil"/>
              <w:left w:val="nil"/>
              <w:bottom w:val="single" w:sz="8" w:space="0" w:color="000000"/>
              <w:right w:val="nil"/>
            </w:tcBorders>
            <w:tcMar>
              <w:top w:w="79" w:type="dxa"/>
              <w:left w:w="79" w:type="dxa"/>
              <w:bottom w:w="79" w:type="dxa"/>
              <w:right w:w="79" w:type="dxa"/>
            </w:tcMar>
          </w:tcPr>
          <w:p w:rsidR="002272A8" w:rsidRDefault="002272A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2272A8" w:rsidRDefault="002272A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272A8" w:rsidRDefault="002272A8">
            <w:pPr>
              <w:autoSpaceDE w:val="0"/>
              <w:autoSpaceDN w:val="0"/>
              <w:adjustRightInd w:val="0"/>
              <w:rPr>
                <w:rFonts w:ascii="sans-serif" w:hAnsi="sans-serif" w:cs="sans-serif"/>
                <w:color w:val="000000"/>
                <w:szCs w:val="24"/>
              </w:rPr>
            </w:pPr>
          </w:p>
        </w:tc>
      </w:tr>
      <w:tr w:rsidR="005058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w:t>
            </w:r>
          </w:p>
          <w:p w:rsidR="002272A8" w:rsidRDefault="000A453B">
            <w:pPr>
              <w:autoSpaceDE w:val="0"/>
              <w:autoSpaceDN w:val="0"/>
              <w:adjustRightInd w:val="0"/>
              <w:rPr>
                <w:color w:val="000000"/>
                <w:sz w:val="20"/>
              </w:rPr>
            </w:pPr>
            <w:r>
              <w:rPr>
                <w:color w:val="000000"/>
                <w:sz w:val="20"/>
              </w:rPr>
              <w:t>–:</w:t>
            </w:r>
          </w:p>
          <w:p w:rsidR="002272A8" w:rsidRDefault="000A453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49</w:t>
            </w:r>
          </w:p>
          <w:p w:rsidR="002272A8" w:rsidRDefault="000A453B">
            <w:pPr>
              <w:autoSpaceDE w:val="0"/>
              <w:autoSpaceDN w:val="0"/>
              <w:adjustRightInd w:val="0"/>
              <w:rPr>
                <w:color w:val="000000"/>
                <w:sz w:val="20"/>
              </w:rPr>
            </w:pPr>
            <w:r>
              <w:rPr>
                <w:color w:val="000000"/>
                <w:sz w:val="20"/>
              </w:rPr>
              <w:t>3</w:t>
            </w:r>
          </w:p>
          <w:p w:rsidR="002272A8" w:rsidRDefault="000A453B">
            <w:pPr>
              <w:autoSpaceDE w:val="0"/>
              <w:autoSpaceDN w:val="0"/>
              <w:adjustRightInd w:val="0"/>
              <w:rPr>
                <w:color w:val="000000"/>
                <w:sz w:val="20"/>
              </w:rPr>
            </w:pPr>
            <w:r>
              <w:rPr>
                <w:color w:val="000000"/>
                <w:sz w:val="20"/>
              </w:rPr>
              <w:t>5</w:t>
            </w:r>
          </w:p>
        </w:tc>
      </w:tr>
      <w:tr w:rsidR="0050588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 xml:space="preserve">Abir Al-Sahlani, Konstantinos Arvanitis, Pietro Bartolo, Vladimír Bilčík, Malin Björk, Vasile Blaga, Karolin Braunsberger-Reinhold, Patrick Breyer, Saskia </w:t>
            </w:r>
            <w:r>
              <w:rPr>
                <w:color w:val="000000"/>
                <w:sz w:val="20"/>
              </w:rPr>
              <w:t xml:space="preserve">Bricmont, Joachim Stanisław Brudziński, Damien Carême, Caterina Chinnici, Lena Düpont, Lucia Ďuriš Nicholsonová, Sylvie Guillaume, Andrzej Halicki, Evin Incir, Sophia in ‘t Veld, Patryk Jaki, Marina Kaljurand, Fabienne Keller, Łukasz Kohut, Moritz Körner, </w:t>
            </w:r>
            <w:r>
              <w:rPr>
                <w:color w:val="000000"/>
                <w:sz w:val="20"/>
              </w:rPr>
              <w:t>Jeroen Lenaers, Juan Fernando López Aguilar, Nadine Morano, Javier Moreno Sánchez, Theresa Muigg, Maite Pagazaurtundúa, Paulo Rangel, Karlo Ressler, Birgit Sippel, Sara Skyttedal, Vincenzo Sofo, Tineke Strik, Ramona Strugariu, Annalisa Tardino, Tomas Tobé,</w:t>
            </w:r>
            <w:r>
              <w:rPr>
                <w:color w:val="000000"/>
                <w:sz w:val="20"/>
              </w:rPr>
              <w:t xml:space="preserve"> Yana Toom, Milan Uhrík, Elissavet Vozemberg-Vrionidi, Jadwiga Wiśniewska, Elena Yoncheva, Javier Zarzalejos</w:t>
            </w:r>
          </w:p>
        </w:tc>
      </w:tr>
      <w:tr w:rsidR="005058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Susanna Ceccardi, Gwendoline Delbos-Corfield, José Gusmão, Erik Marquardt, Matjaž Ne</w:t>
            </w:r>
            <w:r>
              <w:rPr>
                <w:color w:val="000000"/>
                <w:sz w:val="20"/>
              </w:rPr>
              <w:t>mec, Janina Ochojska, Sira Rego, Franco Roberti, Rob Rooken, Róża Thun und Hohenstein</w:t>
            </w:r>
          </w:p>
        </w:tc>
      </w:tr>
      <w:tr w:rsidR="0050588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b/>
                <w:bCs/>
                <w:color w:val="000000"/>
                <w:sz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272A8" w:rsidRDefault="000A453B">
            <w:pPr>
              <w:autoSpaceDE w:val="0"/>
              <w:autoSpaceDN w:val="0"/>
              <w:adjustRightInd w:val="0"/>
              <w:rPr>
                <w:color w:val="000000"/>
                <w:sz w:val="20"/>
              </w:rPr>
            </w:pPr>
            <w:r>
              <w:rPr>
                <w:color w:val="000000"/>
                <w:sz w:val="20"/>
              </w:rPr>
              <w:t>Asim Ademov, Mohammed Chahim, Morten Løkkegaard</w:t>
            </w:r>
          </w:p>
        </w:tc>
      </w:tr>
    </w:tbl>
    <w:p w:rsidR="002272A8" w:rsidRPr="00EB001A" w:rsidRDefault="002272A8" w:rsidP="00EB001A"/>
    <w:bookmarkEnd w:id="2"/>
    <w:p w:rsidR="00EB001A" w:rsidRDefault="00EB001A" w:rsidP="00EB001A">
      <w:pPr>
        <w:sectPr w:rsidR="00EB001A" w:rsidSect="00EB001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EB001A" w:rsidRPr="0099178F" w:rsidRDefault="000A453B" w:rsidP="00C36610">
      <w:pPr>
        <w:pStyle w:val="PageHeadingNotTOC"/>
      </w:pPr>
      <w:bookmarkStart w:id="3" w:name="RollCallPageAD"/>
      <w:r>
        <w:lastRenderedPageBreak/>
        <w:t>GALUTINIS VARDINIS BALSAVIMAS NUOMONĘ TEIKIANČIAME KOMITETE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5880" w:rsidTr="006E1648">
        <w:trPr>
          <w:cantSplit/>
        </w:trPr>
        <w:tc>
          <w:tcPr>
            <w:tcW w:w="1701" w:type="dxa"/>
            <w:shd w:val="pct10" w:color="000000" w:fill="FFFFFF"/>
            <w:vAlign w:val="center"/>
          </w:tcPr>
          <w:p w:rsidR="00EB001A" w:rsidRPr="00ED38A0" w:rsidRDefault="000A453B" w:rsidP="006E1648">
            <w:pPr>
              <w:pStyle w:val="RollCallVotes"/>
            </w:pPr>
            <w:r>
              <w:t>49</w:t>
            </w:r>
          </w:p>
        </w:tc>
        <w:tc>
          <w:tcPr>
            <w:tcW w:w="7371" w:type="dxa"/>
            <w:shd w:val="pct10" w:color="000000" w:fill="FFFFFF"/>
          </w:tcPr>
          <w:p w:rsidR="00EB001A" w:rsidRPr="00ED38A0" w:rsidRDefault="000A453B" w:rsidP="006E1648">
            <w:pPr>
              <w:pStyle w:val="RollCallSymbols14pt"/>
            </w:pPr>
            <w:r>
              <w:t>+</w:t>
            </w:r>
          </w:p>
        </w:tc>
      </w:tr>
      <w:tr w:rsidR="00505880" w:rsidTr="006E1648">
        <w:trPr>
          <w:cantSplit/>
        </w:trPr>
        <w:tc>
          <w:tcPr>
            <w:tcW w:w="1701" w:type="dxa"/>
            <w:shd w:val="clear" w:color="auto" w:fill="FFFFFF"/>
          </w:tcPr>
          <w:p w:rsidR="00EB001A" w:rsidRPr="00ED38A0" w:rsidRDefault="000A453B" w:rsidP="006E1648">
            <w:pPr>
              <w:pStyle w:val="RollCallTable"/>
            </w:pPr>
            <w:r>
              <w:t>PPE</w:t>
            </w:r>
          </w:p>
        </w:tc>
        <w:tc>
          <w:tcPr>
            <w:tcW w:w="7371" w:type="dxa"/>
            <w:shd w:val="clear" w:color="auto" w:fill="FFFFFF"/>
          </w:tcPr>
          <w:p w:rsidR="00EB001A" w:rsidRPr="00ED38A0" w:rsidRDefault="000A453B" w:rsidP="006E1648">
            <w:pPr>
              <w:pStyle w:val="RollCallTable"/>
            </w:pPr>
            <w:r>
              <w:t>Asim Ademov, Vladimír Bilčík, Vasile Blaga, Karolin Braunsberger-Reinhold, Lena Düpont, Andrzej Halicki, Jeroen Lenaers, Nadine Morano, Janina Ochojska, Paulo Rangel, Karlo Ressler, Sara</w:t>
            </w:r>
            <w:r>
              <w:t xml:space="preserve"> Skyttedal, Tomas Tobé, Elissavet Vozemberg-Vrionidi, Javier Zarzalejos</w:t>
            </w:r>
          </w:p>
        </w:tc>
      </w:tr>
      <w:tr w:rsidR="00505880" w:rsidTr="006E1648">
        <w:trPr>
          <w:cantSplit/>
        </w:trPr>
        <w:tc>
          <w:tcPr>
            <w:tcW w:w="1701" w:type="dxa"/>
            <w:shd w:val="clear" w:color="auto" w:fill="FFFFFF"/>
          </w:tcPr>
          <w:p w:rsidR="00EB001A" w:rsidRPr="00ED38A0" w:rsidRDefault="000A453B" w:rsidP="006E1648">
            <w:pPr>
              <w:pStyle w:val="RollCallTable"/>
            </w:pPr>
            <w:r>
              <w:t>S&amp;D</w:t>
            </w:r>
          </w:p>
        </w:tc>
        <w:tc>
          <w:tcPr>
            <w:tcW w:w="7371" w:type="dxa"/>
            <w:shd w:val="clear" w:color="auto" w:fill="FFFFFF"/>
          </w:tcPr>
          <w:p w:rsidR="00EB001A" w:rsidRPr="00ED38A0" w:rsidRDefault="000A453B" w:rsidP="006E1648">
            <w:pPr>
              <w:pStyle w:val="RollCallTable"/>
            </w:pPr>
            <w:r>
              <w:t xml:space="preserve">Pietro Bartolo, Mohammed Chahim, Caterina Chinnici, Sylvie Guillaume, Evin Incir, Marina Kaljurand, Łukasz Kohut, Juan Fernando López Aguilar, Javier Moreno Sánchez, Theresa </w:t>
            </w:r>
            <w:r>
              <w:t>Muigg, Matjaž Nemec, Franco Roberti, Birgit Sippel, Elena Yoncheva</w:t>
            </w:r>
          </w:p>
        </w:tc>
      </w:tr>
      <w:tr w:rsidR="00505880" w:rsidTr="006E1648">
        <w:trPr>
          <w:cantSplit/>
        </w:trPr>
        <w:tc>
          <w:tcPr>
            <w:tcW w:w="1701" w:type="dxa"/>
            <w:shd w:val="clear" w:color="auto" w:fill="FFFFFF"/>
          </w:tcPr>
          <w:p w:rsidR="00EB001A" w:rsidRPr="00ED38A0" w:rsidRDefault="000A453B" w:rsidP="006E1648">
            <w:pPr>
              <w:pStyle w:val="RollCallTable"/>
            </w:pPr>
            <w:r>
              <w:t>RENEW</w:t>
            </w:r>
          </w:p>
        </w:tc>
        <w:tc>
          <w:tcPr>
            <w:tcW w:w="7371" w:type="dxa"/>
            <w:shd w:val="clear" w:color="auto" w:fill="FFFFFF"/>
          </w:tcPr>
          <w:p w:rsidR="00EB001A" w:rsidRPr="00ED38A0" w:rsidRDefault="000A453B" w:rsidP="006E1648">
            <w:pPr>
              <w:pStyle w:val="RollCallTable"/>
            </w:pPr>
            <w:r>
              <w:t>Abir Al-Sahlani, Lucia Ďuriš Nicholsonová, Sophia in 't Veld, Fabienne Keller, Moritz Körner, Morten Løkkegaard, Maite Pagazaurtundúa, Ramona Strugariu, Róża Thun und Hohenstein, Yan</w:t>
            </w:r>
            <w:r>
              <w:t>a Toom</w:t>
            </w:r>
          </w:p>
        </w:tc>
      </w:tr>
      <w:tr w:rsidR="00505880" w:rsidTr="006E1648">
        <w:trPr>
          <w:cantSplit/>
        </w:trPr>
        <w:tc>
          <w:tcPr>
            <w:tcW w:w="1701" w:type="dxa"/>
            <w:shd w:val="clear" w:color="auto" w:fill="FFFFFF"/>
          </w:tcPr>
          <w:p w:rsidR="00EB001A" w:rsidRPr="00ED38A0" w:rsidRDefault="000A453B" w:rsidP="006E1648">
            <w:pPr>
              <w:pStyle w:val="RollCallTable"/>
            </w:pPr>
            <w:r>
              <w:t>VERTS/ALE</w:t>
            </w:r>
          </w:p>
        </w:tc>
        <w:tc>
          <w:tcPr>
            <w:tcW w:w="7371" w:type="dxa"/>
            <w:shd w:val="clear" w:color="auto" w:fill="FFFFFF"/>
          </w:tcPr>
          <w:p w:rsidR="00EB001A" w:rsidRPr="00ED38A0" w:rsidRDefault="000A453B" w:rsidP="006E1648">
            <w:pPr>
              <w:pStyle w:val="RollCallTable"/>
            </w:pPr>
            <w:r>
              <w:t>Patrick Breyer, Saskia Bricmont, Damien Carême, Gwendoline Delbos-Corfield, Erik Marquardt, Tineke Strik</w:t>
            </w:r>
          </w:p>
        </w:tc>
      </w:tr>
      <w:tr w:rsidR="00505880" w:rsidTr="006E1648">
        <w:trPr>
          <w:cantSplit/>
        </w:trPr>
        <w:tc>
          <w:tcPr>
            <w:tcW w:w="1701" w:type="dxa"/>
            <w:shd w:val="clear" w:color="auto" w:fill="FFFFFF"/>
          </w:tcPr>
          <w:p w:rsidR="00EB001A" w:rsidRPr="00ED38A0" w:rsidRDefault="000A453B" w:rsidP="006E1648">
            <w:pPr>
              <w:pStyle w:val="RollCallTable"/>
            </w:pPr>
            <w:r>
              <w:t>THE LEFT</w:t>
            </w:r>
          </w:p>
        </w:tc>
        <w:tc>
          <w:tcPr>
            <w:tcW w:w="7371" w:type="dxa"/>
            <w:shd w:val="clear" w:color="auto" w:fill="FFFFFF"/>
          </w:tcPr>
          <w:p w:rsidR="00EB001A" w:rsidRPr="00ED38A0" w:rsidRDefault="000A453B" w:rsidP="006E1648">
            <w:pPr>
              <w:pStyle w:val="RollCallTable"/>
            </w:pPr>
            <w:r>
              <w:t>Konstantinos Arvanitis, Malin Björk, José Gusmão, Sira Rego</w:t>
            </w:r>
          </w:p>
        </w:tc>
      </w:tr>
    </w:tbl>
    <w:p w:rsidR="00EB001A" w:rsidRPr="00ED38A0" w:rsidRDefault="00EB001A" w:rsidP="00EB001A">
      <w:pPr>
        <w:rPr>
          <w:lang w:val="pt-P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5880" w:rsidTr="006E1648">
        <w:trPr>
          <w:cantSplit/>
        </w:trPr>
        <w:tc>
          <w:tcPr>
            <w:tcW w:w="1701" w:type="dxa"/>
            <w:shd w:val="pct10" w:color="000000" w:fill="FFFFFF"/>
            <w:vAlign w:val="center"/>
          </w:tcPr>
          <w:p w:rsidR="00EB001A" w:rsidRPr="00ED38A0" w:rsidRDefault="000A453B" w:rsidP="006E1648">
            <w:pPr>
              <w:pStyle w:val="RollCallVotes"/>
            </w:pPr>
            <w:r>
              <w:t>3</w:t>
            </w:r>
          </w:p>
        </w:tc>
        <w:tc>
          <w:tcPr>
            <w:tcW w:w="7371" w:type="dxa"/>
            <w:shd w:val="pct10" w:color="000000" w:fill="FFFFFF"/>
          </w:tcPr>
          <w:p w:rsidR="00EB001A" w:rsidRPr="00ED38A0" w:rsidRDefault="000A453B" w:rsidP="006E1648">
            <w:pPr>
              <w:pStyle w:val="RollCallSymbols14pt"/>
            </w:pPr>
            <w:r>
              <w:t>-</w:t>
            </w:r>
          </w:p>
        </w:tc>
      </w:tr>
      <w:tr w:rsidR="00505880" w:rsidTr="006E1648">
        <w:trPr>
          <w:cantSplit/>
        </w:trPr>
        <w:tc>
          <w:tcPr>
            <w:tcW w:w="1701" w:type="dxa"/>
            <w:shd w:val="clear" w:color="auto" w:fill="FFFFFF"/>
          </w:tcPr>
          <w:p w:rsidR="00EB001A" w:rsidRPr="00ED38A0" w:rsidRDefault="000A453B" w:rsidP="006E1648">
            <w:pPr>
              <w:pStyle w:val="RollCallTable"/>
            </w:pPr>
            <w:r>
              <w:t>ID</w:t>
            </w:r>
          </w:p>
        </w:tc>
        <w:tc>
          <w:tcPr>
            <w:tcW w:w="7371" w:type="dxa"/>
            <w:shd w:val="clear" w:color="auto" w:fill="FFFFFF"/>
          </w:tcPr>
          <w:p w:rsidR="00EB001A" w:rsidRPr="00ED38A0" w:rsidRDefault="000A453B" w:rsidP="006E1648">
            <w:pPr>
              <w:pStyle w:val="RollCallTable"/>
            </w:pPr>
            <w:r>
              <w:t>Susanna Ceccardi, Annalisa Tardino</w:t>
            </w:r>
          </w:p>
        </w:tc>
      </w:tr>
      <w:tr w:rsidR="00505880" w:rsidTr="006E1648">
        <w:trPr>
          <w:cantSplit/>
        </w:trPr>
        <w:tc>
          <w:tcPr>
            <w:tcW w:w="1701" w:type="dxa"/>
            <w:shd w:val="clear" w:color="auto" w:fill="FFFFFF"/>
          </w:tcPr>
          <w:p w:rsidR="00EB001A" w:rsidRPr="00ED38A0" w:rsidRDefault="000A453B" w:rsidP="006E1648">
            <w:pPr>
              <w:pStyle w:val="RollCallTable"/>
            </w:pPr>
            <w:r>
              <w:t>NI</w:t>
            </w:r>
          </w:p>
        </w:tc>
        <w:tc>
          <w:tcPr>
            <w:tcW w:w="7371" w:type="dxa"/>
            <w:shd w:val="clear" w:color="auto" w:fill="FFFFFF"/>
          </w:tcPr>
          <w:p w:rsidR="00EB001A" w:rsidRPr="00ED38A0" w:rsidRDefault="000A453B" w:rsidP="006E1648">
            <w:pPr>
              <w:pStyle w:val="RollCallTable"/>
            </w:pPr>
            <w:r>
              <w:t>Milan Uhrík</w:t>
            </w:r>
          </w:p>
        </w:tc>
      </w:tr>
    </w:tbl>
    <w:p w:rsidR="00EB001A" w:rsidRPr="00ED38A0" w:rsidRDefault="00EB001A" w:rsidP="00EB001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5880" w:rsidTr="006E1648">
        <w:trPr>
          <w:cantSplit/>
        </w:trPr>
        <w:tc>
          <w:tcPr>
            <w:tcW w:w="1701" w:type="dxa"/>
            <w:shd w:val="pct10" w:color="000000" w:fill="FFFFFF"/>
            <w:vAlign w:val="center"/>
          </w:tcPr>
          <w:p w:rsidR="00EB001A" w:rsidRPr="00ED38A0" w:rsidRDefault="000A453B" w:rsidP="006E1648">
            <w:pPr>
              <w:pStyle w:val="RollCallVotes"/>
            </w:pPr>
            <w:r>
              <w:t>5</w:t>
            </w:r>
          </w:p>
        </w:tc>
        <w:tc>
          <w:tcPr>
            <w:tcW w:w="7371" w:type="dxa"/>
            <w:shd w:val="pct10" w:color="000000" w:fill="FFFFFF"/>
          </w:tcPr>
          <w:p w:rsidR="00EB001A" w:rsidRPr="00ED38A0" w:rsidRDefault="000A453B" w:rsidP="006E1648">
            <w:pPr>
              <w:pStyle w:val="RollCallSymbols14pt"/>
            </w:pPr>
            <w:r>
              <w:t>0</w:t>
            </w:r>
          </w:p>
        </w:tc>
      </w:tr>
      <w:tr w:rsidR="00505880" w:rsidTr="006E1648">
        <w:trPr>
          <w:cantSplit/>
        </w:trPr>
        <w:tc>
          <w:tcPr>
            <w:tcW w:w="1701" w:type="dxa"/>
            <w:shd w:val="clear" w:color="auto" w:fill="FFFFFF"/>
          </w:tcPr>
          <w:p w:rsidR="00EB001A" w:rsidRPr="00ED38A0" w:rsidRDefault="000A453B" w:rsidP="006E1648">
            <w:pPr>
              <w:pStyle w:val="RollCallTable"/>
            </w:pPr>
            <w:r>
              <w:t>ECR</w:t>
            </w:r>
          </w:p>
        </w:tc>
        <w:tc>
          <w:tcPr>
            <w:tcW w:w="7371" w:type="dxa"/>
            <w:shd w:val="clear" w:color="auto" w:fill="FFFFFF"/>
          </w:tcPr>
          <w:p w:rsidR="00EB001A" w:rsidRPr="00ED38A0" w:rsidRDefault="000A453B" w:rsidP="006E1648">
            <w:pPr>
              <w:pStyle w:val="RollCallTable"/>
            </w:pPr>
            <w:r>
              <w:t>Joachim Stanisław Brudziński, Patryk Jaki, Rob Rooken, Vincenzo Sofo, Jadwiga Wiśniewska</w:t>
            </w:r>
          </w:p>
        </w:tc>
      </w:tr>
    </w:tbl>
    <w:p w:rsidR="00EB001A" w:rsidRDefault="00EB001A" w:rsidP="00147FBF">
      <w:pPr>
        <w:pStyle w:val="Normal12a"/>
      </w:pPr>
    </w:p>
    <w:p w:rsidR="00EB001A" w:rsidRDefault="000A453B" w:rsidP="00B735E3">
      <w:r>
        <w:t>Sutartiniai ženklai:</w:t>
      </w:r>
    </w:p>
    <w:p w:rsidR="00EB001A" w:rsidRDefault="000A453B" w:rsidP="003858C5">
      <w:pPr>
        <w:pStyle w:val="RollCallTabs"/>
      </w:pPr>
      <w:r>
        <w:t>+</w:t>
      </w:r>
      <w:r>
        <w:tab/>
        <w:t>:</w:t>
      </w:r>
      <w:r>
        <w:tab/>
        <w:t>už</w:t>
      </w:r>
    </w:p>
    <w:p w:rsidR="00EB001A" w:rsidRDefault="000A453B" w:rsidP="003858C5">
      <w:pPr>
        <w:pStyle w:val="RollCallTabs"/>
      </w:pPr>
      <w:r>
        <w:t>-</w:t>
      </w:r>
      <w:r>
        <w:tab/>
        <w:t>:</w:t>
      </w:r>
      <w:r>
        <w:tab/>
        <w:t>prieš</w:t>
      </w:r>
    </w:p>
    <w:p w:rsidR="00EB001A" w:rsidRDefault="000A453B" w:rsidP="003858C5">
      <w:pPr>
        <w:pStyle w:val="RollCallTabs"/>
      </w:pPr>
      <w:r>
        <w:t>0</w:t>
      </w:r>
      <w:r>
        <w:tab/>
        <w:t>:</w:t>
      </w:r>
      <w:r>
        <w:tab/>
        <w:t>susilaikė</w:t>
      </w:r>
    </w:p>
    <w:p w:rsidR="00EB001A" w:rsidRDefault="00EB001A" w:rsidP="00207509"/>
    <w:bookmarkEnd w:id="3"/>
    <w:p w:rsidR="00DE4330" w:rsidRPr="00EB001A" w:rsidRDefault="00DE4330" w:rsidP="00EB001A"/>
    <w:sectPr w:rsidR="00DE4330" w:rsidRPr="00EB001A" w:rsidSect="00EB00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A453B">
      <w:r>
        <w:separator/>
      </w:r>
    </w:p>
  </w:endnote>
  <w:endnote w:type="continuationSeparator" w:id="0">
    <w:p w:rsidR="00000000" w:rsidRDefault="000A4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2A8" w:rsidRDefault="000A453B" w:rsidP="002272A8">
    <w:pPr>
      <w:pStyle w:val="EPFooter"/>
    </w:pPr>
    <w:r>
      <w:t>PE</w:t>
    </w:r>
    <w:r w:rsidRPr="002272A8">
      <w:rPr>
        <w:rStyle w:val="HideTWBExt"/>
      </w:rPr>
      <w:t>&lt;NoPE&gt;</w:t>
    </w:r>
    <w:r>
      <w:t>732.915</w:t>
    </w:r>
    <w:r w:rsidRPr="002272A8">
      <w:rPr>
        <w:rStyle w:val="HideTWBExt"/>
      </w:rPr>
      <w:t>&lt;/NoPE&gt;&lt;Version&gt;</w:t>
    </w:r>
    <w:r>
      <w:t>v02-00</w:t>
    </w:r>
    <w:r w:rsidRPr="002272A8">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31</w:t>
      </w:r>
    </w:fldSimple>
    <w:r>
      <w:tab/>
    </w:r>
    <w:r w:rsidRPr="002272A8">
      <w:rPr>
        <w:rStyle w:val="HideTWBExt"/>
      </w:rPr>
      <w:t>&lt;PathFdR&gt;</w:t>
    </w:r>
    <w:r>
      <w:t>AD\1265696LT.docx</w:t>
    </w:r>
    <w:r w:rsidRPr="002272A8">
      <w:rPr>
        <w:rStyle w:val="HideTWBExt"/>
      </w:rPr>
      <w:t>&lt;/PathFdR&gt;</w:t>
    </w:r>
  </w:p>
  <w:p w:rsidR="002E2F2E" w:rsidRPr="00970DA5" w:rsidRDefault="000A453B" w:rsidP="002272A8">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2A8" w:rsidRDefault="000A453B" w:rsidP="002272A8">
    <w:pPr>
      <w:pStyle w:val="EPFooter"/>
    </w:pPr>
    <w:r w:rsidRPr="002272A8">
      <w:rPr>
        <w:rStyle w:val="HideTWBExt"/>
      </w:rPr>
      <w:t>&lt;PathFdR&gt;</w:t>
    </w:r>
    <w:r>
      <w:t>AD\1265696LT.docx</w:t>
    </w:r>
    <w:r w:rsidRPr="002272A8">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31</w:t>
      </w:r>
    </w:fldSimple>
    <w:r>
      <w:tab/>
      <w:t>PE</w:t>
    </w:r>
    <w:r w:rsidRPr="002272A8">
      <w:rPr>
        <w:rStyle w:val="HideTWBExt"/>
      </w:rPr>
      <w:t>&lt;NoPE&gt;</w:t>
    </w:r>
    <w:r>
      <w:t>732.915</w:t>
    </w:r>
    <w:r w:rsidRPr="002272A8">
      <w:rPr>
        <w:rStyle w:val="HideTWBExt"/>
      </w:rPr>
      <w:t>&lt;/NoPE&gt;&lt;Version&gt;</w:t>
    </w:r>
    <w:r>
      <w:t>v02-00</w:t>
    </w:r>
    <w:r w:rsidRPr="002272A8">
      <w:rPr>
        <w:rStyle w:val="HideTWBExt"/>
      </w:rPr>
      <w:t>&lt;/Version&gt;</w:t>
    </w:r>
  </w:p>
  <w:p w:rsidR="002E2F2E" w:rsidRPr="00970DA5" w:rsidRDefault="000A453B" w:rsidP="002272A8">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2A8" w:rsidRDefault="000A453B" w:rsidP="002272A8">
    <w:pPr>
      <w:pStyle w:val="EPFooter"/>
    </w:pPr>
    <w:r w:rsidRPr="002272A8">
      <w:rPr>
        <w:rStyle w:val="HideTWBExt"/>
      </w:rPr>
      <w:t>&lt;PathFdR&gt;</w:t>
    </w:r>
    <w:r>
      <w:t>AD\1265696LT.docx</w:t>
    </w:r>
    <w:r w:rsidRPr="002272A8">
      <w:rPr>
        <w:rStyle w:val="HideTWBExt"/>
      </w:rPr>
      <w:t>&lt;/PathFdR&gt;</w:t>
    </w:r>
    <w:r>
      <w:tab/>
    </w:r>
    <w:r>
      <w:tab/>
      <w:t>PE</w:t>
    </w:r>
    <w:r w:rsidRPr="002272A8">
      <w:rPr>
        <w:rStyle w:val="HideTWBExt"/>
      </w:rPr>
      <w:t>&lt;NoPE&gt;</w:t>
    </w:r>
    <w:r>
      <w:t>732.915</w:t>
    </w:r>
    <w:r w:rsidRPr="002272A8">
      <w:rPr>
        <w:rStyle w:val="HideTWBExt"/>
      </w:rPr>
      <w:t>&lt;/NoPE&gt;&lt;Version&gt;</w:t>
    </w:r>
    <w:r>
      <w:t>v02-00</w:t>
    </w:r>
    <w:r w:rsidRPr="002272A8">
      <w:rPr>
        <w:rStyle w:val="HideTWBExt"/>
      </w:rPr>
      <w:t>&lt;/Version&gt;</w:t>
    </w:r>
  </w:p>
  <w:p w:rsidR="002E2F2E" w:rsidRPr="00970DA5" w:rsidRDefault="000A453B" w:rsidP="002272A8">
    <w:pPr>
      <w:pStyle w:val="EPFooter2"/>
    </w:pPr>
    <w:r>
      <w:t>LT</w:t>
    </w:r>
    <w:r>
      <w:tab/>
    </w:r>
    <w:r w:rsidRPr="002272A8">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A453B">
      <w:r>
        <w:separator/>
      </w:r>
    </w:p>
  </w:footnote>
  <w:footnote w:type="continuationSeparator" w:id="0">
    <w:p w:rsidR="00000000" w:rsidRDefault="000A4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01A" w:rsidRDefault="00EB0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01A" w:rsidRDefault="00EB00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01A" w:rsidRDefault="00EB0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JMNU" w:val="1"/>
    <w:docVar w:name="CODEMNU" w:val=" 2"/>
    <w:docVar w:name="COM2KEY" w:val="AFCO"/>
    <w:docVar w:name="COMKEY" w:val="LIBE"/>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49870 HideTWBExt;}}{\*\rsidtbl \rsid24658\rsid358857\rsid735077\rsid787282\rsid2892074\rsid3622648\rsid4666813\rsid5708216\rsid6641733\rsid6691949\rsid7553164\rsid8465581\rsid8681905_x000d__x000a_\rsid8724649\rsid9636012\rsid9862312\rsid10949870\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24}{\revtim\yr2019\mo7\dy4\hr11\min2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498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669194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6691949 \chftnsepc _x000d__x000a_\par }}{\*\aftnsep \ltrpar \pard\plain \ltrpar\ql \li0\ri0\widctlpar\wrapdefault\aspalpha\aspnum\faauto\adjustright\rin0\lin0\itap0 \rtlch\fcs1 \af0\afs20\alang1025 \ltrch\fcs0 \fs24\lang2057\langfe2057\cgrid\langnp2057\langfenp2057 {\rtlch\fcs1 \af0 _x000d__x000a_\ltrch\fcs0 \insrsid6691949 \chftnsep _x000d__x000a_\par }}{\*\aftnsepc \ltrpar \pard\plain \ltrpar\ql \li0\ri0\widctlpar\wrapdefault\aspalpha\aspnum\faauto\adjustright\rin0\lin0\itap0 \rtlch\fcs1 \af0\afs20\alang1025 \ltrch\fcs0 \fs24\lang2057\langfe2057\cgrid\langnp2057\langfenp2057 {\rtlch\fcs1 \af0 _x000d__x000a_\ltrch\fcs0 \insrsid669194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49870 \rtlch\fcs1 \af0\afs20\alang1025 \ltrch\fcs0 \fs24\lang2057\langfe2057\cgrid\langnp2057\langfenp2057 {\rtlch\fcs1 \af0 \ltrch\fcs0 _x000d__x000a_\cs15\v\f1\fs20\cf9\insrsid10949870\charrsid15879488 {\*\bkmkstart EndA}&lt;&lt;&lt;}{\rtlch\fcs1 \af0 \ltrch\fcs0 \insrsid10949870\charrsid15879488 #@&gt;ZOTHAMA&lt;@#}{\rtlch\fcs1 \af0 \ltrch\fcs0 \cs15\v\f1\fs20\cf9\insrsid10949870\charrsid15879488 _x000d__x000a_&lt;/RepeatBlock-AmendA&gt;}{\rtlch\fcs1 \af0 \ltrch\fcs0 \insrsid10949870\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a_x000d__x000a_db404a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81483 HideTWBExt;}}{\*\rsidtbl \rsid24658\rsid358857\rsid735077\rsid787282\rsid1993569\rsid2892074\rsid3622648\rsid4666813\rsid5708216\rsid6641733\rsid7553164\rsid8465581\rsid8681905_x000d__x000a_\rsid8724649\rsid9636012\rsid9862312\rsid11215221\rsid11370291\rsid11434737\rsid11607138\rsid11824949\rsid12154954\rsid14424199\rsid14881483\rsid15204470\rsid15285974\rsid15535219\rsid15950462\rsid16324206\rsid16662270}{\mmathPr\mmathFont34\mbrkBin0_x000d__x000a_\mbrkBinSub0\msmallFrac0\mdispDef1\mlMargin0\mrMargin0\mdefJc1\mwrapIndent1440\mintLim0\mnaryLim1}{\info{\author FELIX Karina}{\operator FELIX Karina}{\creatim\yr2019\mo7\dy4\hr11\min24}{\revtim\yr2019\mo7\dy4\hr11\min2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8148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9935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993569 \chftnsepc _x000d__x000a_\par }}{\*\aftnsep \ltrpar \pard\plain \ltrpar\ql \li0\ri0\widctlpar\wrapdefault\aspalpha\aspnum\faauto\adjustright\rin0\lin0\itap0 \rtlch\fcs1 \af0\afs20\alang1025 \ltrch\fcs0 \fs24\lang2057\langfe2057\cgrid\langnp2057\langfenp2057 {\rtlch\fcs1 \af0 _x000d__x000a_\ltrch\fcs0 \insrsid1993569 \chftnsep _x000d__x000a_\par }}{\*\aftnsepc \ltrpar \pard\plain \ltrpar\ql \li0\ri0\widctlpar\wrapdefault\aspalpha\aspnum\faauto\adjustright\rin0\lin0\itap0 \rtlch\fcs1 \af0\afs20\alang1025 \ltrch\fcs0 \fs24\lang2057\langfe2057\cgrid\langnp2057\langfenp2057 {\rtlch\fcs1 \af0 _x000d__x000a_\ltrch\fcs0 \insrsid19935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81483\charrsid15879488 {\*\bkmkstart EndB}&lt;&lt;&lt;}{\rtlch\fcs1 \af0 \ltrch\fcs0 \insrsid14881483\charrsid15879488 #@&gt;ZOTHAMB&lt;@#}{\rtlch\fcs1 \af0 \ltrch\fcs0 \cs15\v\f1\fs20\cf9\insrsid1488148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9_x000d__x000a_53414a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2592 HideTWBExt;}{\s16\ql \li0\ri0\sa240\nowidctlpar\wrapdefault\aspalpha\aspnum\faauto\adjustright\rin0\lin0\itap0 \rtlch\fcs1 \af0\afs20\alang1025 \ltrch\fcs0 _x000d__x000a_\fs24\lang2057\langfe2057\cgrid\langnp2057\langfenp2057 \sbasedon0 \snext16 \spriority0 \styrsid8812592 Normal12a;}}{\*\rsidtbl \rsid24658\rsid358857\rsid735077\rsid787282\rsid2892074\rsid3622648\rsid4666813\rsid4869342\rsid5708216\rsid6641733\rsid7553164_x000d__x000a_\rsid8465581\rsid8681905\rsid8724649\rsid8812592\rsid9636012\rsid9862312\rsid11215221\rsid11370291\rsid11434737\rsid11607138\rsid11824949\rsid12154954\rsid14424199\rsid15204470\rsid15285974\rsid15535219\rsid15950462\rsid16324206\rsid16662270}{\mmathPr_x000d__x000a_\mmathFont34\mbrkBin0\mbrkBinSub0\msmallFrac0\mdispDef1\mlMargin0\mrMargin0\mdefJc1\mwrapIndent1440\mintLim0\mnaryLim1}{\info{\author FELIX Karina}{\operator FELIX Karina}{\creatim\yr2019\mo7\dy4\hr11\min24}{\revtim\yr2019\mo7\dy4\hr11\min24}{\version1}_x000d__x000a_{\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259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86934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869342 \chftnsepc _x000d__x000a_\par }}{\*\aftnsep \ltrpar \pard\plain \ltrpar\ql \li0\ri0\widctlpar\wrapdefault\aspalpha\aspnum\faauto\adjustright\rin0\lin0\itap0 \rtlch\fcs1 \af0\afs20\alang1025 \ltrch\fcs0 \fs24\lang2057\langfe2057\cgrid\langnp2057\langfenp2057 {\rtlch\fcs1 \af0 _x000d__x000a_\ltrch\fcs0 \insrsid4869342 \chftnsep _x000d__x000a_\par }}{\*\aftnsepc \ltrpar \pard\plain \ltrpar\ql \li0\ri0\widctlpar\wrapdefault\aspalpha\aspnum\faauto\adjustright\rin0\lin0\itap0 \rtlch\fcs1 \af0\afs20\alang1025 \ltrch\fcs0 \fs24\lang2057\langfe2057\cgrid\langnp2057\langfenp2057 {\rtlch\fcs1 \af0 _x000d__x000a_\ltrch\fcs0 \insrsid486934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8812592 \rtlch\fcs1 \af0\afs20\alang1025 \ltrch\fcs0 \fs24\lang2057\langfe2057\cgrid\langnp2057\langfenp2057 {\rtlch\fcs1 \af0 \ltrch\fcs0 _x000d__x000a_\lang1036\langfe2057\langnp1036\insrsid8812592\charrsid4672642 {\*\bkmkstart IntroA}_x000d__x000a_\par }\pard\plain \ltrpar\ql \li0\ri0\widctlpar\wrapdefault\aspalpha\aspnum\faauto\adjustright\rin0\lin0\itap0\pararsid8812592 \rtlch\fcs1 \af0\afs20\alang1025 \ltrch\fcs0 \fs24\lang2057\langfe2057\cgrid\langnp2057\langfenp2057 {\rtlch\fcs1 \af0 \ltrch\fcs0 _x000d__x000a_\cs15\v\f1\fs20\cf9\lang1036\langfe2057\langnp1036\insrsid8812592\charrsid4672642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5_x000d__x000a_ee3f4a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9860004 HideTWBExt;}}{\*\rsidtbl \rsid24658\rsid358857\rsid735077\rsid787282\rsid2892074\rsid3622648\rsid4666813\rsid5708216\rsid6641733\rsid7553164\rsid8465581\rsid8681905\rsid8724649_x000d__x000a_\rsid9636012\rsid9860004\rsid9862312\rsid11215221\rsid11370291\rsid11434737\rsid11607138\rsid11824949\rsid12154954\rsid12811328\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24}{\revtim\yr2019\mo7\dy4\hr11\min2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986000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81132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811328 \chftnsepc _x000d__x000a_\par }}{\*\aftnsep \ltrpar \pard\plain \ltrpar\ql \li0\ri0\widctlpar\wrapdefault\aspalpha\aspnum\faauto\adjustright\rin0\lin0\itap0 \rtlch\fcs1 \af0\afs20\alang1025 \ltrch\fcs0 \fs24\lang2057\langfe2057\cgrid\langnp2057\langfenp2057 {\rtlch\fcs1 \af0 _x000d__x000a_\ltrch\fcs0 \insrsid12811328 \chftnsep _x000d__x000a_\par }}{\*\aftnsepc \ltrpar \pard\plain \ltrpar\ql \li0\ri0\widctlpar\wrapdefault\aspalpha\aspnum\faauto\adjustright\rin0\lin0\itap0 \rtlch\fcs1 \af0\afs20\alang1025 \ltrch\fcs0 \fs24\lang2057\langfe2057\cgrid\langnp2057\langfenp2057 {\rtlch\fcs1 \af0 _x000d__x000a_\ltrch\fcs0 \insrsid1281132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9860004\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c_x000d__x000a_68404a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7\fbidi \froman\fcharset238\fprq2 Times New Roman CE;}{\f308\fbidi \froman\fcharset204\fprq2 Times New Roman Cyr;}_x000d__x000a_{\f310\fbidi \froman\fcharset161\fprq2 Times New Roman Greek;}{\f311\fbidi \froman\fcharset162\fprq2 Times New Roman Tur;}{\f312\fbidi \froman\fcharset177\fprq2 Times New Roman (Hebrew);}{\f313\fbidi \froman\fcharset178\fprq2 Times New Roman (Arabic);}_x000d__x000a_{\f314\fbidi \froman\fcharset186\fprq2 Times New Roman Baltic;}{\f315\fbidi \froman\fcharset163\fprq2 Times New Roman (Vietnamese);}{\f317\fbidi \fswiss\fcharset238\fprq2 Arial CE;}{\f318\fbidi \fswiss\fcharset204\fprq2 Arial Cyr;}_x000d__x000a_{\f320\fbidi \fswiss\fcharset161\fprq2 Arial Greek;}{\f321\fbidi \fswiss\fcharset162\fprq2 Arial Tur;}{\f322\fbidi \fswiss\fcharset177\fprq2 Arial (Hebrew);}{\f323\fbidi \fswiss\fcharset178\fprq2 Arial (Arabic);}_x000d__x000a_{\f324\fbidi \fswiss\fcharset186\fprq2 Arial Baltic;}{\f325\fbidi \fswiss\fcharset163\fprq2 Arial (Vietnamese);}{\f647\fbidi \froman\fcharset238\fprq2 Cambria Math CE;}{\f648\fbidi \froman\fcharset204\fprq2 Cambria Math Cyr;}_x000d__x000a_{\f650\fbidi \froman\fcharset161\fprq2 Cambria Math Greek;}{\f651\fbidi \froman\fcharset162\fprq2 Cambria Math Tur;}{\f654\fbidi \froman\fcharset186\fprq2 Cambria Math Baltic;}{\f65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465926 HideTWBExt;}{\*\cs18 \additive \v\f1\fs20\cf15 _x000d__x000a_\spriority0 \styrsid16465926 HideTWBInt;}{\s19\ql \li0\ri0\sa120\nowidctlpar\wrapdefault\aspalpha\aspnum\faauto\adjustright\rin0\lin0\itap0 \rtlch\fcs1 \af0\afs20\alang1025 \ltrch\fcs0 \fs24\lang1063\langfe2057\cgrid\langnp1063\langfenp2057 _x000d__x000a_\sbasedon0 \snext19 \spriority0 \styrsid16465926 Normal6a;}{\s20\ql \li0\ri0\nowidctlpar\wrapdefault\aspalpha\aspnum\faauto\adjustright\rin0\lin0\itap0 \rtlch\fcs1 \af0\afs20\alang1025 \ltrch\fcs0 \b\fs24\lang1063\langfe2057\cgrid\langnp1063\langfenp2057 _x000d__x000a_\sbasedon0 \snext20 \spriority0 \styrsid16465926 NormalBold;}{\s21\qc \li0\ri0\sa240\nowidctlpar\wrapdefault\aspalpha\aspnum\faauto\adjustright\rin0\lin0\itap0 \rtlch\fcs1 \af0\afs20\alang1025 \ltrch\fcs0 _x000d__x000a_\i\fs24\lang1063\langfe2057\cgrid\langnp1063\langfenp2057 \sbasedon0 \snext21 \spriority0 \styrsid16465926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2 \spriority0 \styrsid16465926 AmNumberTabs;}{\s23\ql \li0\ri0\sb240\nowidctlpar\wrapdefault\aspalpha\aspnum\faauto\adjustright\rin0\lin0\itap0 \rtlch\fcs1 _x000d__x000a_\af0\afs20\alang1025 \ltrch\fcs0 \b\fs24\lang1063\langfe2057\cgrid\langnp1063\langfenp2057 \sbasedon0 \snext23 \spriority0 \styrsid16465926 NormalBold12b;}}{\*\rsidtbl \rsid24658\rsid223860\rsid735077\rsid1718133\rsid2892074\rsid2969597\rsid3565327_x000d__x000a_\rsid4666813\rsid6641733\rsid7823322\rsid9636012\rsid10377208\rsid11215221\rsid11549030\rsid12154954\rsid14382809\rsid14424199\rsid15204470\rsid15285974\rsid15950462\rsid16324206\rsid16465926\rsid16662270}{\mmathPr\mmathFont34\mbrkBin0\mbrkBinSub0_x000d__x000a_\msmallFrac0\mdispDef1\mlMargin0\mrMargin0\mdefJc1\mwrapIndent1440\mintLim0\mnaryLim1}{\info{\author MANCIUNSKAS Dalius}{\operator MANCIUNSKAS Dalius}{\creatim\yr2022\mo11\dy9\hr17\min16}{\revtim\yr2022\mo11\dy9\hr17\min16}{\version1}{\edmins0}_x000d__x000a_{\nofpages1}{\nofwords28}{\nofchars202}{\nofcharsws22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5926\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2969597 \chftnsep _x000d__x000a_\par }}{\*\ftnsepc \ltrpar \pard\plain \ltrpar\ql \li0\ri0\widctlpar\wrapdefault\aspalpha\aspnum\faauto\adjustright\rin0\lin0\itap0 \rtlch\fcs1 \af0\afs20\alang1025 \ltrch\fcs0 \fs24\lang2057\langfe2057\cgrid\langnp2057\langfenp2057 {\rtlch\fcs1 \af0 _x000d__x000a_\ltrch\fcs0 \insrsid2969597 \chftnsepc _x000d__x000a_\par }}{\*\aftnsep \ltrpar \pard\plain \ltrpar\ql \li0\ri0\widctlpar\wrapdefault\aspalpha\aspnum\faauto\adjustright\rin0\lin0\itap0 \rtlch\fcs1 \af0\afs20\alang1025 \ltrch\fcs0 \fs24\lang2057\langfe2057\cgrid\langnp2057\langfenp2057 {\rtlch\fcs1 \af0 _x000d__x000a_\ltrch\fcs0 \insrsid2969597 \chftnsep _x000d__x000a_\par }}{\*\aftnsepc \ltrpar \pard\plain \ltrpar\ql \li0\ri0\widctlpar\wrapdefault\aspalpha\aspnum\faauto\adjustright\rin0\lin0\itap0 \rtlch\fcs1 \af0\afs20\alang1025 \ltrch\fcs0 \fs24\lang2057\langfe2057\cgrid\langnp2057\langfenp2057 {\rtlch\fcs1 \af0 _x000d__x000a_\ltrch\fcs0 \insrsid29695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nowidctlpar_x000d__x000a_\tx879\tx936\tx1021\tx1077\tx1134\tx1191\tx1247\tx1304\tx1361\tx1418\tx1474\tx1531\tx1588\tx1644\tx1701\tx1758\tx1814\tx1871\tx2070\tx2126\tx3374\tx3430\wrapdefault\aspalpha\aspnum\faauto\adjustright\rin0\lin0\itap0\pararsid16465926 \rtlch\fcs1 _x000d__x000a_\af0\afs20\alang1025 \ltrch\fcs0 \b\fs24\lang1063\langfe2057\cgrid\langnp1063\langfenp2057 {\rtlch\fcs1 \af0 \ltrch\fcs0 \cs17\b0\v\fs20\cf9\loch\af1\hich\af1\dbch\af31501\insrsid16465926\charrsid9899429 {\*\bkmkstart restartA}_x000d__x000a_\hich\af1\dbch\af31501\loch\f1 &lt;AmendA&gt;}{\rtlch\fcs1 \af0 \ltrch\fcs0 \insrsid16465926\charrsid9899429 Pakeitimas\tab \tab }{\rtlch\fcs1 \af0 \ltrch\fcs0 \cs17\b0\v\fs20\cf9\loch\af1\hich\af1\dbch\af31501\insrsid16465926\charrsid9899429 _x000d__x000a_\hich\af1\dbch\af31501\loch\f1 &lt;NumAmA&gt;}{\rtlch\fcs1 \af0 \ltrch\fcs0 \insrsid16465926\charrsid9899429 #}{\rtlch\fcs1 \af1 \ltrch\fcs0 \cs18\v\f1\fs20\cf15\insrsid16465926\charrsid9899429 ENMIENDA@NRAM@}{\rtlch\fcs1 \af0 \ltrch\fcs0 _x000d__x000a_\insrsid16465926\charrsid9899429 #}{\rtlch\fcs1 \af0 \ltrch\fcs0 \cs17\b0\v\fs20\cf9\loch\af1\hich\af1\dbch\af31501\insrsid16465926\charrsid9899429 \hich\af1\dbch\af31501\loch\f1 &lt;/NumAmA&gt;}{\rtlch\fcs1 \af0 \ltrch\fcs0 \insrsid16465926\charrsid9899429 _x000d__x000a__x000d__x000a_\par }\pard\plain \ltrpar\s23\ql \li0\ri0\sb240\keepn\nowidctlpar\wrapdefault\aspalpha\aspnum\faauto\adjustright\rin0\lin0\itap0\pararsid16465926 \rtlch\fcs1 \af0\afs20\alang1025 \ltrch\fcs0 \b\fs24\lang1063\langfe2057\cgrid\langnp1063\langfenp2057 {_x000d__x000a_\rtlch\fcs1 \af0 \ltrch\fcs0 \cs17\b0\v\fs20\cf9\loch\af1\hich\af1\dbch\af31501\insrsid16465926\charrsid9899429 \hich\af1\dbch\af31501\loch\f1 &lt;DocAmend&gt;}{\rtlch\fcs1 \af314 \ltrch\fcs0 \f314\insrsid16465926\charrsid9899429 Teis\'ebk\'fb_x000d__x000a_ros rezoliucjos projektas}{\rtlch\fcs1 \af0 \ltrch\fcs0 \cs17\b0\v\fs20\cf9\loch\af1\hich\af1\dbch\af31501\insrsid16465926\charrsid9899429 \hich\af1\dbch\af31501\loch\f1 &lt;/DocAmend&gt;}{\rtlch\fcs1 \af0 \ltrch\fcs0 \insrsid16465926\charrsid9899429 _x000d__x000a_\par }\pard\plain \ltrpar\s20\ql \li0\ri0\nowidctlpar\wrapdefault\aspalpha\aspnum\faauto\adjustright\rin0\lin0\itap0\pararsid16465926 \rtlch\fcs1 \af0\afs20\alang1025 \ltrch\fcs0 \b\fs24\lang1063\langfe2057\cgrid\langnp1063\langfenp2057 {\rtlch\fcs1 \af0 _x000d__x000a_\ltrch\fcs0 \cs17\b0\v\fs20\cf9\loch\af1\hich\af1\dbch\af31501\insrsid16465926\charrsid9899429 \hich\af1\dbch\af31501\loch\f1 &lt;Article&gt;}{\rtlch\fcs1 \af0 \ltrch\fcs0 \cf10\insrsid16465926\charrsid5840900 \u9668\'3f}{\rtlch\fcs1 \af0 \ltrch\fcs0 _x000d__x000a_\insrsid16465926\charrsid9899429 #}{\rtlch\fcs1 \af1 \ltrch\fcs0 \cs18\v\f1\fs20\cf15\insrsid16465926\charrsid9899429 TVTRESPART@RESPART@}{\rtlch\fcs1 \af0 \ltrch\fcs0 \insrsid16465926\charrsid9899429 #}{\rtlch\fcs1 \af0 \ltrch\fcs0 _x000d__x000a_\cf10\insrsid16465926\charrsid5840900 \u9658\'3f}{\rtlch\fcs1 \af0 \ltrch\fcs0 \cs17\b0\v\fs20\cf9\loch\af1\hich\af1\dbch\af31501\insrsid16465926\charrsid9899429 \hich\af1\dbch\af31501\loch\f1 &lt;/Article&gt;}{\rtlch\fcs1 \af0 \ltrch\fcs0 _x000d__x000a_\insrsid16465926\charrsid9899429 _x000d__x000a_\par \ltrrow}\trowd \irow0\irowband0\ltrrow\ts11\trqc\trgaph340\trleft-340\trftsWidth1\trftsWidthB3\trpaddl340\trpaddr340\trpaddfl3\trpaddft3\trpaddfb3\trpaddfr3\tblrsid15956061\tblind0\tblindtype3 \clvertalt\clbrdrt\brdrtbl \clbrdrl\brdrtbl \clbrdrb\brdrtbl _x000d__x000a_\clbrdrr\brdrtbl \cltxlrtb\clftsWidth3\clwWidth9752\clshdrawnil \cellx9412\pard\plain \ltrpar\ql \li0\ri0\keepn\widctlpar\intbl\wrapdefault\aspalpha\aspnum\faauto\adjustright\rin0\lin0\pararsid15956061 \rtlch\fcs1 \af0\afs20\alang1025 \ltrch\fcs0 _x000d__x000a_\fs24\lang2057\langfe2057\cgrid\langnp2057\langfenp2057 {\rtlch\fcs1 \af0 \ltrch\fcs0 \lang1063\langfe2057\langnp1063\insrsid16465926\charrsid9899429 \cell }\pard \ltrpar_x000d__x000a_\ql \li0\ri0\widctlpar\intbl\wrapdefault\aspalpha\aspnum\faauto\adjustright\rin0\lin0 {\rtlch\fcs1 \af0 \ltrch\fcs0 \lang1063\langfe2057\langnp1063\insrsid16465926\charrsid9899429 \trowd \irow0\irowband0\ltrrow_x000d__x000a_\ts11\trqc\trgaph340\trleft-340\trftsWidth1\trftsWidthB3\trpaddl340\trpaddr340\trpaddfl3\trpaddft3\trpaddfb3\trpaddfr3\tblrsid15956061\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5956061\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5956061 \rtlch\fcs1 \af0\afs20\alang1025 \ltrch\fcs0 _x000d__x000a_\i\fs24\lang1063\langfe2057\cgrid\langnp1063\langfenp2057 {\rtlch\fcs1 \af314 \ltrch\fcs0 \f314\insrsid16465926\charrsid9899429 Teis\'ebk\'fbros rezoliucjos projektas\cell }{\rtlch\fcs1 \af0 \ltrch\fcs0 \insrsid16465926\charrsid9899429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6465926\charrsid9899429 \trowd \irow1\irowband1\ltrrow\ts11\trqc\trgaph340\trleft-340\trftsWidth1\trftsWidthB3\trpaddl340\trpaddr340\trpaddfl3\trpaddft3\trpaddfb3\trpaddfr3\tblrsid15956061\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9\ql \li0\ri0\sa120\nowidctlpar\intbl\wrapdefault\aspalpha\aspnum\faauto\adjustright\rin0\lin0\pararsid15956061 \rtlch\fcs1 \af0\afs20\alang1025 \ltrch\fcs0 _x000d__x000a_\fs24\lang1063\langfe2057\cgrid\langnp1063\langfenp2057 {\rtlch\fcs1 \af0 \ltrch\fcs0 \insrsid16465926\charrsid9899429 #}{\rtlch\fcs1 \af1 \ltrch\fcs0 \cs18\v\f1\fs20\cf15\insrsid16465926\charrsid9899429 Tekstas}{\rtlch\fcs1 \af0 \ltrch\fcs0 _x000d__x000a_\insrsid16465926\charrsid9899429 #\cell #}{\rtlch\fcs1 \af1 \ltrch\fcs0 \cs18\v\f1\fs20\cf15\insrsid16465926\charrsid9899429 Tekstas}{\rtlch\fcs1 \af0 \ltrch\fcs0 \insrsid16465926\charrsid9899429 #}{\rtlch\fcs1 \af0\afs24 \ltrch\fcs0 _x000d__x000a_\insrsid16465926\charrsid9899429 \cell }\pard\plain \ltrpar\ql \li0\ri0\widctlpar\intbl\wrapdefault\aspalpha\aspnum\faauto\adjustright\rin0\lin0 \rtlch\fcs1 \af0\afs20\alang1025 \ltrch\fcs0 \fs24\lang2057\langfe2057\cgrid\langnp2057\langfenp2057 {_x000d__x000a_\rtlch\fcs1 \af0 \ltrch\fcs0 \lang1063\langfe2057\langnp1063\insrsid16465926\charrsid9899429 \trowd \irow2\irowband2\lastrow \ltrrow_x000d__x000a_\ts11\trqc\trgaph340\trleft-340\trftsWidth1\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465926 {\rtlch\fcs1 \af0 \ltrch\fcs0 \cs17\v\fs20\cf9\lang1063\langfe2057\loch\af1\hich\af1\dbch\af31501\langnp1063\insrsid16465926\charrsid9899429 _x000d__x000a_\hich\af1\dbch\af31501\loch\f1 &lt;/AmendA&gt;}{\rtlch\fcs1 \af0 \ltrch\fcs0 \insrsid1646592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9d394e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7\fbidi \froman\fcharset238\fprq2 Times New Roman CE;}{\f308\fbidi \froman\fcharset204\fprq2 Times New Roman Cyr;}_x000d__x000a_{\f310\fbidi \froman\fcharset161\fprq2 Times New Roman Greek;}{\f311\fbidi \froman\fcharset162\fprq2 Times New Roman Tur;}{\f312\fbidi \froman\fcharset177\fprq2 Times New Roman (Hebrew);}{\f313\fbidi \froman\fcharset178\fprq2 Times New Roman (Arabic);}_x000d__x000a_{\f314\fbidi \froman\fcharset186\fprq2 Times New Roman Baltic;}{\f315\fbidi \froman\fcharset163\fprq2 Times New Roman (Vietnamese);}{\f317\fbidi \fswiss\fcharset238\fprq2 Arial CE;}{\f318\fbidi \fswiss\fcharset204\fprq2 Arial Cyr;}_x000d__x000a_{\f320\fbidi \fswiss\fcharset161\fprq2 Arial Greek;}{\f321\fbidi \fswiss\fcharset162\fprq2 Arial Tur;}{\f322\fbidi \fswiss\fcharset177\fprq2 Arial (Hebrew);}{\f323\fbidi \fswiss\fcharset178\fprq2 Arial (Arabic);}_x000d__x000a_{\f324\fbidi \fswiss\fcharset186\fprq2 Arial Baltic;}{\f325\fbidi \fswiss\fcharset163\fprq2 Arial (Vietnamese);}{\f647\fbidi \froman\fcharset238\fprq2 Cambria Math CE;}{\f648\fbidi \froman\fcharset204\fprq2 Cambria Math Cyr;}_x000d__x000a_{\f650\fbidi \froman\fcharset161\fprq2 Cambria Math Greek;}{\f651\fbidi \froman\fcharset162\fprq2 Cambria Math Tur;}{\f654\fbidi \froman\fcharset186\fprq2 Cambria Math Baltic;}{\f65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00598 HideTWBExt;}{\*\cs18 \additive \v\f1\fs20\cf15 _x000d__x000a_\spriority0 \styrsid5600598 HideTWBInt;}{\s19\ql \li0\ri0\sa240\nowidctlpar\wrapdefault\aspalpha\aspnum\faauto\adjustright\rin0\lin0\itap0 \rtlch\fcs1 \af0\afs20\alang1025 \ltrch\fcs0 \i\fs24\lang1063\langfe2057\cgrid\langnp1063\langfenp2057 _x000d__x000a_\sbasedon0 \snext19 \spriority0 \styrsid5600598 AmJustText;}{\s20\ql \li0\ri0\sa120\nowidctlpar\wrapdefault\aspalpha\aspnum\faauto\adjustright\rin0\lin0\itap0 \rtlch\fcs1 \af0\afs20\alang1025 \ltrch\fcs0 _x000d__x000a_\fs24\lang1063\langfe2057\cgrid\langnp1063\langfenp2057 \sbasedon0 \snext20 \spriority0 \styrsid5600598 Normal6a;}{\s21\ql \li0\ri0\nowidctlpar\wrapdefault\aspalpha\aspnum\faauto\adjustright\rin0\lin0\itap0 \rtlch\fcs1 \af0\afs20\alang1025 \ltrch\fcs0 _x000d__x000a_\b\fs24\lang1063\langfe2057\cgrid\langnp1063\langfenp2057 \sbasedon0 \snext21 \spriority0 \styrsid5600598 NormalBold;}{\s22\qc \li0\ri0\sa240\nowidctlpar\wrapdefault\aspalpha\aspnum\faauto\adjustright\rin0\lin0\itap0 \rtlch\fcs1 \af0\afs20\alang1025 _x000d__x000a_\ltrch\fcs0 \i\fs24\lang1063\langfe2057\cgrid\langnp1063\langfenp2057 \sbasedon0 \snext22 \spriority0 \styrsid56005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3 \spriority0 \styrsid5600598 AmNumberTabs;}{\s24\ql \li0\ri0\sb240\nowidctlpar\wrapdefault\aspalpha\aspnum\faauto\adjustright\rin0\lin0\itap0 \rtlch\fcs1 _x000d__x000a_\af0\afs20\alang1025 \ltrch\fcs0 \b\fs24\lang1063\langfe2057\cgrid\langnp1063\langfenp2057 \sbasedon0 \snext24 \spriority0 \styrsid5600598 NormalBold12b;}{_x000d__x000a_\s25\qc \li0\ri0\sb240\sa240\nowidctlpar\wrapdefault\aspalpha\aspnum\faauto\adjustright\rin0\lin0\itap0 \rtlch\fcs1 \af0\afs20\alang1025 \ltrch\fcs0 \i\fs24\lang1063\langfe2057\cgrid\langnp1063\langfenp2057 \sbasedon0 \snext25 \spriority0 \styrsid5600598 _x000d__x000a_AmCrossRef;}{\s26\qc \li0\ri0\sb240\sa240\keepn\nowidctlpar\wrapdefault\aspalpha\aspnum\faauto\adjustright\rin0\lin0\itap0 \rtlch\fcs1 \af0\afs20\alang1025 \ltrch\fcs0 \i\fs24\lang1063\langfe2057\cgrid\langnp1063\langfenp2057 _x000d__x000a_\sbasedon0 \snext19 \spriority0 \styrsid5600598 AmJustTitle;}}{\*\rsidtbl \rsid24658\rsid223860\rsid735077\rsid1718133\rsid2892074\rsid3565327\rsid4666813\rsid5600598\rsid6641733\rsid7823322\rsid9636012\rsid9648399\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MANCIUNSKAS Dalius}{\operator MANCIUNSKAS Dalius}{\creatim\yr2022\mo11\dy9\hr17\min16}{\revtim\yr2022\mo11\dy9\hr17\min16}{\version1}{\edmins0}{\nofpages1}{\nofwords83}{\nofchars581}{\nofcharsws656}{\vern107}}{\*\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00598\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9648399 \chftnsep _x000d__x000a_\par }}{\*\ftnsepc \ltrpar \pard\plain \ltrpar\ql \li0\ri0\widctlpar\wrapdefault\aspalpha\aspnum\faauto\adjustright\rin0\lin0\itap0 \rtlch\fcs1 \af0\afs20\alang1025 \ltrch\fcs0 \fs24\lang2057\langfe2057\cgrid\langnp2057\langfenp2057 {\rtlch\fcs1 \af0 _x000d__x000a_\ltrch\fcs0 \insrsid9648399 \chftnsepc _x000d__x000a_\par }}{\*\aftnsep \ltrpar \pard\plain \ltrpar\ql \li0\ri0\widctlpar\wrapdefault\aspalpha\aspnum\faauto\adjustright\rin0\lin0\itap0 \rtlch\fcs1 \af0\afs20\alang1025 \ltrch\fcs0 \fs24\lang2057\langfe2057\cgrid\langnp2057\langfenp2057 {\rtlch\fcs1 \af0 _x000d__x000a_\ltrch\fcs0 \insrsid9648399 \chftnsep _x000d__x000a_\par }}{\*\aftnsepc \ltrpar \pard\plain \ltrpar\ql \li0\ri0\widctlpar\wrapdefault\aspalpha\aspnum\faauto\adjustright\rin0\lin0\itap0 \rtlch\fcs1 \af0\afs20\alang1025 \ltrch\fcs0 \fs24\lang2057\langfe2057\cgrid\langnp2057\langfenp2057 {\rtlch\fcs1 \af0 _x000d__x000a_\ltrch\fcs0 \insrsid96483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5600598 \rtlch\fcs1 _x000d__x000a_\af0\afs20\alang1025 \ltrch\fcs0 \b\fs24\lang1063\langfe2057\cgrid\langnp1063\langfenp2057 {\rtlch\fcs1 \af0 \ltrch\fcs0 \cs17\b0\v\fs20\cf9\loch\af1\hich\af1\dbch\af31501\insrsid5600598\charrsid9899429 {\*\bkmkstart restartB}_x000d__x000a_\hich\af1\dbch\af31501\loch\f1 &lt;AmendB&gt;}{\rtlch\fcs1 \af0 \ltrch\fcs0 \insrsid5600598\charrsid9899429 Pakeitimas\tab \tab }{\rtlch\fcs1 \af0 \ltrch\fcs0 \cs17\b0\v\fs20\cf9\loch\af1\hich\af1\dbch\af31501\insrsid5600598\charrsid9899429 _x000d__x000a_\hich\af1\dbch\af31501\loch\f1 &lt;NumAmB&gt;}{\rtlch\fcs1 \af0 \ltrch\fcs0 \insrsid5600598\charrsid9899429 #}{\rtlch\fcs1 \af1 \ltrch\fcs0 \cs18\v\f1\fs20\cf15\insrsid5600598\charrsid9899429 ENMIENDA@NRAM@}{\rtlch\fcs1 \af0 \ltrch\fcs0 _x000d__x000a_\insrsid5600598\charrsid9899429 #}{\rtlch\fcs1 \af0 \ltrch\fcs0 \cs17\b0\v\fs20\cf9\loch\af1\hich\af1\dbch\af31501\insrsid5600598\charrsid9899429 \hich\af1\dbch\af31501\loch\f1 &lt;/NumAmB&gt;}{\rtlch\fcs1 \af0 \ltrch\fcs0 \insrsid5600598\charrsid9899429 _x000d__x000a__x000d__x000a_\par }\pard\plain \ltrpar\s24\ql \li0\ri0\sb240\keepn\nowidctlpar\wrapdefault\aspalpha\aspnum\faauto\adjustright\rin0\lin0\itap0\pararsid5600598 \rtlch\fcs1 \af0\afs20\alang1025 \ltrch\fcs0 \b\fs24\lang1063\langfe2057\cgrid\langnp1063\langfenp2057 {_x000d__x000a_\rtlch\fcs1 \af0 \ltrch\fcs0 \cs17\b0\v\fs20\cf9\loch\af1\hich\af1\dbch\af31501\insrsid5600598\charrsid9899429 \hich\af1\dbch\af31501\loch\f1 &lt;DocAmend&gt;}{\rtlch\fcs1 \af0 \ltrch\fcs0 \insrsid5600598\charrsid9899429 #}{\rtlch\fcs1 \af1 \ltrch\fcs0 _x000d__x000a_\cs18\v\f1\fs20\cf15\insrsid5600598\charrsid9899429 MNU[OPTPROPOSALCOD][OPTPROPOSALCNS][OPTPROPOSALNLE]@CHOICE@CODEMNU}{\rtlch\fcs1 \af0 \ltrch\fcs0 \insrsid5600598\charrsid9899429 ##}{\rtlch\fcs1 \af1 \ltrch\fcs0 _x000d__x000a_\cs18\v\f1\fs20\cf15\insrsid5600598\charrsid9899429 MNU[AMACTYES][NOTAPP]@CHOICE@AMACTMNU}{\rtlch\fcs1 \af0 \ltrch\fcs0 \insrsid5600598\charrsid9899429 #}{\rtlch\fcs1 \af0 \ltrch\fcs0 _x000d__x000a_\cs17\b0\v\fs20\cf9\loch\af1\hich\af1\dbch\af31501\insrsid5600598\charrsid9899429 \hich\af1\dbch\af31501\loch\f1 &lt;/DocAmend&gt;}{\rtlch\fcs1 \af0 \ltrch\fcs0 \insrsid5600598\charrsid9899429 _x000d__x000a_\par }\pard\plain \ltrpar\s21\ql \li0\ri0\keepn\nowidctlpar\wrapdefault\aspalpha\aspnum\faauto\adjustright\rin0\lin0\itap0\pararsid5600598 \rtlch\fcs1 \af0\afs20\alang1025 \ltrch\fcs0 \b\fs24\lang1063\langfe2057\cgrid\langnp1063\langfenp2057 {\rtlch\fcs1 \af0 _x000d__x000a_\ltrch\fcs0 \cs17\b0\v\fs20\cf9\loch\af1\hich\af1\dbch\af31501\insrsid5600598\charrsid9899429 \hich\af1\dbch\af31501\loch\f1 &lt;Article&gt;}{\rtlch\fcs1 \af0 \ltrch\fcs0 \insrsid5600598\charrsid9899429 #}{\rtlch\fcs1 \af1 \ltrch\fcs0 _x000d__x000a_\cs18\v\f1\fs20\cf15\insrsid5600598\charrsid9899429 MNU[AMACTPARTYES][AMACTPARTNO]@CHOICE@AMACTMNU}{\rtlch\fcs1 \af0 \ltrch\fcs0 \insrsid5600598\charrsid9899429 #}{\rtlch\fcs1 \af0 \ltrch\fcs0 _x000d__x000a_\cs17\b0\v\fs20\cf9\loch\af1\hich\af1\dbch\af31501\insrsid5600598\charrsid9899429 \hich\af1\dbch\af31501\loch\f1 &lt;/Article&gt;}{\rtlch\fcs1 \af0 \ltrch\fcs0 \insrsid5600598\charrsid9899429 _x000d__x000a_\par }\pard\plain \ltrpar\ql \li0\ri0\keepn\widctlpar\wrapdefault\aspalpha\aspnum\faauto\adjustright\rin0\lin0\itap0\pararsid5600598 \rtlch\fcs1 \af0\afs20\alang1025 \ltrch\fcs0 \fs24\lang2057\langfe2057\cgrid\langnp2057\langfenp2057 {\rtlch\fcs1 \af0 _x000d__x000a_\ltrch\fcs0 \cs17\v\fs20\cf9\lang1063\langfe2057\loch\af1\hich\af1\dbch\af31501\langnp1063\insrsid5600598\charrsid9899429 \hich\af1\dbch\af31501\loch\f1 &lt;DocAmend2&gt;&lt;OptDel&gt;}{\rtlch\fcs1 \af0 \ltrch\fcs0 _x000d__x000a_\lang1063\langfe2057\langnp1063\insrsid5600598\charrsid9899429 #}{\rtlch\fcs1 \af1 \ltrch\fcs0 \cs18\v\f1\fs20\cf15\lang1063\langfe2057\langnp1063\insrsid5600598\charrsid9899429 MNU[OPTNRACTYES][NOTAPP]@CHOICE@AMACTMNU}{\rtlch\fcs1 \af0 \ltrch\fcs0 _x000d__x000a_\lang1063\langfe2057\langnp1063\insrsid5600598\charrsid9899429 #}{\rtlch\fcs1 \af0 \ltrch\fcs0 \cs17\v\fs20\cf9\lang1063\langfe2057\loch\af1\hich\af1\dbch\af31501\langnp1063\insrsid5600598\charrsid9899429 \hich\af1\dbch\af31501\loch\f1 _x000d__x000a_&lt;/OptDel&gt;&lt;/DocAmend2&gt;}{\rtlch\fcs1 \af0 \ltrch\fcs0 \lang1063\langfe2057\langnp1063\insrsid5600598\charrsid9899429 _x000d__x000a_\par }\pard \ltrpar\ql \li0\ri0\widctlpar\wrapdefault\aspalpha\aspnum\faauto\adjustright\rin0\lin0\itap0\pararsid5600598 {\rtlch\fcs1 \af0 \ltrch\fcs0 _x000d__x000a_\cs17\v\fs20\cf9\lang1063\langfe2057\loch\af1\hich\af1\dbch\af31501\langnp1063\insrsid5600598\charrsid9899429 \hich\af1\dbch\af31501\loch\f1 &lt;Article2&gt;&lt;OptDel&gt;}{\rtlch\fcs1 \af0 \ltrch\fcs0 \lang1063\langfe2057\langnp1063\insrsid5600598\charrsid9899429 #}_x000d__x000a_{\rtlch\fcs1 \af1 \ltrch\fcs0 \cs18\v\f1\fs20\cf15\lang1063\langfe2057\langnp1063\insrsid5600598\charrsid9899429 MNU[OPTACTPARTYES][NOTAPP]@CHOICE@AMACTMNU}{\rtlch\fcs1 \af0 \ltrch\fcs0 \lang1063\langfe2057\langnp1063\insrsid5600598\charrsid9899429 #}{_x000d__x000a_\rtlch\fcs1 \af0 \ltrch\fcs0 \cs17\v\fs20\cf9\lang1063\langfe2057\loch\af1\hich\af1\dbch\af31501\langnp1063\insrsid5600598\charrsid9899429 \hich\af1\dbch\af31501\loch\f1 &lt;/OptDel&gt;&lt;/Article2&gt;}{\rtlch\fcs1 \af0 \ltrch\fcs0 _x000d__x000a_\lang1063\langfe2057\langnp1063\insrsid5600598\charrsid9899429 _x000d__x000a_\par \ltrrow}\trowd \irow0\irowband0\ltrrow\ts11\trqc\trgaph340\trleft-340\trftsWidth3\trwWidth9752\trftsWidthB3\trpaddl340\trpaddr340\trpaddfl3\trpaddft3\trpaddfb3\trpaddfr3\tblrsid15956061\tblind0\tblindtype3 \clvertalt\clbrdrt\brdrtbl \clbrdrl\brdrtbl _x000d__x000a_\clbrdrb\brdrtbl \clbrdrr\brdrtbl \cltxlrtb\clftsWidth3\clwWidth9752\clshdrawnil \cellx9412\pard \ltrpar\ql \li0\ri0\keepn\widctlpar\intbl\wrapdefault\aspalpha\aspnum\faauto\adjustright\rin0\lin0\pararsid15956061 {\rtlch\fcs1 \af0 \ltrch\fcs0 _x000d__x000a_\lang1063\langfe2057\langnp1063\insrsid5600598\charrsid9899429 \cell }\pard \ltrpar\ql \li0\ri0\widctlpar\intbl\wrapdefault\aspalpha\aspnum\faauto\adjustright\rin0\lin0 {\rtlch\fcs1 \af0 \ltrch\fcs0 _x000d__x000a_\lang1063\langfe2057\langnp1063\insrsid5600598\charrsid9899429 \trowd \irow0\irowband0\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5956061 \rtlch\fcs1 \af0\afs20\alang1025 \ltrch\fcs0 \i\fs24\lang1063\langfe2057\cgrid\langnp1063\langfenp2057 {\rtlch\fcs1 \af0 \ltrch\fcs0 _x000d__x000a_\insrsid5600598\charrsid9899429 #}{\rtlch\fcs1 \af1 \ltrch\fcs0 \cs18\v\f1\fs20\cf15\insrsid5600598\charrsid9899429 MNU[OPTLEFTAMACT][LEFTPROP]@CHOICE@AMACTMNU}{\rtlch\fcs1 \af0 \ltrch\fcs0 \insrsid5600598\charrsid9899429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5600598\charrsid9899429 \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0\ql \li0\ri0\sa120\nowidctlpar\intbl\wrapdefault\aspalpha\aspnum\faauto\adjustright\rin0\lin0\pararsid15956061 \rtlch\fcs1 \af0\afs20\alang1025 \ltrch\fcs0 \fs24\lang1063\langfe2057\cgrid\langnp1063\langfenp2057 {\rtlch\fcs1 \af0 \ltrch\fcs0 _x000d__x000a_\insrsid5600598\charrsid9899429 #}{\rtlch\fcs1 \af1 \ltrch\fcs0 \cs18\v\f1\fs20\cf15\insrsid5600598\charrsid9899429 Tekstas}{\rtlch\fcs1 \af0 \ltrch\fcs0 \insrsid5600598\charrsid9899429 #\cell #}{\rtlch\fcs1 \af1 \ltrch\fcs0 _x000d__x000a_\cs18\v\f1\fs20\cf15\insrsid5600598\charrsid9899429 Tekstas}{\rtlch\fcs1 \af0 \ltrch\fcs0 \insrsid5600598\charrsid9899429 #}{\rtlch\fcs1 \af0\afs24 \ltrch\fcs0 \insrsid5600598\charrsid9899429 \cell }\pard\plain \ltrpar_x000d__x000a_\ql \li0\ri0\widctlpar\intbl\wrapdefault\aspalpha\aspnum\faauto\adjustright\rin0\lin0 \rtlch\fcs1 \af0\afs20\alang1025 \ltrch\fcs0 \fs24\lang2057\langfe2057\cgrid\langnp2057\langfenp2057 {\rtlch\fcs1 \af0 \ltrch\fcs0 _x000d__x000a_\lang1063\langfe2057\langnp1063\insrsid5600598\charrsid9899429 \trowd \irow2\irowband2\lastrow \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5\qc \li0\ri0\sb240\sa240\nowidctlpar\wrapdefault\aspalpha\aspnum\faauto\adjustright\rin0\lin0\itap0\pararsid5600598 \rtlch\fcs1 \af0\afs20\alang1025 \ltrch\fcs0 \i\fs24\lang1063\langfe2057\cgrid\langnp1063\langfenp2057 {\rtlch\fcs1 \af0 \ltrch\fcs0 _x000d__x000a_\cs17\i0\v\fs20\cf9\loch\af1\hich\af1\dbch\af31501\insrsid5600598\charrsid9899429 \hich\af1\dbch\af31501\loch\f1 &lt;OptDel&gt;}{\rtlch\fcs1 \af0 \ltrch\fcs0 \insrsid5600598\charrsid9899429 #}{\rtlch\fcs1 \af1 \ltrch\fcs0 _x000d__x000a_\cs18\v\f1\fs20\cf15\insrsid5600598\charrsid9899429 MNU[CROSSREFNO][CROSSREFYES]@CHOICE@}{\rtlch\fcs1 \af0 \ltrch\fcs0 \insrsid5600598\charrsid9899429 #}{\rtlch\fcs1 \af0 \ltrch\fcs0 _x000d__x000a_\cs17\i0\v\fs20\cf9\loch\af1\hich\af1\dbch\af31501\insrsid5600598\charrsid9899429 \hich\af1\dbch\af31501\loch\f1 &lt;/OptDel&gt;}{\rtlch\fcs1 \af0 \ltrch\fcs0 \insrsid5600598\charrsid9899429 _x000d__x000a_\par }\pard\plain \ltrpar\s26\qc \li0\ri0\sb240\sa240\keepn\nowidctlpar\wrapdefault\aspalpha\aspnum\faauto\adjustright\rin0\lin0\itap0\pararsid5600598 \rtlch\fcs1 \af0\afs20\alang1025 \ltrch\fcs0 \i\fs24\lang1063\langfe2057\cgrid\langnp1063\langfenp2057 {_x000d__x000a_\rtlch\fcs1 \af0 \ltrch\fcs0 \cs17\i0\v\fs20\cf9\loch\af1\hich\af1\dbch\af31501\insrsid5600598\charrsid9899429 \hich\af1\dbch\af31501\loch\f1 &lt;TitreJust&gt;}{\rtlch\fcs1 \af0 \ltrch\fcs0 \insrsid5600598\charrsid9899429 Pagrindimas}{\rtlch\fcs1 \af0 _x000d__x000a_\ltrch\fcs0 \cs17\i0\v\fs20\cf9\loch\af1\hich\af1\dbch\af31501\insrsid5600598\charrsid9899429 \hich\af1\dbch\af31501\loch\f1 &lt;/TitreJust&gt;}{\rtlch\fcs1 \af0 \ltrch\fcs0 \insrsid5600598\charrsid9899429 _x000d__x000a_\par }\pard\plain \ltrpar\s19\ql \li0\ri0\sa240\nowidctlpar\wrapdefault\aspalpha\aspnum\faauto\adjustright\rin0\lin0\itap0\pararsid5600598 \rtlch\fcs1 \af0\afs20\alang1025 \ltrch\fcs0 \i\fs24\lang1063\langfe2057\cgrid\langnp1063\langfenp2057 {\rtlch\fcs1 \af0 _x000d__x000a_\ltrch\fcs0 \cs17\i0\v\fs20\cf9\loch\af1\hich\af1\dbch\af31501\insrsid5600598\charrsid9899429 \hich\af1\dbch\af31501\loch\f1 &lt;OptDelPrev&gt;}{\rtlch\fcs1 \af0 \ltrch\fcs0 \insrsid5600598\charrsid9899429 #}{\rtlch\fcs1 \af1 \ltrch\fcs0 _x000d__x000a_\cs18\v\f1\fs20\cf15\insrsid5600598\charrsid9899429 MNU[TEXTJUSTYES][TEXTJUSTNO]@CHOICE@}{\rtlch\fcs1 \af0 \ltrch\fcs0 \insrsid5600598\charrsid9899429 #}{\rtlch\fcs1 \af0 \ltrch\fcs0 _x000d__x000a_\cs17\i0\v\fs20\cf9\loch\af1\hich\af1\dbch\af31501\insrsid5600598\charrsid9899429 \hich\af1\dbch\af31501\loch\f1 &lt;/OptDelPrev&gt;}{\rtlch\fcs1 \af0 \ltrch\fcs0 \insrsid5600598\charrsid9899429 _x000d__x000a_\par }\pard\plain \ltrpar\ql \li0\ri0\widctlpar\wrapdefault\aspalpha\aspnum\faauto\adjustright\rin0\lin0\itap0\pararsid5600598 \rtlch\fcs1 \af0\afs20\alang1025 \ltrch\fcs0 \fs24\lang2057\langfe2057\cgrid\langnp2057\langfenp2057 {\rtlch\fcs1 \af0 \ltrch\fcs0 _x000d__x000a_\cs17\v\fs20\cf9\lang1063\langfe2057\loch\af1\hich\af1\dbch\af31501\langnp1063\insrsid5600598\charrsid9899429 \hich\af1\dbch\af31501\loch\f1 &lt;/AmendB&gt;}{\rtlch\fcs1 \af0 \ltrch\fcs0 \insrsid560059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ec_x000d__x000a_af3f4e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7\fbidi \froman\fcharset238\fprq2 Times New Roman CE;}{\f308\fbidi \froman\fcharset204\fprq2 Times New Roman Cyr;}_x000d__x000a_{\f310\fbidi \froman\fcharset161\fprq2 Times New Roman Greek;}{\f311\fbidi \froman\fcharset162\fprq2 Times New Roman Tur;}{\f312\fbidi \froman\fcharset177\fprq2 Times New Roman (Hebrew);}{\f313\fbidi \froman\fcharset178\fprq2 Times New Roman (Arabic);}_x000d__x000a_{\f314\fbidi \froman\fcharset186\fprq2 Times New Roman Baltic;}{\f315\fbidi \froman\fcharset163\fprq2 Times New Roman (Vietnamese);}{\f317\fbidi \fswiss\fcharset238\fprq2 Arial CE;}{\f318\fbidi \fswiss\fcharset204\fprq2 Arial Cyr;}_x000d__x000a_{\f320\fbidi \fswiss\fcharset161\fprq2 Arial Greek;}{\f321\fbidi \fswiss\fcharset162\fprq2 Arial Tur;}{\f322\fbidi \fswiss\fcharset177\fprq2 Arial (Hebrew);}{\f323\fbidi \fswiss\fcharset178\fprq2 Arial (Arabic);}_x000d__x000a_{\f324\fbidi \fswiss\fcharset186\fprq2 Arial Baltic;}{\f325\fbidi \fswiss\fcharset163\fprq2 Arial (Vietnamese);}{\f647\fbidi \froman\fcharset238\fprq2 Cambria Math CE;}{\f648\fbidi \froman\fcharset204\fprq2 Cambria Math Cyr;}_x000d__x000a_{\f650\fbidi \froman\fcharset161\fprq2 Cambria Math Greek;}{\f651\fbidi \froman\fcharset162\fprq2 Cambria Math Tur;}{\f654\fbidi \froman\fcharset186\fprq2 Cambria Math Baltic;}{\f65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1249 HideTWBExt;}{_x000d__x000a_\s18\ql \li0\ri0\sa120\nowidctlpar\wrapdefault\aspalpha\aspnum\faauto\adjustright\rin0\lin0\itap0 \rtlch\fcs1 \af0\afs20\alang1025 \ltrch\fcs0 \fs24\lang2057\langfe2057\cgrid\langnp2057\langfenp2057 \sbasedon0 \snext18 \spriority0 \styrsid14831249 _x000d__x000a_Normal6a;}{\s19\ql \li0\ri0\nowidctlpar\wrapdefault\aspalpha\aspnum\faauto\adjustright\rin0\lin0\itap0 \rtlch\fcs1 \af0\afs20\alang1025 \ltrch\fcs0 \b\fs24\lang2057\langfe2057\cgrid\langnp2057\langfenp2057 \sbasedon0 \snext19 \spriority0 \styrsid14831249 _x000d__x000a_NormalBold;}{\s20\qc \li0\ri0\sa240\nowidctlpar\wrapdefault\aspalpha\aspnum\faauto\adjustright\rin0\lin0\itap0 \rtlch\fcs1 \af0\afs20\alang1025 \ltrch\fcs0 \i\fs24\lang2057\langfe2057\cgrid\langnp2057\langfenp2057 _x000d__x000a_\sbasedon0 \snext20 \spriority0 \styrsid1483124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831249 AmNumberTabs;}{\s22\ql \li0\ri0\sb240\nowidctlpar\wrapdefault\aspalpha\aspnum\faauto\adjustright\rin0\lin0\itap0 \rtlch\fcs1 _x000d__x000a_\af0\afs20\alang1025 \ltrch\fcs0 \b\fs24\lang2057\langfe2057\cgrid\langnp2057\langfenp2057 \sbasedon0 \snext22 \spriority0 \styrsid14831249 NormalBold12b;}}{\*\rsidtbl \rsid24658\rsid223860\rsid735077\rsid1718133\rsid2892074\rsid3565327\rsid4666813_x000d__x000a_\rsid5460275\rsid6641733\rsid7823322\rsid9636012\rsid10377208\rsid11215221\rsid11549030\rsid12154954\rsid14382809\rsid14424199\rsid14831249\rsid15204470\rsid15285974\rsid15950462\rsid16324206\rsid16662270}{\mmathPr\mmathFont34\mbrkBin0\mbrkBinSub0_x000d__x000a_\msmallFrac0\mdispDef1\mlMargin0\mrMargin0\mdefJc1\mwrapIndent1440\mintLim0\mnaryLim1}{\info{\author MANCIUNSKAS Dalius}{\operator MANCIUNSKAS Dalius}{\creatim\yr2022\mo11\dy9\hr17\min16}{\revtim\yr2022\mo11\dy9\hr17\min16}{\version1}{\edmins0}_x000d__x000a_{\nofpages1}{\nofwords20}{\nofchars143}{\nofcharsws16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1249\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5460275 \chftnsep _x000d__x000a_\par }}{\*\ftnsepc \ltrpar \pard\plain \ltrpar\ql \li0\ri0\widctlpar\wrapdefault\aspalpha\aspnum\faauto\adjustright\rin0\lin0\itap0 \rtlch\fcs1 \af0\afs20\alang1025 \ltrch\fcs0 \fs24\lang2057\langfe2057\cgrid\langnp2057\langfenp2057 {\rtlch\fcs1 \af0 _x000d__x000a_\ltrch\fcs0 \insrsid5460275 \chftnsepc _x000d__x000a_\par }}{\*\aftnsep \ltrpar \pard\plain \ltrpar\ql \li0\ri0\widctlpar\wrapdefault\aspalpha\aspnum\faauto\adjustright\rin0\lin0\itap0 \rtlch\fcs1 \af0\afs20\alang1025 \ltrch\fcs0 \fs24\lang2057\langfe2057\cgrid\langnp2057\langfenp2057 {\rtlch\fcs1 \af0 _x000d__x000a_\ltrch\fcs0 \insrsid5460275 \chftnsep _x000d__x000a_\par }}{\*\aftnsepc \ltrpar \pard\plain \ltrpar\ql \li0\ri0\widctlpar\wrapdefault\aspalpha\aspnum\faauto\adjustright\rin0\lin0\itap0 \rtlch\fcs1 \af0\afs20\alang1025 \ltrch\fcs0 \fs24\lang2057\langfe2057\cgrid\langnp2057\langfenp2057 {\rtlch\fcs1 \af0 _x000d__x000a_\ltrch\fcs0 \insrsid54602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nowidctlpar_x000d__x000a_\tx879\tx936\tx1021\tx1077\tx1134\tx1191\tx1247\tx1304\tx1361\tx1418\tx1474\tx1531\tx1588\tx1644\tx1701\tx1758\tx1814\tx1871\tx2070\tx2126\tx3374\tx3430\wrapdefault\aspalpha\aspnum\faauto\adjustright\rin0\lin0\itap0\pararsid14831249 \rtlch\fcs1 _x000d__x000a_\af0\afs20\alang1025 \ltrch\fcs0 \b\fs24\lang2057\langfe2057\cgrid\langnp2057\langfenp2057 {\rtlch\fcs1 \af0 \ltrch\fcs0 \cs17\b0\v\fs20\cf9\lang1024\langfe1024\loch\af1\hich\af1\dbch\af31501\noproof\langnp1036\insrsid14831249\charrsid4672642 _x000d__x000a_{\*\bkmkstart restartA}\hich\af1\dbch\af31501\loch\f1 &lt;AmendA&gt;}{\rtlch\fcs1 \af0 \ltrch\fcs0 \lang1036\langfe2057\langnp1036\insrsid14831249\charrsid4672642 [ZAMENDMENT]\tab \tab }{\rtlch\fcs1 \af0 \ltrch\fcs0 _x000d__x000a_\cs17\b0\v\fs20\cf9\lang1024\langfe1024\loch\af1\hich\af1\dbch\af31501\noproof\langnp1036\insrsid14831249\charrsid4672642 \hich\af1\dbch\af31501\loch\f1 &lt;NumAmA&gt;}{\rtlch\fcs1 \af0 \ltrch\fcs0 _x000d__x000a_\lang1036\langfe2057\langnp1036\insrsid14831249\charrsid4672642 [ZNRAM]}{\rtlch\fcs1 \af0 \ltrch\fcs0 \cs17\b0\v\fs20\cf9\lang1024\langfe1024\loch\af1\hich\af1\dbch\af31501\noproof\langnp1036\insrsid14831249\charrsid4672642 \hich\af1\dbch\af31501\loch\f1 _x000d__x000a_&lt;/NumAmA&gt;}{\rtlch\fcs1 \af0 \ltrch\fcs0 \lang1036\langfe2057\langnp1036\insrsid14831249\charrsid4672642 _x000d__x000a_\par }\pard\plain \ltrpar\s22\ql \li0\ri0\sb240\keepn\nowidctlpar\wrapdefault\aspalpha\aspnum\faauto\adjustright\rin0\lin0\itap0\pararsid14831249 \rtlch\fcs1 \af0\afs20\alang1025 \ltrch\fcs0 \b\fs24\lang2057\langfe2057\cgrid\langnp2057\langfenp2057 {_x000d__x000a_\rtlch\fcs1 \af0 \ltrch\fcs0 \cs17\b0\v\fs20\cf9\lang1024\langfe1024\loch\af1\hich\af1\dbch\af31501\noproof\langnp1036\insrsid14831249\charrsid14566192 \hich\af1\dbch\af31501\loch\f1 &lt;DocAmend&gt;}{\rtlch\fcs1 \af0 \ltrch\fcs0 _x000d__x000a_\lang1036\langfe2057\langnp1036\insrsid14831249\charrsid14566192 [ZRESOLUTION]}{\rtlch\fcs1 \af0 \ltrch\fcs0 \cs17\b0\v\fs20\cf9\lang1024\langfe1024\loch\af1\hich\af1\dbch\af31501\noproof\langnp1036\insrsid14831249\charrsid14566192 _x000d__x000a_\hich\af1\dbch\af31501\loch\f1 &lt;/DocAmend&gt;}{\rtlch\fcs1 \af0 \ltrch\fcs0 \lang1036\langfe2057\langnp1036\insrsid14831249\charrsid14566192 _x000d__x000a_\par }\pard\plain \ltrpar\s19\ql \li0\ri0\nowidctlpar\wrapdefault\aspalpha\aspnum\faauto\adjustright\rin0\lin0\itap0\pararsid14831249 \rtlch\fcs1 \af0\afs20\alang1025 \ltrch\fcs0 \b\fs24\lang2057\langfe2057\cgrid\langnp2057\langfenp2057 {\rtlch\fcs1 \af0 _x000d__x000a_\ltrch\fcs0 \cs17\b0\v\fs20\cf9\lang1024\langfe1024\loch\af1\hich\af1\dbch\af31501\noproof\langnp1036\insrsid14831249\charrsid14566192 \hich\af1\dbch\af31501\loch\f1 &lt;Article&gt;}{\rtlch\fcs1 \af0 \ltrch\fcs0 _x000d__x000a_\lang1036\langfe2057\langnp1036\insrsid14831249\charrsid14566192 [ZRESPART]}{\rtlch\fcs1 \af0 \ltrch\fcs0 \cs17\b0\v\fs20\cf9\lang1024\langfe1024\loch\af1\hich\af1\dbch\af31501\noproof\langnp1036\insrsid14831249\charrsid14566192 _x000d__x000a_\hich\af1\dbch\af31501\loch\f1 &lt;/Article&gt;}{\rtlch\fcs1 \af0 \ltrch\fcs0 \lang1036\langfe2057\langnp1036\insrsid14831249\charrsid14566192 _x000d__x000a_\par \ltrrow}\trowd \irow0\irowband0\ltrrow\ts11\trqc\trgaph340\trleft-340\trftsWidth1\trftsWidthB3\trpaddl340\trpaddr340\trpaddfl3\trpaddft3\trpaddfb3\trpaddfr3\tblrsid15956061\tblind0\tblindtype3 \clvertalt\clbrdrt\brdrtbl \clbrdrl\brdrtbl \clbrdrb\brdrtbl _x000d__x000a_\clbrdrr\brdrtbl \cltxlrtb\clftsWidth3\clwWidth9752\clshdrawnil \cellx9412\pard\plain \ltrpar\ql \li0\ri0\keepn\widctlpar\intbl\wrapdefault\aspalpha\aspnum\faauto\adjustright\rin0\lin0\pararsid15956061 \rtlch\fcs1 \af0\afs20\alang1025 \ltrch\fcs0 _x000d__x000a_\fs24\lang2057\langfe2057\cgrid\langnp2057\langfenp2057 {\rtlch\fcs1 \af0 \ltrch\fcs0 \lang1036\langfe2057\langnp1036\insrsid14831249\charrsid14566192 \cell }\pard \ltrpar_x000d__x000a_\ql \li0\ri0\widctlpar\intbl\wrapdefault\aspalpha\aspnum\faauto\adjustright\rin0\lin0 {\rtlch\fcs1 \af0 \ltrch\fcs0 \insrsid14831249\charrsid4672642 \trowd \irow0\irowband0\ltrrow_x000d__x000a_\ts11\trqc\trgaph340\trleft-340\trftsWidth1\trftsWidthB3\trpaddl340\trpaddr340\trpaddfl3\trpaddft3\trpaddfb3\trpaddfr3\tblrsid15956061\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5956061\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5956061 \rtlch\fcs1 \af0\afs20\alang1025 \ltrch\fcs0 _x000d__x000a_\i\fs24\lang2057\langfe2057\cgrid\langnp2057\langfenp2057 {\rtlch\fcs1 \af0 \ltrch\fcs0 \insrsid14831249\charrsid15879488 [ZLEFTA]\cell [ZRIGHT]\cell }\pard\plain \ltrpar_x000d__x000a_\ql \li0\ri0\widctlpar\intbl\wrapdefault\aspalpha\aspnum\faauto\adjustright\rin0\lin0 \rtlch\fcs1 \af0\afs20\alang1025 \ltrch\fcs0 \fs24\lang2057\langfe2057\cgrid\langnp2057\langfenp2057 {\rtlch\fcs1 \af0 \ltrch\fcs0 \insrsid14831249\charrsid15879488 _x000d__x000a_\trowd \irow1\irowband1\ltrrow\ts11\trqc\trgaph340\trleft-340\trftsWidth1\trftsWidthB3\trpaddl340\trpaddr340\trpaddfl3\trpaddft3\trpaddfb3\trpaddfr3\tblrsid15956061\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5956061 \rtlch\fcs1 \af0\afs20\alang1025 \ltrch\fcs0 \fs24\lang2057\langfe2057\cgrid\langnp2057\langfenp2057 {\rtlch\fcs1 \af0 \ltrch\fcs0 _x000d__x000a_\insrsid14831249\charrsid15879488 [ZTEXTL]\cell [ZTEXTR]}{\rtlch\fcs1 \af0\afs24 \ltrch\fcs0 \insrsid14831249\charrsid15879488 \cell }\pard\plain \ltrpar\ql \li0\ri0\widctlpar\intbl\wrapdefault\aspalpha\aspnum\faauto\adjustright\rin0\lin0 \rtlch\fcs1 _x000d__x000a_\af0\afs20\alang1025 \ltrch\fcs0 \fs24\lang2057\langfe2057\cgrid\langnp2057\langfenp2057 {\rtlch\fcs1 \af0 \ltrch\fcs0 \insrsid14831249\charrsid15879488 \trowd \irow2\irowband2\lastrow \ltrrow_x000d__x000a_\ts11\trqc\trgaph340\trleft-340\trftsWidth1\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831249 {\rtlch\fcs1 \af0 \ltrch\fcs0 \cs17\v\fs20\cf9\lang1024\langfe1024\loch\af1\hich\af1\dbch\af31501\noproof\insrsid14831249\charrsid15879488 _x000d__x000a_\hich\af1\dbch\af31501\loch\f1 &lt;/AmendA&gt;}{\rtlch\fcs1 \af0 \ltrch\fcs0 \insrsid1483124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14_x000d__x000a_0e4b4e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7\fbidi \froman\fcharset238\fprq2 Times New Roman CE;}{\f308\fbidi \froman\fcharset204\fprq2 Times New Roman Cyr;}_x000d__x000a_{\f310\fbidi \froman\fcharset161\fprq2 Times New Roman Greek;}{\f311\fbidi \froman\fcharset162\fprq2 Times New Roman Tur;}{\f312\fbidi \froman\fcharset177\fprq2 Times New Roman (Hebrew);}{\f313\fbidi \froman\fcharset178\fprq2 Times New Roman (Arabic);}_x000d__x000a_{\f314\fbidi \froman\fcharset186\fprq2 Times New Roman Baltic;}{\f315\fbidi \froman\fcharset163\fprq2 Times New Roman (Vietnamese);}{\f317\fbidi \fswiss\fcharset238\fprq2 Arial CE;}{\f318\fbidi \fswiss\fcharset204\fprq2 Arial Cyr;}_x000d__x000a_{\f320\fbidi \fswiss\fcharset161\fprq2 Arial Greek;}{\f321\fbidi \fswiss\fcharset162\fprq2 Arial Tur;}{\f322\fbidi \fswiss\fcharset177\fprq2 Arial (Hebrew);}{\f323\fbidi \fswiss\fcharset178\fprq2 Arial (Arabic);}_x000d__x000a_{\f324\fbidi \fswiss\fcharset186\fprq2 Arial Baltic;}{\f325\fbidi \fswiss\fcharset163\fprq2 Arial (Vietnamese);}{\f647\fbidi \froman\fcharset238\fprq2 Cambria Math CE;}{\f648\fbidi \froman\fcharset204\fprq2 Cambria Math Cyr;}_x000d__x000a_{\f650\fbidi \froman\fcharset161\fprq2 Cambria Math Greek;}{\f651\fbidi \froman\fcharset162\fprq2 Cambria Math Tur;}{\f654\fbidi \froman\fcharset186\fprq2 Cambria Math Baltic;}{\f65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03549 HideTWBExt;}{_x000d__x000a_\s18\ql \li0\ri0\sa240\nowidctlpar\wrapdefault\aspalpha\aspnum\faauto\adjustright\rin0\lin0\itap0 \rtlch\fcs1 \af0\afs20\alang1025 \ltrch\fcs0 \i\fs24\lang2057\langfe2057\cgrid\langnp2057\langfenp2057 \sbasedon0 \snext18 \spriority0 \styrsid8803549 _x000d__x000a_AmJustText;}{\s19\ql \li0\ri0\sa120\nowidctlpar\wrapdefault\aspalpha\aspnum\faauto\adjustright\rin0\lin0\itap0 \rtlch\fcs1 \af0\afs20\alang1025 \ltrch\fcs0 \fs24\lang2057\langfe2057\cgrid\langnp2057\langfenp2057 _x000d__x000a_\sbasedon0 \snext19 \spriority0 \styrsid8803549 Normal6a;}{\s20\ql \li0\ri0\nowidctlpar\wrapdefault\aspalpha\aspnum\faauto\adjustright\rin0\lin0\itap0 \rtlch\fcs1 \af0\afs20\alang1025 \ltrch\fcs0 \b\fs24\lang2057\langfe2057\cgrid\langnp2057\langfenp2057 _x000d__x000a_\sbasedon0 \snext20 \spriority0 \styrsid8803549 NormalBold;}{\s21\qc \li0\ri0\sa240\nowidctlpar\wrapdefault\aspalpha\aspnum\faauto\adjustright\rin0\lin0\itap0 \rtlch\fcs1 \af0\afs20\alang1025 \ltrch\fcs0 _x000d__x000a_\i\fs24\lang2057\langfe2057\cgrid\langnp2057\langfenp2057 \sbasedon0 \snext21 \spriority0 \styrsid880354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803549 AmNumberTabs;}{\s23\ql \li0\ri0\sb240\nowidctlpar\wrapdefault\aspalpha\aspnum\faauto\adjustright\rin0\lin0\itap0 \rtlch\fcs1 _x000d__x000a_\af0\afs20\alang1025 \ltrch\fcs0 \b\fs24\lang2057\langfe2057\cgrid\langnp2057\langfenp2057 \sbasedon0 \snext23 \spriority0 \styrsid8803549 NormalBold12b;}{_x000d__x000a_\s24\qc \li0\ri0\sb240\sa240\nowidctlpar\wrapdefault\aspalpha\aspnum\faauto\adjustright\rin0\lin0\itap0 \rtlch\fcs1 \af0\afs20\alang1025 \ltrch\fcs0 \i\fs24\lang2057\langfe2057\cgrid\langnp2057\langfenp2057 \sbasedon0 \snext24 \spriority0 \styrsid8803549 _x000d__x000a_AmCrossRef;}{\s25\qc \li0\ri0\sb240\sa240\keepn\nowidctlpar\wrapdefault\aspalpha\aspnum\faauto\adjustright\rin0\lin0\itap0 \rtlch\fcs1 \af0\afs20\alang1025 \ltrch\fcs0 \i\fs24\lang2057\langfe2057\cgrid\langnp2057\langfenp2057 _x000d__x000a_\sbasedon0 \snext18 \spriority0 \styrsid8803549 AmJustTitle;}}{\*\rsidtbl \rsid24658\rsid223860\rsid735077\rsid1718133\rsid2892074\rsid3565327\rsid4666813\rsid6641733\rsid7823322\rsid8803549\rsid9636012\rsid10377208\rsid11215221\rsid11549030\rsid12143974_x000d__x000a_\rsid12154954\rsid14382809\rsid14424199\rsid15204470\rsid15285974\rsid15950462\rsid16324206\rsid16662270}{\mmathPr\mmathFont34\mbrkBin0\mbrkBinSub0\msmallFrac0\mdispDef1\mlMargin0\mrMargin0\mdefJc1\mwrapIndent1440\mintLim0\mnaryLim1}{\info_x000d__x000a_{\author MANCIUNSKAS Dalius}{\operator MANCIUNSKAS Dalius}{\creatim\yr2022\mo11\dy9\hr17\min17}{\revtim\yr2022\mo11\dy9\hr17\min17}{\version1}{\edmins0}{\nofpages1}{\nofwords46}{\nofchars326}{\nofcharsws368}{\vern107}}{\*\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03549\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2143974 \chftnsep _x000d__x000a_\par }}{\*\ftnsepc \ltrpar \pard\plain \ltrpar\ql \li0\ri0\widctlpar\wrapdefault\aspalpha\aspnum\faauto\adjustright\rin0\lin0\itap0 \rtlch\fcs1 \af0\afs20\alang1025 \ltrch\fcs0 \fs24\lang2057\langfe2057\cgrid\langnp2057\langfenp2057 {\rtlch\fcs1 \af0 _x000d__x000a_\ltrch\fcs0 \insrsid12143974 \chftnsepc _x000d__x000a_\par }}{\*\aftnsep \ltrpar \pard\plain \ltrpar\ql \li0\ri0\widctlpar\wrapdefault\aspalpha\aspnum\faauto\adjustright\rin0\lin0\itap0 \rtlch\fcs1 \af0\afs20\alang1025 \ltrch\fcs0 \fs24\lang2057\langfe2057\cgrid\langnp2057\langfenp2057 {\rtlch\fcs1 \af0 _x000d__x000a_\ltrch\fcs0 \insrsid12143974 \chftnsep _x000d__x000a_\par }}{\*\aftnsepc \ltrpar \pard\plain \ltrpar\ql \li0\ri0\widctlpar\wrapdefault\aspalpha\aspnum\faauto\adjustright\rin0\lin0\itap0 \rtlch\fcs1 \af0\afs20\alang1025 \ltrch\fcs0 \fs24\lang2057\langfe2057\cgrid\langnp2057\langfenp2057 {\rtlch\fcs1 \af0 _x000d__x000a_\ltrch\fcs0 \insrsid121439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8803549 \rtlch\fcs1 _x000d__x000a_\af0\afs20\alang1025 \ltrch\fcs0 \b\fs24\lang2057\langfe2057\cgrid\langnp2057\langfenp2057 {\rtlch\fcs1 \af0 \ltrch\fcs0 \cs17\b0\v\fs20\cf9\lang1024\langfe1024\loch\af1\hich\af1\dbch\af31501\noproof\insrsid8803549\charrsid15879488 {\*\bkmkstart restartB}_x000d__x000a_\hich\af1\dbch\af31501\loch\f1 &lt;AmendB&gt;}{\rtlch\fcs1 \af0 \ltrch\fcs0 \insrsid8803549\charrsid15879488 [ZAMENDMENT]\tab \tab }{\rtlch\fcs1 \af0 \ltrch\fcs0 _x000d__x000a_\cs17\b0\v\fs20\cf9\lang1024\langfe1024\loch\af1\hich\af1\dbch\af31501\noproof\insrsid8803549\charrsid15879488 \hich\af1\dbch\af31501\loch\f1 &lt;NumAmB&gt;}{\rtlch\fcs1 \af0 \ltrch\fcs0 \insrsid8803549\charrsid15879488 [ZNRAM]}{\rtlch\fcs1 \af0 \ltrch\fcs0 _x000d__x000a_\cs17\b0\v\fs20\cf9\lang1024\langfe1024\loch\af1\hich\af1\dbch\af31501\noproof\insrsid8803549\charrsid15879488 \hich\af1\dbch\af31501\loch\f1 &lt;/NumAmB&gt;}{\rtlch\fcs1 \af0 \ltrch\fcs0 \insrsid8803549\charrsid15879488 _x000d__x000a_\par }\pard\plain \ltrpar\s23\ql \li0\ri0\sb240\keepn\nowidctlpar\wrapdefault\aspalpha\aspnum\faauto\adjustright\rin0\lin0\itap0\pararsid8803549 \rtlch\fcs1 \af0\afs20\alang1025 \ltrch\fcs0 \b\fs24\lang2057\langfe2057\cgrid\langnp2057\langfenp2057 {_x000d__x000a_\rtlch\fcs1 \af0 \ltrch\fcs0 \cs17\b0\v\fs20\cf9\lang1024\langfe1024\loch\af1\hich\af1\dbch\af31501\noproof\insrsid8803549\charrsid15879488 \hich\af1\dbch\af31501\loch\f1 &lt;DocAmend&gt;}{\rtlch\fcs1 \af0 \ltrch\fcs0 \insrsid8803549\charrsid15879488 _x000d__x000a_[ZPROPOSAL][ZAMACT]}{\rtlch\fcs1 \af0 \ltrch\fcs0 \cs17\b0\v\fs20\cf9\lang1024\langfe1024\loch\af1\hich\af1\dbch\af31501\noproof\insrsid8803549\charrsid15879488 \hich\af1\dbch\af31501\loch\f1 &lt;/DocAmend&gt;}{\rtlch\fcs1 \af0 \ltrch\fcs0 _x000d__x000a_\insrsid8803549\charrsid15879488 _x000d__x000a_\par }\pard\plain \ltrpar\s20\ql \li0\ri0\keepn\nowidctlpar\wrapdefault\aspalpha\aspnum\faauto\adjustright\rin0\lin0\itap0\pararsid8803549 \rtlch\fcs1 \af0\afs20\alang1025 \ltrch\fcs0 \b\fs24\lang2057\langfe2057\cgrid\langnp2057\langfenp2057 {\rtlch\fcs1 \af0 _x000d__x000a_\ltrch\fcs0 \cs17\b0\v\fs20\cf9\lang1024\langfe1024\loch\af1\hich\af1\dbch\af31501\noproof\insrsid8803549\charrsid15879488 \hich\af1\dbch\af31501\loch\f1 &lt;Article&gt;}{\rtlch\fcs1 \af0 \ltrch\fcs0 \insrsid8803549\charrsid15879488 [ZAMPART]}{\rtlch\fcs1 \af0 _x000d__x000a_\ltrch\fcs0 \cs17\b0\v\fs20\cf9\lang1024\langfe1024\loch\af1\hich\af1\dbch\af31501\noproof\insrsid8803549\charrsid15879488 \hich\af1\dbch\af31501\loch\f1 &lt;/Article&gt;}{\rtlch\fcs1 \af0 \ltrch\fcs0 \insrsid8803549\charrsid15879488 _x000d__x000a_\par }\pard\plain \ltrpar\ql \li0\ri0\keepn\widctlpar\wrapdefault\aspalpha\aspnum\faauto\adjustright\rin0\lin0\itap0\pararsid8803549 \rtlch\fcs1 \af0\afs20\alang1025 \ltrch\fcs0 \fs24\lang2057\langfe2057\cgrid\langnp2057\langfenp2057 {\rtlch\fcs1 \af0 _x000d__x000a_\ltrch\fcs0 \cs17\v\fs20\cf9\lang1024\langfe1024\loch\af1\hich\af1\dbch\af31501\noproof\insrsid8803549\charrsid15879488 \hich\af1\dbch\af31501\loch\f1 &lt;DocAmend2&gt;&lt;OptDel&gt;}{\rtlch\fcs1 \af0 \ltrch\fcs0 \insrsid8803549\charrsid15879488 [ZNRACT]}{_x000d__x000a_\rtlch\fcs1 \af0 \ltrch\fcs0 \cs17\v\fs20\cf9\lang1024\langfe1024\loch\af1\hich\af1\dbch\af31501\noproof\insrsid8803549\charrsid15879488 \hich\af1\dbch\af31501\loch\f1 &lt;/OptDel&gt;&lt;/DocAmend2&gt;}{\rtlch\fcs1 \af0 \ltrch\fcs0 \insrsid8803549\charrsid15879488 _x000d__x000a__x000d__x000a_\par }\pard \ltrpar\ql \li0\ri0\widctlpar\wrapdefault\aspalpha\aspnum\faauto\adjustright\rin0\lin0\itap0\pararsid8803549 {\rtlch\fcs1 \af0 \ltrch\fcs0 _x000d__x000a_\cs17\v\fs20\cf9\lang1024\langfe1024\loch\af1\hich\af1\dbch\af31501\noproof\langnp1036\insrsid8803549\charrsid14566192 \hich\af1\dbch\af31501\loch\f1 &lt;Article2&gt;&lt;OptDel&gt;}{\rtlch\fcs1 \af0 \ltrch\fcs0 _x000d__x000a_\lang1036\langfe2057\langnp1036\insrsid8803549\charrsid14566192 [ZACTPART]}{\rtlch\fcs1 \af0 \ltrch\fcs0 \cs17\v\fs20\cf9\lang1024\langfe1024\loch\af1\hich\af1\dbch\af31501\noproof\langnp1036\insrsid8803549\charrsid14566192 \hich\af1\dbch\af31501\loch\f1 _x000d__x000a_&lt;/OptDel&gt;&lt;/Article2&gt;}{\rtlch\fcs1 \af0 \ltrch\fcs0 \lang1036\langfe2057\langnp1036\insrsid8803549\charrsid14566192 _x000d__x000a_\par \ltrrow}\trowd \irow0\irowband0\ltrrow\ts11\trqc\trgaph340\trleft-340\trftsWidth3\trwWidth9752\trftsWidthB3\trpaddl340\trpaddr340\trpaddfl3\trpaddft3\trpaddfb3\trpaddfr3\tblrsid15956061\tblind0\tblindtype3 \clvertalt\clbrdrt\brdrtbl \clbrdrl\brdrtbl _x000d__x000a_\clbrdrb\brdrtbl \clbrdrr\brdrtbl \cltxlrtb\clftsWidth3\clwWidth9752\clshdrawnil \cellx9412\pard \ltrpar\ql \li0\ri0\keepn\widctlpar\intbl\wrapdefault\aspalpha\aspnum\faauto\adjustright\rin0\lin0\pararsid15956061 {\rtlch\fcs1 \af0 \ltrch\fcs0 _x000d__x000a_\lang1036\langfe2057\langnp1036\insrsid8803549\charrsid14566192 \cell }\pard \ltrpar\ql \li0\ri0\widctlpar\intbl\wrapdefault\aspalpha\aspnum\faauto\adjustright\rin0\lin0 {\rtlch\fcs1 \af0 \ltrch\fcs0 \insrsid8803549\charrsid4672642 _x000d__x000a_\trowd \irow0\irowband0\ltrrow\ts11\trqc\trgaph340\trleft-340\trftsWidth3\trwWidth9752\trftsWidthB3\trpaddl340\trpaddr340\trpaddfl3\trpaddft3\trpaddfb3\trpaddfr3\tblrsid15956061\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5956061 \rtlch\fcs1 \af0\afs20\alang1025 \ltrch\fcs0 \i\fs24\lang2057\langfe2057\cgrid\langnp2057\langfenp2057 {\rtlch\fcs1 \af0 \ltrch\fcs0 _x000d__x000a_\insrsid8803549\charrsid15879488 [ZLEFTB]\cell [ZRIGHT]\cell }\pard\plain \ltrpar\ql \li0\ri0\widctlpar\intbl\wrapdefault\aspalpha\aspnum\faauto\adjustright\rin0\lin0 \rtlch\fcs1 \af0\afs20\alang1025 \ltrch\fcs0 _x000d__x000a_\fs24\lang2057\langfe2057\cgrid\langnp2057\langfenp2057 {\rtlch\fcs1 \af0 \ltrch\fcs0 \insrsid8803549\charrsid15879488 \trowd \irow1\irowband1\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5956061 \rtlch\fcs1 \af0\afs20\alang1025 \ltrch\fcs0 \fs24\lang2057\langfe2057\cgrid\langnp2057\langfenp2057 {\rtlch\fcs1 \af0 \ltrch\fcs0 _x000d__x000a_\insrsid8803549\charrsid15879488 [ZTEXTL]\cell [ZTEXTR]}{\rtlch\fcs1 \af0\afs24 \ltrch\fcs0 \insrsid8803549\charrsid15879488 \cell }\pard\plain \ltrpar\ql \li0\ri0\widctlpar\intbl\wrapdefault\aspalpha\aspnum\faauto\adjustright\rin0\lin0 \rtlch\fcs1 _x000d__x000a_\af0\afs20\alang1025 \ltrch\fcs0 \fs24\lang2057\langfe2057\cgrid\langnp2057\langfenp2057 {\rtlch\fcs1 \af0 \ltrch\fcs0 \insrsid8803549\charrsid15879488 \trowd \irow2\irowband2\lastrow \ltrrow_x000d__x000a_\ts11\trqc\trgaph340\trleft-340\trftsWidth3\trwWidth9752\trftsWidthB3\trpaddl340\trpaddr340\trpaddfl3\trpaddft3\trpaddfb3\trpaddfr3\tblrsid1595606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c \li0\ri0\sb240\sa240\nowidctlpar\wrapdefault\aspalpha\aspnum\faauto\adjustright\rin0\lin0\itap0\pararsid8803549 \rtlch\fcs1 \af0\afs20\alang1025 \ltrch\fcs0 \i\fs24\lang2057\langfe2057\cgrid\langnp2057\langfenp2057 {\rtlch\fcs1 \af0 \ltrch\fcs0 _x000d__x000a_\cs17\i0\v\fs20\cf9\lang1024\langfe1024\loch\af1\hich\af1\dbch\af31501\noproof\insrsid8803549\charrsid15879488 \hich\af1\dbch\af31501\loch\f1 &lt;OptDel&gt;}{\rtlch\fcs1 \af0 \ltrch\fcs0 \insrsid8803549\charrsid15879488 [ZCROSSREF]}{\rtlch\fcs1 \af0 _x000d__x000a_\ltrch\fcs0 \cs17\i0\v\fs20\cf9\lang1024\langfe1024\loch\af1\hich\af1\dbch\af31501\noproof\insrsid8803549\charrsid15879488 \hich\af1\dbch\af31501\loch\f1 &lt;/OptDel&gt;}{\rtlch\fcs1 \af0 \ltrch\fcs0 \insrsid8803549\charrsid15879488 _x000d__x000a_\par }\pard\plain \ltrpar\s25\qc \li0\ri0\sb240\sa240\keepn\nowidctlpar\wrapdefault\aspalpha\aspnum\faauto\adjustright\rin0\lin0\itap0\pararsid8803549 \rtlch\fcs1 \af0\afs20\alang1025 \ltrch\fcs0 \i\fs24\lang2057\langfe2057\cgrid\langnp2057\langfenp2057 {_x000d__x000a_\rtlch\fcs1 \af0 \ltrch\fcs0 \cs17\i0\v\fs20\cf9\lang1024\langfe1024\loch\af1\hich\af1\dbch\af31501\noproof\insrsid8803549\charrsid15879488 \hich\af1\dbch\af31501\loch\f1 &lt;TitreJust&gt;}{\rtlch\fcs1 \af0 \ltrch\fcs0 \insrsid8803549\charrsid15879488 _x000d__x000a_[ZJUSTIFICATION]}{\rtlch\fcs1 \af0 \ltrch\fcs0 \cs17\i0\v\fs20\cf9\lang1024\langfe1024\loch\af1\hich\af1\dbch\af31501\noproof\insrsid8803549\charrsid15879488 \hich\af1\dbch\af31501\loch\f1 &lt;/TitreJust&gt;}{\rtlch\fcs1 \af0 \ltrch\fcs0 _x000d__x000a_\insrsid8803549\charrsid15879488 _x000d__x000a_\par }\pard\plain \ltrpar\s18\ql \li0\ri0\sa240\nowidctlpar\wrapdefault\aspalpha\aspnum\faauto\adjustright\rin0\lin0\itap0\pararsid8803549 \rtlch\fcs1 \af0\afs20\alang1025 \ltrch\fcs0 \i\fs24\lang2057\langfe2057\cgrid\langnp2057\langfenp2057 {\rtlch\fcs1 \af0 _x000d__x000a_\ltrch\fcs0 \cs17\i0\v\fs20\cf9\lang1024\langfe1024\loch\af1\hich\af1\dbch\af31501\noproof\insrsid8803549\charrsid15879488 \hich\af1\dbch\af31501\loch\f1 &lt;OptDelPrev&gt;}{\rtlch\fcs1 \af0 \ltrch\fcs0 \insrsid8803549\charrsid15879488 [ZTEXTJUST]}{\rtlch\fcs1 _x000d__x000a_\af0 \ltrch\fcs0 \cs17\i0\v\fs20\cf9\lang1024\langfe1024\loch\af1\hich\af1\dbch\af31501\noproof\insrsid8803549\charrsid15879488 \hich\af1\dbch\af31501\loch\f1 &lt;/OptDelPrev&gt;}{\rtlch\fcs1 \af0 \ltrch\fcs0 \insrsid8803549\charrsid15879488 _x000d__x000a_\par }\pard\plain \ltrpar\ql \li0\ri0\widctlpar\wrapdefault\aspalpha\aspnum\faauto\adjustright\rin0\lin0\itap0\pararsid8803549 \rtlch\fcs1 \af0\afs20\alang1025 \ltrch\fcs0 \fs24\lang2057\langfe2057\cgrid\langnp2057\langfenp2057 {\rtlch\fcs1 \af0 \ltrch\fcs0 _x000d__x000a_\cs17\v\fs20\cf9\lang1024\langfe1024\loch\af1\hich\af1\dbch\af31501\noproof\insrsid8803549\charrsid15879488 \hich\af1\dbch\af31501\loch\f1 &lt;/AmendB&gt;}{\rtlch\fcs1 \af0 \ltrch\fcs0 \insrsid880354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2_x000d__x000a_a7504e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7\fbidi \froman\fcharset238\fprq2 Times New Roman CE;}{\f308\fbidi \froman\fcharset204\fprq2 Times New Roman Cyr;}_x000d__x000a_{\f310\fbidi \froman\fcharset161\fprq2 Times New Roman Greek;}{\f311\fbidi \froman\fcharset162\fprq2 Times New Roman Tur;}{\f312\fbidi \froman\fcharset177\fprq2 Times New Roman (Hebrew);}{\f313\fbidi \froman\fcharset178\fprq2 Times New Roman (Arabic);}_x000d__x000a_{\f314\fbidi \froman\fcharset186\fprq2 Times New Roman Baltic;}{\f315\fbidi \froman\fcharset163\fprq2 Times New Roman (Vietnamese);}{\f317\fbidi \fswiss\fcharset238\fprq2 Arial CE;}{\f318\fbidi \fswiss\fcharset204\fprq2 Arial Cyr;}_x000d__x000a_{\f320\fbidi \fswiss\fcharset161\fprq2 Arial Greek;}{\f321\fbidi \fswiss\fcharset162\fprq2 Arial Tur;}{\f322\fbidi \fswiss\fcharset177\fprq2 Arial (Hebrew);}{\f323\fbidi \fswiss\fcharset178\fprq2 Arial (Arabic);}_x000d__x000a_{\f324\fbidi \fswiss\fcharset186\fprq2 Arial Baltic;}{\f325\fbidi \fswiss\fcharset163\fprq2 Arial (Vietnamese);}{\f647\fbidi \froman\fcharset238\fprq2 Cambria Math CE;}{\f648\fbidi \froman\fcharset204\fprq2 Cambria Math Cyr;}_x000d__x000a_{\f650\fbidi \froman\fcharset161\fprq2 Cambria Math Greek;}{\f651\fbidi \froman\fcharset162\fprq2 Cambria Math Tur;}{\f654\fbidi \froman\fcharset186\fprq2 Cambria Math Baltic;}{\f65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564642 HideTWBExt;}{_x000d__x000a_\s18\ql \li0\ri0\sa120\nowidctlpar\wrapdefault\aspalpha\aspnum\faauto\adjustright\rin0\lin0\itap0 \rtlch\fcs1 \af0\afs20\alang1025 \ltrch\fcs0 \fs24\lang1024\langfe1024\cgrid\noproof\langnp2057\langfenp2057 _x000d__x000a_\sbasedon0 \snext18 \slink19 \spriority0 \styrsid11564642 Normal6;}{\*\cs19 \additive \fs24\lang1024\langfe1024\noproof \slink18 \slocked \spriority0 \styrsid11564642 Normal6 Char;}{_x000d__x000a_\s20\ql \li0\ri0\nowidctlpar\wrapdefault\aspalpha\aspnum\faauto\adjustright\rin0\lin0\itap0 \rtlch\fcs1 \af0\afs20\alang1025 \ltrch\fcs0 \b\fs24\lang2057\langfe2057\cgrid\langnp2057\langfenp2057 \sbasedon0 \snext20 \slink21 \spriority0 \styrsid11564642 _x000d__x000a_NormalBold;}{\*\cs21 \additive \b\fs24 \slink20 \slocked \spriority0 \styrsid11564642 NormalBold Char;}{\s22\qc \li0\ri0\sa240\nowidctlpar\wrapdefault\aspalpha\aspnum\faauto\adjustright\rin0\lin0\itap0 \rtlch\fcs1 \af0\afs20\alang1025 \ltrch\fcs0 _x000d__x000a_\i\fs24\lang2057\langfe2057\cgrid\langnp2057\langfenp2057 \sbasedon0 \snext22 \spriority0 \styrsid11564642 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564642 AMNumberTabs;}{\s24\ql \li0\ri0\sb240\nowidctlpar\wrapdefault\aspalpha\aspnum\faauto\adjustright\rin0\lin0\itap0 \rtlch\fcs1 _x000d__x000a_\af0\afs20\alang1025 \ltrch\fcs0 \b\fs24\lang2057\langfe2057\cgrid\langnp2057\langfenp2057 \sbasedon0 \snext24 \spriority0 \styrsid11564642 NormalBold12b;}}{\*\rsidtbl \rsid24658\rsid223860\rsid735077\rsid1718133\rsid2892074\rsid3565327\rsid4666813_x000d__x000a_\rsid6641733\rsid6753594\rsid7823322\rsid9636012\rsid10377208\rsid11215221\rsid11549030\rsid11564642\rsid12154954\rsid14382809\rsid14424199\rsid15204470\rsid15285974\rsid15950462\rsid16324206\rsid16662270}{\mmathPr\mmathFont34\mbrkBin0\mbrkBinSub0_x000d__x000a_\msmallFrac0\mdispDef1\mlMargin0\mrMargin0\mdefJc1\mwrapIndent1440\mintLim0\mnaryLim1}{\info{\author MANCIUNSKAS Dalius}{\operator MANCIUNSKAS Dalius}{\creatim\yr2022\mo11\dy9\hr17\min16}{\revtim\yr2022\mo11\dy9\hr17\min16}{\version1}{\edmins0}_x000d__x000a_{\nofpages1}{\nofwords19}{\nofchars133}{\nofcharsws15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64642\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6753594 \chftnsep _x000d__x000a_\par }}{\*\ftnsepc \ltrpar \pard\plain \ltrpar\ql \li0\ri0\widctlpar\wrapdefault\aspalpha\aspnum\faauto\adjustright\rin0\lin0\itap0 \rtlch\fcs1 \af0\afs20\alang1025 \ltrch\fcs0 \fs24\lang2057\langfe2057\cgrid\langnp2057\langfenp2057 {\rtlch\fcs1 \af0 _x000d__x000a_\ltrch\fcs0 \insrsid6753594 \chftnsepc _x000d__x000a_\par }}{\*\aftnsep \ltrpar \pard\plain \ltrpar\ql \li0\ri0\widctlpar\wrapdefault\aspalpha\aspnum\faauto\adjustright\rin0\lin0\itap0 \rtlch\fcs1 \af0\afs20\alang1025 \ltrch\fcs0 \fs24\lang2057\langfe2057\cgrid\langnp2057\langfenp2057 {\rtlch\fcs1 \af0 _x000d__x000a_\ltrch\fcs0 \insrsid6753594 \chftnsep _x000d__x000a_\par }}{\*\aftnsepc \ltrpar \pard\plain \ltrpar\ql \li0\ri0\widctlpar\wrapdefault\aspalpha\aspnum\faauto\adjustright\rin0\lin0\itap0 \rtlch\fcs1 \af0\afs20\alang1025 \ltrch\fcs0 \fs24\lang2057\langfe2057\cgrid\langnp2057\langfenp2057 {\rtlch\fcs1 \af0 _x000d__x000a_\ltrch\fcs0 \insrsid6753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nowidctlpar_x000d__x000a_\tx879\tx936\tx1021\tx1077\tx1134\tx1191\tx1247\tx1304\tx1361\tx1418\tx1474\tx1531\tx1588\tx1644\tx1701\tx1758\tx1814\tx1871\tx2070\tx2126\tx3374\tx3430\wrapdefault\aspalpha\aspnum\faauto\adjustright\rin0\lin0\itap0\pararsid11564642 \rtlch\fcs1 _x000d__x000a_\af0\afs20\alang1025 \ltrch\fcs0 \b\fs24\lang2057\langfe2057\cgrid\langnp2057\langfenp2057 {\rtlch\fcs1 \af0 \ltrch\fcs0 \cs17\b0\v\fs20\cf9\lang1024\langfe1024\loch\af1\hich\af1\dbch\af31501\noproof\insrsid11564642\charrsid4417459 {\*\bkmkstart restart}_x000d__x000a_\hich\af1\dbch\af31501\loch\f1 &lt;Amend&gt;}{\rtlch\fcs1 \af0 \ltrch\fcs0 \insrsid11564642\charrsid1799708 [ZAMENDMENT]}{\rtlch\fcs1 \af0 \ltrch\fcs0 \insrsid11564642 \tab \tab }{\rtlch\fcs1 \af0 \ltrch\fcs0 _x000d__x000a_\cs17\b0\v\fs20\cf9\lang1024\langfe1024\loch\af1\hich\af1\dbch\af31501\noproof\insrsid11564642\charrsid4417459 \hich\af1\dbch\af31501\loch\f1 &lt;NumAm&gt;}{\rtlch\fcs1 \af0 \ltrch\fcs0 \insrsid11564642\charrsid1799708 [ZNRAM]}{\rtlch\fcs1 \af0 \ltrch\fcs0 _x000d__x000a_\cs17\b0\v\fs20\cf9\lang1024\langfe1024\loch\af1\hich\af1\dbch\af31501\noproof\insrsid11564642\charrsid4417459 \hich\af1\dbch\af31501\loch\f1 &lt;/NumAm&gt;}{\rtlch\fcs1 \af0 \ltrch\fcs0 \insrsid11564642\charrsid4080556 _x000d__x000a_\par }\pard\plain \ltrpar\s24\ql \li0\ri0\sb240\keepn\nowidctlpar\wrapdefault\aspalpha\aspnum\faauto\adjustright\rin0\lin0\itap0\pararsid11564642 \rtlch\fcs1 \af0\afs20\alang1025 \ltrch\fcs0 \b\fs24\lang2057\langfe2057\cgrid\langnp2057\langfenp2057 {_x000d__x000a_\rtlch\fcs1 \af0 \ltrch\fcs0 \cs17\b0\v\fs20\cf9\lang1024\langfe1024\loch\af1\hich\af1\dbch\af31501\noproof\insrsid11564642\charrsid15879488 \hich\af1\dbch\af31501\loch\f1 &lt;DocAmend&gt;}{\rtlch\fcs1 \af0 \ltrch\fcs0 \insrsid11564642\charrsid15879488 [}{_x000d__x000a_\rtlch\fcs1 \af0 \ltrch\fcs0 \insrsid11564642\charrsid1799708 Z}{\rtlch\fcs1 \af0 \ltrch\fcs0 \insrsid11564642 AMDOC}{\rtlch\fcs1 \af0 \ltrch\fcs0 \insrsid11564642\charrsid15879488 ]}{\rtlch\fcs1 \af0 \ltrch\fcs0 _x000d__x000a_\cs17\b0\v\fs20\cf9\lang1024\langfe1024\loch\af1\hich\af1\dbch\af31501\noproof\insrsid11564642\charrsid15879488 \hich\af1\dbch\af31501\loch\f1 &lt;/DocAmend&gt;}{\rtlch\fcs1 \af0 \ltrch\fcs0 \insrsid11564642\charrsid15879488 _x000d__x000a_\par }\pard\plain \ltrpar\s20\ql \li0\ri0\nowidctlpar\wrapdefault\aspalpha\aspnum\faauto\adjustright\rin0\lin0\itap0\pararsid11564642 \rtlch\fcs1 \af0\afs20\alang1025 \ltrch\fcs0 \b\fs24\lang2057\langfe2057\cgrid\langnp2057\langfenp2057 {\rtlch\fcs1 \af0 _x000d__x000a_\ltrch\fcs0 \cs17\b0\v\fs20\cf9\lang1024\langfe1024\loch\af1\hich\af1\dbch\af31501\noproof\insrsid11564642\charrsid1799708 \hich\af1\dbch\af31501\loch\f1 &lt;Article&gt;}{\rtlch\fcs1 \af0 \ltrch\fcs0 \insrsid11564642\charrsid1799708 [ZAMPART]}{\rtlch\fcs1 \af0 _x000d__x000a_\ltrch\fcs0 \cs17\b0\v\fs20\cf9\lang1024\langfe1024\loch\af1\hich\af1\dbch\af31501\noproof\insrsid11564642\charrsid1799708 \hich\af1\dbch\af31501\loch\f1 &lt;/Article&gt;}{\rtlch\fcs1 \af0 \ltrch\fcs0 \insrsid11564642\charrsid1799708 _x000d__x000a_\par \ltrrow}\trowd \irow0\irowband0\ltrrow\ts11\trqc\trgaph340\trleft-340\trftsWidth3\trwWidth9752\trftsWidthB3\trftsWidthA3\trpaddl340\trpaddr340\trpaddfl3\trpaddfr3\tblrsid400232\tblind0\tblindtype3 \clvertalt\clbrdrt\brdrtbl \clbrdrl\brdrtbl \clbrdrb_x000d__x000a_\brdrtbl \clbrdrr\brdrtbl \cltxlrtb\clftsWidth3\clwWidth9752\clshdrawnil \cellx9412\pard\plain \ltrpar\ql \li0\ri0\keepn\widctlpar\intbl\wrapdefault\aspalpha\aspnum\faauto\adjustright\rin0\lin0\pararsid400232 \rtlch\fcs1 \af0\afs20\alang1025 \ltrch\fcs0 _x000d__x000a_\fs24\lang2057\langfe2057\cgrid\langnp2057\langfenp2057 {\rtlch\fcs1 \af0 \ltrch\fcs0 \insrsid11564642\charrsid1799708 \cell }\pard \ltrpar\ql \li0\ri0\widctlpar\intbl\wrapdefault\aspalpha\aspnum\faauto\adjustright\rin0\lin0 {\rtlch\fcs1 \af0 \ltrch\fcs0 _x000d__x000a_\insrsid11564642\charrsid1799708 \trowd \irow0\irowband0\ltrrow\ts11\trqc\trgaph340\trleft-340\trftsWidth3\trwWidth9752\trftsWidthB3\trftsWidthA3\trpaddl340\trpaddr340\trpaddfl3\trpaddfr3\tblrsid400232\tblind0\tblindtype3 \clvertalt\clbrdrt\brdrtbl _x000d__x000a_\clbrdrl\brdrtbl \clbrdrb\brdrtbl \clbrdrr\brdrtbl \cltxlrtb\clftsWidth3\clwWidth9752\clshdrawnil \cellx9412\row \ltrrow}\trowd \irow1\irowband1\ltrrow_x000d__x000a_\ts11\trqc\trgaph340\trleft-340\trftsWidth3\trwWidth9752\trftsWidthB3\trftsWidthA3\trpaddl340\trpaddr340\trpaddfl3\trpaddfr3\tblrsid400232\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00232 \rtlch\fcs1 \af0\afs20\alang1025 \ltrch\fcs0 \i\fs24\lang2057\langfe2057\cgrid\langnp2057\langfenp2057 {\rtlch\fcs1 \af0 \ltrch\fcs0 _x000d__x000a_\insrsid11564642\charrsid1799708 [ZLEFT]\cell [ZRIGHT]\cell }\pard\plain \ltrpar\ql \li0\ri0\widctlpar\intbl\wrapdefault\aspalpha\aspnum\faauto\adjustright\rin0\lin0 \rtlch\fcs1 \af0\afs20\alang1025 \ltrch\fcs0 _x000d__x000a_\fs24\lang2057\langfe2057\cgrid\langnp2057\langfenp2057 {\rtlch\fcs1 \af0 \ltrch\fcs0 \insrsid11564642\charrsid1799708 \trowd \irow1\irowband1\ltrrow_x000d__x000a_\ts11\trqc\trgaph340\trleft-340\trftsWidth3\trwWidth9752\trftsWidthB3\trftsWidthA3\trpaddl340\trpaddr340\trpaddfl3\trpaddfr3\tblrsid400232\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400232 \rtlch\fcs1 \af0\afs20\alang1025 \ltrch\fcs0 \fs24\lang1024\langfe1024\cgrid\noproof\langnp2057\langfenp2057 {\rtlch\fcs1 \af0 \ltrch\fcs0 _x000d__x000a_\insrsid11564642\charrsid1799708 [ZTEXTL]\cell [ZTEXTR]}{\rtlch\fcs1 \af0\afs24 \ltrch\fcs0 \insrsid11564642\charrsid1799708 \cell }\pard\plain \ltrpar\ql \li0\ri0\widctlpar\intbl\wrapdefault\aspalpha\aspnum\faauto\adjustright\rin0\lin0 \rtlch\fcs1 _x000d__x000a_\af0\afs20\alang1025 \ltrch\fcs0 \fs24\lang2057\langfe2057\cgrid\langnp2057\langfenp2057 {\rtlch\fcs1 \af0 \ltrch\fcs0 \insrsid11564642\charrsid1799708 \trowd \irow2\irowband2\lastrow \ltrrow_x000d__x000a_\ts11\trqc\trgaph340\trleft-340\trftsWidth3\trwWidth9752\trftsWidthB3\trftsWidthA3\trpaddl340\trpaddr340\trpaddfl3\trpaddfr3\tblrsid400232\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564642 {\rtlch\fcs1 \af0 \ltrch\fcs0 \cs17\v\fs20\cf9\lang1024\langfe1024\loch\af1\hich\af1\dbch\af31501\noproof\insrsid11564642\charrsid1799708 _x000d__x000a_\hich\af1\dbch\af31501\loch\f1 &lt;/Amend&gt;}{\rtlch\fcs1 \af0 \ltrch\fcs0 \insrsid1156464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11_x000d__x000a_60454ef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Position"/>
    <w:docVar w:name="strSubDir" w:val="1265"/>
    <w:docVar w:name="TITLECNSMNU" w:val=" 1"/>
    <w:docVar w:name="TXTLANGUE" w:val="LT"/>
    <w:docVar w:name="TXTLANGUEMIN" w:val="lt"/>
    <w:docVar w:name="TXTNRC" w:val="XXXXX"/>
    <w:docVar w:name="TXTNRCOM" w:val="(2021)0372"/>
    <w:docVar w:name="TXTNRPE" w:val="732.915"/>
    <w:docVar w:name="TXTNRPROC" w:val="2021/0372"/>
    <w:docVar w:name="TXTPEorAP" w:val="PE"/>
    <w:docVar w:name="TXTROUTE" w:val="AD\1265696LT.docx"/>
    <w:docVar w:name="TXTVERSION" w:val="02-00"/>
  </w:docVars>
  <w:rsids>
    <w:rsidRoot w:val="00970DA5"/>
    <w:rsid w:val="00003898"/>
    <w:rsid w:val="00060DE2"/>
    <w:rsid w:val="00095157"/>
    <w:rsid w:val="000A453B"/>
    <w:rsid w:val="000A5893"/>
    <w:rsid w:val="000B4AD3"/>
    <w:rsid w:val="000D05A0"/>
    <w:rsid w:val="000E5DB7"/>
    <w:rsid w:val="000E7EBF"/>
    <w:rsid w:val="00112DE8"/>
    <w:rsid w:val="001167E9"/>
    <w:rsid w:val="001377F3"/>
    <w:rsid w:val="00140BE6"/>
    <w:rsid w:val="00147FBF"/>
    <w:rsid w:val="0015486D"/>
    <w:rsid w:val="0016635E"/>
    <w:rsid w:val="001746D0"/>
    <w:rsid w:val="001A0F58"/>
    <w:rsid w:val="001D2ED9"/>
    <w:rsid w:val="001D5738"/>
    <w:rsid w:val="00200218"/>
    <w:rsid w:val="00207509"/>
    <w:rsid w:val="0022423F"/>
    <w:rsid w:val="002272A8"/>
    <w:rsid w:val="00286963"/>
    <w:rsid w:val="002B753F"/>
    <w:rsid w:val="002E2F2E"/>
    <w:rsid w:val="00322DA3"/>
    <w:rsid w:val="00325BCB"/>
    <w:rsid w:val="003858C5"/>
    <w:rsid w:val="00390EB2"/>
    <w:rsid w:val="00396A0E"/>
    <w:rsid w:val="003971B6"/>
    <w:rsid w:val="003A5CE6"/>
    <w:rsid w:val="003E2402"/>
    <w:rsid w:val="003F044A"/>
    <w:rsid w:val="00407E27"/>
    <w:rsid w:val="00474C82"/>
    <w:rsid w:val="00483BA8"/>
    <w:rsid w:val="004A1388"/>
    <w:rsid w:val="004C28FB"/>
    <w:rsid w:val="004E5933"/>
    <w:rsid w:val="00505880"/>
    <w:rsid w:val="00506BE3"/>
    <w:rsid w:val="00544B67"/>
    <w:rsid w:val="005709D8"/>
    <w:rsid w:val="00577BDA"/>
    <w:rsid w:val="00596D63"/>
    <w:rsid w:val="005B192A"/>
    <w:rsid w:val="005B2F11"/>
    <w:rsid w:val="005D60C6"/>
    <w:rsid w:val="005D6988"/>
    <w:rsid w:val="00627555"/>
    <w:rsid w:val="00642B2F"/>
    <w:rsid w:val="00657AFB"/>
    <w:rsid w:val="006D6265"/>
    <w:rsid w:val="006E1648"/>
    <w:rsid w:val="006F537C"/>
    <w:rsid w:val="00722301"/>
    <w:rsid w:val="0075479D"/>
    <w:rsid w:val="00756A89"/>
    <w:rsid w:val="007B330D"/>
    <w:rsid w:val="007E4D98"/>
    <w:rsid w:val="008313E7"/>
    <w:rsid w:val="00834608"/>
    <w:rsid w:val="00836456"/>
    <w:rsid w:val="00867951"/>
    <w:rsid w:val="00894A49"/>
    <w:rsid w:val="00897448"/>
    <w:rsid w:val="008A32C5"/>
    <w:rsid w:val="008B277F"/>
    <w:rsid w:val="008F5AAE"/>
    <w:rsid w:val="008F7002"/>
    <w:rsid w:val="00970DA5"/>
    <w:rsid w:val="0097525E"/>
    <w:rsid w:val="0099178F"/>
    <w:rsid w:val="009C04AB"/>
    <w:rsid w:val="00A16BEA"/>
    <w:rsid w:val="00A23545"/>
    <w:rsid w:val="00A72C35"/>
    <w:rsid w:val="00AA08E9"/>
    <w:rsid w:val="00AA7639"/>
    <w:rsid w:val="00AD4046"/>
    <w:rsid w:val="00AE0CF9"/>
    <w:rsid w:val="00B362F7"/>
    <w:rsid w:val="00B735E3"/>
    <w:rsid w:val="00BD1EAA"/>
    <w:rsid w:val="00BD7A90"/>
    <w:rsid w:val="00BE16E6"/>
    <w:rsid w:val="00C03890"/>
    <w:rsid w:val="00C06DFF"/>
    <w:rsid w:val="00C36610"/>
    <w:rsid w:val="00C85D0F"/>
    <w:rsid w:val="00CD6E0D"/>
    <w:rsid w:val="00D474CC"/>
    <w:rsid w:val="00D5356D"/>
    <w:rsid w:val="00D86F28"/>
    <w:rsid w:val="00DB6830"/>
    <w:rsid w:val="00DC6197"/>
    <w:rsid w:val="00DE4330"/>
    <w:rsid w:val="00E03610"/>
    <w:rsid w:val="00E46066"/>
    <w:rsid w:val="00E51969"/>
    <w:rsid w:val="00E856D2"/>
    <w:rsid w:val="00EB001A"/>
    <w:rsid w:val="00ED1EE0"/>
    <w:rsid w:val="00ED38A0"/>
    <w:rsid w:val="00F06867"/>
    <w:rsid w:val="00F3785D"/>
    <w:rsid w:val="00F53E41"/>
    <w:rsid w:val="00F64B1C"/>
    <w:rsid w:val="00FC7050"/>
    <w:rsid w:val="00FD0D14"/>
    <w:rsid w:val="00FF10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CC9D00D-C00E-435E-B45B-D3A9AB06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4AB"/>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A2354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AA7639"/>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AA7639"/>
    <w:rPr>
      <w:sz w:val="24"/>
    </w:rPr>
  </w:style>
  <w:style w:type="character" w:customStyle="1" w:styleId="Heading1Char">
    <w:name w:val="Heading 1 Char"/>
    <w:basedOn w:val="DefaultParagraphFont"/>
    <w:link w:val="Heading1"/>
    <w:rsid w:val="001D5738"/>
    <w:rPr>
      <w:rFonts w:ascii="Arial" w:hAnsi="Arial"/>
      <w:b/>
      <w:kern w:val="28"/>
      <w:sz w:val="28"/>
      <w:lang w:val="lt-LT"/>
    </w:rPr>
  </w:style>
  <w:style w:type="character" w:customStyle="1" w:styleId="Heading2Char">
    <w:name w:val="Heading 2 Char"/>
    <w:basedOn w:val="DefaultParagraphFont"/>
    <w:link w:val="Heading2"/>
    <w:semiHidden/>
    <w:rsid w:val="001D5738"/>
    <w:rPr>
      <w:rFonts w:ascii="Arial" w:hAnsi="Arial"/>
      <w:b/>
      <w:i/>
      <w:sz w:val="24"/>
      <w:lang w:val="lt-LT"/>
    </w:rPr>
  </w:style>
  <w:style w:type="character" w:customStyle="1" w:styleId="Heading3Char">
    <w:name w:val="Heading 3 Char"/>
    <w:basedOn w:val="DefaultParagraphFont"/>
    <w:link w:val="Heading3"/>
    <w:semiHidden/>
    <w:rsid w:val="001D5738"/>
    <w:rPr>
      <w:rFonts w:ascii="Arial" w:hAnsi="Arial"/>
      <w:sz w:val="24"/>
      <w:lang w:val="lt-LT"/>
    </w:rPr>
  </w:style>
  <w:style w:type="character" w:customStyle="1" w:styleId="Heading4Char">
    <w:name w:val="Heading 4 Char"/>
    <w:basedOn w:val="DefaultParagraphFont"/>
    <w:link w:val="Heading4"/>
    <w:semiHidden/>
    <w:rsid w:val="001D5738"/>
    <w:rPr>
      <w:rFonts w:ascii="Arial" w:hAnsi="Arial"/>
      <w:b/>
      <w:sz w:val="24"/>
      <w:lang w:val="lt-LT"/>
    </w:rPr>
  </w:style>
  <w:style w:type="character" w:customStyle="1" w:styleId="Heading5Char">
    <w:name w:val="Heading 5 Char"/>
    <w:basedOn w:val="DefaultParagraphFont"/>
    <w:link w:val="Heading5"/>
    <w:semiHidden/>
    <w:rsid w:val="001D5738"/>
    <w:rPr>
      <w:sz w:val="22"/>
      <w:lang w:val="lt-LT"/>
    </w:rPr>
  </w:style>
  <w:style w:type="character" w:customStyle="1" w:styleId="Heading6Char">
    <w:name w:val="Heading 6 Char"/>
    <w:basedOn w:val="DefaultParagraphFont"/>
    <w:link w:val="Heading6"/>
    <w:semiHidden/>
    <w:rsid w:val="001D5738"/>
    <w:rPr>
      <w:i/>
      <w:sz w:val="22"/>
      <w:lang w:val="lt-LT"/>
    </w:rPr>
  </w:style>
  <w:style w:type="character" w:customStyle="1" w:styleId="Heading7Char">
    <w:name w:val="Heading 7 Char"/>
    <w:basedOn w:val="DefaultParagraphFont"/>
    <w:link w:val="Heading7"/>
    <w:semiHidden/>
    <w:rsid w:val="001D5738"/>
    <w:rPr>
      <w:rFonts w:ascii="Arial" w:hAnsi="Arial"/>
      <w:sz w:val="24"/>
      <w:lang w:val="lt-LT"/>
    </w:rPr>
  </w:style>
  <w:style w:type="character" w:customStyle="1" w:styleId="Heading8Char">
    <w:name w:val="Heading 8 Char"/>
    <w:basedOn w:val="DefaultParagraphFont"/>
    <w:link w:val="Heading8"/>
    <w:semiHidden/>
    <w:rsid w:val="001D5738"/>
    <w:rPr>
      <w:rFonts w:ascii="Arial" w:hAnsi="Arial"/>
      <w:i/>
      <w:sz w:val="24"/>
      <w:lang w:val="lt-LT"/>
    </w:rPr>
  </w:style>
  <w:style w:type="character" w:customStyle="1" w:styleId="Heading9Char">
    <w:name w:val="Heading 9 Char"/>
    <w:basedOn w:val="DefaultParagraphFont"/>
    <w:link w:val="Heading9"/>
    <w:semiHidden/>
    <w:rsid w:val="001D5738"/>
    <w:rPr>
      <w:rFonts w:ascii="Arial" w:hAnsi="Arial"/>
      <w:b/>
      <w:i/>
      <w:sz w:val="18"/>
      <w:lang w:val="lt-LT"/>
    </w:rPr>
  </w:style>
  <w:style w:type="character" w:customStyle="1" w:styleId="FooterChar">
    <w:name w:val="Footer Char"/>
    <w:basedOn w:val="DefaultParagraphFont"/>
    <w:link w:val="Footer"/>
    <w:rsid w:val="001D5738"/>
    <w:rPr>
      <w:sz w:val="24"/>
    </w:rPr>
  </w:style>
  <w:style w:type="paragraph" w:styleId="Footer">
    <w:name w:val="footer"/>
    <w:basedOn w:val="Normal"/>
    <w:link w:val="FooterChar"/>
    <w:unhideWhenUsed/>
    <w:rsid w:val="001D5738"/>
    <w:pPr>
      <w:tabs>
        <w:tab w:val="center" w:pos="4513"/>
        <w:tab w:val="right" w:pos="9026"/>
      </w:tabs>
    </w:pPr>
  </w:style>
  <w:style w:type="character" w:customStyle="1" w:styleId="FooterChar1">
    <w:name w:val="Footer Char1"/>
    <w:basedOn w:val="DefaultParagraphFont"/>
    <w:semiHidden/>
    <w:rsid w:val="001D5738"/>
    <w:rPr>
      <w:sz w:val="24"/>
      <w:lang w:val="lt-LT"/>
    </w:rPr>
  </w:style>
  <w:style w:type="character" w:customStyle="1" w:styleId="Sup">
    <w:name w:val="Sup"/>
    <w:uiPriority w:val="1"/>
    <w:qFormat/>
    <w:rsid w:val="001D5738"/>
    <w:rPr>
      <w:vertAlign w:val="superscript"/>
    </w:rPr>
  </w:style>
  <w:style w:type="character" w:customStyle="1" w:styleId="SupBoldItalic">
    <w:name w:val="SupBoldItalic"/>
    <w:uiPriority w:val="1"/>
    <w:qFormat/>
    <w:rsid w:val="001D5738"/>
    <w:rPr>
      <w:b/>
      <w:bCs w:val="0"/>
      <w:i/>
      <w:iCs w:val="0"/>
      <w:vertAlign w:val="superscript"/>
    </w:rPr>
  </w:style>
  <w:style w:type="paragraph" w:customStyle="1" w:styleId="NormalBoldItalicCenter6a">
    <w:name w:val="NormalBoldItalicCenter6a"/>
    <w:basedOn w:val="Normal6a"/>
    <w:qFormat/>
    <w:rsid w:val="001D5738"/>
    <w:pPr>
      <w:jc w:val="center"/>
    </w:pPr>
    <w:rPr>
      <w:b/>
      <w:i/>
    </w:rPr>
  </w:style>
  <w:style w:type="paragraph" w:styleId="BalloonText">
    <w:name w:val="Balloon Text"/>
    <w:basedOn w:val="Normal"/>
    <w:link w:val="BalloonTextChar"/>
    <w:semiHidden/>
    <w:unhideWhenUsed/>
    <w:rsid w:val="001D5738"/>
    <w:rPr>
      <w:rFonts w:ascii="Segoe UI" w:hAnsi="Segoe UI" w:cs="Segoe UI"/>
      <w:sz w:val="18"/>
      <w:szCs w:val="18"/>
    </w:rPr>
  </w:style>
  <w:style w:type="character" w:customStyle="1" w:styleId="BalloonTextChar">
    <w:name w:val="Balloon Text Char"/>
    <w:basedOn w:val="DefaultParagraphFont"/>
    <w:link w:val="BalloonText"/>
    <w:semiHidden/>
    <w:rsid w:val="001D5738"/>
    <w:rPr>
      <w:rFonts w:ascii="Segoe UI" w:hAnsi="Segoe UI" w:cs="Segoe UI"/>
      <w:sz w:val="18"/>
      <w:szCs w:val="18"/>
    </w:rPr>
  </w:style>
  <w:style w:type="character" w:styleId="CommentReference">
    <w:name w:val="annotation reference"/>
    <w:basedOn w:val="DefaultParagraphFont"/>
    <w:rsid w:val="001D5738"/>
    <w:rPr>
      <w:sz w:val="16"/>
      <w:szCs w:val="16"/>
    </w:rPr>
  </w:style>
  <w:style w:type="paragraph" w:styleId="CommentText">
    <w:name w:val="annotation text"/>
    <w:basedOn w:val="Normal"/>
    <w:link w:val="CommentTextChar"/>
    <w:rsid w:val="001D5738"/>
    <w:rPr>
      <w:sz w:val="20"/>
    </w:rPr>
  </w:style>
  <w:style w:type="character" w:customStyle="1" w:styleId="CommentTextChar">
    <w:name w:val="Comment Text Char"/>
    <w:basedOn w:val="DefaultParagraphFont"/>
    <w:link w:val="CommentText"/>
    <w:rsid w:val="001D5738"/>
  </w:style>
  <w:style w:type="paragraph" w:styleId="CommentSubject">
    <w:name w:val="annotation subject"/>
    <w:basedOn w:val="CommentText"/>
    <w:next w:val="CommentText"/>
    <w:link w:val="CommentSubjectChar"/>
    <w:semiHidden/>
    <w:unhideWhenUsed/>
    <w:rsid w:val="001D5738"/>
    <w:rPr>
      <w:b/>
      <w:bCs/>
    </w:rPr>
  </w:style>
  <w:style w:type="character" w:customStyle="1" w:styleId="CommentSubjectChar">
    <w:name w:val="Comment Subject Char"/>
    <w:basedOn w:val="CommentTextChar"/>
    <w:link w:val="CommentSubject"/>
    <w:semiHidden/>
    <w:rsid w:val="001D5738"/>
    <w:rPr>
      <w:b/>
      <w:bCs/>
    </w:rPr>
  </w:style>
  <w:style w:type="paragraph" w:customStyle="1" w:styleId="AmHeadingPA">
    <w:name w:val="AmHeadingPA"/>
    <w:basedOn w:val="Normal"/>
    <w:next w:val="Normal"/>
    <w:rsid w:val="00EB001A"/>
    <w:pPr>
      <w:spacing w:before="480" w:after="240"/>
      <w:jc w:val="center"/>
    </w:pPr>
    <w:rPr>
      <w:rFonts w:ascii="Arial" w:hAnsi="Arial"/>
      <w:b/>
      <w:caps/>
      <w:snapToGrid w:val="0"/>
      <w:szCs w:val="24"/>
      <w:lang w:eastAsia="en-US"/>
    </w:rPr>
  </w:style>
  <w:style w:type="character" w:styleId="PageNumber">
    <w:name w:val="page number"/>
    <w:basedOn w:val="DefaultParagraphFont"/>
    <w:rsid w:val="00EB001A"/>
  </w:style>
  <w:style w:type="paragraph" w:customStyle="1" w:styleId="msonormal0">
    <w:name w:val="msonormal"/>
    <w:basedOn w:val="Normal"/>
    <w:rsid w:val="00EB001A"/>
    <w:pPr>
      <w:widowControl/>
      <w:spacing w:before="100" w:beforeAutospacing="1" w:after="100" w:afterAutospacing="1"/>
    </w:pPr>
    <w:rPr>
      <w:szCs w:val="24"/>
    </w:rPr>
  </w:style>
  <w:style w:type="paragraph" w:customStyle="1" w:styleId="RollCallSymbols14pt">
    <w:name w:val="RollCallSymbols14pt"/>
    <w:basedOn w:val="Normal"/>
    <w:rsid w:val="00EB001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B001A"/>
    <w:pPr>
      <w:tabs>
        <w:tab w:val="center" w:pos="284"/>
        <w:tab w:val="left" w:pos="426"/>
      </w:tabs>
    </w:pPr>
    <w:rPr>
      <w:snapToGrid w:val="0"/>
      <w:lang w:eastAsia="en-US"/>
    </w:rPr>
  </w:style>
  <w:style w:type="paragraph" w:customStyle="1" w:styleId="RollCallVotes">
    <w:name w:val="RollCallVotes"/>
    <w:basedOn w:val="Normal"/>
    <w:rsid w:val="00EB001A"/>
    <w:pPr>
      <w:spacing w:before="120" w:after="120"/>
      <w:jc w:val="center"/>
    </w:pPr>
    <w:rPr>
      <w:b/>
      <w:bCs/>
      <w:snapToGrid w:val="0"/>
      <w:sz w:val="16"/>
      <w:lang w:eastAsia="en-US"/>
    </w:rPr>
  </w:style>
  <w:style w:type="paragraph" w:customStyle="1" w:styleId="RollCallTable">
    <w:name w:val="RollCallTable"/>
    <w:basedOn w:val="Normal"/>
    <w:rsid w:val="00EB001A"/>
    <w:pPr>
      <w:spacing w:before="120" w:after="120"/>
    </w:pPr>
    <w:rPr>
      <w:snapToGrid w:val="0"/>
      <w:sz w:val="16"/>
      <w:lang w:eastAsia="en-US"/>
    </w:rPr>
  </w:style>
  <w:style w:type="character" w:customStyle="1" w:styleId="CommentTextChar1">
    <w:name w:val="Comment Text Char1"/>
    <w:basedOn w:val="DefaultParagraphFont"/>
    <w:uiPriority w:val="99"/>
    <w:semiHidden/>
    <w:rsid w:val="00EB001A"/>
  </w:style>
  <w:style w:type="character" w:customStyle="1" w:styleId="CommentSubjectChar1">
    <w:name w:val="Comment Subject Char1"/>
    <w:basedOn w:val="CommentTextChar1"/>
    <w:uiPriority w:val="99"/>
    <w:semiHidden/>
    <w:rsid w:val="00EB00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6796</Words>
  <Characters>47522</Characters>
  <Application>Microsoft Office Word</Application>
  <DocSecurity>0</DocSecurity>
  <Lines>1735</Lines>
  <Paragraphs>465</Paragraphs>
  <ScaleCrop>false</ScaleCrop>
  <HeadingPairs>
    <vt:vector size="2" baseType="variant">
      <vt:variant>
        <vt:lpstr>Title</vt:lpstr>
      </vt:variant>
      <vt:variant>
        <vt:i4>1</vt:i4>
      </vt:variant>
    </vt:vector>
  </HeadingPairs>
  <TitlesOfParts>
    <vt:vector size="1" baseType="lpstr">
      <vt:lpstr>PA_LegPosition</vt:lpstr>
    </vt:vector>
  </TitlesOfParts>
  <Company/>
  <LinksUpToDate>false</LinksUpToDate>
  <CharactersWithSpaces>53945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PA_LegPosition</dc:title>
  <dc:creator>European Parliament</dc:creator>
  <cp:lastModifiedBy>European Parliament</cp:lastModifiedBy>
  <cp:revision>2</cp:revision>
  <cp:lastPrinted>2004-10-28T10:33:00Z</cp:lastPrinted>
  <dcterms:created xsi:type="dcterms:W3CDTF">2022-11-16T16:08:00Z</dcterms:created>
  <dcterms:modified xsi:type="dcterms:W3CDTF">2022-11-16T16:08:00Z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1265696</vt:lpwstr>
  </property>
  <property fmtid="{D5CDD505-2E9C-101B-9397-08002B2CF9AE}" pid="4" name="&lt;Model&gt;">
    <vt:lpwstr>PA_LegPosition</vt:lpwstr>
  </property>
  <property fmtid="{D5CDD505-2E9C-101B-9397-08002B2CF9AE}" pid="5" name="&lt;ModelCod&gt;">
    <vt:lpwstr>\\eiciLUXpr1\pdocep$\DocEP\DOCS\General\PA\PA_LegPosition.dotx(17/04/2020 19:26:08)</vt:lpwstr>
  </property>
  <property fmtid="{D5CDD505-2E9C-101B-9397-08002B2CF9AE}" pid="6" name="&lt;ModelTra&gt;">
    <vt:lpwstr>\\eiciLUXpr1\pdocep$\DocEP\TRANSFIL\LT\PA_LegPosition.LT(11/07/2020 00:20:06)</vt:lpwstr>
  </property>
  <property fmtid="{D5CDD505-2E9C-101B-9397-08002B2CF9AE}" pid="7" name="&lt;Type&gt;">
    <vt:lpwstr>AD</vt:lpwstr>
  </property>
  <property fmtid="{D5CDD505-2E9C-101B-9397-08002B2CF9AE}" pid="8" name="Bookout">
    <vt:lpwstr>OK - 2022/11/16 17:06</vt:lpwstr>
  </property>
  <property fmtid="{D5CDD505-2E9C-101B-9397-08002B2CF9AE}" pid="9" name="Created with">
    <vt:lpwstr>9.11.0 Build [20211103]</vt:lpwstr>
  </property>
  <property fmtid="{D5CDD505-2E9C-101B-9397-08002B2CF9AE}" pid="10" name="FooterPath">
    <vt:lpwstr>AD\1265696LT.docx</vt:lpwstr>
  </property>
  <property fmtid="{D5CDD505-2E9C-101B-9397-08002B2CF9AE}" pid="11" name="LastEdited with">
    <vt:lpwstr>9.11.0 Build [20211103]</vt:lpwstr>
  </property>
  <property fmtid="{D5CDD505-2E9C-101B-9397-08002B2CF9AE}" pid="12" name="PE number">
    <vt:lpwstr>732.915</vt:lpwstr>
  </property>
  <property fmtid="{D5CDD505-2E9C-101B-9397-08002B2CF9AE}" pid="13" name="SDLStudio">
    <vt:lpwstr/>
  </property>
</Properties>
</file>