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6EF9" w:rsidRPr="0038739D" w:rsidTr="00C85D0F">
        <w:trPr>
          <w:trHeight w:hRule="exact" w:val="1418"/>
        </w:trPr>
        <w:tc>
          <w:tcPr>
            <w:tcW w:w="6804" w:type="dxa"/>
            <w:shd w:val="clear" w:color="auto" w:fill="auto"/>
            <w:vAlign w:val="center"/>
          </w:tcPr>
          <w:p w:rsidR="00BA3E40" w:rsidRPr="0038739D" w:rsidRDefault="00530CA4" w:rsidP="00C85D0F">
            <w:pPr>
              <w:pStyle w:val="EPName"/>
            </w:pPr>
            <w:r w:rsidRPr="0038739D">
              <w:t>Europäisches Parlament</w:t>
            </w:r>
          </w:p>
          <w:p w:rsidR="00BA3E40" w:rsidRPr="0038739D" w:rsidRDefault="00530CA4" w:rsidP="00604367">
            <w:pPr>
              <w:pStyle w:val="EPTerm"/>
            </w:pPr>
            <w:r w:rsidRPr="0038739D">
              <w:t>2019-2024</w:t>
            </w:r>
          </w:p>
        </w:tc>
        <w:tc>
          <w:tcPr>
            <w:tcW w:w="2268" w:type="dxa"/>
            <w:shd w:val="clear" w:color="auto" w:fill="auto"/>
          </w:tcPr>
          <w:p w:rsidR="00BA3E40" w:rsidRPr="0038739D" w:rsidRDefault="00530CA4" w:rsidP="00C85D0F">
            <w:pPr>
              <w:pStyle w:val="EPLogo"/>
            </w:pPr>
            <w:r w:rsidRPr="0038739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12014"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8739D" w:rsidRDefault="00F24D40" w:rsidP="00F24D40">
      <w:pPr>
        <w:pStyle w:val="LineTop"/>
      </w:pPr>
    </w:p>
    <w:p w:rsidR="00F24D40" w:rsidRPr="0038739D" w:rsidRDefault="00530CA4" w:rsidP="00F24D40">
      <w:pPr>
        <w:pStyle w:val="EPBody"/>
      </w:pPr>
      <w:r w:rsidRPr="0038739D">
        <w:rPr>
          <w:rStyle w:val="HideTWBExt"/>
          <w:color w:val="auto"/>
        </w:rPr>
        <w:t>&lt;</w:t>
      </w:r>
      <w:r w:rsidRPr="0038739D">
        <w:rPr>
          <w:rStyle w:val="HideTWBExt"/>
          <w:i w:val="0"/>
          <w:color w:val="auto"/>
        </w:rPr>
        <w:t>Commission</w:t>
      </w:r>
      <w:r w:rsidRPr="0038739D">
        <w:rPr>
          <w:rStyle w:val="HideTWBExt"/>
          <w:color w:val="auto"/>
        </w:rPr>
        <w:t>&gt;</w:t>
      </w:r>
      <w:r w:rsidRPr="0038739D">
        <w:rPr>
          <w:rStyle w:val="HideTWBInt"/>
          <w:color w:val="auto"/>
        </w:rPr>
        <w:t>{LIBE}</w:t>
      </w:r>
      <w:r w:rsidRPr="0038739D">
        <w:t>Ausschuss für bürgerliche Freiheiten, Justiz und Inneres</w:t>
      </w:r>
      <w:r w:rsidRPr="0038739D">
        <w:rPr>
          <w:rStyle w:val="HideTWBExt"/>
          <w:color w:val="auto"/>
        </w:rPr>
        <w:t>&lt;/</w:t>
      </w:r>
      <w:r w:rsidRPr="0038739D">
        <w:rPr>
          <w:rStyle w:val="HideTWBExt"/>
          <w:i w:val="0"/>
          <w:color w:val="auto"/>
        </w:rPr>
        <w:t>Commission</w:t>
      </w:r>
      <w:r w:rsidRPr="0038739D">
        <w:rPr>
          <w:rStyle w:val="HideTWBExt"/>
          <w:color w:val="auto"/>
        </w:rPr>
        <w:t>&gt;</w:t>
      </w:r>
    </w:p>
    <w:p w:rsidR="00F24D40" w:rsidRPr="0038739D" w:rsidRDefault="00F24D40" w:rsidP="00F24D40">
      <w:pPr>
        <w:pStyle w:val="LineBottom"/>
      </w:pPr>
    </w:p>
    <w:p w:rsidR="00DB56E4" w:rsidRPr="0038739D" w:rsidRDefault="00530CA4" w:rsidP="00DB56E4">
      <w:pPr>
        <w:pStyle w:val="CoverReference"/>
      </w:pPr>
      <w:r w:rsidRPr="0038739D">
        <w:rPr>
          <w:rStyle w:val="HideTWBExt"/>
          <w:b w:val="0"/>
          <w:color w:val="auto"/>
        </w:rPr>
        <w:t>&lt;RefProc&gt;</w:t>
      </w:r>
      <w:r w:rsidRPr="0038739D">
        <w:t>2021/0378</w:t>
      </w:r>
      <w:r w:rsidRPr="0038739D">
        <w:rPr>
          <w:rStyle w:val="HideTWBExt"/>
          <w:b w:val="0"/>
          <w:color w:val="auto"/>
        </w:rPr>
        <w:t>&lt;/RefProc&gt;&lt;RefTypeProc&gt;</w:t>
      </w:r>
      <w:r w:rsidRPr="0038739D">
        <w:t>(COD)</w:t>
      </w:r>
      <w:r w:rsidRPr="0038739D">
        <w:rPr>
          <w:rStyle w:val="HideTWBExt"/>
          <w:b w:val="0"/>
          <w:color w:val="auto"/>
        </w:rPr>
        <w:t>&lt;/RefTypeProc&gt;</w:t>
      </w:r>
    </w:p>
    <w:p w:rsidR="00DB56E4" w:rsidRPr="0038739D" w:rsidRDefault="00530CA4" w:rsidP="00DB56E4">
      <w:pPr>
        <w:pStyle w:val="CoverDate"/>
      </w:pPr>
      <w:r w:rsidRPr="0038739D">
        <w:rPr>
          <w:rStyle w:val="HideTWBExt"/>
          <w:color w:val="auto"/>
        </w:rPr>
        <w:t>&lt;Date&gt;</w:t>
      </w:r>
      <w:r w:rsidRPr="0038739D">
        <w:rPr>
          <w:rStyle w:val="HideTWBInt"/>
          <w:color w:val="auto"/>
        </w:rPr>
        <w:t>{12/01/2023}</w:t>
      </w:r>
      <w:r w:rsidRPr="0038739D">
        <w:t>12.1.2023</w:t>
      </w:r>
      <w:r w:rsidRPr="0038739D">
        <w:rPr>
          <w:rStyle w:val="HideTWBExt"/>
          <w:color w:val="auto"/>
        </w:rPr>
        <w:t>&lt;/Date&gt;</w:t>
      </w:r>
    </w:p>
    <w:p w:rsidR="00DB56E4" w:rsidRPr="0038739D" w:rsidRDefault="00530CA4" w:rsidP="00DB56E4">
      <w:pPr>
        <w:pStyle w:val="CoverDocType24a"/>
      </w:pPr>
      <w:r w:rsidRPr="0038739D">
        <w:rPr>
          <w:rStyle w:val="HideTWBExt"/>
          <w:b w:val="0"/>
          <w:color w:val="auto"/>
        </w:rPr>
        <w:t>&lt;TitreType&gt;</w:t>
      </w:r>
      <w:r w:rsidRPr="0038739D">
        <w:t>STELLUNGNAHME</w:t>
      </w:r>
      <w:r w:rsidRPr="0038739D">
        <w:rPr>
          <w:rStyle w:val="HideTWBExt"/>
          <w:b w:val="0"/>
          <w:color w:val="auto"/>
        </w:rPr>
        <w:t>&lt;/TitreType&gt;</w:t>
      </w:r>
    </w:p>
    <w:p w:rsidR="00DB56E4" w:rsidRPr="0038739D" w:rsidRDefault="00530CA4" w:rsidP="00DB56E4">
      <w:pPr>
        <w:pStyle w:val="CoverNormal24a"/>
      </w:pPr>
      <w:r w:rsidRPr="0038739D">
        <w:rPr>
          <w:rStyle w:val="HideTWBExt"/>
          <w:color w:val="auto"/>
        </w:rPr>
        <w:t>&lt;CommissionResp&gt;</w:t>
      </w:r>
      <w:r w:rsidRPr="0038739D">
        <w:t>des Ausschusses für bürgerliche Freiheiten, Justiz und Inneres</w:t>
      </w:r>
      <w:r w:rsidRPr="0038739D">
        <w:rPr>
          <w:rStyle w:val="HideTWBExt"/>
          <w:color w:val="auto"/>
        </w:rPr>
        <w:t>&lt;/CommissionResp&gt;</w:t>
      </w:r>
    </w:p>
    <w:p w:rsidR="00DB56E4" w:rsidRPr="0038739D" w:rsidRDefault="00530CA4" w:rsidP="00DB56E4">
      <w:pPr>
        <w:pStyle w:val="CoverNormal24a"/>
      </w:pPr>
      <w:r w:rsidRPr="0038739D">
        <w:rPr>
          <w:rStyle w:val="HideTWBExt"/>
          <w:color w:val="auto"/>
        </w:rPr>
        <w:t>&lt;CommissionInt&gt;</w:t>
      </w:r>
      <w:r w:rsidRPr="0038739D">
        <w:t>für den Ausschuss für Wirtschaft und Währung</w:t>
      </w:r>
      <w:r w:rsidRPr="0038739D">
        <w:rPr>
          <w:rStyle w:val="HideTWBExt"/>
          <w:color w:val="auto"/>
        </w:rPr>
        <w:t>&lt;/CommissionInt&gt;</w:t>
      </w:r>
    </w:p>
    <w:p w:rsidR="00C85A4C" w:rsidRPr="0038739D" w:rsidRDefault="00530CA4" w:rsidP="00C85A4C">
      <w:pPr>
        <w:pStyle w:val="CoverNormal"/>
      </w:pPr>
      <w:r w:rsidRPr="0038739D">
        <w:rPr>
          <w:rStyle w:val="HideTWBExt"/>
        </w:rPr>
        <w:t>&lt;Titre&gt;</w:t>
      </w:r>
      <w:r w:rsidRPr="0038739D">
        <w:t>zu dem Vorschlag für eine Verordnung des Europäischen Parlaments</w:t>
      </w:r>
      <w:r w:rsidRPr="0038739D">
        <w:t xml:space="preserve"> und des Rates zur Einrichtung eines zentralen europäischen Zugangsportals für den zentralisierten Zugriff auf öffentlich verfügbare, für Finanzdienstleistungen, Kapitalmärkte und Nachhaltigkeit relevante Informationen</w:t>
      </w:r>
      <w:r w:rsidRPr="0038739D">
        <w:rPr>
          <w:rStyle w:val="HideTWBExt"/>
        </w:rPr>
        <w:t>&lt;/Titre&gt;</w:t>
      </w:r>
    </w:p>
    <w:p w:rsidR="00DB56E4" w:rsidRPr="0038739D" w:rsidRDefault="00530CA4" w:rsidP="00C85A4C">
      <w:pPr>
        <w:pStyle w:val="CoverNormal24a"/>
      </w:pPr>
      <w:r w:rsidRPr="0038739D">
        <w:rPr>
          <w:rStyle w:val="HideTWBExt"/>
        </w:rPr>
        <w:t>&lt;DocRef&gt;</w:t>
      </w:r>
      <w:r w:rsidRPr="0038739D">
        <w:t>(COM(2021)0723 – C9</w:t>
      </w:r>
      <w:r w:rsidRPr="0038739D">
        <w:noBreakHyphen/>
      </w:r>
      <w:r w:rsidRPr="0038739D">
        <w:t>0434/2021 – 2021/0378(COD))</w:t>
      </w:r>
      <w:r w:rsidRPr="0038739D">
        <w:rPr>
          <w:rStyle w:val="HideTWBExt"/>
        </w:rPr>
        <w:t>&lt;/DocRef&gt;</w:t>
      </w:r>
    </w:p>
    <w:p w:rsidR="00DB56E4" w:rsidRPr="0038739D" w:rsidRDefault="00530CA4" w:rsidP="00DB56E4">
      <w:pPr>
        <w:pStyle w:val="CoverNormal24a"/>
      </w:pPr>
      <w:r w:rsidRPr="0038739D">
        <w:t xml:space="preserve">Verfasser der Stellungnahme: </w:t>
      </w:r>
      <w:r w:rsidRPr="0038739D">
        <w:rPr>
          <w:rStyle w:val="HideTWBExt"/>
          <w:color w:val="auto"/>
        </w:rPr>
        <w:t>&lt;Depute&gt;</w:t>
      </w:r>
      <w:r w:rsidRPr="0038739D">
        <w:t>Emil Radev</w:t>
      </w:r>
      <w:r w:rsidRPr="0038739D">
        <w:rPr>
          <w:rStyle w:val="HideTWBExt"/>
          <w:color w:val="auto"/>
        </w:rPr>
        <w:t>&lt;/Depute&gt;</w:t>
      </w:r>
    </w:p>
    <w:p w:rsidR="00487596" w:rsidRPr="0038739D" w:rsidRDefault="00487596" w:rsidP="00487596">
      <w:pPr>
        <w:pStyle w:val="CoverNormal"/>
      </w:pPr>
    </w:p>
    <w:p w:rsidR="00DB56E4" w:rsidRPr="0038739D" w:rsidRDefault="00530CA4" w:rsidP="0004474F">
      <w:pPr>
        <w:tabs>
          <w:tab w:val="center" w:pos="4677"/>
        </w:tabs>
      </w:pPr>
      <w:r w:rsidRPr="0038739D">
        <w:br w:type="page"/>
      </w:r>
      <w:r w:rsidRPr="0038739D">
        <w:lastRenderedPageBreak/>
        <w:t>PA_Legam</w:t>
      </w:r>
    </w:p>
    <w:p w:rsidR="00DB56E4" w:rsidRPr="0038739D" w:rsidRDefault="00530CA4" w:rsidP="00604367">
      <w:pPr>
        <w:pStyle w:val="AmHeadingPA"/>
      </w:pPr>
      <w:r w:rsidRPr="0038739D">
        <w:br w:type="page"/>
      </w:r>
      <w:r w:rsidRPr="0038739D">
        <w:lastRenderedPageBreak/>
        <w:t>ÄNDERUNGSANTRÄGE</w:t>
      </w:r>
    </w:p>
    <w:p w:rsidR="00DB56E4" w:rsidRPr="0038739D" w:rsidRDefault="00530CA4" w:rsidP="001E3AC4">
      <w:pPr>
        <w:pStyle w:val="Normal12a"/>
      </w:pPr>
      <w:bookmarkStart w:id="0" w:name="IntroA"/>
      <w:r w:rsidRPr="0038739D">
        <w:t>Der Ausschuss für bürgerliche Freiheiten, Justiz und Inneres ersucht den federführenden Ausschuss für Wirtschaft und Währung, folgend</w:t>
      </w:r>
      <w:r w:rsidRPr="0038739D">
        <w:t>e Änderungsanträge zu berücksichtigen:</w:t>
      </w:r>
    </w:p>
    <w:bookmarkEnd w:id="0"/>
    <w:p w:rsidR="00C85A4C" w:rsidRPr="0038739D" w:rsidRDefault="00530CA4" w:rsidP="00C85A4C">
      <w:r w:rsidRPr="0038739D">
        <w:rPr>
          <w:rStyle w:val="HideTWBExt"/>
        </w:rPr>
        <w:t>&lt;RepeatBlock-Amend&gt;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2</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(2)</w:t>
            </w:r>
            <w:r w:rsidRPr="0038739D">
              <w:tab/>
            </w:r>
            <w:r w:rsidRPr="0038739D">
              <w:t xml:space="preserve">Ein einfacher Zugang zu Daten ist wichtig, damit Entscheidungsträger in Wirtschaft und Gesellschaft fundierte </w:t>
            </w:r>
            <w:r w:rsidRPr="0038739D">
              <w:rPr>
                <w:b/>
                <w:bCs/>
                <w:i/>
                <w:iCs/>
              </w:rPr>
              <w:t>Entscheidungen</w:t>
            </w:r>
            <w:r w:rsidRPr="0038739D">
              <w:t xml:space="preserve"> treffen können, die dem effizienten Funktionieren des Marktes dienen. Die Einrichtung gemeinsamer europäischer Datenräume in wichti</w:t>
            </w:r>
            <w:r w:rsidRPr="0038739D">
              <w:t>gen Sektoren, einschließlich des Finanzsektors, würde diesem Zweck dienen. Der Finanzsektor durchläuft aktuell einen digitalen Wandel, der sich in den kommenden Jahren fortsetzen dürfte, und die Union sollte diese Transformation insbesondere durch die Förd</w:t>
            </w:r>
            <w:r w:rsidRPr="0038739D">
              <w:t>erung eines datengesteuerten Finanzwesens unterstützen. Darüber hinaus ist die Schaffung eines nachhaltigen Finanzwesens im Herzen des Finanzsystems ein wesentlicher Katalysator, um den Übergang zu einer grünen Wirtschaft der Union zu ermöglichen. Damit de</w:t>
            </w:r>
            <w:r w:rsidRPr="0038739D">
              <w:t>r Übergang zu einer grünen Wirtschaft durch ein nachhaltiges Finanzwesen gelingen kann, ist es von entscheidender Bedeutung, dass Informationen über die Nachhaltigkeit von Unternehmen für Investoren leicht zugänglich sind, damit sie bei Investitionsentsche</w:t>
            </w:r>
            <w:r w:rsidRPr="0038739D">
              <w:t xml:space="preserve">idungen besser informiert sind. Zu diesem Zweck muss der öffentliche Zugang zu Informationen über Unternehmen, Finanzinstitute sowie zu finanziellen und nichtfinanziellen Informationen verbessert werden. Auf </w:t>
            </w:r>
            <w:r w:rsidRPr="0038739D">
              <w:lastRenderedPageBreak/>
              <w:t>Unionsebene besteht ein effizientes Mittel in de</w:t>
            </w:r>
            <w:r w:rsidRPr="0038739D">
              <w:t>r Einrichtung einer zentralen Plattform, d. h. eines zentralen europäischen Zugangsportals, das den elektronischen Zugriff auf alle relevanten Informationen ermöglicht.</w:t>
            </w:r>
          </w:p>
        </w:tc>
        <w:tc>
          <w:tcPr>
            <w:tcW w:w="4876" w:type="dxa"/>
            <w:hideMark/>
          </w:tcPr>
          <w:p w:rsidR="00C85A4C" w:rsidRPr="0038739D" w:rsidRDefault="00530CA4" w:rsidP="00244990">
            <w:pPr>
              <w:pStyle w:val="Normal6"/>
              <w:rPr>
                <w:szCs w:val="24"/>
              </w:rPr>
            </w:pPr>
            <w:r w:rsidRPr="0038739D">
              <w:lastRenderedPageBreak/>
              <w:t>(2)</w:t>
            </w:r>
            <w:r w:rsidRPr="0038739D">
              <w:tab/>
              <w:t xml:space="preserve">Ein einfacher </w:t>
            </w:r>
            <w:r w:rsidRPr="0038739D">
              <w:rPr>
                <w:b/>
                <w:bCs/>
                <w:i/>
                <w:iCs/>
              </w:rPr>
              <w:t>und strukturierter</w:t>
            </w:r>
            <w:r w:rsidRPr="0038739D">
              <w:t xml:space="preserve"> Zugang zu Daten ist wichtig, damit Entscheidungstr</w:t>
            </w:r>
            <w:r w:rsidRPr="0038739D">
              <w:t>äger in Wirtschaft und Gesellschaft fundierte</w:t>
            </w:r>
            <w:r w:rsidRPr="0038739D">
              <w:rPr>
                <w:b/>
                <w:bCs/>
                <w:i/>
                <w:iCs/>
              </w:rPr>
              <w:t>, sachkundige sowie ökologisch und sozial verantwortungsvolle Investitionsentscheidungen</w:t>
            </w:r>
            <w:r w:rsidRPr="0038739D">
              <w:t xml:space="preserve"> treffen können, die dem effizienten Funktionieren des Marktes dienen. Die Einrichtung gemeinsamer europäischer Datenräume </w:t>
            </w:r>
            <w:r w:rsidRPr="0038739D">
              <w:t>in wichtigen Sektoren, einschließlich des Finanzsektors, würde diesem Zweck dienen. Der Finanzsektor durchläuft aktuell einen digitalen Wandel, der sich in den kommenden Jahren fortsetzen dürfte, und die Union sollte diese Transformation insbesondere durch</w:t>
            </w:r>
            <w:r w:rsidRPr="0038739D">
              <w:t xml:space="preserve"> die Förderung eines datengesteuerten Finanzwesens unterstützen. Darüber hinaus ist die Schaffung eines nachhaltigen Finanzwesens im Herzen des Finanzsystems ein wesentlicher Katalysator, um den Übergang zu einer grünen Wirtschaft der Union zu ermöglichen.</w:t>
            </w:r>
            <w:r w:rsidRPr="0038739D">
              <w:t xml:space="preserve"> Damit der Übergang zu einer grünen Wirtschaft durch ein nachhaltiges Finanzwesen gelingen kann, ist es von entscheidender Bedeutung, dass Informationen über die Nachhaltigkeit von Unternehmen für Investoren leicht zugänglich sind, damit sie bei Investitio</w:t>
            </w:r>
            <w:r w:rsidRPr="0038739D">
              <w:t xml:space="preserve">nsentscheidungen besser informiert sind. Zu diesem Zweck muss der öffentliche Zugang zu Informationen über </w:t>
            </w:r>
            <w:r w:rsidRPr="0038739D">
              <w:lastRenderedPageBreak/>
              <w:t>Unternehmen, Finanzinstitute sowie zu finanziellen und nichtfinanziellen Informationen verbessert werden. Auf Unionsebene besteht ein effizientes Mit</w:t>
            </w:r>
            <w:r w:rsidRPr="0038739D">
              <w:t>tel in der Einrichtung einer zentralen Plattform, d. h. eines zentralen europäischen Zugangsportals, das den elektronischen Zugriff auf alle relevanten Informationen ermöglicht.</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w:t>
      </w:r>
      <w:r w:rsidRPr="0038739D">
        <w:t>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2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(2a)</w:t>
            </w:r>
            <w:r w:rsidRPr="0038739D">
              <w:rPr>
                <w:b/>
                <w:i/>
              </w:rPr>
              <w:tab/>
              <w:t xml:space="preserve">Da derzeit über neue Rechtsakte, wie etwa Verordnung XXX über europäische grüne Anleihen, verhandelt wird beziehungsweise Rechtsakte kurz vor </w:t>
            </w:r>
            <w:r w:rsidRPr="0038739D">
              <w:rPr>
                <w:b/>
                <w:i/>
              </w:rPr>
              <w:t>dem Abschluss stehen, aber nicht im Anhang dieser Verordnung aufgeführt sind, sollte der Kommission die Befugnis übertragen werden, den Anhang zu aktualisieren, um neu erlassene Rechtsvorschriften im Zusammenhang mit der Bereitstellung von Finanzdienstleis</w:t>
            </w:r>
            <w:r w:rsidRPr="0038739D">
              <w:rPr>
                <w:b/>
                <w:i/>
              </w:rPr>
              <w:t>tungen, Kapitalmärkten und Nachhaltigkeit hinzuzufügen.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4</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(4)</w:t>
            </w:r>
            <w:r w:rsidRPr="0038739D">
              <w:tab/>
              <w:t xml:space="preserve">Die über das ESAP </w:t>
            </w:r>
            <w:r w:rsidRPr="0038739D">
              <w:t>öffentlich zugänglich zu machenden Informationen sollten von Sammelstellen erhoben werden, die für die Sammlung der Informationen benannt wurden, zu deren Veröffentlichung die Unternehmen verpflichtet sind. Um das effiziente Funktionieren des ESAP zu gewäh</w:t>
            </w:r>
            <w:r w:rsidRPr="0038739D">
              <w:t xml:space="preserve">rleisten, sollten die Sammelstellen </w:t>
            </w:r>
            <w:r w:rsidRPr="0038739D">
              <w:lastRenderedPageBreak/>
              <w:t>dem ESAP die Informationen automatisch über eine zentrale Programmierschnittstelle zur Verfügung stellen. Damit die Informationen digital nutzbar sind, sollten die Unternehmen sie in einem datenextrahierbaren Format oder</w:t>
            </w:r>
            <w:r w:rsidRPr="0038739D">
              <w:t xml:space="preserve"> – wenn nach Unionsrecht erforderlich – in einem maschinenlesbaren Format zur Verfügung stellen. Im Gegensatz zu datenextrahierbaren Formaten handelt es sich bei maschinenlesbaren Formaten um Dateiformate, die so strukturiert sind, dass Softwareanwendungen</w:t>
            </w:r>
            <w:r w:rsidRPr="0038739D">
              <w:t xml:space="preserve"> konkrete Daten, einschließlich einzelner Sachverhaltsdarstellungen und deren interner Struktur, leicht identifizieren, erkennen und extrahieren können. Um sicherzustellen, dass Unternehmen die Informationen im richtigen Format übermitteln, und um mögliche</w:t>
            </w:r>
            <w:r w:rsidRPr="0038739D">
              <w:t>n technischen Problemen der Unternehmen Rechnung zu tragen, sollten die Sammelstellen diesen Unternehmen behilflich sein.</w:t>
            </w:r>
          </w:p>
        </w:tc>
        <w:tc>
          <w:tcPr>
            <w:tcW w:w="4876" w:type="dxa"/>
            <w:hideMark/>
          </w:tcPr>
          <w:p w:rsidR="00C85A4C" w:rsidRPr="0038739D" w:rsidRDefault="00530CA4" w:rsidP="00244990">
            <w:pPr>
              <w:pStyle w:val="Normal6"/>
              <w:rPr>
                <w:szCs w:val="24"/>
              </w:rPr>
            </w:pPr>
            <w:r w:rsidRPr="0038739D">
              <w:lastRenderedPageBreak/>
              <w:t>(4)</w:t>
            </w:r>
            <w:r w:rsidRPr="0038739D">
              <w:tab/>
              <w:t xml:space="preserve">Die über das ESAP öffentlich zugänglich zu machenden Informationen sollten von Sammelstellen erhoben werden, die für die Sammlung </w:t>
            </w:r>
            <w:r w:rsidRPr="0038739D">
              <w:t xml:space="preserve">der Informationen benannt wurden, zu deren Veröffentlichung die Unternehmen verpflichtet sind. Um das effiziente Funktionieren des ESAP zu gewährleisten, sollten die Sammelstellen </w:t>
            </w:r>
            <w:r w:rsidRPr="0038739D">
              <w:lastRenderedPageBreak/>
              <w:t>dem ESAP die Informationen automatisch über eine zentrale Programmierschnitt</w:t>
            </w:r>
            <w:r w:rsidRPr="0038739D">
              <w:t>stelle zur Verfügung stellen.</w:t>
            </w:r>
            <w:r w:rsidRPr="0038739D">
              <w:rPr>
                <w:b/>
                <w:i/>
              </w:rPr>
              <w:t xml:space="preserve"> </w:t>
            </w:r>
            <w:r w:rsidRPr="0038739D">
              <w:rPr>
                <w:b/>
                <w:bCs/>
                <w:i/>
                <w:iCs/>
              </w:rPr>
              <w:t>Soweit möglich und vorbehaltlich der Entscheidung des betreffenden Mitgliedstaats sollten Sammelstellen, die für die Erhebung von Informationen benannt werden, zu deren Offenlegung die Unternehmen verpflichtet sind, auch mit d</w:t>
            </w:r>
            <w:r w:rsidRPr="0038739D">
              <w:rPr>
                <w:b/>
                <w:bCs/>
                <w:i/>
                <w:iCs/>
              </w:rPr>
              <w:t>er Sammlung freiwillig übermittelter Informationen betraut werden.</w:t>
            </w:r>
            <w:r w:rsidRPr="0038739D">
              <w:t xml:space="preserve"> Damit die Informationen digital nutzbar sind, sollten die Unternehmen sie in einem datenextrahierbaren Format oder – wenn nach Unionsrecht erforderlich – in einem maschinenlesbaren Format z</w:t>
            </w:r>
            <w:r w:rsidRPr="0038739D">
              <w:t>ur Verfügung stellen. Im Gegensatz zu datenextrahierbaren Formaten handelt es sich bei maschinenlesbaren Formaten um Dateiformate, die so strukturiert sind, dass Softwareanwendungen konkrete Daten, einschließlich einzelner Sachverhaltsdarstellungen und der</w:t>
            </w:r>
            <w:r w:rsidRPr="0038739D">
              <w:t>en interner Struktur, leicht identifizieren, erkennen und extrahieren können. Um sicherzustellen, dass Unternehmen die Informationen im richtigen Format übermitteln, und um möglichen technischen Problemen der Unternehmen Rechnung zu tragen, sollten die Sam</w:t>
            </w:r>
            <w:r w:rsidRPr="0038739D">
              <w:t>melstellen diesen Unternehmen behilflich sein.</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4</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5</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(5)</w:t>
            </w:r>
            <w:r w:rsidRPr="0038739D">
              <w:tab/>
              <w:t>Neben den Informationen über</w:t>
            </w:r>
            <w:r w:rsidRPr="0038739D">
              <w:t xml:space="preserve"> Finanzdienstleistungen, Kapitalmärkte und Nachhaltigkeit, die nach Unionsrecht veröffentlicht werden müssen, können Investoren, Marktteilnehmer, Berater und die breite Öffentlichkeit ein Interesse daran haben, weitere Informationen zu erhalten, </w:t>
            </w:r>
            <w:r w:rsidRPr="0038739D">
              <w:lastRenderedPageBreak/>
              <w:t>die ein Un</w:t>
            </w:r>
            <w:r w:rsidRPr="0038739D">
              <w:t xml:space="preserve">ternehmen zugänglich machen will. </w:t>
            </w:r>
            <w:r w:rsidRPr="0038739D">
              <w:rPr>
                <w:b/>
                <w:bCs/>
                <w:i/>
                <w:iCs/>
              </w:rPr>
              <w:t>Kleine</w:t>
            </w:r>
            <w:r w:rsidRPr="0038739D">
              <w:t xml:space="preserve"> und mittlere Unternehmen wollen möglicherweise mehr Informationen öffentlich zugänglich machen, um für potenzielle Investoren sichtbarer zu werden und dadurch die Finanzmittel zu erhöhen und Finanzierungsmöglichkeit</w:t>
            </w:r>
            <w:r w:rsidRPr="0038739D">
              <w:t>en zu diversifizieren. Darüber hinaus können Marktteilnehmer wünschen, mehr Informationen bereitzustellen als gesetzlich vorgeschrieben oder die nach nationalem Recht erforderlichen, aber auf Unionsebene nicht zur Verfügung stehenden Informationen zu veröf</w:t>
            </w:r>
            <w:r w:rsidRPr="0038739D">
              <w:t>fentlichen, um die Informationen zu ergänzen, die der Öffentlichkeit auf Unionsebene zur Verfügung gestellt werden. Daher sollte es jedem Unternehmen erlaubt sein, finanzielle, nachhaltigkeitsbezogene und andere relevante Informationen über das ESAP zugäng</w:t>
            </w:r>
            <w:r w:rsidRPr="0038739D">
              <w:t>lich zu machen. Gemäß dem Grundsatz der Datenminimierung sollten Unternehmen sicherstellen, dass keine personenbezogenen Daten aufgenommen werden, sofern diese Daten keinen notwendigen Bestandteil der Informationen über ihre wirtschaftlichen Tätigkeiten da</w:t>
            </w:r>
            <w:r w:rsidRPr="0038739D">
              <w:t>rstellen, auch wenn der Name des Unternehmens mit dem Namen des Eigentümers übereinstimmt. Enthalten solche Informationen personenbezogene Daten, so sollten die Unternehmen sicherstellen, dass sie sich auf einen der rechtmäßigen Verarbeitungsgründe gemäß A</w:t>
            </w:r>
            <w:r w:rsidRPr="0038739D">
              <w:t>rtikel 6 der Verordnung (EU) 2016/679 des Europäischen Parlaments und des Rates</w:t>
            </w:r>
            <w:r w:rsidRPr="0038739D">
              <w:rPr>
                <w:vertAlign w:val="superscript"/>
              </w:rPr>
              <w:t>26</w:t>
            </w:r>
            <w:r w:rsidRPr="0038739D">
              <w:t xml:space="preserve"> berufen können.</w:t>
            </w:r>
          </w:p>
        </w:tc>
        <w:tc>
          <w:tcPr>
            <w:tcW w:w="4876" w:type="dxa"/>
            <w:hideMark/>
          </w:tcPr>
          <w:p w:rsidR="00C85A4C" w:rsidRPr="0038739D" w:rsidRDefault="00530CA4" w:rsidP="00244990">
            <w:pPr>
              <w:pStyle w:val="Normal6"/>
              <w:rPr>
                <w:szCs w:val="24"/>
              </w:rPr>
            </w:pPr>
            <w:r w:rsidRPr="0038739D">
              <w:lastRenderedPageBreak/>
              <w:t>(5)</w:t>
            </w:r>
            <w:r w:rsidRPr="0038739D">
              <w:tab/>
              <w:t>Neben den Informationen über Finanzdienstleistungen, Kapitalmärkte und Nachhaltigkeit, die nach Unionsrecht veröffentlicht werden müssen, können Investore</w:t>
            </w:r>
            <w:r w:rsidRPr="0038739D">
              <w:t xml:space="preserve">n, Marktteilnehmer, Berater und die breite Öffentlichkeit ein Interesse daran haben, weitere Informationen zu erhalten, </w:t>
            </w:r>
            <w:r w:rsidRPr="0038739D">
              <w:lastRenderedPageBreak/>
              <w:t xml:space="preserve">die ein Unternehmen zugänglich machen will. </w:t>
            </w:r>
            <w:r w:rsidRPr="0038739D">
              <w:rPr>
                <w:b/>
                <w:bCs/>
                <w:i/>
                <w:iCs/>
              </w:rPr>
              <w:t>Kleinstunternehmen sowie kleine</w:t>
            </w:r>
            <w:r w:rsidRPr="0038739D">
              <w:t xml:space="preserve"> und mittlere Unternehmen wollen möglicherweise mehr Informat</w:t>
            </w:r>
            <w:r w:rsidRPr="0038739D">
              <w:t>ionen öffentlich zugänglich machen, um für potenzielle Investoren sichtbarer zu werden und dadurch die Finanzmittel zu erhöhen und Finanzierungsmöglichkeiten zu diversifizieren. Darüber hinaus können Marktteilnehmer wünschen, mehr Informationen bereitzuste</w:t>
            </w:r>
            <w:r w:rsidRPr="0038739D">
              <w:t>llen als gesetzlich vorgeschrieben oder die nach nationalem Recht erforderlichen, aber auf Unionsebene nicht zur Verfügung stehenden Informationen zu veröffentlichen, um die Informationen zu ergänzen, die der Öffentlichkeit auf Unionsebene zur Verfügung ge</w:t>
            </w:r>
            <w:r w:rsidRPr="0038739D">
              <w:t xml:space="preserve">stellt werden. Daher sollte es jedem Unternehmen erlaubt sein, finanzielle, nachhaltigkeitsbezogene und andere relevante Informationen über das ESAP zugänglich zu machen. </w:t>
            </w:r>
            <w:r w:rsidRPr="0038739D">
              <w:rPr>
                <w:b/>
                <w:i/>
              </w:rPr>
              <w:t>Unternehmen, die freiwillig Informationen zur Barrierefreiheit im ESAP einreichen, so</w:t>
            </w:r>
            <w:r w:rsidRPr="0038739D">
              <w:rPr>
                <w:b/>
                <w:i/>
              </w:rPr>
              <w:t>llten für deren Qualität, Vollständigkeit und Richtigkeit verantwortlich sein. Die Informationen sollten nach Treu und Glauben übermittelt werden und die tatsächliche Sachlage widerspiegeln.</w:t>
            </w:r>
            <w:r w:rsidRPr="0038739D">
              <w:t xml:space="preserve"> Gemäß dem Grundsatz der Datenminimierung sollten Unternehmen sich</w:t>
            </w:r>
            <w:r w:rsidRPr="0038739D">
              <w:t>erstellen, dass keine personenbezogenen Daten aufgenommen werden, sofern diese Daten keinen notwendigen Bestandteil der Informationen über ihre wirtschaftlichen Tätigkeiten darstellen, auch wenn der Name des Unternehmens mit dem Namen des Eigentümers übere</w:t>
            </w:r>
            <w:r w:rsidRPr="0038739D">
              <w:t>instimmt. Enthalten solche Informationen personenbezogene Daten, so sollten die Unternehmen sicherstellen, dass sie sich auf einen der rechtmäßigen Verarbeitungsgründe gemäß Artikel 6 der Verordnung (EU) 2016/679 des Europäischen Parlaments und des Rates</w:t>
            </w:r>
            <w:r w:rsidRPr="0038739D">
              <w:rPr>
                <w:vertAlign w:val="superscript"/>
              </w:rPr>
              <w:t>26</w:t>
            </w:r>
            <w:r w:rsidRPr="0038739D">
              <w:t xml:space="preserve"> berufen können.</w:t>
            </w:r>
          </w:p>
        </w:tc>
      </w:tr>
      <w:tr w:rsidR="00E76EF9" w:rsidRPr="0038739D" w:rsidTr="00244990">
        <w:trPr>
          <w:jc w:val="center"/>
        </w:trPr>
        <w:tc>
          <w:tcPr>
            <w:tcW w:w="4876" w:type="dxa"/>
            <w:hideMark/>
          </w:tcPr>
          <w:p w:rsidR="00C85A4C" w:rsidRPr="0038739D" w:rsidRDefault="00530CA4" w:rsidP="00244990">
            <w:pPr>
              <w:pStyle w:val="Normal6"/>
            </w:pPr>
            <w:r w:rsidRPr="0038739D">
              <w:lastRenderedPageBreak/>
              <w:t>__________________</w:t>
            </w:r>
          </w:p>
        </w:tc>
        <w:tc>
          <w:tcPr>
            <w:tcW w:w="4876" w:type="dxa"/>
            <w:hideMark/>
          </w:tcPr>
          <w:p w:rsidR="00C85A4C" w:rsidRPr="0038739D" w:rsidRDefault="00530CA4" w:rsidP="00244990">
            <w:pPr>
              <w:pStyle w:val="Normal6"/>
              <w:rPr>
                <w:szCs w:val="24"/>
              </w:rPr>
            </w:pPr>
            <w:r w:rsidRPr="0038739D">
              <w:t>__________________</w:t>
            </w:r>
          </w:p>
        </w:tc>
      </w:tr>
      <w:tr w:rsidR="00E76EF9" w:rsidRPr="0038739D" w:rsidTr="00244990">
        <w:trPr>
          <w:jc w:val="center"/>
        </w:trPr>
        <w:tc>
          <w:tcPr>
            <w:tcW w:w="4876" w:type="dxa"/>
            <w:hideMark/>
          </w:tcPr>
          <w:p w:rsidR="00C85A4C" w:rsidRPr="0038739D" w:rsidRDefault="00530CA4" w:rsidP="00244990">
            <w:pPr>
              <w:pStyle w:val="Normal6"/>
            </w:pPr>
            <w:r w:rsidRPr="0038739D">
              <w:rPr>
                <w:vertAlign w:val="superscript"/>
              </w:rPr>
              <w:lastRenderedPageBreak/>
              <w:t>26</w:t>
            </w:r>
            <w:r w:rsidRPr="0038739D">
              <w:t xml:space="preserve"> Verordnung (EU) 2016/679 des Europäischen Parlaments und des Rates vom 27. April 2016 zum Schutz natürlicher Personen bei der Verarbeitung personenbezogener Daten, zum freien Datenverkehr und zur </w:t>
            </w:r>
            <w:r w:rsidRPr="0038739D">
              <w:t>Aufhebung der Richtlinie 95/46/EG (Datenschutz-Grundverordnung) (ABl. L 119 vom 4.5.2016, S. 1).</w:t>
            </w:r>
          </w:p>
        </w:tc>
        <w:tc>
          <w:tcPr>
            <w:tcW w:w="4876" w:type="dxa"/>
            <w:hideMark/>
          </w:tcPr>
          <w:p w:rsidR="00C85A4C" w:rsidRPr="0038739D" w:rsidRDefault="00530CA4" w:rsidP="00244990">
            <w:pPr>
              <w:pStyle w:val="Normal6"/>
              <w:rPr>
                <w:szCs w:val="24"/>
              </w:rPr>
            </w:pPr>
            <w:r w:rsidRPr="0038739D">
              <w:rPr>
                <w:vertAlign w:val="superscript"/>
              </w:rPr>
              <w:t>26</w:t>
            </w:r>
            <w:r w:rsidRPr="0038739D">
              <w:t xml:space="preserve"> Verordnung (EU) 2016/679 des Europäischen Parlaments und des Rates vom 27. April 2016 zum Schutz natürlicher Personen bei der Verarbeitung personenbezogener</w:t>
            </w:r>
            <w:r w:rsidRPr="0038739D">
              <w:t xml:space="preserve"> Daten, zum freien Datenverkehr und zur Aufhebung der Richtlinie 95/46/EG (Datenschutz-Grundverordnung) (ABl. L 119 vom 4.5.2016, S. 1).</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5</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12</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(12)</w:t>
            </w:r>
            <w:r w:rsidRPr="0038739D">
              <w:tab/>
              <w:t xml:space="preserve">Das ESAP sollte </w:t>
            </w:r>
            <w:r w:rsidRPr="0038739D">
              <w:rPr>
                <w:b/>
                <w:bCs/>
                <w:i/>
                <w:iCs/>
              </w:rPr>
              <w:t>den Nutzern</w:t>
            </w:r>
            <w:r w:rsidRPr="0038739D">
              <w:t xml:space="preserve"> einen kostenlosen und diskriminierungsfreien Zugang zu Informationen </w:t>
            </w:r>
            <w:r w:rsidRPr="0038739D">
              <w:rPr>
                <w:b/>
                <w:bCs/>
                <w:i/>
                <w:iCs/>
              </w:rPr>
              <w:t>und es ihnen ermöglichen,</w:t>
            </w:r>
            <w:r w:rsidRPr="0038739D">
              <w:t xml:space="preserve"> über das ESAP nach den Informationen zu suchen, auf diese zuzugreifen und sie herunterzuladen. Da die ESMA jedoch vor einer übermäßigen finanziellen Belastung in Bezug auf die Kosten für die Deckung des Bedarfs intensiver Nutzer geschützt werden muss, sol</w:t>
            </w:r>
            <w:r w:rsidRPr="0038739D">
              <w:t>lte sie in der Lage sein, Einnahmen zu generieren. Deswegen sollte es der ESMA in Abweichung von dem Grundsatz, dass Informationen kostenlos zugänglich sein sollten, gestattet sein, für diese spezifischen Dienste Gebühren zu erheben, und das auch für Diens</w:t>
            </w:r>
            <w:r w:rsidRPr="0038739D">
              <w:t>te, die aufgrund der Suche nach sehr großen Informationsmengen oder des häufigen Zugangs zum ESAP mit hohen Wartungskosten verbunden sind. Die erhobenen Gebühren sollten jedoch die Kosten der erbrachten Dienste nicht übersteigen.</w:t>
            </w:r>
          </w:p>
        </w:tc>
        <w:tc>
          <w:tcPr>
            <w:tcW w:w="4876" w:type="dxa"/>
            <w:hideMark/>
          </w:tcPr>
          <w:p w:rsidR="00C85A4C" w:rsidRPr="0038739D" w:rsidRDefault="00530CA4" w:rsidP="00244990">
            <w:pPr>
              <w:pStyle w:val="Normal6"/>
              <w:rPr>
                <w:szCs w:val="24"/>
              </w:rPr>
            </w:pPr>
            <w:r w:rsidRPr="0038739D">
              <w:t>(12)</w:t>
            </w:r>
            <w:r w:rsidRPr="0038739D">
              <w:tab/>
              <w:t xml:space="preserve">Das ESAP sollte </w:t>
            </w:r>
            <w:r w:rsidRPr="0038739D">
              <w:rPr>
                <w:b/>
                <w:bCs/>
                <w:i/>
                <w:iCs/>
              </w:rPr>
              <w:t>allen</w:t>
            </w:r>
            <w:r w:rsidRPr="0038739D">
              <w:rPr>
                <w:b/>
                <w:bCs/>
                <w:i/>
                <w:iCs/>
              </w:rPr>
              <w:t xml:space="preserve"> aktiv am Binnenmarkt Beteiligten, einschließlich, aber nicht beschränkt auf Investoren, Verbraucher, zivilgesellschaftliche Organisationen, Wissenschaft und Medienvertreter,</w:t>
            </w:r>
            <w:r w:rsidRPr="0038739D">
              <w:t xml:space="preserve"> einen kostenlosen und diskriminierungsfreien Zugang zu Informationen </w:t>
            </w:r>
            <w:r w:rsidRPr="0038739D">
              <w:rPr>
                <w:b/>
                <w:bCs/>
                <w:i/>
                <w:iCs/>
              </w:rPr>
              <w:t>gewähren, da</w:t>
            </w:r>
            <w:r w:rsidRPr="0038739D">
              <w:rPr>
                <w:b/>
                <w:bCs/>
                <w:i/>
                <w:iCs/>
              </w:rPr>
              <w:t>mit sie ihre Tätigkeit ausüben und ihre Interessen verfolgen können</w:t>
            </w:r>
            <w:r w:rsidRPr="0038739D">
              <w:t xml:space="preserve">. </w:t>
            </w:r>
            <w:r w:rsidRPr="0038739D">
              <w:rPr>
                <w:b/>
                <w:bCs/>
                <w:i/>
                <w:iCs/>
              </w:rPr>
              <w:t>Diese Nutzer sollten in der Lage sein,</w:t>
            </w:r>
            <w:r w:rsidRPr="0038739D">
              <w:t xml:space="preserve"> über das ESAP nach den Informationen zu suchen, auf diese zuzugreifen und sie herunterzuladen. Da die ESMA jedoch vor einer übermäßigen finanziellen</w:t>
            </w:r>
            <w:r w:rsidRPr="0038739D">
              <w:t xml:space="preserve"> Belastung in Bezug auf die Kosten für die Deckung des Bedarfs intensiver Nutzer geschützt werden muss, sollte sie in der Lage sein, Einnahmen zu generieren. Deswegen sollte es der ESMA in Abweichung von dem Grundsatz, dass Informationen kostenlos zugängli</w:t>
            </w:r>
            <w:r w:rsidRPr="0038739D">
              <w:t>ch sein sollten, gestattet sein, für diese spezifischen Dienste Gebühren zu erheben, und das auch für Dienste, die aufgrund der Suche nach sehr großen Informationsmengen oder des häufigen Zugangs zum ESAP mit hohen Wartungskosten verbunden sind. Die erhobe</w:t>
            </w:r>
            <w:r w:rsidRPr="0038739D">
              <w:t xml:space="preserve">nen Gebühren sollten jedoch die Kosten der erbrachten Dienste nicht </w:t>
            </w:r>
            <w:r w:rsidRPr="0038739D">
              <w:lastRenderedPageBreak/>
              <w:t>übersteigen.</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6</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13</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 xml:space="preserve">Geänderter </w:t>
            </w:r>
            <w:r w:rsidRPr="0038739D">
              <w:t>Text</w:t>
            </w:r>
          </w:p>
        </w:tc>
      </w:tr>
      <w:tr w:rsidR="00E76EF9" w:rsidRPr="0038739D" w:rsidTr="00244990">
        <w:trPr>
          <w:jc w:val="center"/>
        </w:trPr>
        <w:tc>
          <w:tcPr>
            <w:tcW w:w="4876" w:type="dxa"/>
            <w:hideMark/>
          </w:tcPr>
          <w:p w:rsidR="00C85A4C" w:rsidRPr="0038739D" w:rsidRDefault="00530CA4" w:rsidP="00244990">
            <w:pPr>
              <w:pStyle w:val="Normal6"/>
            </w:pPr>
            <w:r w:rsidRPr="0038739D">
              <w:t>(13)</w:t>
            </w:r>
            <w:r w:rsidRPr="0038739D">
              <w:tab/>
              <w:t>Um datengesteuerte Innovationen im Finanzsektor zu fördern, zur Integration der Kapitalmärkte in der Europäischen Union beizutragen, Investitionen in nachhaltige Tätigkeiten zu lenken und Effizienzgewinne für Verbraucher und Unternehmen zu erzie</w:t>
            </w:r>
            <w:r w:rsidRPr="0038739D">
              <w:t>len, sollte das ESAP den Zugang zu Informationen, die personenbezogene Daten enthalten, verbessern. Allerdings sollte das ESAP nur den Zugang zu solchen personenbezogenen Daten verbessern, die gemäß dem Unionsrecht verarbeitet werden müssen oder freiwillig</w:t>
            </w:r>
            <w:r w:rsidRPr="0038739D">
              <w:t xml:space="preserve"> verarbeitet werden, sofern ein rechtmäßiger Grund für eine solche Verarbeitung gemäß der Verordnung (EU) 2016/679 des Europäischen Parlaments und des Rates vorliegt. Bei jeder Verarbeitung personenbezogener Daten im Zusammenhang mit der Bereitstellung von</w:t>
            </w:r>
            <w:r w:rsidRPr="0038739D">
              <w:t xml:space="preserve"> Informationen über das ESAP sollten die Sammelstellen und die ESMA in ihrer Eigenschaft als Betreiber des ESAP sicherstellen, dass die Verordnung (EU) 2016/679 und die Verordnung (EU) 2018/1725 des Europäischen Parlaments und des Rates</w:t>
            </w:r>
            <w:r w:rsidRPr="0038739D">
              <w:rPr>
                <w:vertAlign w:val="superscript"/>
              </w:rPr>
              <w:t>28</w:t>
            </w:r>
            <w:r w:rsidRPr="0038739D">
              <w:t xml:space="preserve"> eingehalten werde</w:t>
            </w:r>
            <w:r w:rsidRPr="0038739D">
              <w:t>n.</w:t>
            </w:r>
          </w:p>
        </w:tc>
        <w:tc>
          <w:tcPr>
            <w:tcW w:w="4876" w:type="dxa"/>
            <w:hideMark/>
          </w:tcPr>
          <w:p w:rsidR="00C85A4C" w:rsidRPr="0038739D" w:rsidRDefault="00530CA4" w:rsidP="00244990">
            <w:pPr>
              <w:pStyle w:val="Normal6"/>
              <w:rPr>
                <w:szCs w:val="24"/>
              </w:rPr>
            </w:pPr>
            <w:r w:rsidRPr="0038739D">
              <w:t>(13)</w:t>
            </w:r>
            <w:r w:rsidRPr="0038739D">
              <w:tab/>
              <w:t xml:space="preserve">Um datengesteuerte Innovationen im Finanzsektor zu fördern, zur Integration der Kapitalmärkte in der Europäischen Union beizutragen, Investitionen in nachhaltige Tätigkeiten zu lenken und Effizienzgewinne für Verbraucher und Unternehmen zu </w:t>
            </w:r>
            <w:r w:rsidRPr="0038739D">
              <w:t>erzielen, sollte das ESAP den Zugang zu Informationen, die personenbezogene Daten enthalten, verbessern. Allerdings sollte das ESAP nur den Zugang zu solchen personenbezogenen Daten verbessern, die gemäß dem Unionsrecht verarbeitet werden müssen oder freiw</w:t>
            </w:r>
            <w:r w:rsidRPr="0038739D">
              <w:t>illig verarbeitet werden, sofern ein rechtmäßiger Grund für eine solche Verarbeitung gemäß der Verordnung (EU) 2016/679 des Europäischen Parlaments und des Rates vorliegt. Bei jeder Verarbeitung personenbezogener Daten im Zusammenhang mit der Bereitstellun</w:t>
            </w:r>
            <w:r w:rsidRPr="0038739D">
              <w:t>g von Informationen über das ESAP sollten die Sammelstellen und die ESMA in ihrer Eigenschaft als Betreiber des ESAP</w:t>
            </w:r>
            <w:r w:rsidRPr="0038739D">
              <w:rPr>
                <w:b/>
                <w:bCs/>
                <w:i/>
                <w:iCs/>
              </w:rPr>
              <w:t>, ungeachtet dessen, ob sie als Verantwortliche, gemeinsame Verantwortliche oder Auftragsverarbeiter handeln,</w:t>
            </w:r>
            <w:r w:rsidRPr="0038739D">
              <w:t xml:space="preserve"> sicherstellen, dass die Verord</w:t>
            </w:r>
            <w:r w:rsidRPr="0038739D">
              <w:t>nung (EU) 2016/679 und die Verordnung (EU) 2018/1725 des Europäischen Parlaments und des Rates</w:t>
            </w:r>
            <w:r w:rsidRPr="0038739D">
              <w:rPr>
                <w:vertAlign w:val="superscript"/>
              </w:rPr>
              <w:t>28</w:t>
            </w:r>
            <w:r w:rsidRPr="0038739D">
              <w:t xml:space="preserve"> eingehalten werden.</w:t>
            </w:r>
            <w:r w:rsidRPr="0038739D">
              <w:rPr>
                <w:b/>
                <w:i/>
              </w:rPr>
              <w:t xml:space="preserve"> Die ESMA sollte insbesondere die Grundsätze des Datenschutzes durch Technikgestaltung und durch datenschutzfreundliche Voreinstellungen ber</w:t>
            </w:r>
            <w:r w:rsidRPr="0038739D">
              <w:rPr>
                <w:b/>
                <w:i/>
              </w:rPr>
              <w:t>ücksichtigen.</w:t>
            </w:r>
          </w:p>
        </w:tc>
      </w:tr>
      <w:tr w:rsidR="00E76EF9" w:rsidRPr="0038739D" w:rsidTr="00244990">
        <w:trPr>
          <w:jc w:val="center"/>
        </w:trPr>
        <w:tc>
          <w:tcPr>
            <w:tcW w:w="4876" w:type="dxa"/>
            <w:hideMark/>
          </w:tcPr>
          <w:p w:rsidR="00C85A4C" w:rsidRPr="0038739D" w:rsidRDefault="00530CA4" w:rsidP="00244990">
            <w:pPr>
              <w:pStyle w:val="Normal6"/>
            </w:pPr>
            <w:r w:rsidRPr="0038739D">
              <w:t>__________________</w:t>
            </w:r>
          </w:p>
        </w:tc>
        <w:tc>
          <w:tcPr>
            <w:tcW w:w="4876" w:type="dxa"/>
            <w:hideMark/>
          </w:tcPr>
          <w:p w:rsidR="00C85A4C" w:rsidRPr="0038739D" w:rsidRDefault="00530CA4" w:rsidP="00244990">
            <w:pPr>
              <w:pStyle w:val="Normal6"/>
              <w:rPr>
                <w:szCs w:val="24"/>
              </w:rPr>
            </w:pPr>
            <w:r w:rsidRPr="0038739D">
              <w:t>__________________</w:t>
            </w:r>
          </w:p>
        </w:tc>
      </w:tr>
      <w:tr w:rsidR="00E76EF9" w:rsidRPr="0038739D" w:rsidTr="00244990">
        <w:trPr>
          <w:jc w:val="center"/>
        </w:trPr>
        <w:tc>
          <w:tcPr>
            <w:tcW w:w="4876" w:type="dxa"/>
            <w:hideMark/>
          </w:tcPr>
          <w:p w:rsidR="00C85A4C" w:rsidRPr="0038739D" w:rsidRDefault="00530CA4" w:rsidP="00244990">
            <w:pPr>
              <w:pStyle w:val="Normal6"/>
            </w:pPr>
            <w:r w:rsidRPr="0038739D">
              <w:rPr>
                <w:bCs/>
                <w:vertAlign w:val="superscript"/>
              </w:rPr>
              <w:t>28</w:t>
            </w:r>
            <w:r w:rsidRPr="0038739D">
              <w:rPr>
                <w:bCs/>
              </w:rPr>
              <w:t xml:space="preserve"> </w:t>
            </w:r>
            <w:r w:rsidRPr="0038739D">
              <w:t xml:space="preserve">Verordnung (EU) 2018/1725 des </w:t>
            </w:r>
            <w:r w:rsidRPr="0038739D">
              <w:lastRenderedPageBreak/>
              <w:t>Europäischen Parlaments und des Rates vom 23. Oktober 2018 zum Schutz natürlicher Personen bei der Verarbeitung personenbezogener Daten durch die Organe, Einrichtungen u</w:t>
            </w:r>
            <w:r w:rsidRPr="0038739D">
              <w:t>nd sonstigen Stellen der Union, zum freien Datenverkehr und zur Aufhebung der Verordnung (EG) Nr. 45/2001 und des Beschlusses Nr. 1247/2002/EG (ABl. L 295 vom 21.11.2018, S. 39).</w:t>
            </w:r>
          </w:p>
        </w:tc>
        <w:tc>
          <w:tcPr>
            <w:tcW w:w="4876" w:type="dxa"/>
            <w:hideMark/>
          </w:tcPr>
          <w:p w:rsidR="00C85A4C" w:rsidRPr="0038739D" w:rsidRDefault="00530CA4" w:rsidP="00244990">
            <w:pPr>
              <w:pStyle w:val="Normal6"/>
              <w:rPr>
                <w:szCs w:val="24"/>
              </w:rPr>
            </w:pPr>
            <w:r w:rsidRPr="0038739D">
              <w:rPr>
                <w:bCs/>
                <w:vertAlign w:val="superscript"/>
              </w:rPr>
              <w:lastRenderedPageBreak/>
              <w:t>28</w:t>
            </w:r>
            <w:r w:rsidRPr="0038739D">
              <w:rPr>
                <w:bCs/>
              </w:rPr>
              <w:t xml:space="preserve"> </w:t>
            </w:r>
            <w:r w:rsidRPr="0038739D">
              <w:t xml:space="preserve">Verordnung (EU) 2018/1725 des </w:t>
            </w:r>
            <w:r w:rsidRPr="0038739D">
              <w:lastRenderedPageBreak/>
              <w:t>Europäischen Parlaments und des Rates vom 23</w:t>
            </w:r>
            <w:r w:rsidRPr="0038739D">
              <w:t>. Oktober 2018 zum Schutz natürlicher Personen bei der Verarbeitung personenbezoge</w:t>
            </w:r>
            <w:bookmarkStart w:id="1" w:name="_GoBack"/>
            <w:bookmarkEnd w:id="1"/>
            <w:r w:rsidRPr="0038739D">
              <w:t>ner Daten durch die Organe, Einrichtungen und sonstigen Stellen der Union, zum freien Datenverkehr und zur Aufhebung der Verordnung (EG) Nr. 45/2001 und des Beschlusses Nr. 1</w:t>
            </w:r>
            <w:r w:rsidRPr="0038739D">
              <w:t>247/2002/EG (ABl. L 295 vom 21.11.2018, S. 39).</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7</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14</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(14)</w:t>
            </w:r>
            <w:r w:rsidRPr="0038739D">
              <w:tab/>
            </w:r>
            <w:r w:rsidRPr="0038739D">
              <w:t xml:space="preserve">Der Europäische Datenschutzbeauftragte wurde gemäß Artikel 42 Absatz 1 der Verordnung (EU) 2018/1725 angehört und hat am </w:t>
            </w:r>
            <w:r w:rsidRPr="0038739D">
              <w:rPr>
                <w:b/>
                <w:bCs/>
                <w:i/>
                <w:iCs/>
              </w:rPr>
              <w:t>[Datum einfügen] eine Stellungnahme</w:t>
            </w:r>
            <w:r w:rsidRPr="0038739D">
              <w:t xml:space="preserve"> abgegeben.</w:t>
            </w:r>
          </w:p>
        </w:tc>
        <w:tc>
          <w:tcPr>
            <w:tcW w:w="4876" w:type="dxa"/>
            <w:hideMark/>
          </w:tcPr>
          <w:p w:rsidR="00C85A4C" w:rsidRPr="0038739D" w:rsidRDefault="00530CA4" w:rsidP="00244990">
            <w:pPr>
              <w:pStyle w:val="Normal6"/>
              <w:rPr>
                <w:szCs w:val="24"/>
              </w:rPr>
            </w:pPr>
            <w:r w:rsidRPr="0038739D">
              <w:t>(14)</w:t>
            </w:r>
            <w:r w:rsidRPr="0038739D">
              <w:tab/>
              <w:t>Der Europäische Datenschutzbeauftragte wurde gemäß Artikel 42 Absatz 1 der Verordnu</w:t>
            </w:r>
            <w:r w:rsidRPr="0038739D">
              <w:t xml:space="preserve">ng (EU) 2018/1725 angehört und hat am </w:t>
            </w:r>
            <w:r w:rsidRPr="0038739D">
              <w:rPr>
                <w:b/>
                <w:bCs/>
                <w:i/>
                <w:iCs/>
              </w:rPr>
              <w:t>19. Januar 2022 formelle Bemerkungen</w:t>
            </w:r>
            <w:r w:rsidRPr="0038739D">
              <w:t xml:space="preserve"> abgegeben.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8</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Erwägung 16</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(16)</w:t>
            </w:r>
            <w:r w:rsidRPr="0038739D">
              <w:tab/>
              <w:t>Damit die Informationen im Zeitverlauf vergleichbar sind, sollten die Nutzer Zugang zu früheren Informationen haben. Daher muss das ESAP für einen angemessenen Zeitraum Zugang zu Informationen zu gewähren, soweit dies mit anderen anwe</w:t>
            </w:r>
            <w:r w:rsidRPr="0038739D">
              <w:t xml:space="preserve">ndbaren Bestimmungen des Unionsrechts vereinbar ist. Zu diesem Zweck sollte die ESMA sicherstellen, dass personenbezogene Daten nicht länger als im Unionsrecht vorgesehen zugänglich gemacht werden. Damit die ESMA und die Sammelstellen den Betrieb des ESAP </w:t>
            </w:r>
            <w:r w:rsidRPr="0038739D">
              <w:t xml:space="preserve">vorbereiten können, sollte das ESAP erst </w:t>
            </w:r>
            <w:r w:rsidRPr="0038739D">
              <w:lastRenderedPageBreak/>
              <w:t xml:space="preserve">ab dem 1. Januar 2024 Zugang zu den </w:t>
            </w:r>
            <w:r w:rsidRPr="0038739D">
              <w:rPr>
                <w:b/>
                <w:bCs/>
                <w:i/>
                <w:iCs/>
              </w:rPr>
              <w:t>übermittelten</w:t>
            </w:r>
            <w:r w:rsidRPr="0038739D">
              <w:t xml:space="preserve"> Informationen gewähren.</w:t>
            </w:r>
          </w:p>
        </w:tc>
        <w:tc>
          <w:tcPr>
            <w:tcW w:w="4876" w:type="dxa"/>
            <w:hideMark/>
          </w:tcPr>
          <w:p w:rsidR="00C85A4C" w:rsidRPr="0038739D" w:rsidRDefault="00530CA4" w:rsidP="00244990">
            <w:pPr>
              <w:pStyle w:val="Normal6"/>
              <w:rPr>
                <w:szCs w:val="24"/>
              </w:rPr>
            </w:pPr>
            <w:r w:rsidRPr="0038739D">
              <w:lastRenderedPageBreak/>
              <w:t>(16)</w:t>
            </w:r>
            <w:r w:rsidRPr="0038739D">
              <w:tab/>
              <w:t>Damit die Informationen im Zeitverlauf vergleichbar sind, sollten die Nutzer Zugang zu früheren Informationen haben. Daher muss das ESAP</w:t>
            </w:r>
            <w:r w:rsidRPr="0038739D">
              <w:t xml:space="preserve"> für einen angemessenen Zeitraum Zugang zu Informationen zu gewähren, soweit dies mit anderen anwendbaren Bestimmungen des Unionsrechts vereinbar ist. Zu diesem Zweck sollte die ESMA sicherstellen, dass personenbezogene Daten nicht länger als im Unionsrech</w:t>
            </w:r>
            <w:r w:rsidRPr="0038739D">
              <w:t xml:space="preserve">t vorgesehen zugänglich gemacht werden. Damit die ESMA und die Sammelstellen den Betrieb des ESAP vorbereiten können, sollte das ESAP erst </w:t>
            </w:r>
            <w:r w:rsidRPr="0038739D">
              <w:lastRenderedPageBreak/>
              <w:t xml:space="preserve">ab dem 1. Januar 2024 Zugang zu den </w:t>
            </w:r>
            <w:r w:rsidRPr="0038739D">
              <w:rPr>
                <w:b/>
                <w:bCs/>
                <w:i/>
                <w:iCs/>
              </w:rPr>
              <w:t>aktuell verfügbaren</w:t>
            </w:r>
            <w:r w:rsidRPr="0038739D">
              <w:t xml:space="preserve"> Informationen gewähren.</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w:t>
      </w:r>
      <w:r w:rsidRPr="0038739D">
        <w:rPr>
          <w:rStyle w:val="HideTWBExt"/>
          <w:b w:val="0"/>
        </w:rPr>
        <w:t>mAm&gt;</w:t>
      </w:r>
      <w:r w:rsidRPr="0038739D">
        <w:t>9</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 – Absatz 1 – Buchstabe a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aa)</w:t>
            </w:r>
            <w:r w:rsidRPr="0038739D">
              <w:rPr>
                <w:b/>
                <w:i/>
              </w:rPr>
              <w:tab/>
              <w:t>Der Kommission wird die Befugnis übertragen, delegierte Rechtsakte zur Änderung</w:t>
            </w:r>
            <w:r w:rsidRPr="0038739D">
              <w:rPr>
                <w:b/>
                <w:i/>
              </w:rPr>
              <w:t xml:space="preserve"> der Anhänge zu erlassen, um die Liste der Rechtsakte zu aktualisieren, sobald eine neue Rechtsvorschrift im Zusammenhang mit der Bereitstellung von Finanzdienstleistungen, Kapitalmärkten und Nachhaltigkeit in Kraft tritt.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10</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 – Absatz 2</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rPr>
                <w:b/>
                <w:i/>
              </w:rPr>
              <w:t>(2)</w:t>
            </w:r>
            <w:r w:rsidRPr="0038739D">
              <w:rPr>
                <w:b/>
                <w:i/>
              </w:rPr>
              <w:tab/>
              <w:t>Auf Informationen, die vor dem 1. Januar 2024 übermittelt wurden, kann über das ESAP nicht zugegr</w:t>
            </w:r>
            <w:r w:rsidRPr="0038739D">
              <w:rPr>
                <w:b/>
                <w:i/>
              </w:rPr>
              <w:t>iffen werden.</w:t>
            </w:r>
          </w:p>
        </w:tc>
        <w:tc>
          <w:tcPr>
            <w:tcW w:w="4876" w:type="dxa"/>
            <w:hideMark/>
          </w:tcPr>
          <w:p w:rsidR="00C85A4C" w:rsidRPr="0038739D" w:rsidRDefault="00530CA4" w:rsidP="00244990">
            <w:pPr>
              <w:pStyle w:val="Normal6"/>
              <w:rPr>
                <w:szCs w:val="24"/>
              </w:rPr>
            </w:pPr>
            <w:r w:rsidRPr="0038739D">
              <w:rPr>
                <w:b/>
                <w:i/>
              </w:rPr>
              <w:t>entfällt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11</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2 – Absatz 1 – Nummer 7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7a.</w:t>
            </w:r>
            <w:r w:rsidRPr="0038739D">
              <w:rPr>
                <w:b/>
                <w:i/>
              </w:rPr>
              <w:tab/>
              <w:t xml:space="preserve">die </w:t>
            </w:r>
            <w:r w:rsidRPr="0038739D">
              <w:rPr>
                <w:b/>
                <w:i/>
              </w:rPr>
              <w:t>Begriffsbestimmungen der Verordnung (EU) 2016/679;</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12</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lastRenderedPageBreak/>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1 – Einleitung</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(1)</w:t>
            </w:r>
            <w:r w:rsidRPr="0038739D">
              <w:tab/>
            </w:r>
            <w:r w:rsidRPr="0038739D">
              <w:t>Jede natürliche oder juristische Person kann einer Sammelstelle die in Artikel 1 Absatz 1 Buchstabe b genannten Informationen übermitteln, um diese über das ESAP zugänglich zu machen. Bei der Übermittlung dieser Informationen muss die natürliche oder juris</w:t>
            </w:r>
            <w:r w:rsidRPr="0038739D">
              <w:t>tische Person:</w:t>
            </w:r>
          </w:p>
        </w:tc>
        <w:tc>
          <w:tcPr>
            <w:tcW w:w="4876" w:type="dxa"/>
            <w:hideMark/>
          </w:tcPr>
          <w:p w:rsidR="00C85A4C" w:rsidRPr="0038739D" w:rsidRDefault="00530CA4" w:rsidP="00244990">
            <w:pPr>
              <w:pStyle w:val="Normal6"/>
              <w:rPr>
                <w:szCs w:val="24"/>
              </w:rPr>
            </w:pPr>
            <w:r w:rsidRPr="0038739D">
              <w:t>(1)</w:t>
            </w:r>
            <w:r w:rsidRPr="0038739D">
              <w:tab/>
              <w:t xml:space="preserve">Jede </w:t>
            </w:r>
            <w:r w:rsidRPr="0038739D">
              <w:rPr>
                <w:b/>
                <w:bCs/>
                <w:i/>
                <w:iCs/>
              </w:rPr>
              <w:t>als Marktteilnehmer am EU-Markt agierende</w:t>
            </w:r>
            <w:r w:rsidRPr="0038739D">
              <w:t xml:space="preserve"> natürliche oder juristische Person kann einer Sammelstelle die in Artikel 1 Absatz 1 Buchstabe b genannten Informationen übermitteln, um diese über das ESAP zugänglich zu machen. Bei der Übe</w:t>
            </w:r>
            <w:r w:rsidRPr="0038739D">
              <w:t>rmittlung dieser Informationen muss die natürliche oder juristische Person: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13</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1 – Buchstabe c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w:t>
            </w:r>
            <w:r w:rsidRPr="0038739D">
              <w:t>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ca)</w:t>
            </w:r>
            <w:r w:rsidRPr="0038739D">
              <w:rPr>
                <w:b/>
                <w:i/>
              </w:rPr>
              <w:tab/>
              <w:t>soweit möglich sicherstellen, dass freiwillig übermittelte Informationen in dem Format übermittelt werden, das in den bestehenden Vorlagen für den betreffenden Rechtsakt vorgesehen ist;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14</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1 – Buchstabe d</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d)</w:t>
            </w:r>
            <w:r w:rsidRPr="0038739D">
              <w:tab/>
              <w:t xml:space="preserve">sicherstellen, dass keine personenbezogenen Daten aufgenommen werden, sofern die </w:t>
            </w:r>
            <w:r w:rsidRPr="0038739D">
              <w:t>personenbezogenen Daten keinen notwendigen Bestandteil der Informationen über ihre wirtschaftlichen Tätigkeiten darstellen.</w:t>
            </w:r>
          </w:p>
        </w:tc>
        <w:tc>
          <w:tcPr>
            <w:tcW w:w="4876" w:type="dxa"/>
            <w:hideMark/>
          </w:tcPr>
          <w:p w:rsidR="00C85A4C" w:rsidRPr="0038739D" w:rsidRDefault="00530CA4" w:rsidP="00244990">
            <w:pPr>
              <w:pStyle w:val="Normal6"/>
              <w:rPr>
                <w:szCs w:val="24"/>
              </w:rPr>
            </w:pPr>
            <w:r w:rsidRPr="0038739D">
              <w:t>d)</w:t>
            </w:r>
            <w:r w:rsidRPr="0038739D">
              <w:tab/>
              <w:t xml:space="preserve">sicherstellen, dass </w:t>
            </w:r>
            <w:r w:rsidRPr="0038739D">
              <w:rPr>
                <w:b/>
                <w:bCs/>
                <w:i/>
                <w:iCs/>
              </w:rPr>
              <w:t>entsprechend dem Grundsatz der Datenminimierung</w:t>
            </w:r>
            <w:r w:rsidRPr="0038739D">
              <w:t xml:space="preserve"> keine personenbezogenen Daten aufgenommen werden, sofern die </w:t>
            </w:r>
            <w:r w:rsidRPr="0038739D">
              <w:t>personenbezogenen Daten keinen notwendigen Bestandteil der Informationen über ihre wirtschaftlichen Tätigkeiten darstellen.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15</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 xml:space="preserve">Artikel 3 – Absatz </w:t>
      </w:r>
      <w:r w:rsidRPr="0038739D">
        <w:t>2 – Buchstabe c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ca)</w:t>
            </w:r>
            <w:r w:rsidRPr="0038739D">
              <w:rPr>
                <w:b/>
                <w:i/>
              </w:rPr>
              <w:tab/>
              <w:t>Standards für die Sammelstellen zur Einhaltung ihrer Verpflichtungen gemäß Artikel 5 Absatz 2 Buchstaben b und ba</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16</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2 – Unterabsatz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Der Gemeinsame Ausschuss der Europäischen Aufsichtsbehörden übermittelt der Kommission diese Entwürfe tec</w:t>
            </w:r>
            <w:r w:rsidRPr="0038739D">
              <w:t xml:space="preserve">hnischer Durchführungsstandards spätestens am [AV: bitte einfügen: </w:t>
            </w:r>
            <w:r w:rsidRPr="0038739D">
              <w:rPr>
                <w:b/>
                <w:bCs/>
                <w:i/>
                <w:iCs/>
              </w:rPr>
              <w:t>drei</w:t>
            </w:r>
            <w:r w:rsidRPr="0038739D">
              <w:t xml:space="preserve"> Jahre nach Inkrafttreten].</w:t>
            </w:r>
          </w:p>
        </w:tc>
        <w:tc>
          <w:tcPr>
            <w:tcW w:w="4876" w:type="dxa"/>
            <w:hideMark/>
          </w:tcPr>
          <w:p w:rsidR="00C85A4C" w:rsidRPr="0038739D" w:rsidRDefault="00530CA4" w:rsidP="00244990">
            <w:pPr>
              <w:pStyle w:val="Normal6"/>
              <w:rPr>
                <w:szCs w:val="24"/>
              </w:rPr>
            </w:pPr>
            <w:r w:rsidRPr="0038739D">
              <w:t>Der Gemeinsame Ausschuss der Europäischen Aufsichtsbehörden übermittelt der Kommission diese Entwürfe technischer Durchführungsstandards spätestens am [AV: b</w:t>
            </w:r>
            <w:r w:rsidRPr="0038739D">
              <w:t xml:space="preserve">itte einfügen: </w:t>
            </w:r>
            <w:r w:rsidRPr="0038739D">
              <w:rPr>
                <w:b/>
                <w:bCs/>
                <w:i/>
                <w:iCs/>
              </w:rPr>
              <w:t>zwei</w:t>
            </w:r>
            <w:r w:rsidRPr="0038739D">
              <w:t xml:space="preserve"> Jahre nach Inkrafttreten].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17</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3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(3a)</w:t>
            </w:r>
            <w:r w:rsidRPr="0038739D">
              <w:rPr>
                <w:b/>
                <w:i/>
              </w:rPr>
              <w:tab/>
            </w:r>
            <w:r w:rsidRPr="0038739D">
              <w:rPr>
                <w:b/>
                <w:i/>
              </w:rPr>
              <w:t>Unternehmen, die einer Sammelstelle Informationen freiwillig übermitteln, handeln nach Treu und Glauben und stellen sicher, dass die Informationen ordentlich und korrekt sind und in klarer und nicht irreführender Weise offengelegt werden.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18</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3 – Absatz 3 b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(3b)</w:t>
            </w:r>
            <w:r w:rsidRPr="0038739D">
              <w:rPr>
                <w:b/>
                <w:i/>
              </w:rPr>
              <w:tab/>
              <w:t xml:space="preserve">Informationen, die einer Sammelstelle auf freiwilliger Basis zur </w:t>
            </w:r>
            <w:r w:rsidRPr="0038739D">
              <w:rPr>
                <w:b/>
                <w:i/>
              </w:rPr>
              <w:t>Verfügung gestellt werden, sind in einer Weise darzustellen, die es den Nutzern ermöglicht, sie von verpflichtend einzureichenden Informationen zu unterscheiden.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19</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w:t>
      </w:r>
      <w:r w:rsidRPr="0038739D">
        <w:rPr>
          <w:rStyle w:val="HideTWBExt"/>
          <w:b w:val="0"/>
        </w:rPr>
        <w:t>DocAmend&gt;</w:t>
      </w:r>
    </w:p>
    <w:p w:rsidR="00C85A4C" w:rsidRPr="0038739D" w:rsidRDefault="00530CA4" w:rsidP="00C85A4C">
      <w:pPr>
        <w:pStyle w:val="NormalBold"/>
      </w:pPr>
      <w:r w:rsidRPr="0038739D">
        <w:rPr>
          <w:rStyle w:val="HideTWBExt"/>
          <w:b w:val="0"/>
        </w:rPr>
        <w:t>&lt;Article&gt;</w:t>
      </w:r>
      <w:r w:rsidRPr="0038739D">
        <w:t>Artikel 4 – 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 xml:space="preserve">Die ESMA veröffentlicht auf dem in Artikel 7 Absatz 1 Buchstabe a genannten Webportal ein Verzeichnis der Sammelstellen mit Angabe des einheitlichen </w:t>
            </w:r>
            <w:r w:rsidRPr="0038739D">
              <w:t>Ressourcenverweises (uniform resource locator – URL) jeder einzelnen Sammelstelle.</w:t>
            </w:r>
          </w:p>
        </w:tc>
        <w:tc>
          <w:tcPr>
            <w:tcW w:w="4876" w:type="dxa"/>
            <w:hideMark/>
          </w:tcPr>
          <w:p w:rsidR="00C85A4C" w:rsidRPr="0038739D" w:rsidRDefault="00530CA4" w:rsidP="00244990">
            <w:pPr>
              <w:pStyle w:val="Normal6"/>
              <w:rPr>
                <w:szCs w:val="24"/>
              </w:rPr>
            </w:pPr>
            <w:r w:rsidRPr="0038739D">
              <w:t>Die ESMA veröffentlicht auf dem in Artikel 7 Absatz 1 Buchstabe a genannten Webportal ein Verzeichnis der Sammelstellen mit Angabe</w:t>
            </w:r>
            <w:r w:rsidRPr="0038739D">
              <w:rPr>
                <w:b/>
                <w:bCs/>
                <w:i/>
                <w:iCs/>
              </w:rPr>
              <w:t xml:space="preserve"> des Namens, der Anschrift, des Herkunftsmi</w:t>
            </w:r>
            <w:r w:rsidRPr="0038739D">
              <w:rPr>
                <w:b/>
                <w:bCs/>
                <w:i/>
                <w:iCs/>
              </w:rPr>
              <w:t>tgliedstaats und</w:t>
            </w:r>
            <w:r w:rsidRPr="0038739D">
              <w:t xml:space="preserve"> des einheitlichen Ressourcenverweises (uniform resource locator – URL) jeder einzelnen Sammelstelle.</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20</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1 – Bu</w:t>
      </w:r>
      <w:r w:rsidRPr="0038739D">
        <w:t>chstabe b – Ziffer ii</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ii)</w:t>
            </w:r>
            <w:r w:rsidRPr="0038739D">
              <w:tab/>
              <w:t xml:space="preserve">die Metadaten gemäß Absatz 6 Buchstabe d sind verfügbar </w:t>
            </w:r>
            <w:r w:rsidRPr="0038739D">
              <w:rPr>
                <w:b/>
                <w:bCs/>
                <w:i/>
                <w:iCs/>
              </w:rPr>
              <w:t>und</w:t>
            </w:r>
            <w:r w:rsidRPr="0038739D">
              <w:t xml:space="preserve"> vollständig;</w:t>
            </w:r>
          </w:p>
        </w:tc>
        <w:tc>
          <w:tcPr>
            <w:tcW w:w="4876" w:type="dxa"/>
            <w:hideMark/>
          </w:tcPr>
          <w:p w:rsidR="00C85A4C" w:rsidRPr="0038739D" w:rsidRDefault="00530CA4" w:rsidP="00244990">
            <w:pPr>
              <w:pStyle w:val="Normal6"/>
              <w:rPr>
                <w:szCs w:val="24"/>
              </w:rPr>
            </w:pPr>
            <w:r w:rsidRPr="0038739D">
              <w:t>ii)</w:t>
            </w:r>
            <w:r w:rsidRPr="0038739D">
              <w:tab/>
              <w:t>die Metadaten gemäß Absatz 6 Buchstabe d sind verfügbar</w:t>
            </w:r>
            <w:r w:rsidRPr="0038739D">
              <w:rPr>
                <w:b/>
                <w:bCs/>
                <w:i/>
                <w:iCs/>
              </w:rPr>
              <w:t>,</w:t>
            </w:r>
            <w:r w:rsidRPr="0038739D">
              <w:t xml:space="preserve"> vollständig </w:t>
            </w:r>
            <w:r w:rsidRPr="0038739D">
              <w:rPr>
                <w:b/>
                <w:bCs/>
                <w:i/>
                <w:iCs/>
              </w:rPr>
              <w:t xml:space="preserve">und werden nur so lange </w:t>
            </w:r>
            <w:r w:rsidRPr="0038739D">
              <w:rPr>
                <w:b/>
                <w:bCs/>
                <w:i/>
                <w:iCs/>
              </w:rPr>
              <w:t>aufbewahrt, wie die Informationen, auf die sie sich beziehen, gespeichert sind</w:t>
            </w:r>
            <w:r w:rsidRPr="0038739D">
              <w: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21</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1 – Buchstabe f – Einleitung</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f)</w:t>
            </w:r>
            <w:r w:rsidRPr="0038739D">
              <w:tab/>
              <w:t>stellen sicher, dass die in Artikel 1 Absatz 1 genannten Informationen dem ESAP mindestens zehn Jahre lang zur Verfügung stehen, sofern in den in Artikel 1 Absatz 1 Buchstabe a genannten Rechtsakten nichts ander</w:t>
            </w:r>
            <w:r w:rsidRPr="0038739D">
              <w:t xml:space="preserve">es festgelegt ist. Personenbezogene Daten, die in den nach Artikel 1 Absatz 1 übermittelten Informationen enthalten sind, dürfen nicht </w:t>
            </w:r>
            <w:r w:rsidRPr="0038739D">
              <w:rPr>
                <w:b/>
                <w:bCs/>
                <w:i/>
                <w:iCs/>
              </w:rPr>
              <w:t>länger als fünf Jahre</w:t>
            </w:r>
            <w:r w:rsidRPr="0038739D">
              <w:t xml:space="preserve"> gespeichert und zur Verfügung gestellt werden, sofern in den in Artikel 1 Absatz 1 Buchstabe a gena</w:t>
            </w:r>
            <w:r w:rsidRPr="0038739D">
              <w:t>nnten Rechtsakten nichts anderes festgelegt ist.</w:t>
            </w:r>
          </w:p>
        </w:tc>
        <w:tc>
          <w:tcPr>
            <w:tcW w:w="4876" w:type="dxa"/>
            <w:hideMark/>
          </w:tcPr>
          <w:p w:rsidR="00C85A4C" w:rsidRPr="0038739D" w:rsidRDefault="00530CA4" w:rsidP="00244990">
            <w:pPr>
              <w:pStyle w:val="Normal6"/>
              <w:rPr>
                <w:szCs w:val="24"/>
              </w:rPr>
            </w:pPr>
            <w:r w:rsidRPr="0038739D">
              <w:t>f)</w:t>
            </w:r>
            <w:r w:rsidRPr="0038739D">
              <w:tab/>
              <w:t>stellen sicher, dass die in Artikel 1 Absatz 1 genannten Informationen dem ESAP mindestens zehn Jahre lang zur Verfügung stehen, sofern in den in Artikel 1 Absatz 1 Buchstabe a genannten Rechtsakten nicht</w:t>
            </w:r>
            <w:r w:rsidRPr="0038739D">
              <w:t xml:space="preserve">s anderes festgelegt ist. Personenbezogene Daten, die in den nach Artikel 1 Absatz 1 übermittelten Informationen enthalten sind, dürfen nicht </w:t>
            </w:r>
            <w:r w:rsidRPr="0038739D">
              <w:rPr>
                <w:b/>
                <w:bCs/>
                <w:i/>
                <w:iCs/>
              </w:rPr>
              <w:t>länger als</w:t>
            </w:r>
            <w:r w:rsidRPr="0038739D">
              <w:t xml:space="preserve"> </w:t>
            </w:r>
            <w:r w:rsidRPr="0038739D">
              <w:rPr>
                <w:b/>
                <w:bCs/>
                <w:i/>
                <w:iCs/>
              </w:rPr>
              <w:t>erforderlich</w:t>
            </w:r>
            <w:r w:rsidRPr="0038739D">
              <w:t xml:space="preserve"> gespeichert und</w:t>
            </w:r>
            <w:r w:rsidRPr="0038739D">
              <w:rPr>
                <w:b/>
                <w:bCs/>
                <w:i/>
                <w:iCs/>
              </w:rPr>
              <w:t xml:space="preserve"> keinesfalls</w:t>
            </w:r>
            <w:r w:rsidRPr="0038739D">
              <w:t xml:space="preserve"> </w:t>
            </w:r>
            <w:r w:rsidRPr="0038739D">
              <w:rPr>
                <w:b/>
                <w:bCs/>
                <w:i/>
                <w:iCs/>
              </w:rPr>
              <w:t>länger als fünf Jahre</w:t>
            </w:r>
            <w:r w:rsidRPr="0038739D">
              <w:t xml:space="preserve"> zur Verfügung gestellt werden, sofern in</w:t>
            </w:r>
            <w:r w:rsidRPr="0038739D">
              <w:t xml:space="preserve"> den in Artikel 1 Absatz 1 Buchstabe a genannten Rechtsakten nichts anderes festgelegt ist.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22</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2 – Einleitung</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(2)</w:t>
            </w:r>
            <w:r w:rsidRPr="0038739D">
              <w:tab/>
            </w:r>
            <w:r w:rsidRPr="0038739D">
              <w:rPr>
                <w:b/>
                <w:bCs/>
                <w:i/>
                <w:iCs/>
              </w:rPr>
              <w:t>Die</w:t>
            </w:r>
            <w:r w:rsidRPr="0038739D">
              <w:t xml:space="preserve"> Sammelstellen verwerfen von Unternehmen übermittelte Informationen in den folgenden Fällen:</w:t>
            </w:r>
          </w:p>
        </w:tc>
        <w:tc>
          <w:tcPr>
            <w:tcW w:w="4876" w:type="dxa"/>
            <w:hideMark/>
          </w:tcPr>
          <w:p w:rsidR="00C85A4C" w:rsidRPr="0038739D" w:rsidRDefault="00530CA4" w:rsidP="00244990">
            <w:pPr>
              <w:pStyle w:val="Normal6"/>
              <w:rPr>
                <w:szCs w:val="24"/>
              </w:rPr>
            </w:pPr>
            <w:r w:rsidRPr="0038739D">
              <w:t>(2)</w:t>
            </w:r>
            <w:r w:rsidRPr="0038739D">
              <w:tab/>
            </w:r>
            <w:r w:rsidRPr="0038739D">
              <w:rPr>
                <w:b/>
                <w:bCs/>
                <w:i/>
                <w:iCs/>
              </w:rPr>
              <w:t>Den</w:t>
            </w:r>
            <w:r w:rsidRPr="0038739D">
              <w:t xml:space="preserve"> Sammelstellen </w:t>
            </w:r>
            <w:r w:rsidRPr="0038739D">
              <w:rPr>
                <w:b/>
                <w:bCs/>
                <w:i/>
                <w:iCs/>
              </w:rPr>
              <w:t>wird die Befugnis übertragen,</w:t>
            </w:r>
            <w:r w:rsidRPr="0038739D">
              <w:t xml:space="preserve"> von Unternehmen übermittelte Informationen in den folgenden Fällen </w:t>
            </w:r>
            <w:r w:rsidRPr="0038739D">
              <w:rPr>
                <w:b/>
                <w:bCs/>
                <w:i/>
                <w:iCs/>
              </w:rPr>
              <w:t>zu prüfen und zu</w:t>
            </w:r>
            <w:r w:rsidRPr="0038739D">
              <w:t xml:space="preserve"> verwerfen :</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23</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2 – Buchstabe b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ba)</w:t>
            </w:r>
            <w:r w:rsidRPr="0038739D">
              <w:rPr>
                <w:b/>
                <w:i/>
              </w:rPr>
              <w:tab/>
              <w:t>wenn sich herausstellt, dass Unternehmen die Anforderungen für die Übermittlung personenbezogener Daten gemäß Artikel 3 Absatz 1 Buchstabe d und gemäß Artikel 3 Absatz 3 nicht erfüllen.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24</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4</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(4)</w:t>
            </w:r>
            <w:r w:rsidRPr="0038739D">
              <w:tab/>
              <w:t xml:space="preserve">Die Unternehmen stellen sicher, dass die Informationen, die sie den </w:t>
            </w:r>
            <w:r w:rsidRPr="0038739D">
              <w:t>Sammelstellen übermitteln, korrekt sind.</w:t>
            </w:r>
          </w:p>
        </w:tc>
        <w:tc>
          <w:tcPr>
            <w:tcW w:w="4876" w:type="dxa"/>
            <w:hideMark/>
          </w:tcPr>
          <w:p w:rsidR="00C85A4C" w:rsidRPr="0038739D" w:rsidRDefault="00530CA4" w:rsidP="00244990">
            <w:pPr>
              <w:pStyle w:val="Normal6"/>
              <w:rPr>
                <w:szCs w:val="24"/>
              </w:rPr>
            </w:pPr>
            <w:r w:rsidRPr="0038739D">
              <w:t>(4)</w:t>
            </w:r>
            <w:r w:rsidRPr="0038739D">
              <w:tab/>
              <w:t xml:space="preserve">Die Unternehmen stellen sicher, dass die Informationen, die sie den Sammelstellen übermitteln, </w:t>
            </w:r>
            <w:r w:rsidRPr="0038739D">
              <w:rPr>
                <w:b/>
                <w:bCs/>
                <w:i/>
                <w:iCs/>
              </w:rPr>
              <w:t>von hoher Qualität, vollständig und</w:t>
            </w:r>
            <w:r w:rsidRPr="0038739D">
              <w:t xml:space="preserve"> korrekt sind.</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25</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w:t>
      </w:r>
      <w:r w:rsidRPr="0038739D">
        <w:t>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5 – Absatz 6 a (neu)</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tcPr>
          <w:p w:rsidR="00C85A4C" w:rsidRPr="0038739D" w:rsidRDefault="00C85A4C" w:rsidP="00244990">
            <w:pPr>
              <w:pStyle w:val="Normal6"/>
            </w:pPr>
          </w:p>
        </w:tc>
        <w:tc>
          <w:tcPr>
            <w:tcW w:w="4876" w:type="dxa"/>
            <w:hideMark/>
          </w:tcPr>
          <w:p w:rsidR="00C85A4C" w:rsidRPr="0038739D" w:rsidRDefault="00530CA4" w:rsidP="00244990">
            <w:pPr>
              <w:pStyle w:val="Normal6"/>
              <w:rPr>
                <w:szCs w:val="24"/>
              </w:rPr>
            </w:pPr>
            <w:r w:rsidRPr="0038739D">
              <w:rPr>
                <w:b/>
                <w:i/>
              </w:rPr>
              <w:t>(6a)</w:t>
            </w:r>
            <w:r w:rsidRPr="0038739D">
              <w:rPr>
                <w:b/>
                <w:i/>
              </w:rPr>
              <w:tab/>
              <w:t xml:space="preserve">Der Gemeinsame Ausschuss der Europäischen Aufsichtsbehörden entwickelt Verfahren, die darauf abzielen, die </w:t>
            </w:r>
            <w:r w:rsidRPr="0038739D">
              <w:rPr>
                <w:b/>
                <w:i/>
              </w:rPr>
              <w:t>Zusammenarbeit zwischen den Sammelstellen und den Unternehmen zu erleichtern, wobei insbesondere die Übermittlung und der Widerruf freiwilliger Informationen geregelt wird und gegebenenfalls entsprechende Vorlagen zur Verfügung gestellt werden. Bei der Aus</w:t>
            </w:r>
            <w:r w:rsidRPr="0038739D">
              <w:rPr>
                <w:b/>
                <w:i/>
              </w:rPr>
              <w:t>arbeitung dieser Verfahren trägt der Gemeinsame Ausschuss insbesondere den Bedürfnissen kleiner und mittlerer Unternehmen Rechnung.</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26</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6 –</w:t>
      </w:r>
      <w:r w:rsidRPr="0038739D">
        <w:t xml:space="preserve"> 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 xml:space="preserve">Die ESMA legt eine wirksame und verhältnismäßige IT-Sicherheitsstrategie für das ESAP fest und gewährleistet ein angemessenes Maß an Authentizität, Verfügbarkeit, Integrität und Beweisbarkeit </w:t>
            </w:r>
            <w:r w:rsidRPr="0038739D">
              <w:t xml:space="preserve">der über das ESAP </w:t>
            </w:r>
            <w:r w:rsidRPr="0038739D">
              <w:lastRenderedPageBreak/>
              <w:t>bereitgestellten Informationen und ein angemessenes Schutzniveau für personenbezogene Daten.</w:t>
            </w:r>
          </w:p>
        </w:tc>
        <w:tc>
          <w:tcPr>
            <w:tcW w:w="4876" w:type="dxa"/>
            <w:hideMark/>
          </w:tcPr>
          <w:p w:rsidR="00C85A4C" w:rsidRPr="0038739D" w:rsidRDefault="00530CA4" w:rsidP="00244990">
            <w:pPr>
              <w:pStyle w:val="Normal6"/>
              <w:rPr>
                <w:szCs w:val="24"/>
              </w:rPr>
            </w:pPr>
            <w:r w:rsidRPr="0038739D">
              <w:lastRenderedPageBreak/>
              <w:t>Die ESMA legt eine wirksame und verhältnismäßige IT-Sicherheitsstrategie für das ESAP fest und gewährleistet ein angemessenes Maß an Authentizitä</w:t>
            </w:r>
            <w:r w:rsidRPr="0038739D">
              <w:t xml:space="preserve">t, Verfügbarkeit, Integrität und Beweisbarkeit der über das ESAP </w:t>
            </w:r>
            <w:r w:rsidRPr="0038739D">
              <w:lastRenderedPageBreak/>
              <w:t xml:space="preserve">bereitgestellten Informationen und ein angemessenes Schutzniveau für personenbezogene Daten. </w:t>
            </w:r>
            <w:r w:rsidRPr="0038739D">
              <w:rPr>
                <w:b/>
                <w:i/>
              </w:rPr>
              <w:t>Die ESMA überprüft die IT-Sicherheitsstrategie und die Cybersicherheitslage des ESAP regelmäßig, u</w:t>
            </w:r>
            <w:r w:rsidRPr="0038739D">
              <w:rPr>
                <w:b/>
                <w:i/>
              </w:rPr>
              <w:t>m den sich weiterentwickelnden Cybersicherheitstrends in der Union und auf internationaler Ebene und den jüngsten Entwicklungen Rechnung zu tragen.</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27</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w:t>
      </w:r>
      <w:r w:rsidRPr="0038739D">
        <w:rPr>
          <w:rStyle w:val="HideTWBExt"/>
          <w:b w:val="0"/>
        </w:rPr>
        <w:t>icle&gt;</w:t>
      </w:r>
      <w:r w:rsidRPr="0038739D">
        <w:t>Artikel 7 – Absatz 1 – Buchstabe a</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a)</w:t>
            </w:r>
            <w:r w:rsidRPr="0038739D">
              <w:tab/>
              <w:t>ein Webportal mit einer benutzerfreundlichen Schnittstelle in allen Amtssprachen der Union, um Zugang zu den im ESAP enthaltenen Informationen zu gewähren;</w:t>
            </w:r>
          </w:p>
        </w:tc>
        <w:tc>
          <w:tcPr>
            <w:tcW w:w="4876" w:type="dxa"/>
            <w:hideMark/>
          </w:tcPr>
          <w:p w:rsidR="00C85A4C" w:rsidRPr="0038739D" w:rsidRDefault="00530CA4" w:rsidP="00244990">
            <w:pPr>
              <w:pStyle w:val="Normal6"/>
              <w:rPr>
                <w:szCs w:val="24"/>
              </w:rPr>
            </w:pPr>
            <w:r w:rsidRPr="0038739D">
              <w:t>a)</w:t>
            </w:r>
            <w:r w:rsidRPr="0038739D">
              <w:tab/>
            </w:r>
            <w:r w:rsidRPr="0038739D">
              <w:t>ein Webportal mit einer benutzerfreundlichen Schnittstelle</w:t>
            </w:r>
            <w:r w:rsidRPr="0038739D">
              <w:rPr>
                <w:b/>
                <w:bCs/>
                <w:i/>
                <w:iCs/>
              </w:rPr>
              <w:t xml:space="preserve"> unter Berücksichtigung der besonderen Zugangsanforderungen von Menschen mit Behinderungen</w:t>
            </w:r>
            <w:r w:rsidRPr="0038739D">
              <w:t xml:space="preserve"> in allen Amtssprachen der Union, um Zugang zu den im ESAP enthaltenen Informationen zu gewähren;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28</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7 – Absatz 2</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(2)</w:t>
            </w:r>
            <w:r w:rsidRPr="0038739D">
              <w:tab/>
              <w:t xml:space="preserve">Die ESMA stellt sicher, dass die in Absatz 1 Buchstaben e und g genannten </w:t>
            </w:r>
            <w:r w:rsidRPr="0038739D">
              <w:t>Funktionen bis zum 31. Dezember 2025 im ESAP verfügbar sind.</w:t>
            </w:r>
          </w:p>
        </w:tc>
        <w:tc>
          <w:tcPr>
            <w:tcW w:w="4876" w:type="dxa"/>
            <w:hideMark/>
          </w:tcPr>
          <w:p w:rsidR="00C85A4C" w:rsidRPr="0038739D" w:rsidRDefault="00530CA4" w:rsidP="00244990">
            <w:pPr>
              <w:pStyle w:val="Normal6"/>
              <w:rPr>
                <w:szCs w:val="24"/>
              </w:rPr>
            </w:pPr>
            <w:r w:rsidRPr="0038739D">
              <w:t>(2)</w:t>
            </w:r>
            <w:r w:rsidRPr="0038739D">
              <w:tab/>
              <w:t xml:space="preserve">Die ESMA stellt sicher, dass die in Absatz 1 Buchstaben e und g genannten Funktionen bis zum 31. Dezember 2025 im ESAP verfügbar sind. </w:t>
            </w:r>
            <w:r w:rsidRPr="0038739D">
              <w:rPr>
                <w:b/>
                <w:i/>
              </w:rPr>
              <w:t>Die ESMA trifft geeignete technische und organisatorisch</w:t>
            </w:r>
            <w:r w:rsidRPr="0038739D">
              <w:rPr>
                <w:b/>
                <w:i/>
              </w:rPr>
              <w:t xml:space="preserve">e Maßnahmen, um eine übermäßige Offenlegung personenbezogener Daten über den Download-Dienst und die API zu verhüten. Die ESMA trifft zusätzliche Sicherheitsvorkehrungen, wenn die Offenlegung personenbezogener Daten </w:t>
            </w:r>
            <w:r w:rsidRPr="0038739D">
              <w:rPr>
                <w:b/>
                <w:i/>
              </w:rPr>
              <w:lastRenderedPageBreak/>
              <w:t>über den Download-Dienst und die API bes</w:t>
            </w:r>
            <w:r w:rsidRPr="0038739D">
              <w:rPr>
                <w:b/>
                <w:i/>
              </w:rPr>
              <w:t>onders sensible personenbezogene Daten betrifft, wie Informationen über Verwaltungsmaßnahmen oder andere Sanktionen gegen natürliche Personen.</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29</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7 – Absatz 3 – Einleitung</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(3)</w:t>
            </w:r>
            <w:r w:rsidRPr="0038739D">
              <w:tab/>
              <w:t>Die Suchfunktion nach Absatz 1 Buchstabe c ermöglicht eine Suche anhand folgender Metadaten:</w:t>
            </w:r>
          </w:p>
        </w:tc>
        <w:tc>
          <w:tcPr>
            <w:tcW w:w="4876" w:type="dxa"/>
            <w:hideMark/>
          </w:tcPr>
          <w:p w:rsidR="00C85A4C" w:rsidRPr="0038739D" w:rsidRDefault="00530CA4" w:rsidP="00244990">
            <w:pPr>
              <w:pStyle w:val="Normal6"/>
              <w:rPr>
                <w:szCs w:val="24"/>
              </w:rPr>
            </w:pPr>
            <w:r w:rsidRPr="0038739D">
              <w:t>(3)</w:t>
            </w:r>
            <w:r w:rsidRPr="0038739D">
              <w:tab/>
              <w:t>Die Suchfunktion nach Absatz 1 Buchstabe c ermöglicht eine Suche an</w:t>
            </w:r>
            <w:r w:rsidRPr="0038739D">
              <w:t xml:space="preserve">hand </w:t>
            </w:r>
            <w:r w:rsidRPr="0038739D">
              <w:rPr>
                <w:b/>
                <w:bCs/>
                <w:i/>
                <w:iCs/>
              </w:rPr>
              <w:t>mindestens</w:t>
            </w:r>
            <w:r w:rsidRPr="0038739D">
              <w:t xml:space="preserve"> folgender Metadaten: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30</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8 – 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26AE1">
            <w:pPr>
              <w:pStyle w:val="Normal6"/>
            </w:pPr>
            <w:r w:rsidRPr="0038739D">
              <w:t>(1)</w:t>
            </w:r>
            <w:r w:rsidRPr="0038739D">
              <w:tab/>
            </w:r>
            <w:r w:rsidRPr="0038739D">
              <w:rPr>
                <w:b/>
                <w:bCs/>
                <w:i/>
                <w:iCs/>
              </w:rPr>
              <w:t>Die ESMA</w:t>
            </w:r>
            <w:r w:rsidRPr="0038739D">
              <w:t xml:space="preserve"> stellt sicher, dass der Zugang zum ESAP diskriminierungsfrei gewährt wird.</w:t>
            </w:r>
          </w:p>
        </w:tc>
        <w:tc>
          <w:tcPr>
            <w:tcW w:w="4876" w:type="dxa"/>
            <w:hideMark/>
          </w:tcPr>
          <w:p w:rsidR="00C85A4C" w:rsidRPr="0038739D" w:rsidRDefault="00530CA4" w:rsidP="00244990">
            <w:pPr>
              <w:pStyle w:val="Normal6"/>
              <w:rPr>
                <w:szCs w:val="24"/>
              </w:rPr>
            </w:pPr>
            <w:r w:rsidRPr="0038739D">
              <w:t>(1)</w:t>
            </w:r>
            <w:r w:rsidRPr="0038739D">
              <w:tab/>
            </w:r>
            <w:r w:rsidRPr="0038739D">
              <w:rPr>
                <w:b/>
                <w:bCs/>
                <w:i/>
                <w:iCs/>
              </w:rPr>
              <w:t xml:space="preserve">Um Transparenz und das reibungslose Funktionieren der Kapitalmärkte der EU zu fördern, </w:t>
            </w:r>
            <w:r w:rsidRPr="0038739D">
              <w:t xml:space="preserve">stellt </w:t>
            </w:r>
            <w:r w:rsidRPr="0038739D">
              <w:rPr>
                <w:b/>
                <w:bCs/>
                <w:i/>
                <w:iCs/>
              </w:rPr>
              <w:t>die</w:t>
            </w:r>
            <w:r w:rsidRPr="0038739D">
              <w:t xml:space="preserve"> ESMA sicher, dass der Zugang zum ESAP diskriminierungsfrei gewährt wird.</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31</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8 – Absatz 4 – Einleitung</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(4)</w:t>
            </w:r>
            <w:r w:rsidRPr="0038739D">
              <w:tab/>
              <w:t xml:space="preserve">Für die Zwecke von Absatz 2 Unterabsatz 2 </w:t>
            </w:r>
            <w:r w:rsidRPr="0038739D">
              <w:rPr>
                <w:b/>
                <w:bCs/>
                <w:i/>
                <w:iCs/>
              </w:rPr>
              <w:t>kann</w:t>
            </w:r>
            <w:r w:rsidRPr="0038739D">
              <w:t xml:space="preserve"> die E</w:t>
            </w:r>
            <w:r w:rsidRPr="0038739D">
              <w:t xml:space="preserve">SMA Entwürfe technischer Durchführungsstandards </w:t>
            </w:r>
            <w:r w:rsidRPr="0038739D">
              <w:rPr>
                <w:b/>
                <w:bCs/>
                <w:i/>
                <w:iCs/>
              </w:rPr>
              <w:t>ausarbeiten</w:t>
            </w:r>
            <w:r w:rsidRPr="0038739D">
              <w:t xml:space="preserve">, um Art und Umfang der spezifischen Dienstleistungen, für die Gebühren erhoben werden können, und die damit verbundene Gebührenstruktur </w:t>
            </w:r>
            <w:r w:rsidRPr="0038739D">
              <w:lastRenderedPageBreak/>
              <w:t>festzulegen.</w:t>
            </w:r>
          </w:p>
        </w:tc>
        <w:tc>
          <w:tcPr>
            <w:tcW w:w="4876" w:type="dxa"/>
            <w:hideMark/>
          </w:tcPr>
          <w:p w:rsidR="00C85A4C" w:rsidRPr="0038739D" w:rsidRDefault="00530CA4" w:rsidP="00244990">
            <w:pPr>
              <w:pStyle w:val="Normal6"/>
              <w:rPr>
                <w:szCs w:val="24"/>
              </w:rPr>
            </w:pPr>
            <w:r w:rsidRPr="0038739D">
              <w:lastRenderedPageBreak/>
              <w:t>(4)</w:t>
            </w:r>
            <w:r w:rsidRPr="0038739D">
              <w:tab/>
              <w:t xml:space="preserve">Für die Zwecke von Absatz 2 Unterabsatz 2 </w:t>
            </w:r>
            <w:r w:rsidRPr="0038739D">
              <w:rPr>
                <w:b/>
                <w:bCs/>
                <w:i/>
                <w:iCs/>
              </w:rPr>
              <w:t>a</w:t>
            </w:r>
            <w:r w:rsidRPr="0038739D">
              <w:rPr>
                <w:b/>
                <w:bCs/>
                <w:i/>
                <w:iCs/>
              </w:rPr>
              <w:t>rbeitet</w:t>
            </w:r>
            <w:r w:rsidRPr="0038739D">
              <w:t xml:space="preserve"> die ESMA Entwürfe technischer Durchführungsstandards </w:t>
            </w:r>
            <w:r w:rsidRPr="0038739D">
              <w:rPr>
                <w:b/>
                <w:bCs/>
                <w:i/>
                <w:iCs/>
              </w:rPr>
              <w:t>aus</w:t>
            </w:r>
            <w:r w:rsidRPr="0038739D">
              <w:t>, um Art und Umfang der spezifischen Dienstleistungen, für die Gebühren erhoben werden können, und die damit verbundene Gebührenstruktur festzulegen.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32</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10 – 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(1)</w:t>
            </w:r>
            <w:r w:rsidRPr="0038739D">
              <w:tab/>
              <w:t xml:space="preserve">Die ESMA überprüft </w:t>
            </w:r>
            <w:r w:rsidRPr="0038739D">
              <w:rPr>
                <w:b/>
                <w:bCs/>
                <w:i/>
                <w:iCs/>
              </w:rPr>
              <w:t>anhand automatischer Validierungen</w:t>
            </w:r>
            <w:r w:rsidRPr="0038739D">
              <w:t>, ob die von den Sammelstellen übermittelten Inform</w:t>
            </w:r>
            <w:r w:rsidRPr="0038739D">
              <w:t>ationen den Anforderungen des Artikels 5 Absatz 1 Buchstabe b genügen.</w:t>
            </w:r>
          </w:p>
        </w:tc>
        <w:tc>
          <w:tcPr>
            <w:tcW w:w="4876" w:type="dxa"/>
            <w:hideMark/>
          </w:tcPr>
          <w:p w:rsidR="00C85A4C" w:rsidRPr="0038739D" w:rsidRDefault="00530CA4" w:rsidP="00244990">
            <w:pPr>
              <w:pStyle w:val="Normal6"/>
              <w:rPr>
                <w:szCs w:val="24"/>
              </w:rPr>
            </w:pPr>
            <w:r w:rsidRPr="0038739D">
              <w:t>(1)</w:t>
            </w:r>
            <w:r w:rsidRPr="0038739D">
              <w:tab/>
              <w:t xml:space="preserve">Die ESMA überprüft </w:t>
            </w:r>
            <w:r w:rsidRPr="0038739D">
              <w:rPr>
                <w:b/>
                <w:bCs/>
                <w:i/>
                <w:iCs/>
              </w:rPr>
              <w:t>– nach Möglichkeit automatisiert –</w:t>
            </w:r>
            <w:r w:rsidRPr="0038739D">
              <w:t>, ob die von den Sammelstellen übermittelten Informationen den Anforderungen des Artikels 5 Absatz 1 Buchstabe b genügen.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33</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11 – Absatz 1 – Buchstabe c</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c)</w:t>
            </w:r>
            <w:r w:rsidRPr="0038739D">
              <w:tab/>
              <w:t xml:space="preserve">sie stellt sicher, dass das ESAP </w:t>
            </w:r>
            <w:r w:rsidRPr="0038739D">
              <w:rPr>
                <w:b/>
                <w:bCs/>
                <w:i/>
                <w:iCs/>
              </w:rPr>
              <w:t xml:space="preserve">mindestens 95 % </w:t>
            </w:r>
            <w:r w:rsidRPr="0038739D">
              <w:rPr>
                <w:b/>
                <w:bCs/>
                <w:i/>
                <w:iCs/>
              </w:rPr>
              <w:t>der Zeit pro Monat</w:t>
            </w:r>
            <w:r w:rsidRPr="0038739D">
              <w:t xml:space="preserve"> zugänglich ist;</w:t>
            </w:r>
          </w:p>
        </w:tc>
        <w:tc>
          <w:tcPr>
            <w:tcW w:w="4876" w:type="dxa"/>
            <w:hideMark/>
          </w:tcPr>
          <w:p w:rsidR="00C85A4C" w:rsidRPr="0038739D" w:rsidRDefault="00530CA4" w:rsidP="00244990">
            <w:pPr>
              <w:pStyle w:val="Normal6"/>
              <w:rPr>
                <w:szCs w:val="24"/>
              </w:rPr>
            </w:pPr>
            <w:r w:rsidRPr="0038739D">
              <w:t>c)</w:t>
            </w:r>
            <w:r w:rsidRPr="0038739D">
              <w:tab/>
              <w:t xml:space="preserve">sie stellt sicher, dass das ESAP </w:t>
            </w:r>
            <w:r w:rsidRPr="0038739D">
              <w:rPr>
                <w:b/>
                <w:bCs/>
                <w:i/>
                <w:iCs/>
              </w:rPr>
              <w:t>außerhalb der Zeiten erforderlicher technischer Wartungen</w:t>
            </w:r>
            <w:r w:rsidRPr="0038739D">
              <w:t xml:space="preserve"> zugänglich ist;</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34</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w:t>
      </w:r>
      <w:r w:rsidRPr="0038739D">
        <w:rPr>
          <w:rStyle w:val="HideTWBExt"/>
          <w:b w:val="0"/>
        </w:rPr>
        <w:t>e&gt;</w:t>
      </w:r>
      <w:r w:rsidRPr="0038739D">
        <w:t>Artikel 11 – Absatz 3</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(3)</w:t>
            </w:r>
            <w:r w:rsidRPr="0038739D">
              <w:tab/>
              <w:t xml:space="preserve">Die ESMA speichert Informationen betreffend personenbezogene Daten nur für die automatische kurzzeitige Zwischenverarbeitung, einschließlich der Speicherung dieser </w:t>
            </w:r>
            <w:r w:rsidRPr="0038739D">
              <w:t>Informationen, soweit dies unbedingt erforderlich ist, um Zugang zu den von den Sammelstellen bereitgestellten Informationen zu gewähren.</w:t>
            </w:r>
          </w:p>
        </w:tc>
        <w:tc>
          <w:tcPr>
            <w:tcW w:w="4876" w:type="dxa"/>
            <w:hideMark/>
          </w:tcPr>
          <w:p w:rsidR="00C85A4C" w:rsidRPr="0038739D" w:rsidRDefault="00530CA4" w:rsidP="00244990">
            <w:pPr>
              <w:pStyle w:val="Normal6"/>
              <w:rPr>
                <w:szCs w:val="24"/>
              </w:rPr>
            </w:pPr>
            <w:r w:rsidRPr="0038739D">
              <w:t>(3)</w:t>
            </w:r>
            <w:r w:rsidRPr="0038739D">
              <w:tab/>
              <w:t>Die ESMA speichert Informationen betreffend personenbezogene Daten nur für die automatische kurzzeitige Zwischenve</w:t>
            </w:r>
            <w:r w:rsidRPr="0038739D">
              <w:t xml:space="preserve">rarbeitung, einschließlich der Speicherung dieser Informationen, soweit dies unbedingt erforderlich ist, um Zugang zu den von den Sammelstellen bereitgestellten Informationen zu gewähren. </w:t>
            </w:r>
            <w:r w:rsidRPr="0038739D">
              <w:rPr>
                <w:b/>
                <w:i/>
              </w:rPr>
              <w:t>Die ESMA trifft ferner geeignete technische und organisatorische Maß</w:t>
            </w:r>
            <w:r w:rsidRPr="0038739D">
              <w:rPr>
                <w:b/>
                <w:i/>
              </w:rPr>
              <w:t xml:space="preserve">nahmen, um sicherzustellen, dass die Informationen </w:t>
            </w:r>
            <w:r w:rsidRPr="0038739D">
              <w:rPr>
                <w:b/>
                <w:i/>
              </w:rPr>
              <w:lastRenderedPageBreak/>
              <w:t>nicht länger aufbewahrt oder zur Verfügung gestellt werden, als dies in Artikel 5 Absatz 1 Buchstabe f dieser Verordnung vorgesehen ist.</w:t>
            </w:r>
          </w:p>
        </w:tc>
      </w:tr>
    </w:tbl>
    <w:p w:rsidR="00C85A4C" w:rsidRPr="0038739D" w:rsidRDefault="00530CA4" w:rsidP="00C85A4C">
      <w:r w:rsidRPr="0038739D">
        <w:rPr>
          <w:rStyle w:val="HideTWBExt"/>
        </w:rPr>
        <w:lastRenderedPageBreak/>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35</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w:t>
      </w:r>
      <w:r w:rsidRPr="0038739D">
        <w:t>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12 – Absatz 2 – Buchstabe a</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a)</w:t>
            </w:r>
            <w:r w:rsidRPr="0038739D">
              <w:tab/>
              <w:t>die Zahl der Zugriffe und Suchen;</w:t>
            </w:r>
          </w:p>
        </w:tc>
        <w:tc>
          <w:tcPr>
            <w:tcW w:w="4876" w:type="dxa"/>
            <w:hideMark/>
          </w:tcPr>
          <w:p w:rsidR="00C85A4C" w:rsidRPr="0038739D" w:rsidRDefault="00530CA4" w:rsidP="00244990">
            <w:pPr>
              <w:pStyle w:val="Normal6"/>
              <w:rPr>
                <w:szCs w:val="24"/>
              </w:rPr>
            </w:pPr>
            <w:r w:rsidRPr="0038739D">
              <w:t>a)</w:t>
            </w:r>
            <w:r w:rsidRPr="0038739D">
              <w:tab/>
              <w:t>die Zahl der Zugriffe</w:t>
            </w:r>
            <w:r w:rsidRPr="0038739D">
              <w:rPr>
                <w:b/>
                <w:bCs/>
                <w:i/>
                <w:iCs/>
              </w:rPr>
              <w:t>, einschließlich der einzelnen Besucher, und der</w:t>
            </w:r>
            <w:r w:rsidRPr="0038739D">
              <w:t xml:space="preserve"> Suchen;</w:t>
            </w:r>
          </w:p>
        </w:tc>
      </w:tr>
    </w:tbl>
    <w:p w:rsidR="00C85A4C" w:rsidRPr="0038739D" w:rsidRDefault="00530CA4" w:rsidP="00C85A4C">
      <w:r w:rsidRPr="0038739D">
        <w:rPr>
          <w:rStyle w:val="HideTWBExt"/>
        </w:rPr>
        <w:t>&lt;/Amend&gt;</w:t>
      </w:r>
    </w:p>
    <w:p w:rsidR="00C85A4C" w:rsidRPr="0038739D" w:rsidRDefault="00530CA4" w:rsidP="00C85A4C">
      <w:pPr>
        <w:pStyle w:val="AmNumberTabs"/>
      </w:pPr>
      <w:r w:rsidRPr="0038739D">
        <w:rPr>
          <w:rStyle w:val="HideTWBExt"/>
          <w:b w:val="0"/>
        </w:rPr>
        <w:t>&lt;Amend&gt;</w:t>
      </w:r>
      <w:r w:rsidRPr="0038739D">
        <w:t>Änderungsantrag</w:t>
      </w:r>
      <w:r w:rsidRPr="0038739D">
        <w:tab/>
      </w:r>
      <w:r w:rsidRPr="0038739D">
        <w:tab/>
      </w:r>
      <w:r w:rsidRPr="0038739D">
        <w:rPr>
          <w:rStyle w:val="HideTWBExt"/>
          <w:b w:val="0"/>
        </w:rPr>
        <w:t>&lt;NumAm&gt;</w:t>
      </w:r>
      <w:r w:rsidRPr="0038739D">
        <w:t>36</w:t>
      </w:r>
      <w:r w:rsidRPr="0038739D">
        <w:rPr>
          <w:rStyle w:val="HideTWBExt"/>
          <w:b w:val="0"/>
        </w:rPr>
        <w:t>&lt;/NumAm&gt;</w:t>
      </w:r>
    </w:p>
    <w:p w:rsidR="00C85A4C" w:rsidRPr="0038739D" w:rsidRDefault="00C85A4C" w:rsidP="00C85A4C"/>
    <w:p w:rsidR="00C85A4C" w:rsidRPr="0038739D" w:rsidRDefault="00530CA4" w:rsidP="00C85A4C">
      <w:pPr>
        <w:pStyle w:val="NormalBold"/>
        <w:keepNext/>
      </w:pPr>
      <w:r w:rsidRPr="0038739D">
        <w:rPr>
          <w:rStyle w:val="HideTWBExt"/>
          <w:b w:val="0"/>
        </w:rPr>
        <w:t>&lt;DocAmend&gt;</w:t>
      </w:r>
      <w:r w:rsidRPr="0038739D">
        <w:t>Vorschlag für eine Verordnung</w:t>
      </w:r>
      <w:r w:rsidRPr="0038739D">
        <w:rPr>
          <w:rStyle w:val="HideTWBExt"/>
          <w:b w:val="0"/>
        </w:rPr>
        <w:t>&lt;/DocAmend&gt;</w:t>
      </w:r>
    </w:p>
    <w:p w:rsidR="00C85A4C" w:rsidRPr="0038739D" w:rsidRDefault="00530CA4" w:rsidP="00C85A4C">
      <w:pPr>
        <w:pStyle w:val="NormalBold"/>
      </w:pPr>
      <w:r w:rsidRPr="0038739D">
        <w:rPr>
          <w:rStyle w:val="HideTWBExt"/>
          <w:b w:val="0"/>
        </w:rPr>
        <w:t>&lt;Article&gt;</w:t>
      </w:r>
      <w:r w:rsidRPr="0038739D">
        <w:t>Artikel 13 – Absatz 1</w:t>
      </w:r>
      <w:r w:rsidRPr="0038739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6EF9" w:rsidRPr="0038739D" w:rsidTr="00244990">
        <w:trPr>
          <w:jc w:val="center"/>
        </w:trPr>
        <w:tc>
          <w:tcPr>
            <w:tcW w:w="9752" w:type="dxa"/>
            <w:gridSpan w:val="2"/>
          </w:tcPr>
          <w:p w:rsidR="00C85A4C" w:rsidRPr="0038739D" w:rsidRDefault="00C85A4C" w:rsidP="00244990">
            <w:pPr>
              <w:keepNext/>
            </w:pPr>
          </w:p>
        </w:tc>
      </w:tr>
      <w:tr w:rsidR="00E76EF9" w:rsidRPr="0038739D" w:rsidTr="00244990">
        <w:trPr>
          <w:jc w:val="center"/>
        </w:trPr>
        <w:tc>
          <w:tcPr>
            <w:tcW w:w="4876" w:type="dxa"/>
            <w:hideMark/>
          </w:tcPr>
          <w:p w:rsidR="00C85A4C" w:rsidRPr="0038739D" w:rsidRDefault="00530CA4" w:rsidP="00244990">
            <w:pPr>
              <w:pStyle w:val="ColumnHeading"/>
              <w:keepNext/>
            </w:pPr>
            <w:r w:rsidRPr="0038739D">
              <w:t>Vorschlag der Kommission</w:t>
            </w:r>
          </w:p>
        </w:tc>
        <w:tc>
          <w:tcPr>
            <w:tcW w:w="4876" w:type="dxa"/>
            <w:hideMark/>
          </w:tcPr>
          <w:p w:rsidR="00C85A4C" w:rsidRPr="0038739D" w:rsidRDefault="00530CA4" w:rsidP="00244990">
            <w:pPr>
              <w:pStyle w:val="ColumnHeading"/>
              <w:keepNext/>
            </w:pPr>
            <w:r w:rsidRPr="0038739D">
              <w:t>Geänderter Text</w:t>
            </w:r>
          </w:p>
        </w:tc>
      </w:tr>
      <w:tr w:rsidR="00E76EF9" w:rsidRPr="0038739D" w:rsidTr="00244990">
        <w:trPr>
          <w:jc w:val="center"/>
        </w:trPr>
        <w:tc>
          <w:tcPr>
            <w:tcW w:w="4876" w:type="dxa"/>
            <w:hideMark/>
          </w:tcPr>
          <w:p w:rsidR="00C85A4C" w:rsidRPr="0038739D" w:rsidRDefault="00530CA4" w:rsidP="00244990">
            <w:pPr>
              <w:pStyle w:val="Normal6"/>
            </w:pPr>
            <w:r w:rsidRPr="0038739D">
              <w:t xml:space="preserve">Die Kommission überprüft bis zum [AV, bitte das Datum 5 Jahre nach </w:t>
            </w:r>
            <w:r w:rsidRPr="0038739D">
              <w:t>Inkrafttreten dieser Verordnung einfügen] die Funktionsweise des ESAP und bewertet dessen Wirksamkeit. Die Kommission erstattet dem Europäischen Parlament und dem Rat Bericht über die Ergebnisse dieser Prüfung.</w:t>
            </w:r>
          </w:p>
        </w:tc>
        <w:tc>
          <w:tcPr>
            <w:tcW w:w="4876" w:type="dxa"/>
            <w:hideMark/>
          </w:tcPr>
          <w:p w:rsidR="00C85A4C" w:rsidRPr="0038739D" w:rsidRDefault="00530CA4" w:rsidP="00244990">
            <w:pPr>
              <w:pStyle w:val="Normal6"/>
              <w:rPr>
                <w:szCs w:val="24"/>
              </w:rPr>
            </w:pPr>
            <w:r w:rsidRPr="0038739D">
              <w:t>Die Kommission überprüft bis zum [AV, bitte d</w:t>
            </w:r>
            <w:r w:rsidRPr="0038739D">
              <w:t xml:space="preserve">as Datum 5 Jahre nach Inkrafttreten dieser Verordnung einfügen] die Funktionsweise des ESAP und bewertet dessen Wirksamkeit. </w:t>
            </w:r>
            <w:r w:rsidRPr="0038739D">
              <w:rPr>
                <w:b/>
                <w:bCs/>
                <w:i/>
                <w:iCs/>
              </w:rPr>
              <w:t>Die Überprüfung beinhaltet auch eine Übersicht bestehender Datenlücken in der ESAP und eine Strategie zu deren Behebung.</w:t>
            </w:r>
            <w:r w:rsidRPr="0038739D">
              <w:rPr>
                <w:b/>
                <w:i/>
              </w:rPr>
              <w:t xml:space="preserve"> Die Überpr</w:t>
            </w:r>
            <w:r w:rsidRPr="0038739D">
              <w:rPr>
                <w:b/>
                <w:i/>
              </w:rPr>
              <w:t xml:space="preserve">üfung umfasst außerdem eine Bewertung der Auswirkungen dieser Verordnung auf die Marktposition der Unternehmen. </w:t>
            </w:r>
            <w:r w:rsidRPr="0038739D">
              <w:t>Die Kommission erstattet dem Europäischen Parlament und dem Rat Bericht über die Ergebnisse dieser Prüfung.</w:t>
            </w:r>
          </w:p>
        </w:tc>
      </w:tr>
    </w:tbl>
    <w:p w:rsidR="00C85A4C" w:rsidRPr="0038739D" w:rsidRDefault="00530CA4" w:rsidP="00C85A4C">
      <w:r w:rsidRPr="0038739D">
        <w:rPr>
          <w:rStyle w:val="HideTWBExt"/>
        </w:rPr>
        <w:t>&lt;/Amend&gt;</w:t>
      </w:r>
    </w:p>
    <w:p w:rsidR="00C85A4C" w:rsidRPr="0038739D" w:rsidRDefault="00C85A4C" w:rsidP="00C85A4C">
      <w:pPr>
        <w:rPr>
          <w:rStyle w:val="HideTWBExt"/>
          <w:noProof w:val="0"/>
          <w:szCs w:val="20"/>
        </w:rPr>
      </w:pPr>
    </w:p>
    <w:p w:rsidR="00DB56E4" w:rsidRPr="0038739D" w:rsidRDefault="00530CA4" w:rsidP="00C85A4C">
      <w:r w:rsidRPr="0038739D">
        <w:rPr>
          <w:rStyle w:val="HideTWBExt"/>
        </w:rPr>
        <w:t>&lt;/RepeatBlock-Amend&gt;</w:t>
      </w:r>
    </w:p>
    <w:p w:rsidR="0044140A" w:rsidRPr="0038739D" w:rsidRDefault="00530CA4" w:rsidP="0044140A">
      <w:r w:rsidRPr="0038739D">
        <w:br w:type="page"/>
      </w:r>
    </w:p>
    <w:p w:rsidR="0044140A" w:rsidRPr="0038739D" w:rsidRDefault="00530CA4" w:rsidP="0044140A">
      <w:pPr>
        <w:pStyle w:val="PageHeadingNotTOC"/>
      </w:pPr>
      <w:bookmarkStart w:id="2" w:name="ProcPageAD"/>
      <w:r w:rsidRPr="0038739D">
        <w:lastRenderedPageBreak/>
        <w:t>VE</w:t>
      </w:r>
      <w:r w:rsidRPr="0038739D">
        <w:t>RFAHREN DES MITBERATENDEN AUSSCHUSSES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Einrichtung eines zentralen europäischen Zugangsportals für den zentralisierten Zugriff auf öffentlich verfügbare, für Finanzdienstleistungen, Kapitalmärkte und Nachhaltigkeit relevante Informationen</w:t>
            </w:r>
          </w:p>
        </w:tc>
      </w:tr>
      <w:tr w:rsidR="00E76EF9" w:rsidRPr="0038739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Bezugsdokumente – Verfahrensnummer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COM(2021)0723 – C9-0434/2021 – 2021/0378(COD)</w:t>
            </w: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Federführender Ausschuss</w:t>
            </w:r>
          </w:p>
          <w:p w:rsidR="0044140A" w:rsidRPr="0038739D" w:rsidRDefault="00530CA4">
            <w:pPr>
              <w:autoSpaceDE w:val="0"/>
              <w:autoSpaceDN w:val="0"/>
              <w:adjustRightInd w:val="0"/>
              <w:rPr>
                <w:color w:val="000000"/>
                <w:sz w:val="20"/>
                <w:szCs w:val="20"/>
              </w:rPr>
            </w:pPr>
            <w:r w:rsidRPr="0038739D">
              <w:rPr>
                <w:color w:val="000000"/>
                <w:sz w:val="20"/>
              </w:rPr>
              <w:t>       Datum der Bekanntgabe im Plenum</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ECON</w:t>
            </w:r>
          </w:p>
          <w:p w:rsidR="0044140A" w:rsidRPr="0038739D" w:rsidRDefault="00530CA4">
            <w:pPr>
              <w:autoSpaceDE w:val="0"/>
              <w:autoSpaceDN w:val="0"/>
              <w:adjustRightInd w:val="0"/>
              <w:rPr>
                <w:color w:val="000000"/>
                <w:sz w:val="20"/>
                <w:szCs w:val="20"/>
              </w:rPr>
            </w:pPr>
            <w:r w:rsidRPr="0038739D">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Stellungnahme von</w:t>
            </w:r>
          </w:p>
          <w:p w:rsidR="0044140A" w:rsidRPr="0038739D" w:rsidRDefault="00530CA4">
            <w:pPr>
              <w:autoSpaceDE w:val="0"/>
              <w:autoSpaceDN w:val="0"/>
              <w:adjustRightInd w:val="0"/>
              <w:rPr>
                <w:color w:val="000000"/>
                <w:sz w:val="20"/>
                <w:szCs w:val="20"/>
              </w:rPr>
            </w:pPr>
            <w:r w:rsidRPr="0038739D">
              <w:rPr>
                <w:color w:val="000000"/>
                <w:sz w:val="20"/>
              </w:rPr>
              <w:t>       Datum der Bekanntgabe im Plenum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LIBE</w:t>
            </w:r>
          </w:p>
          <w:p w:rsidR="0044140A" w:rsidRPr="0038739D" w:rsidRDefault="00530CA4">
            <w:pPr>
              <w:autoSpaceDE w:val="0"/>
              <w:autoSpaceDN w:val="0"/>
              <w:adjustRightInd w:val="0"/>
              <w:rPr>
                <w:color w:val="000000"/>
                <w:sz w:val="20"/>
                <w:szCs w:val="20"/>
              </w:rPr>
            </w:pPr>
            <w:r w:rsidRPr="0038739D">
              <w:rPr>
                <w:color w:val="000000"/>
                <w:sz w:val="20"/>
              </w:rPr>
              <w:t>14.2.2022</w:t>
            </w: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 xml:space="preserve">Verfasser(in) der </w:t>
            </w:r>
            <w:r w:rsidRPr="0038739D">
              <w:rPr>
                <w:b/>
                <w:color w:val="000000"/>
                <w:sz w:val="20"/>
              </w:rPr>
              <w:t>Stellungnahme</w:t>
            </w:r>
          </w:p>
          <w:p w:rsidR="0044140A" w:rsidRPr="0038739D" w:rsidRDefault="00530CA4">
            <w:pPr>
              <w:autoSpaceDE w:val="0"/>
              <w:autoSpaceDN w:val="0"/>
              <w:adjustRightInd w:val="0"/>
              <w:rPr>
                <w:color w:val="000000"/>
                <w:sz w:val="20"/>
                <w:szCs w:val="20"/>
              </w:rPr>
            </w:pPr>
            <w:r w:rsidRPr="0038739D">
              <w:rPr>
                <w:color w:val="000000"/>
                <w:sz w:val="20"/>
              </w:rPr>
              <w:t>       Datum der Benennung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Emil Radev</w:t>
            </w:r>
          </w:p>
          <w:p w:rsidR="0044140A" w:rsidRPr="0038739D" w:rsidRDefault="00530CA4">
            <w:pPr>
              <w:autoSpaceDE w:val="0"/>
              <w:autoSpaceDN w:val="0"/>
              <w:adjustRightInd w:val="0"/>
              <w:rPr>
                <w:color w:val="000000"/>
                <w:sz w:val="20"/>
                <w:szCs w:val="20"/>
              </w:rPr>
            </w:pPr>
            <w:r w:rsidRPr="0038739D">
              <w:rPr>
                <w:color w:val="000000"/>
                <w:sz w:val="20"/>
              </w:rPr>
              <w:t>30.5.2022</w:t>
            </w: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Prüfung im Ausschuss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r>
      <w:tr w:rsidR="00E76EF9" w:rsidRPr="0038739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Datum der Annahme</w:t>
            </w:r>
          </w:p>
        </w:tc>
        <w:tc>
          <w:tcPr>
            <w:tcW w:w="1530" w:type="dxa"/>
            <w:tcBorders>
              <w:top w:val="nil"/>
              <w:left w:val="nil"/>
              <w:bottom w:val="single" w:sz="8" w:space="0" w:color="000000"/>
              <w:right w:val="nil"/>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4140A" w:rsidRPr="0038739D" w:rsidRDefault="0044140A">
            <w:pPr>
              <w:autoSpaceDE w:val="0"/>
              <w:autoSpaceDN w:val="0"/>
              <w:adjustRightInd w:val="0"/>
              <w:rPr>
                <w:rFonts w:ascii="sans-serif" w:hAnsi="sans-serif" w:cs="sans-serif"/>
                <w:color w:val="000000"/>
              </w:rPr>
            </w:pP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w:t>
            </w:r>
          </w:p>
          <w:p w:rsidR="0044140A" w:rsidRPr="0038739D" w:rsidRDefault="00530CA4">
            <w:pPr>
              <w:autoSpaceDE w:val="0"/>
              <w:autoSpaceDN w:val="0"/>
              <w:adjustRightInd w:val="0"/>
              <w:rPr>
                <w:color w:val="000000"/>
                <w:sz w:val="20"/>
                <w:szCs w:val="20"/>
              </w:rPr>
            </w:pPr>
            <w:r w:rsidRPr="0038739D">
              <w:rPr>
                <w:color w:val="000000"/>
                <w:sz w:val="20"/>
              </w:rPr>
              <w:t>–:</w:t>
            </w:r>
          </w:p>
          <w:p w:rsidR="0044140A" w:rsidRPr="0038739D" w:rsidRDefault="00530CA4">
            <w:pPr>
              <w:autoSpaceDE w:val="0"/>
              <w:autoSpaceDN w:val="0"/>
              <w:adjustRightInd w:val="0"/>
              <w:rPr>
                <w:color w:val="000000"/>
                <w:sz w:val="20"/>
                <w:szCs w:val="20"/>
              </w:rPr>
            </w:pPr>
            <w:r w:rsidRPr="0038739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59</w:t>
            </w:r>
          </w:p>
          <w:p w:rsidR="0044140A" w:rsidRPr="0038739D" w:rsidRDefault="00530CA4">
            <w:pPr>
              <w:autoSpaceDE w:val="0"/>
              <w:autoSpaceDN w:val="0"/>
              <w:adjustRightInd w:val="0"/>
              <w:rPr>
                <w:color w:val="000000"/>
                <w:sz w:val="20"/>
                <w:szCs w:val="20"/>
              </w:rPr>
            </w:pPr>
            <w:r w:rsidRPr="0038739D">
              <w:rPr>
                <w:color w:val="000000"/>
                <w:sz w:val="20"/>
              </w:rPr>
              <w:t>0</w:t>
            </w:r>
          </w:p>
          <w:p w:rsidR="0044140A" w:rsidRPr="0038739D" w:rsidRDefault="00530CA4">
            <w:pPr>
              <w:autoSpaceDE w:val="0"/>
              <w:autoSpaceDN w:val="0"/>
              <w:adjustRightInd w:val="0"/>
              <w:rPr>
                <w:color w:val="000000"/>
                <w:sz w:val="20"/>
                <w:szCs w:val="20"/>
              </w:rPr>
            </w:pPr>
            <w:r w:rsidRPr="0038739D">
              <w:rPr>
                <w:color w:val="000000"/>
                <w:sz w:val="20"/>
              </w:rPr>
              <w:t>3</w:t>
            </w:r>
          </w:p>
        </w:tc>
      </w:tr>
      <w:tr w:rsidR="00E76EF9" w:rsidRPr="0038739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 xml:space="preserve">Abir Al-Sahlani, </w:t>
            </w:r>
            <w:r w:rsidRPr="0038739D">
              <w:rPr>
                <w:color w:val="000000"/>
                <w:sz w:val="20"/>
              </w:rPr>
              <w:t>Malik Azmani, Vladimír Bilčík, Malin Björk, Vasile Blaga, Patrick Breyer, Saskia Bricmont, Joachim Stanisław Brudziński, Jorge Buxadé Villalba, Patricia Chagnon, Clare Daly, Lena Düpont, Lucia Ďuriš Nicholsonová, Laura Ferrara, Andrzej Halicki, Evin Incir,</w:t>
            </w:r>
            <w:r w:rsidRPr="0038739D">
              <w:rPr>
                <w:color w:val="000000"/>
                <w:sz w:val="20"/>
              </w:rPr>
              <w:t xml:space="preserve"> Sophia in ‘t Veld, Patryk Jaki, Marina Kaljurand, Fabienne Keller, Łukasz Kohut, Moritz Körner, Alice Kuhnke, Jeroen Lenaers, Juan Fernando López Aguilar, Lukas Mandl, Erik Marquardt, Nadine Morano, Javier Moreno Sánchez, Theresa Muigg, Maite Pagazaurtund</w:t>
            </w:r>
            <w:r w:rsidRPr="0038739D">
              <w:rPr>
                <w:color w:val="000000"/>
                <w:sz w:val="20"/>
              </w:rPr>
              <w:t>úa, Paulo Rangel, Karlo Ressler, Isabel Santos, Birgit Sippel, Sara Skyttedal, Vincenzo Sofo, Tineke Strik, Ramona Strugariu, Yana Toom, Milan Uhrík, Tom Vandendriessche, Elena Yoncheva</w:t>
            </w:r>
          </w:p>
        </w:tc>
      </w:tr>
      <w:tr w:rsidR="00E76EF9" w:rsidRPr="0038739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Loucas F</w:t>
            </w:r>
            <w:r w:rsidRPr="0038739D">
              <w:rPr>
                <w:color w:val="000000"/>
                <w:sz w:val="20"/>
              </w:rPr>
              <w:t>ourlas, Beata Kempa, Ondřej Kovařík, Alessandra Mussolini, Matjaž Nemec, Sira Rego, Thijs Reuten, Domènec Ruiz Devesa, Loránt Vincze, Petar Vitanov, Tomáš Zdechovský</w:t>
            </w:r>
          </w:p>
        </w:tc>
      </w:tr>
      <w:tr w:rsidR="00E76EF9" w:rsidRPr="0038739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b/>
                <w:bCs/>
                <w:color w:val="000000"/>
                <w:sz w:val="20"/>
                <w:szCs w:val="20"/>
              </w:rPr>
            </w:pPr>
            <w:r w:rsidRPr="0038739D">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140A" w:rsidRPr="0038739D" w:rsidRDefault="00530CA4">
            <w:pPr>
              <w:autoSpaceDE w:val="0"/>
              <w:autoSpaceDN w:val="0"/>
              <w:adjustRightInd w:val="0"/>
              <w:rPr>
                <w:color w:val="000000"/>
                <w:sz w:val="20"/>
                <w:szCs w:val="20"/>
              </w:rPr>
            </w:pPr>
            <w:r w:rsidRPr="0038739D">
              <w:rPr>
                <w:color w:val="000000"/>
                <w:sz w:val="20"/>
              </w:rPr>
              <w:t xml:space="preserve">Asim Ademov, </w:t>
            </w:r>
            <w:r w:rsidRPr="0038739D">
              <w:rPr>
                <w:color w:val="000000"/>
                <w:sz w:val="20"/>
              </w:rPr>
              <w:t>Gunnar Beck, Isabel Benjumea Benjumea, Marian-Jean Marinescu, René Repasi, Antonio Maria Rinaldi, Mounir Satouri, Jörgen Warborn</w:t>
            </w:r>
          </w:p>
        </w:tc>
      </w:tr>
    </w:tbl>
    <w:p w:rsidR="0044140A" w:rsidRPr="0038739D" w:rsidRDefault="0044140A" w:rsidP="00C85A4C"/>
    <w:bookmarkEnd w:id="2"/>
    <w:p w:rsidR="00C85A4C" w:rsidRPr="0038739D" w:rsidRDefault="00C85A4C" w:rsidP="00C85A4C">
      <w:pPr>
        <w:sectPr w:rsidR="00C85A4C" w:rsidRPr="0038739D" w:rsidSect="00C85A4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85A4C" w:rsidRPr="0038739D" w:rsidRDefault="00530CA4" w:rsidP="00244990">
      <w:pPr>
        <w:pStyle w:val="PageHeadingNotTOC"/>
      </w:pPr>
      <w:bookmarkStart w:id="3" w:name="RollCallPageAD"/>
      <w:r w:rsidRPr="0038739D">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76EF9" w:rsidRPr="0038739D" w:rsidTr="002449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85A4C" w:rsidRPr="0038739D" w:rsidRDefault="00530CA4" w:rsidP="00244990">
            <w:pPr>
              <w:pStyle w:val="RollCallVotes"/>
              <w:spacing w:line="256" w:lineRule="auto"/>
            </w:pPr>
            <w:r w:rsidRPr="0038739D">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85A4C" w:rsidRPr="0038739D" w:rsidRDefault="00530CA4" w:rsidP="00244990">
            <w:pPr>
              <w:pStyle w:val="RollCallSymbols14pt"/>
              <w:spacing w:line="256" w:lineRule="auto"/>
            </w:pPr>
            <w:r w:rsidRPr="0038739D">
              <w:t>+</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Joachim Stanisław Brudziński, Patryk Jaki, Beata</w:t>
            </w:r>
            <w:r w:rsidRPr="0038739D">
              <w:t xml:space="preserve"> Kempa, Vincenzo Sofo</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Patricia Chagnon, Antonio Maria Rinaldi, Tom Vandendriessche</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Laura Ferrara</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 xml:space="preserve">Asim Ademov, Isabel Benjumea Benjumea, Vladimír Bilčík, Vasile Blaga, Lena Düpont, Loucas Fourlas, Andrzej Halicki, Jeroen Lenaers, Lukas Mandl, </w:t>
            </w:r>
            <w:r w:rsidRPr="0038739D">
              <w:t>Marian-Jean Marinescu, Nadine Morano, Alessandra Mussolini, Paulo Rangel, Karlo Ressler, Sara Skyttedal, Loránt Vincze, Jörgen Warborn, Tomáš Zdechovský</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Abir Al-Sahlani, Malik Azmani, Lucia Ďuriš Nicholsonová, Sophia in 't Veld, Fabienne Keller, Mor</w:t>
            </w:r>
            <w:r w:rsidRPr="0038739D">
              <w:t>itz Körner, Ondřej Kovařík, Maite Pagazaurtundúa, Ramona Strugariu, Yana Toom</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 xml:space="preserve">Evin Incir, Marina Kaljurand, Łukasz Kohut, Juan Fernando López Aguilar, Javier Moreno Sánchez, Theresa Muigg, Matjaž Nemec, René Repasi, Thijs Reuten, Domènec Ruiz Devesa, </w:t>
            </w:r>
            <w:r w:rsidRPr="0038739D">
              <w:t>Isabel Santos, Birgit Sippel, Petar Vitanov, Elena Yoncheva</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Malin Björk, Clare Daly, Sira Rego</w:t>
            </w:r>
          </w:p>
        </w:tc>
      </w:tr>
      <w:tr w:rsidR="00E76EF9" w:rsidRPr="0038739D" w:rsidTr="002449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Patrick Breyer, Saskia Bricmont, Alice Kuhnke, Erik Marquardt, Mounir Satouri, Tineke Strik</w:t>
            </w:r>
          </w:p>
        </w:tc>
      </w:tr>
    </w:tbl>
    <w:p w:rsidR="00C85A4C" w:rsidRPr="0038739D" w:rsidRDefault="00C85A4C" w:rsidP="00C85A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76EF9" w:rsidRPr="0038739D" w:rsidTr="002449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85A4C" w:rsidRPr="0038739D" w:rsidRDefault="00530CA4" w:rsidP="00244990">
            <w:pPr>
              <w:pStyle w:val="RollCallVotes"/>
              <w:spacing w:line="256" w:lineRule="auto"/>
            </w:pPr>
            <w:r w:rsidRPr="0038739D">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85A4C" w:rsidRPr="0038739D" w:rsidRDefault="00530CA4" w:rsidP="00244990">
            <w:pPr>
              <w:pStyle w:val="RollCallSymbols14pt"/>
              <w:spacing w:line="256" w:lineRule="auto"/>
            </w:pPr>
            <w:r w:rsidRPr="0038739D">
              <w:t>-</w:t>
            </w:r>
          </w:p>
        </w:tc>
      </w:tr>
      <w:tr w:rsidR="00E76EF9" w:rsidRPr="0038739D" w:rsidTr="002449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85A4C" w:rsidRPr="0038739D" w:rsidRDefault="00C85A4C" w:rsidP="00244990">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85A4C" w:rsidRPr="0038739D" w:rsidRDefault="00C85A4C" w:rsidP="00244990">
            <w:pPr>
              <w:pStyle w:val="RollCallTable"/>
              <w:spacing w:line="256" w:lineRule="auto"/>
            </w:pPr>
          </w:p>
        </w:tc>
      </w:tr>
    </w:tbl>
    <w:p w:rsidR="00C85A4C" w:rsidRPr="0038739D" w:rsidRDefault="00C85A4C" w:rsidP="00C85A4C"/>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E76EF9" w:rsidRPr="0038739D" w:rsidTr="002449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85A4C" w:rsidRPr="0038739D" w:rsidRDefault="00530CA4" w:rsidP="00244990">
            <w:pPr>
              <w:pStyle w:val="RollCallVotes"/>
              <w:spacing w:line="256" w:lineRule="auto"/>
            </w:pPr>
            <w:r w:rsidRPr="0038739D">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85A4C" w:rsidRPr="0038739D" w:rsidRDefault="00530CA4" w:rsidP="00244990">
            <w:pPr>
              <w:pStyle w:val="RollCallSymbols14pt"/>
              <w:spacing w:line="256" w:lineRule="auto"/>
            </w:pPr>
            <w:r w:rsidRPr="0038739D">
              <w:t>0</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Jorge Buxadé Villalba</w:t>
            </w:r>
          </w:p>
        </w:tc>
      </w:tr>
      <w:tr w:rsidR="00E76EF9" w:rsidRPr="0038739D" w:rsidTr="002449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Gunnar Beck</w:t>
            </w:r>
          </w:p>
        </w:tc>
      </w:tr>
      <w:tr w:rsidR="00E76EF9" w:rsidRPr="0038739D" w:rsidTr="002449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85A4C" w:rsidRPr="0038739D" w:rsidRDefault="00530CA4" w:rsidP="00244990">
            <w:pPr>
              <w:pStyle w:val="RollCallTable"/>
              <w:spacing w:line="256" w:lineRule="auto"/>
            </w:pPr>
            <w:r w:rsidRPr="0038739D">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85A4C" w:rsidRPr="0038739D" w:rsidRDefault="00530CA4" w:rsidP="00244990">
            <w:pPr>
              <w:pStyle w:val="RollCallTable"/>
              <w:spacing w:line="256" w:lineRule="auto"/>
            </w:pPr>
            <w:r w:rsidRPr="0038739D">
              <w:t>Milan Uhrík</w:t>
            </w:r>
          </w:p>
        </w:tc>
      </w:tr>
    </w:tbl>
    <w:p w:rsidR="00C85A4C" w:rsidRPr="0038739D" w:rsidRDefault="00C85A4C" w:rsidP="00C85A4C">
      <w:pPr>
        <w:pStyle w:val="Normal12a"/>
      </w:pPr>
    </w:p>
    <w:p w:rsidR="00244990" w:rsidRPr="0038739D" w:rsidRDefault="00244990" w:rsidP="00244990"/>
    <w:p w:rsidR="00C85A4C" w:rsidRPr="0038739D" w:rsidRDefault="00530CA4" w:rsidP="00244990">
      <w:r w:rsidRPr="0038739D">
        <w:t>Erklärung der benutzten Zeichen:</w:t>
      </w:r>
    </w:p>
    <w:p w:rsidR="00C85A4C" w:rsidRPr="0038739D" w:rsidRDefault="00530CA4" w:rsidP="00244990">
      <w:pPr>
        <w:pStyle w:val="RollCallTabs"/>
      </w:pPr>
      <w:r w:rsidRPr="0038739D">
        <w:t>+</w:t>
      </w:r>
      <w:r w:rsidRPr="0038739D">
        <w:tab/>
        <w:t>:</w:t>
      </w:r>
      <w:r w:rsidRPr="0038739D">
        <w:tab/>
        <w:t>dafür</w:t>
      </w:r>
    </w:p>
    <w:p w:rsidR="00C85A4C" w:rsidRPr="0038739D" w:rsidRDefault="00530CA4" w:rsidP="00244990">
      <w:pPr>
        <w:pStyle w:val="RollCallTabs"/>
      </w:pPr>
      <w:r w:rsidRPr="0038739D">
        <w:t>-</w:t>
      </w:r>
      <w:r w:rsidRPr="0038739D">
        <w:tab/>
        <w:t>:</w:t>
      </w:r>
      <w:r w:rsidRPr="0038739D">
        <w:tab/>
        <w:t>dagegen</w:t>
      </w:r>
    </w:p>
    <w:p w:rsidR="00C85A4C" w:rsidRPr="0038739D" w:rsidRDefault="00530CA4" w:rsidP="00244990">
      <w:pPr>
        <w:pStyle w:val="RollCallTabs"/>
      </w:pPr>
      <w:r w:rsidRPr="0038739D">
        <w:t>0</w:t>
      </w:r>
      <w:r w:rsidRPr="0038739D">
        <w:tab/>
        <w:t>:</w:t>
      </w:r>
      <w:r w:rsidRPr="0038739D">
        <w:tab/>
        <w:t>Enthaltung</w:t>
      </w:r>
    </w:p>
    <w:p w:rsidR="00C85A4C" w:rsidRPr="0038739D" w:rsidRDefault="00C85A4C" w:rsidP="00244990"/>
    <w:bookmarkEnd w:id="3"/>
    <w:p w:rsidR="00DB56E4" w:rsidRPr="0038739D" w:rsidRDefault="00DB56E4" w:rsidP="00C85A4C"/>
    <w:sectPr w:rsidR="00DB56E4" w:rsidRPr="0038739D" w:rsidSect="00C85A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30CA4">
      <w:r>
        <w:separator/>
      </w:r>
    </w:p>
  </w:endnote>
  <w:endnote w:type="continuationSeparator" w:id="0">
    <w:p w:rsidR="00000000" w:rsidRDefault="00530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530CA4" w:rsidP="0044140A">
    <w:pPr>
      <w:pStyle w:val="EPFooter"/>
    </w:pPr>
    <w:r>
      <w:t>PE</w:t>
    </w:r>
    <w:r w:rsidRPr="0044140A">
      <w:rPr>
        <w:rStyle w:val="HideTWBExt"/>
      </w:rPr>
      <w:t>&lt;NoPE&gt;</w:t>
    </w:r>
    <w:r>
      <w:t>736.586</w:t>
    </w:r>
    <w:r w:rsidRPr="0044140A">
      <w:rPr>
        <w:rStyle w:val="HideTWBExt"/>
      </w:rPr>
      <w:t>&lt;/NoPE&gt;&lt;Version&gt;</w:t>
    </w:r>
    <w:r>
      <w:t>v02-00</w:t>
    </w:r>
    <w:r w:rsidRPr="0044140A">
      <w:rPr>
        <w:rStyle w:val="HideTWBExt"/>
      </w:rPr>
      <w:t>&lt;/Version&gt;</w:t>
    </w:r>
    <w:r>
      <w:tab/>
    </w:r>
    <w:r>
      <w:fldChar w:fldCharType="begin"/>
    </w:r>
    <w:r>
      <w:instrText xml:space="preserve"> PAGE  \* MERGEFORMAT </w:instrText>
    </w:r>
    <w:r>
      <w:fldChar w:fldCharType="separate"/>
    </w:r>
    <w:r>
      <w:rPr>
        <w:noProof/>
      </w:rPr>
      <w:t>10</w:t>
    </w:r>
    <w:r>
      <w:fldChar w:fldCharType="end"/>
    </w:r>
    <w:r>
      <w:t>/</w:t>
    </w:r>
    <w:r w:rsidR="00676BBA">
      <w:fldChar w:fldCharType="begin"/>
    </w:r>
    <w:r>
      <w:instrText xml:space="preserve"> NUMPAGES  \* MERGEFORMAT </w:instrText>
    </w:r>
    <w:r w:rsidR="00676BBA">
      <w:fldChar w:fldCharType="separate"/>
    </w:r>
    <w:r>
      <w:rPr>
        <w:noProof/>
      </w:rPr>
      <w:t>21</w:t>
    </w:r>
    <w:r w:rsidR="00676BBA">
      <w:rPr>
        <w:noProof/>
      </w:rPr>
      <w:fldChar w:fldCharType="end"/>
    </w:r>
    <w:r>
      <w:tab/>
    </w:r>
    <w:r w:rsidRPr="0044140A">
      <w:rPr>
        <w:rStyle w:val="HideTWBExt"/>
      </w:rPr>
      <w:t>&lt;PathFdR&gt;</w:t>
    </w:r>
    <w:r>
      <w:t>AD\1270366DE.docx</w:t>
    </w:r>
    <w:r w:rsidRPr="0044140A">
      <w:rPr>
        <w:rStyle w:val="HideTWBExt"/>
      </w:rPr>
      <w:t>&lt;/PathFdR&gt;</w:t>
    </w:r>
  </w:p>
  <w:p w:rsidR="00244990" w:rsidRPr="00DA114B" w:rsidRDefault="00530CA4" w:rsidP="0044140A">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530CA4" w:rsidP="0044140A">
    <w:pPr>
      <w:pStyle w:val="EPFooter"/>
    </w:pPr>
    <w:r w:rsidRPr="0044140A">
      <w:rPr>
        <w:rStyle w:val="HideTWBExt"/>
      </w:rPr>
      <w:t>&lt;PathFdR&gt;</w:t>
    </w:r>
    <w:r>
      <w:t>AD\1270366DE.docx</w:t>
    </w:r>
    <w:r w:rsidRPr="0044140A">
      <w:rPr>
        <w:rStyle w:val="HideTWBExt"/>
      </w:rPr>
      <w:t>&lt;/PathFdR&gt;</w:t>
    </w:r>
    <w:r>
      <w:tab/>
    </w:r>
    <w:r>
      <w:fldChar w:fldCharType="begin"/>
    </w:r>
    <w:r>
      <w:instrText xml:space="preserve"> PAGE  \* MERGEFORMAT </w:instrText>
    </w:r>
    <w:r>
      <w:fldChar w:fldCharType="separate"/>
    </w:r>
    <w:r>
      <w:rPr>
        <w:noProof/>
      </w:rPr>
      <w:t>9</w:t>
    </w:r>
    <w:r>
      <w:fldChar w:fldCharType="end"/>
    </w:r>
    <w:r>
      <w:t>/</w:t>
    </w:r>
    <w:r w:rsidR="00676BBA">
      <w:fldChar w:fldCharType="begin"/>
    </w:r>
    <w:r>
      <w:instrText xml:space="preserve"> NUMPAGES  \* MERGEFORMAT </w:instrText>
    </w:r>
    <w:r w:rsidR="00676BBA">
      <w:fldChar w:fldCharType="separate"/>
    </w:r>
    <w:r>
      <w:rPr>
        <w:noProof/>
      </w:rPr>
      <w:t>21</w:t>
    </w:r>
    <w:r w:rsidR="00676BBA">
      <w:rPr>
        <w:noProof/>
      </w:rPr>
      <w:fldChar w:fldCharType="end"/>
    </w:r>
    <w:r>
      <w:tab/>
      <w:t>PE</w:t>
    </w:r>
    <w:r w:rsidRPr="0044140A">
      <w:rPr>
        <w:rStyle w:val="HideTWBExt"/>
      </w:rPr>
      <w:t>&lt;NoPE&gt;</w:t>
    </w:r>
    <w:r>
      <w:t>736.586</w:t>
    </w:r>
    <w:r w:rsidRPr="0044140A">
      <w:rPr>
        <w:rStyle w:val="HideTWBExt"/>
      </w:rPr>
      <w:t>&lt;/NoPE&gt;&lt;Version&gt;</w:t>
    </w:r>
    <w:r>
      <w:t>v02-00</w:t>
    </w:r>
    <w:r w:rsidRPr="0044140A">
      <w:rPr>
        <w:rStyle w:val="HideTWBExt"/>
      </w:rPr>
      <w:t>&lt;/Version&gt;</w:t>
    </w:r>
  </w:p>
  <w:p w:rsidR="00244990" w:rsidRPr="00DA114B" w:rsidRDefault="00530CA4" w:rsidP="0044140A">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530CA4" w:rsidP="0044140A">
    <w:pPr>
      <w:pStyle w:val="EPFooter"/>
    </w:pPr>
    <w:r w:rsidRPr="0044140A">
      <w:rPr>
        <w:rStyle w:val="HideTWBExt"/>
      </w:rPr>
      <w:t>&lt;PathFdR&gt;</w:t>
    </w:r>
    <w:r>
      <w:t>AD\1270366DE.docx</w:t>
    </w:r>
    <w:r w:rsidRPr="0044140A">
      <w:rPr>
        <w:rStyle w:val="HideTWBExt"/>
      </w:rPr>
      <w:t>&lt;/PathFdR&gt;</w:t>
    </w:r>
    <w:r>
      <w:tab/>
    </w:r>
    <w:r>
      <w:tab/>
      <w:t>PE</w:t>
    </w:r>
    <w:r w:rsidRPr="0044140A">
      <w:rPr>
        <w:rStyle w:val="HideTWBExt"/>
      </w:rPr>
      <w:t>&lt;NoPE&gt;</w:t>
    </w:r>
    <w:r>
      <w:t>736.586</w:t>
    </w:r>
    <w:r w:rsidRPr="0044140A">
      <w:rPr>
        <w:rStyle w:val="HideTWBExt"/>
      </w:rPr>
      <w:t>&lt;/NoPE&gt;&lt;Version&gt;</w:t>
    </w:r>
    <w:r>
      <w:t>v02-00</w:t>
    </w:r>
    <w:r w:rsidRPr="0044140A">
      <w:rPr>
        <w:rStyle w:val="HideTWBExt"/>
      </w:rPr>
      <w:t>&lt;/Version&gt;</w:t>
    </w:r>
  </w:p>
  <w:p w:rsidR="00244990" w:rsidRPr="00DA114B" w:rsidRDefault="00530CA4" w:rsidP="0044140A">
    <w:pPr>
      <w:pStyle w:val="EPFooter2"/>
    </w:pPr>
    <w:r>
      <w:t>DE</w:t>
    </w:r>
    <w:r>
      <w:tab/>
    </w:r>
    <w:r w:rsidRPr="0044140A">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30CA4">
      <w:r>
        <w:separator/>
      </w:r>
    </w:p>
  </w:footnote>
  <w:footnote w:type="continuationSeparator" w:id="0">
    <w:p w:rsidR="00000000" w:rsidRDefault="00530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244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2449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90" w:rsidRDefault="00244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JMNU" w:val="1"/>
    <w:docVar w:name="CODEMNU" w:val=" 1"/>
    <w:docVar w:name="COM2KEY" w:val="ECON"/>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2573 HideTWBExt;}{_x000d__x000a_\s18\ql \li0\ri0\sa120\nowidctlpar\wrapdefault\aspalpha\aspnum\faauto\adjustright\rin0\lin0\itap0 \rtlch\fcs1 \af0\afs20\alang1025 \ltrch\fcs0 \fs24\lang1031\langfe2057\cgrid\langnp1031\langfenp2057 \sbasedon0 \snext18 \spriority0 \styrsid4462573 _x000d__x000a_Normal6a;}{\s19\ql \li0\ri0\nowidctlpar\wrapdefault\aspalpha\aspnum\faauto\adjustright\rin0\lin0\itap0 \rtlch\fcs1 \af0\afs20\alang1025 \ltrch\fcs0 \b\fs24\lang1031\langfe2057\cgrid\langnp1031\langfenp2057 \sbasedon0 \snext19 \spriority0 \styrsid4462573 _x000d__x000a_NormalBold;}{\*\cs20 \additive \v\f1\fs20\cf15 \spriority0 \styrsid4462573 HideTWBInt;}{\s21\qc \li0\ri0\sa240\nowidctlpar\wrapdefault\aspalpha\aspnum\faauto\adjustright\rin0\lin0\itap0 \rtlch\fcs1 \af0\afs20\alang1025 \ltrch\fcs0 _x000d__x000a_\i\fs24\lang1031\langfe2057\cgrid\langnp1031\langfenp2057 \sbasedon0 \snext21 \spriority0 \styrsid446257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2 \spriority0 \styrsid4462573 AmNumberTabs;}{\s23\ql \li0\ri0\sb240\nowidctlpar\wrapdefault\aspalpha\aspnum\faauto\adjustright\rin0\lin0\itap0 \rtlch\fcs1 _x000d__x000a_\af0\afs20\alang1025 \ltrch\fcs0 \b\fs24\lang1031\langfe2057\cgrid\langnp1031\langfenp2057 \sbasedon0 \snext23 \spriority0 \styrsid4462573 NormalBold12b;}}{\*\rsidtbl \rsid24658\rsid223860\rsid735077\rsid1718133\rsid2892074\rsid3565327\rsid4462573_x000d__x000a_\rsid4666813\rsid570921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1\dy16\hr11\min32}{\revtim\yr2023\mo1\dy16\hr11\min32}{\version1}{\edmins0}{\nofpages1}_x000d__x000a_{\nofwords38}{\nofchars204}{\nofcharsws24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62573\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5709217 \chftnsep _x000d__x000a_\par }}{\*\ftnsepc \ltrpar \pard\plain \ltrpar\ql \li0\ri0\widctlpar\wrapdefault\aspalpha\aspnum\faauto\adjustright\rin0\lin0\itap0 \rtlch\fcs1 \af0\afs20\alang1025 \ltrch\fcs0 \fs24\lang2057\langfe2057\cgrid\langnp2057\langfenp2057 {\rtlch\fcs1 \af0 _x000d__x000a_\ltrch\fcs0 \insrsid5709217 \chftnsepc _x000d__x000a_\par }}{\*\aftnsep \ltrpar \pard\plain \ltrpar\ql \li0\ri0\widctlpar\wrapdefault\aspalpha\aspnum\faauto\adjustright\rin0\lin0\itap0 \rtlch\fcs1 \af0\afs20\alang1025 \ltrch\fcs0 \fs24\lang2057\langfe2057\cgrid\langnp2057\langfenp2057 {\rtlch\fcs1 \af0 _x000d__x000a_\ltrch\fcs0 \insrsid5709217 \chftnsep _x000d__x000a_\par }}{\*\aftnsepc \ltrpar \pard\plain \ltrpar\ql \li0\ri0\widctlpar\wrapdefault\aspalpha\aspnum\faauto\adjustright\rin0\lin0\itap0 \rtlch\fcs1 \af0\afs20\alang1025 \ltrch\fcs0 \fs24\lang2057\langfe2057\cgrid\langnp2057\langfenp2057 {\rtlch\fcs1 \af0 _x000d__x000a_\ltrch\fcs0 \insrsid57092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462573 \rtlch\fcs1 _x000d__x000a_\af0\afs20\alang1025 \ltrch\fcs0 \b\fs24\lang1031\langfe2057\cgrid\langnp1031\langfenp2057 {\rtlch\fcs1 \af0 \ltrch\fcs0 \cs17\b0\v\fs20\cf9\loch\af1\hich\af1\dbch\af31501\insrsid4462573\charrsid10837707 {\*\bkmkstart restartA}_x000d__x000a_\hich\af1\dbch\af31501\loch\f1 &lt;AmendA&gt;}{\rtlch\fcs1 \af0 \ltrch\fcs0 \insrsid4462573\charrsid10837707 \'c4nderungsantrag\tab \tab }{\rtlch\fcs1 \af0 \ltrch\fcs0 \cs17\b0\v\fs20\cf9\loch\af1\hich\af1\dbch\af31501\insrsid4462573\charrsid10837707 _x000d__x000a_\hich\af1\dbch\af31501\loch\f1 &lt;NumAmA&gt;}{\rtlch\fcs1 \af0 \ltrch\fcs0 \insrsid4462573\charrsid10837707 #}{\rtlch\fcs1 \af1 \ltrch\fcs0 \cs20\v\f1\fs20\cf15\insrsid4462573\charrsid10837707 ENMIENDA@NRAM@}{\rtlch\fcs1 \af0 \ltrch\fcs0 _x000d__x000a_\insrsid4462573\charrsid10837707 #}{\rtlch\fcs1 \af0 \ltrch\fcs0 \cs17\b0\v\fs20\cf9\loch\af1\hich\af1\dbch\af31501\insrsid4462573\charrsid10837707 \hich\af1\dbch\af31501\loch\f1 &lt;/NumAmA&gt;}{\rtlch\fcs1 \af0 \ltrch\fcs0 \insrsid4462573\charrsid10837707 _x000d__x000a__x000d__x000a_\par }\pard\plain \ltrpar\s23\ql \li0\ri0\sb240\keepn\nowidctlpar\wrapdefault\aspalpha\aspnum\faauto\adjustright\rin0\lin0\itap0\pararsid4462573 \rtlch\fcs1 \af0\afs20\alang1025 \ltrch\fcs0 \b\fs24\lang1031\langfe2057\cgrid\langnp1031\langfenp2057 {_x000d__x000a_\rtlch\fcs1 \af0 \ltrch\fcs0 \cs17\b0\v\fs20\cf9\loch\af1\hich\af1\dbch\af31501\insrsid4462573\charrsid10837707 \hich\af1\dbch\af31501\loch\f1 &lt;DocAmend&gt;}{\rtlch\fcs1 \af0 \ltrch\fcs0 \insrsid4462573\charrsid10837707 Entwurf einer legislativen Entschlie_x000d__x000a_\'dfung}{\rtlch\fcs1 \af0 \ltrch\fcs0 \cs17\b0\v\fs20\cf9\loch\af1\hich\af1\dbch\af31501\insrsid4462573\charrsid10837707 \hich\af1\dbch\af31501\loch\f1 &lt;/DocAmend&gt;}{\rtlch\fcs1 \af0 \ltrch\fcs0 \insrsid4462573\charrsid10837707 _x000d__x000a_\par }\pard\plain \ltrpar\s19\ql \li0\ri0\nowidctlpar\wrapdefault\aspalpha\aspnum\faauto\adjustright\rin0\lin0\itap0\pararsid4462573 \rtlch\fcs1 \af0\afs20\alang1025 \ltrch\fcs0 \b\fs24\lang1031\langfe2057\cgrid\langnp1031\langfenp2057 {\rtlch\fcs1 \af0 _x000d__x000a_\ltrch\fcs0 \cs17\b0\v\fs20\cf9\loch\af1\hich\af1\dbch\af31501\insrsid4462573\charrsid10837707 \hich\af1\dbch\af31501\loch\f1 &lt;Article&gt;}{\rtlch\fcs1 \af0 \ltrch\fcs0 \cf10\insrsid4462573\charrsid4875559 \u9668\'3f}{\rtlch\fcs1 \af0 \ltrch\fcs0 _x000d__x000a_\insrsid4462573\charrsid10837707 #}{\rtlch\fcs1 \af1 \ltrch\fcs0 \cs20\v\f1\fs20\cf15\insrsid4462573\charrsid10837707 TVTRESPART@RESPART@}{\rtlch\fcs1 \af0 \ltrch\fcs0 \insrsid4462573\charrsid10837707 #}{\rtlch\fcs1 \af0 \ltrch\fcs0 _x000d__x000a_\cf10\insrsid4462573\charrsid4875559 \u9658\'3f}{\rtlch\fcs1 \af0 \ltrch\fcs0 \cs17\b0\v\fs20\cf9\loch\af1\hich\af1\dbch\af31501\insrsid4462573\charrsid10837707 \hich\af1\dbch\af31501\loch\f1 &lt;/Article&gt;}{\rtlch\fcs1 \af0 \ltrch\fcs0 _x000d__x000a_\insrsid4462573\charrsid10837707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1\langfe2057\langnp1031\insrsid4462573\charrsid10837707 \cell }\pard \ltrpar_x000d__x000a_\ql \li0\ri0\widctlpar\intbl\wrapdefault\aspalpha\aspnum\faauto\adjustright\rin0\lin0 {\rtlch\fcs1 \af0 \ltrch\fcs0 \lang1031\langfe2057\langnp1031\insrsid4462573\charrsid10837707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1\langfe2057\cgrid\langnp1031\langfenp2057 {\rtlch\fcs1 \af0 \ltrch\fcs0 \insrsid4462573\charrsid10837707 Entwurf einer legislativen Entschlie\'dfung\cell Ge\'e4nderter Text\cell }\pard\plain \ltrpar_x000d__x000a_\ql \li0\ri0\widctlpar\intbl\wrapdefault\aspalpha\aspnum\faauto\adjustright\rin0\lin0 \rtlch\fcs1 \af0\afs20\alang1025 \ltrch\fcs0 \fs24\lang2057\langfe2057\cgrid\langnp2057\langfenp2057 {\rtlch\fcs1 \af0 \ltrch\fcs0 _x000d__x000a_\lang1031\langfe2057\langnp1031\insrsid4462573\charrsid10837707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1\langfe2057\cgrid\langnp1031\langfenp2057 {\rtlch\fcs1 \af0 \ltrch\fcs0 \insrsid4462573\charrsid10837707 ##\cell ##}{\rtlch\fcs1 \af0\afs24 \ltrch\fcs0 \insrsid4462573\charrsid10837707 \cell }\pard\plain \ltrpar_x000d__x000a_\ql \li0\ri0\widctlpar\intbl\wrapdefault\aspalpha\aspnum\faauto\adjustright\rin0\lin0 \rtlch\fcs1 \af0\afs20\alang1025 \ltrch\fcs0 \fs24\lang2057\langfe2057\cgrid\langnp2057\langfenp2057 {\rtlch\fcs1 \af0 \ltrch\fcs0 _x000d__x000a_\lang1031\langfe2057\langnp1031\insrsid4462573\charrsid10837707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462573 {\rtlch\fcs1 \af0 \ltrch\fcs0 \cs17\v\fs20\cf9\lang1031\langfe2057\loch\af1\hich\af1\dbch\af31501\langnp1031\insrsid4462573\charrsid10837707 _x000d__x000a_\hich\af1\dbch\af31501\loch\f1 &lt;/AmendA&gt;}{\rtlch\fcs1 \af0 \ltrch\fcs0 \insrsid446257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55_x000d__x000a_1ae395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78153 HideTWBExt;}{_x000d__x000a_\s18\ql \li0\ri0\sa120\nowidctlpar\wrapdefault\aspalpha\aspnum\faauto\adjustright\rin0\lin0\itap0 \rtlch\fcs1 \af0\afs20\alang1025 \ltrch\fcs0 \fs24\lang1031\langfe2057\cgrid\langnp1031\langfenp2057 \sbasedon0 \snext18 \spriority0 \styrsid14778153 _x000d__x000a_Normal6a;}{\s19\ql \li0\ri0\nowidctlpar\wrapdefault\aspalpha\aspnum\faauto\adjustright\rin0\lin0\itap0 \rtlch\fcs1 \af0\afs20\alang1025 \ltrch\fcs0 \b\fs24\lang1031\langfe2057\cgrid\langnp1031\langfenp2057 \sbasedon0 \snext19 \spriority0 \styrsid14778153 _x000d__x000a_NormalBold;}{\s20\ql \li0\ri0\sa240\nowidctlpar\wrapdefault\aspalpha\aspnum\faauto\adjustright\rin0\lin0\itap0 \rtlch\fcs1 \af0\afs20\alang1025 \ltrch\fcs0 \i\fs24\lang1031\langfe2057\cgrid\langnp1031\langfenp2057 _x000d__x000a_\sbasedon0 \snext20 \spriority0 \styrsid14778153 AmJustText;}{\s21\qc \li0\ri0\sb240\sa240\nowidctlpar\wrapdefault\aspalpha\aspnum\faauto\adjustright\rin0\lin0\itap0 \rtlch\fcs1 \af0\afs20\alang1025 \ltrch\fcs0 _x000d__x000a_\i\fs24\lang1031\langfe2057\cgrid\langnp1031\langfenp2057 \sbasedon0 \snext21 \spriority0 \styrsid14778153 AmCrossRef;}{\*\cs22 \additive \v\f1\fs20\cf15 \spriority0 \styrsid14778153 HideTWBInt;}{_x000d__x000a_\s23\qc \li0\ri0\sb240\sa240\keepn\nowidctlpar\wrapdefault\aspalpha\aspnum\faauto\adjustright\rin0\lin0\itap0 \rtlch\fcs1 \af0\afs20\alang1025 \ltrch\fcs0 \i\fs24\lang1031\langfe2057\cgrid\langnp1031\langfenp2057 _x000d__x000a_\sbasedon0 \snext20 \spriority0 \styrsid14778153 AmJustTitle;}{\s24\qc \li0\ri0\sa240\nowidctlpar\wrapdefault\aspalpha\aspnum\faauto\adjustright\rin0\lin0\itap0 \rtlch\fcs1 \af0\afs20\alang1025 \ltrch\fcs0 _x000d__x000a_\i\fs24\lang1031\langfe2057\cgrid\langnp1031\langfenp2057 \sbasedon0 \snext24 \spriority0 \styrsid1477815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14778153 AmNumberTabs;}{\s26\ql \li0\ri0\sb240\nowidctlpar\wrapdefault\aspalpha\aspnum\faauto\adjustright\rin0\lin0\itap0 \rtlch\fcs1 _x000d__x000a_\af0\afs20\alang1025 \ltrch\fcs0 \b\fs24\lang1031\langfe2057\cgrid\langnp1031\langfenp2057 \sbasedon0 \snext26 \spriority0 \styrsid14778153 NormalBold12b;}}{\*\rsidtbl \rsid24658\rsid223860\rsid735077\rsid1718133\rsid2892074\rsid3565327\rsid4666813_x000d__x000a_\rsid6641733\rsid7823322\rsid9636012\rsid10377208\rsid11215221\rsid11549030\rsid12154954\rsid13833776\rsid14382809\rsid14424199\rsid14778153\rsid15204470\rsid15285974\rsid15950462\rsid16324206\rsid16662270}{\mmathPr\mmathFont34\mbrkBin0\mbrkBinSub0_x000d__x000a_\msmallFrac0\mdispDef1\mlMargin0\mrMargin0\mdefJc1\mwrapIndent1440\mintLim0\mnaryLim1}{\info{\author SIEPMANN Mario}{\operator SIEPMANN Mario}{\creatim\yr2023\mo1\dy16\hr11\min32}{\revtim\yr2023\mo1\dy16\hr11\min32}{\version1}{\edmins0}{\nofpages1}_x000d__x000a_{\nofwords105}{\nofchars554}{\nofcharsws65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78153\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3833776 \chftnsep _x000d__x000a_\par }}{\*\ftnsepc \ltrpar \pard\plain \ltrpar\ql \li0\ri0\widctlpar\wrapdefault\aspalpha\aspnum\faauto\adjustright\rin0\lin0\itap0 \rtlch\fcs1 \af0\afs20\alang1025 \ltrch\fcs0 \fs24\lang2057\langfe2057\cgrid\langnp2057\langfenp2057 {\rtlch\fcs1 \af0 _x000d__x000a_\ltrch\fcs0 \insrsid13833776 \chftnsepc _x000d__x000a_\par }}{\*\aftnsep \ltrpar \pard\plain \ltrpar\ql \li0\ri0\widctlpar\wrapdefault\aspalpha\aspnum\faauto\adjustright\rin0\lin0\itap0 \rtlch\fcs1 \af0\afs20\alang1025 \ltrch\fcs0 \fs24\lang2057\langfe2057\cgrid\langnp2057\langfenp2057 {\rtlch\fcs1 \af0 _x000d__x000a_\ltrch\fcs0 \insrsid13833776 \chftnsep _x000d__x000a_\par }}{\*\aftnsepc \ltrpar \pard\plain \ltrpar\ql \li0\ri0\widctlpar\wrapdefault\aspalpha\aspnum\faauto\adjustright\rin0\lin0\itap0 \rtlch\fcs1 \af0\afs20\alang1025 \ltrch\fcs0 \fs24\lang2057\langfe2057\cgrid\langnp2057\langfenp2057 {\rtlch\fcs1 \af0 _x000d__x000a_\ltrch\fcs0 \insrsid138337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778153 \rtlch\fcs1 _x000d__x000a_\af0\afs20\alang1025 \ltrch\fcs0 \b\fs24\lang1031\langfe2057\cgrid\langnp1031\langfenp2057 {\rtlch\fcs1 \af0 \ltrch\fcs0 \cs17\b0\v\fs20\cf9\loch\af1\hich\af1\dbch\af31501\insrsid14778153\charrsid10837707 {\*\bkmkstart restartB}_x000d__x000a_\hich\af1\dbch\af31501\loch\f1 &lt;AmendB&gt;}{\rtlch\fcs1 \af0 \ltrch\fcs0 \insrsid14778153\charrsid10837707 \'c4nderungsantrag\tab \tab }{\rtlch\fcs1 \af0 \ltrch\fcs0 \cs17\b0\v\fs20\cf9\loch\af1\hich\af1\dbch\af31501\insrsid14778153\charrsid10837707 _x000d__x000a_\hich\af1\dbch\af31501\loch\f1 &lt;NumAmB&gt;}{\rtlch\fcs1 \af0 \ltrch\fcs0 \insrsid14778153\charrsid10837707 #}{\rtlch\fcs1 \af1 \ltrch\fcs0 \cs22\v\f1\fs20\cf15\insrsid14778153\charrsid10837707 ENMIENDA@NRAM@}{\rtlch\fcs1 \af0 \ltrch\fcs0 _x000d__x000a_\insrsid14778153\charrsid10837707 #}{\rtlch\fcs1 \af0 \ltrch\fcs0 \cs17\b0\v\fs20\cf9\loch\af1\hich\af1\dbch\af31501\insrsid14778153\charrsid10837707 \hich\af1\dbch\af31501\loch\f1 &lt;/NumAmB&gt;}{\rtlch\fcs1 \af0 \ltrch\fcs0 \insrsid14778153\charrsid10837707 _x000d__x000a__x000d__x000a_\par }\pard\plain \ltrpar\s26\ql \li0\ri0\sb240\keepn\nowidctlpar\wrapdefault\aspalpha\aspnum\faauto\adjustright\rin0\lin0\itap0\pararsid14778153 \rtlch\fcs1 \af0\afs20\alang1025 \ltrch\fcs0 \b\fs24\lang1031\langfe2057\cgrid\langnp1031\langfenp2057 {_x000d__x000a_\rtlch\fcs1 \af0 \ltrch\fcs0 \cs17\b0\v\fs20\cf9\loch\af1\hich\af1\dbch\af31501\insrsid14778153\charrsid10837707 \hich\af1\dbch\af31501\loch\f1 &lt;DocAmend&gt;}{\rtlch\fcs1 \af0 \ltrch\fcs0 \insrsid14778153\charrsid10837707 #}{\rtlch\fcs1 \af1 \ltrch\fcs0 _x000d__x000a_\cs22\v\f1\fs20\cf15\insrsid14778153\charrsid10837707 MNU[OPTPROPOSALCOD][OPTPROPOSALCNS][OPTPROPOSALNLE]@CHOICE@CODEMNU}{\rtlch\fcs1 \af0 \ltrch\fcs0 \insrsid14778153\charrsid10837707 ##}{\rtlch\fcs1 \af1 \ltrch\fcs0 _x000d__x000a_\cs22\v\f1\fs20\cf15\insrsid14778153\charrsid10837707 MNU[AMACTYES][NOTAPP]@CHOICE@AMACTMNU}{\rtlch\fcs1 \af0 \ltrch\fcs0 \insrsid14778153\charrsid10837707 #}{\rtlch\fcs1 \af0 \ltrch\fcs0 _x000d__x000a_\cs17\b0\v\fs20\cf9\loch\af1\hich\af1\dbch\af31501\insrsid14778153\charrsid10837707 \hich\af1\dbch\af31501\loch\f1 &lt;/DocAmend&gt;}{\rtlch\fcs1 \af0 \ltrch\fcs0 \insrsid14778153\charrsid10837707 _x000d__x000a_\par }\pard\plain \ltrpar\s19\ql \li0\ri0\keepn\nowidctlpar\wrapdefault\aspalpha\aspnum\faauto\adjustright\rin0\lin0\itap0\pararsid14778153 \rtlch\fcs1 \af0\afs20\alang1025 \ltrch\fcs0 \b\fs24\lang1031\langfe2057\cgrid\langnp1031\langfenp2057 {\rtlch\fcs1 _x000d__x000a_\af0 \ltrch\fcs0 \cs17\b0\v\fs20\cf9\loch\af1\hich\af1\dbch\af31501\insrsid14778153\charrsid10837707 \hich\af1\dbch\af31501\loch\f1 &lt;Article&gt;}{\rtlch\fcs1 \af0 \ltrch\fcs0 \insrsid14778153\charrsid10837707 #}{\rtlch\fcs1 \af1 \ltrch\fcs0 _x000d__x000a_\cs22\v\f1\fs20\cf15\insrsid14778153\charrsid10837707 MNU[AMACTPARTYES][AMACTPARTNO]@CHOICE@AMACTMNU}{\rtlch\fcs1 \af0 \ltrch\fcs0 \insrsid14778153\charrsid10837707 #}{\rtlch\fcs1 \af0 \ltrch\fcs0 _x000d__x000a_\cs17\b0\v\fs20\cf9\loch\af1\hich\af1\dbch\af31501\insrsid14778153\charrsid10837707 \hich\af1\dbch\af31501\loch\f1 &lt;/Article&gt;}{\rtlch\fcs1 \af0 \ltrch\fcs0 \insrsid14778153\charrsid10837707 _x000d__x000a_\par }\pard\plain \ltrpar\ql \li0\ri0\keepn\widctlpar\wrapdefault\aspalpha\aspnum\faauto\adjustright\rin0\lin0\itap0\pararsid14778153 \rtlch\fcs1 \af0\afs20\alang1025 \ltrch\fcs0 \fs24\lang2057\langfe2057\cgrid\langnp2057\langfenp2057 {\rtlch\fcs1 \af0 _x000d__x000a_\ltrch\fcs0 \cs17\v\fs20\cf9\lang1031\langfe2057\loch\af1\hich\af1\dbch\af31501\langnp1031\insrsid14778153\charrsid10837707 \hich\af1\dbch\af31501\loch\f1 &lt;DocAmend\hich\af1\dbch\af31501\loch\f1 2&gt;&lt;OptDel&gt;}{\rtlch\fcs1 \af0 \ltrch\fcs0 _x000d__x000a_\lang1031\langfe2057\langnp1031\insrsid14778153\charrsid10837707 #}{\rtlch\fcs1 \af1 \ltrch\fcs0 \cs22\v\f1\fs20\cf15\lang1031\langfe2057\langnp1031\insrsid14778153\charrsid10837707 MNU[OPTNRACTYES][NOTAPP]@CHOICE@AMACTMNU}{\rtlch\fcs1 \af0 \ltrch\fcs0 _x000d__x000a_\lang1031\langfe2057\langnp1031\insrsid14778153\charrsid10837707 #}{\rtlch\fcs1 \af0 \ltrch\fcs0 \cs17\v\fs20\cf9\lang1031\langfe2057\loch\af1\hich\af1\dbch\af31501\langnp1031\insrsid14778153\charrsid10837707 \hich\af1\dbch\af31501\loch\f1 _x000d__x000a_&lt;/OptDel&gt;&lt;/DocAmend2&gt;}{\rtlch\fcs1 \af0 \ltrch\fcs0 \lang1031\langfe2057\langnp1031\insrsid14778153\charrsid10837707 _x000d__x000a_\par }\pard \ltrpar\ql \li0\ri0\widctlpar\wrapdefault\aspalpha\aspnum\faauto\adjustright\rin0\lin0\itap0\pararsid14778153 {\rtlch\fcs1 \af0 \ltrch\fcs0 _x000d__x000a_\cs17\v\fs20\cf9\lang1031\langfe2057\loch\af1\hich\af1\dbch\af31501\langnp1031\insrsid14778153\charrsid10837707 \hich\af1\dbch\af31501\loch\f1 &lt;Article2&gt;&lt;OptDel&gt;}{\rtlch\fcs1 \af0 \ltrch\fcs0 _x000d__x000a_\lang1031\langfe2057\langnp1031\insrsid14778153\charrsid10837707 #}{\rtlch\fcs1 \af1 \ltrch\fcs0 \cs22\v\f1\fs20\cf15\lang1031\langfe2057\langnp1031\insrsid14778153\charrsid10837707 MNU[OPTACTPARTYES][NOTAPP]@CHOICE@AMACTMNU}{\rtlch\fcs1 \af0 \ltrch\fcs0 _x000d__x000a_\lang1031\langfe2057\langnp1031\insrsid14778153\charrsid10837707 #}{\rtlch\fcs1 \af0 \ltrch\fcs0 \cs17\v\fs20\cf9\lang1031\langfe2057\loch\af1\hich\af1\dbch\af31501\langnp1031\insrsid14778153\charrsid10837707 \hich\af1\dbch\af31501\loch\f1 _x000d__x000a_&lt;/OptDel&gt;&lt;/Article2&gt;}{\rtlch\fcs1 \af0 \ltrch\fcs0 \lang1031\langfe2057\langnp1031\insrsid14778153\charrsid10837707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1\langfe2057\langnp1031\insrsid14778153\charrsid10837707 \cell }\pard \ltrpar\ql \li0\ri0\widctlpar\intbl\wrapdefault\aspalpha\aspnum\faauto\adjustright\rin0\lin0 {\rtlch\fcs1 \af0 \ltrch\fcs0 _x000d__x000a_\lang1031\langfe2057\langnp1031\insrsid14778153\charrsid10837707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1\langfe2057\cgrid\langnp1031\langfenp2057 {\rtlch\fcs1 \af0 \ltrch\fcs0 _x000d__x000a_\insrsid14778153\charrsid10837707 #}{\rtlch\fcs1 \af1 \ltrch\fcs0 \cs22\v\f1\fs20\cf15\insrsid14778153\charrsid10837707 MNU[OPTLEFTAMACT][LEFTPROP]@CHOICE@AMACTMNU}{\rtlch\fcs1 \af0 \ltrch\fcs0 \insrsid14778153\charrsid10837707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4778153\charrsid10837707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1\langfe2057\cgrid\langnp1031\langfenp2057 {\rtlch\fcs1 \af0 \ltrch\fcs0 _x000d__x000a_\insrsid14778153\charrsid10837707 ##\cell ##}{\rtlch\fcs1 \af0\afs24 \ltrch\fcs0 \insrsid14778153\charrsid10837707 \cell }\pard\plain \ltrpar\ql \li0\ri0\widctlpar\intbl\wrapdefault\aspalpha\aspnum\faauto\adjustright\rin0\lin0 \rtlch\fcs1 _x000d__x000a_\af0\afs20\alang1025 \ltrch\fcs0 \fs24\lang2057\langfe2057\cgrid\langnp2057\langfenp2057 {\rtlch\fcs1 \af0 \ltrch\fcs0 \lang1031\langfe2057\langnp1031\insrsid14778153\charrsid10837707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778153 \rtlch\fcs1 \af0\afs20\alang1025 \ltrch\fcs0 \i\fs24\lang1031\langfe2057\cgrid\langnp1031\langfenp2057 {\rtlch\fcs1 \af0 \ltrch\fcs0 _x000d__x000a_\cs17\i0\v\fs20\cf9\loch\af1\hich\af1\dbch\af31501\insrsid14778153\charrsid10837707 \hich\af1\dbch\af31501\loch\f1 &lt;OptDel&gt;}{\rtlch\fcs1 \af0 \ltrch\fcs0 \insrsid14778153\charrsid10837707 #}{\rtlch\fcs1 \af1 \ltrch\fcs0 _x000d__x000a_\cs22\v\f1\fs20\cf15\insrsid14778153\charrsid10837707 MNU[CROSSREFNO][CROSSREFYES]@CHOICE@}{\rtlch\fcs1 \af0 \ltrch\fcs0 \insrsid14778153\charrsid10837707 #}{\rtlch\fcs1 \af0 \ltrch\fcs0 _x000d__x000a_\cs17\i0\v\fs20\cf9\loch\af1\hich\af1\dbch\af31501\insrsid14778153\charrsid10837707 \hich\af1\dbch\af31501\loch\f1 &lt;/OptDel&gt;}{\rtlch\fcs1 \af0 \ltrch\fcs0 \insrsid14778153\charrsid10837707 _x000d__x000a_\par }\pard\plain \ltrpar\s23\qc \li0\ri0\sb240\sa240\keepn\nowidctlpar\wrapdefault\aspalpha\aspnum\faauto\adjustright\rin0\lin0\itap0\pararsid14778153 \rtlch\fcs1 \af0\afs20\alang1025 \ltrch\fcs0 \i\fs24\lang1031\langfe2057\cgrid\langnp1031\langfenp2057 {_x000d__x000a_\rtlch\fcs1 \af0 \ltrch\fcs0 \cs17\i0\v\fs20\cf9\loch\af1\hich\af1\dbch\af31501\insrsid14778153\charrsid10837707 \hich\af1\dbch\af31501\loch\f1 &lt;TitreJust&gt;}{\rtlch\fcs1 \af0 \ltrch\fcs0 \insrsid14778153\charrsid10837707 Begr\'fcndung}{\rtlch\fcs1 \af0 _x000d__x000a_\ltrch\fcs0 \cs17\i0\v\fs20\cf9\loch\af1\hich\af1\dbch\af31501\insrsid14778153\charrsid10837707 \hich\af1\dbch\af31501\loch\f1 &lt;/TitreJust&gt;}{\rtlch\fcs1 \af0 \ltrch\fcs0 \insrsid14778153\charrsid10837707 _x000d__x000a_\par }\pard\plain \ltrpar\s20\ql \li0\ri0\sa240\nowidctlpar\wrapdefault\aspalpha\aspnum\faauto\adjustright\rin0\lin0\itap0\pararsid14778153 \rtlch\fcs1 \af0\afs20\alang1025 \ltrch\fcs0 \i\fs24\lang1031\langfe2057\cgrid\langnp1031\langfenp2057 {\rtlch\fcs1 _x000d__x000a_\af0 \ltrch\fcs0 \cs17\i0\v\fs20\cf9\loch\af1\hich\af1\dbch\af31501\insrsid14778153\charrsid10837707 \hich\af1\dbch\af31501\loch\f1 &lt;OptDelPrev&gt;}{\rtlch\fcs1 \af0 \ltrch\fcs0 \insrsid14778153\charrsid10837707 #}{\rtlch\fcs1 \af1 \ltrch\fcs0 _x000d__x000a_\cs22\v\f1\fs20\cf15\insrsid14778153\charrsid10837707 MNU[TEXTJUSTYES][TEXTJUSTNO]@CHOICE@}{\rtlch\fcs1 \af0 \ltrch\fcs0 \insrsid14778153\charrsid10837707 #}{\rtlch\fcs1 \af0 \ltrch\fcs0 _x000d__x000a_\cs17\i0\v\fs20\cf9\loch\af1\hich\af1\dbch\af31501\insrsid14778153\charrsid10837707 \hich\af1\dbch\af31501\loch\f1 &lt;/OptDelPrev&gt;}{\rtlch\fcs1 \af0 \ltrch\fcs0 \insrsid14778153\charrsid10837707 _x000d__x000a_\par }\pard\plain \ltrpar\ql \li0\ri0\widctlpar\wrapdefault\aspalpha\aspnum\faauto\adjustright\rin0\lin0\itap0\pararsid14778153 \rtlch\fcs1 \af0\afs20\alang1025 \ltrch\fcs0 \fs24\lang2057\langfe2057\cgrid\langnp2057\langfenp2057 {\rtlch\fcs1 \af0 \ltrch\fcs0 _x000d__x000a_\cs17\v\fs20\cf9\lang1031\langfe2057\loch\af1\hich\af1\dbch\af31501\langnp1031\insrsid14778153\charrsid10837707 \hich\af1\dbch\af31501\loch\f1 &lt;/AmendB&gt;}{\rtlch\fcs1 \af0 \ltrch\fcs0 \insrsid147781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5_x000d__x000a_eae595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12393 HideTWBExt;}{_x000d__x000a_\s18\ql \li0\ri0\sa120\nowidctlpar\wrapdefault\aspalpha\aspnum\faauto\adjustright\rin0\lin0\itap0 \rtlch\fcs1 \af0\afs20\alang1025 \ltrch\fcs0 \fs24\lang2057\langfe2057\cgrid\langnp2057\langfenp2057 \sbasedon0 \snext18 \spriority0 \styrsid12412393 _x000d__x000a_Normal6a;}{\s19\ql \li0\ri0\nowidctlpar\wrapdefault\aspalpha\aspnum\faauto\adjustright\rin0\lin0\itap0 \rtlch\fcs1 \af0\afs20\alang1025 \ltrch\fcs0 \b\fs24\lang2057\langfe2057\cgrid\langnp2057\langfenp2057 \sbasedon0 \snext19 \spriority0 \styrsid12412393 _x000d__x000a_NormalBold;}{\s20\qc \li0\ri0\sa240\nowidctlpar\wrapdefault\aspalpha\aspnum\faauto\adjustright\rin0\lin0\itap0 \rtlch\fcs1 \af0\afs20\alang1025 \ltrch\fcs0 \i\fs24\lang2057\langfe2057\cgrid\langnp2057\langfenp2057 _x000d__x000a_\sbasedon0 \snext20 \spriority0 \styrsid1241239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12393 AmNumberTabs;}{\s22\ql \li0\ri0\sb240\nowidctlpar\wrapdefault\aspalpha\aspnum\faauto\adjustright\rin0\lin0\itap0 \rtlch\fcs1 _x000d__x000a_\af0\afs20\alang1025 \ltrch\fcs0 \b\fs24\lang2057\langfe2057\cgrid\langnp2057\langfenp2057 \sbasedon0 \snext22 \spriority0 \styrsid12412393 NormalBold12b;}}{\*\rsidtbl \rsid24658\rsid223860\rsid735077\rsid1718133\rsid2892074\rsid3559089\rsid3565327_x000d__x000a_\rsid4666813\rsid6641733\rsid7823322\rsid9636012\rsid10377208\rsid11215221\rsid11549030\rsid12154954\rsid12412393\rsid14382809\rsid14424199\rsid15204470\rsid15285974\rsid15950462\rsid16324206\rsid16662270}{\mmathPr\mmathFont34\mbrkBin0\mbrkBinSub0_x000d__x000a_\msmallFrac0\mdispDef1\mlMargin0\mrMargin0\mdefJc1\mwrapIndent1440\mintLim0\mnaryLim1}{\info{\author SIEPMANN Mario}{\operator SIEPMANN Mario}{\creatim\yr2023\mo1\dy16\hr11\min33}{\revtim\yr2023\mo1\dy16\hr11\min33}{\version1}{\edmins0}{\nofpages1}_x000d__x000a_{\nofwords26}{\nofchars137}{\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12393\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3559089 \chftnsep _x000d__x000a_\par }}{\*\ftnsepc \ltrpar \pard\plain \ltrpar\ql \li0\ri0\widctlpar\wrapdefault\aspalpha\aspnum\faauto\adjustright\rin0\lin0\itap0 \rtlch\fcs1 \af0\afs20\alang1025 \ltrch\fcs0 \fs24\lang2057\langfe2057\cgrid\langnp2057\langfenp2057 {\rtlch\fcs1 \af0 _x000d__x000a_\ltrch\fcs0 \insrsid3559089 \chftnsepc _x000d__x000a_\par }}{\*\aftnsep \ltrpar \pard\plain \ltrpar\ql \li0\ri0\widctlpar\wrapdefault\aspalpha\aspnum\faauto\adjustright\rin0\lin0\itap0 \rtlch\fcs1 \af0\afs20\alang1025 \ltrch\fcs0 \fs24\lang2057\langfe2057\cgrid\langnp2057\langfenp2057 {\rtlch\fcs1 \af0 _x000d__x000a_\ltrch\fcs0 \insrsid3559089 \chftnsep _x000d__x000a_\par }}{\*\aftnsepc \ltrpar \pard\plain \ltrpar\ql \li0\ri0\widctlpar\wrapdefault\aspalpha\aspnum\faauto\adjustright\rin0\lin0\itap0 \rtlch\fcs1 \af0\afs20\alang1025 \ltrch\fcs0 \fs24\lang2057\langfe2057\cgrid\langnp2057\langfenp2057 {\rtlch\fcs1 \af0 _x000d__x000a_\ltrch\fcs0 \insrsid35590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412393 \rtlch\fcs1 _x000d__x000a_\af0\afs20\alang1025 \ltrch\fcs0 \b\fs24\lang2057\langfe2057\cgrid\langnp2057\langfenp2057 {\rtlch\fcs1 \af0 \ltrch\fcs0 \cs17\b0\v\fs20\cf9\lang1024\langfe1024\loch\af1\hich\af1\dbch\af31501\noproof\insrsid12412393\charrsid15879488 {\*\bkmkstart restartA_x000d__x000a_}\hich\af1\dbch\af31501\loch\f1 &lt;AmendA&gt;}{\rtlch\fcs1 \af0 \ltrch\fcs0 \insrsid12412393\charrsid15879488 [ZAMENDMENT]\tab \tab }{\rtlch\fcs1 \af0 \ltrch\fcs0 _x000d__x000a_\cs17\b0\v\fs20\cf9\lang1024\langfe1024\loch\af1\hich\af1\dbch\af31501\noproof\insrsid12412393\charrsid15879488 \hich\af1\dbch\af31501\loch\f1 &lt;NumAmA&gt;}{\rtlch\fcs1 \af0 \ltrch\fcs0 \insrsid12412393\charrsid15879488 [ZNRAM]}{\rtlch\fcs1 \af0 \ltrch\fcs0 _x000d__x000a_\cs17\b0\v\fs20\cf9\lang1024\langfe1024\loch\af1\hich\af1\dbch\af31501\noproof\insrsid12412393\charrsid15879488 \hich\af1\dbch\af31501\loch\f1 &lt;/NumAmA&gt;}{\rtlch\fcs1 \af0 \ltrch\fcs0 \insrsid12412393\charrsid15879488 _x000d__x000a_\par }\pard\plain \ltrpar\s22\ql \li0\ri0\sb240\keepn\nowidctlpar\wrapdefault\aspalpha\aspnum\faauto\adjustright\rin0\lin0\itap0\pararsid12412393 \rtlch\fcs1 \af0\afs20\alang1025 \ltrch\fcs0 \b\fs24\lang2057\langfe2057\cgrid\langnp2057\langfenp2057 {_x000d__x000a_\rtlch\fcs1 \af0 \ltrch\fcs0 \cs17\b0\v\fs20\cf9\lang1024\langfe1024\loch\af1\hich\af1\dbch\af31501\noproof\langnp1036\insrsid12412393\charrsid11356624 \hich\af1\dbch\af31501\loch\f1 &lt;DocAmend&gt;}{\rtlch\fcs1 \af0 \ltrch\fcs0 _x000d__x000a_\lang1036\langfe2057\langnp1036\insrsid12412393\charrsid11356624 [ZRESOLUTION]}{\rtlch\fcs1 \af0 \ltrch\fcs0 \cs17\b0\v\fs20\cf9\lang1024\langfe1024\loch\af1\hich\af1\dbch\af31501\noproof\langnp1036\insrsid12412393\charrsid11356624 _x000d__x000a_\hich\af1\dbch\af31501\loch\f1 &lt;/DocAmend&gt;}{\rtlch\fcs1 \af0 \ltrch\fcs0 \lang1036\langfe2057\langnp1036\insrsid12412393\charrsid11356624 _x000d__x000a_\par }\pard\plain \ltrpar\s19\ql \li0\ri0\nowidctlpar\wrapdefault\aspalpha\aspnum\faauto\adjustright\rin0\lin0\itap0\pararsid12412393 \rtlch\fcs1 \af0\afs20\alang1025 \ltrch\fcs0 \b\fs24\lang2057\langfe2057\cgrid\langnp2057\langfenp2057 {\rtlch\fcs1 \af0 _x000d__x000a_\ltrch\fcs0 \cs17\b0\v\fs20\cf9\lang1024\langfe1024\loch\af1\hich\af1\dbch\af31501\noproof\langnp1036\insrsid12412393\charrsid11356624 \hich\af1\dbch\af31501\loch\f1 &lt;Article&gt;}{\rtlch\fcs1 \af0 \ltrch\fcs0 _x000d__x000a_\lang1036\langfe2057\langnp1036\insrsid12412393\charrsid11356624 [ZRESPART]}{\rtlch\fcs1 \af0 \ltrch\fcs0 \cs17\b0\v\fs20\cf9\lang1024\langfe1024\loch\af1\hich\af1\dbch\af31501\noproof\langnp1036\insrsid12412393\charrsid11356624 _x000d__x000a_\hich\af1\dbch\af31501\loch\f1 &lt;/Article&gt;}{\rtlch\fcs1 \af0 \ltrch\fcs0 \lang1036\langfe2057\langnp1036\insrsid1241239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412393\charrsid11356624 \cell }\pard \ltrpar_x000d__x000a_\ql \li0\ri0\widctlpar\intbl\wrapdefault\aspalpha\aspnum\faauto\adjustright\rin0\lin0 {\rtlch\fcs1 \af0 \ltrch\fcs0 \insrsid1241239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2412393\charrsid15879488 [ZLEFTA]\cell [ZRIGHT]\cell }\pard\plain \ltrpar_x000d__x000a_\ql \li0\ri0\widctlpar\intbl\wrapdefault\aspalpha\aspnum\faauto\adjustright\rin0\lin0 \rtlch\fcs1 \af0\afs20\alang1025 \ltrch\fcs0 \fs24\lang2057\langfe2057\cgrid\langnp2057\langfenp2057 {\rtlch\fcs1 \af0 \ltrch\fcs0 \insrsid12412393\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12393\charrsid15879488 [ZTEXTL]\cell [ZTEXTR]}{\rtlch\fcs1 \af0\afs24 \ltrch\fcs0 \insrsid12412393\charrsid15879488 \cell }\pard\plain \ltrpar\ql \li0\ri0\widctlpar\intbl\wrapdefault\aspalpha\aspnum\faauto\adjustright\rin0\lin0 \rtlch\fcs1 _x000d__x000a_\af0\afs20\alang1025 \ltrch\fcs0 \fs24\lang2057\langfe2057\cgrid\langnp2057\langfenp2057 {\rtlch\fcs1 \af0 \ltrch\fcs0 \insrsid1241239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412393 {\rtlch\fcs1 \af0 \ltrch\fcs0 \cs17\v\fs20\cf9\lang1024\langfe1024\loch\af1\hich\af1\dbch\af31501\noproof\insrsid12412393\charrsid15879488 _x000d__x000a_\hich\af1\dbch\af31501\loch\f1 &lt;/AmendA&gt;}{\rtlch\fcs1 \af0 \ltrch\fcs0 \insrsid1241239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9_x000d__x000a_c8e895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48854 HideTWBExt;}{_x000d__x000a_\s18\ql \li0\ri0\sa120\nowidctlpar\wrapdefault\aspalpha\aspnum\faauto\adjustright\rin0\lin0\itap0 \rtlch\fcs1 \af0\afs20\alang1025 \ltrch\fcs0 \fs24\lang2057\langfe2057\cgrid\langnp2057\langfenp2057 \sbasedon0 \snext18 \spriority0 \styrsid3948854 _x000d__x000a_Normal6a;}{\s19\ql \li0\ri0\nowidctlpar\wrapdefault\aspalpha\aspnum\faauto\adjustright\rin0\lin0\itap0 \rtlch\fcs1 \af0\afs20\alang1025 \ltrch\fcs0 \b\fs24\lang2057\langfe2057\cgrid\langnp2057\langfenp2057 \sbasedon0 \snext19 \spriority0 \styrsid3948854 _x000d__x000a_NormalBold;}{\s20\ql \li0\ri0\sa240\nowidctlpar\wrapdefault\aspalpha\aspnum\faauto\adjustright\rin0\lin0\itap0 \rtlch\fcs1 \af0\afs20\alang1025 \ltrch\fcs0 \i\fs24\lang2057\langfe2057\cgrid\langnp2057\langfenp2057 _x000d__x000a_\sbasedon0 \snext20 \spriority0 \styrsid3948854 AmJustText;}{\s21\qc \li0\ri0\sb240\sa240\nowidctlpar\wrapdefault\aspalpha\aspnum\faauto\adjustright\rin0\lin0\itap0 \rtlch\fcs1 \af0\afs20\alang1025 \ltrch\fcs0 _x000d__x000a_\i\fs24\lang2057\langfe2057\cgrid\langnp2057\langfenp2057 \sbasedon0 \snext21 \spriority0 \styrsid3948854 AmCrossRef;}{\s22\qc \li0\ri0\sb240\sa240\keepn\nowidctlpar\wrapdefault\aspalpha\aspnum\faauto\adjustright\rin0\lin0\itap0 \rtlch\fcs1 _x000d__x000a_\af0\afs20\alang1025 \ltrch\fcs0 \i\fs24\lang2057\langfe2057\cgrid\langnp2057\langfenp2057 \sbasedon0 \snext20 \spriority0 \styrsid3948854 AmJustTitle;}{\s23\qc \li0\ri0\sa240\nowidctlpar\wrapdefault\aspalpha\aspnum\faauto\adjustright\rin0\lin0\itap0 _x000d__x000a_\rtlch\fcs1 \af0\afs20\alang1025 \ltrch\fcs0 \i\fs24\lang2057\langfe2057\cgrid\langnp2057\langfenp2057 \sbasedon0 \snext23 \spriority0 \styrsid394885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948854 AmNumberTabs;}{\s25\ql \li0\ri0\sb240\nowidctlpar\wrapdefault\aspalpha\aspnum\faauto\adjustright\rin0\lin0\itap0 \rtlch\fcs1 _x000d__x000a_\af0\afs20\alang1025 \ltrch\fcs0 \b\fs24\lang2057\langfe2057\cgrid\langnp2057\langfenp2057 \sbasedon0 \snext25 \spriority0 \styrsid3948854 NormalBold12b;}}{\*\rsidtbl \rsid24658\rsid223860\rsid735077\rsid1718133\rsid2892074\rsid3565327\rsid3948854_x000d__x000a_\rsid4666813\rsid6641733\rsid7823322\rsid9636012\rsid10377208\rsid11215221\rsid11549030\rsid12065121\rsid12154954\rsid14382809\rsid14424199\rsid15204470\rsid15285974\rsid15950462\rsid16324206\rsid16662270}{\mmathPr\mmathFont34\mbrkBin0\mbrkBinSub0_x000d__x000a_\msmallFrac0\mdispDef1\mlMargin0\mrMargin0\mdefJc1\mwrapIndent1440\mintLim0\mnaryLim1}{\info{\author SIEPMANN Mario}{\operator SIEPMANN Mario}{\creatim\yr2023\mo1\dy16\hr11\min33}{\revtim\yr2023\mo1\dy16\hr11\min33}{\version1}{\edmins0}{\nofpages1}_x000d__x000a_{\nofwords59}{\nofchars313}{\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48854\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2065121 \chftnsep _x000d__x000a_\par }}{\*\ftnsepc \ltrpar \pard\plain \ltrpar\ql \li0\ri0\widctlpar\wrapdefault\aspalpha\aspnum\faauto\adjustright\rin0\lin0\itap0 \rtlch\fcs1 \af0\afs20\alang1025 \ltrch\fcs0 \fs24\lang2057\langfe2057\cgrid\langnp2057\langfenp2057 {\rtlch\fcs1 \af0 _x000d__x000a_\ltrch\fcs0 \insrsid12065121 \chftnsepc _x000d__x000a_\par }}{\*\aftnsep \ltrpar \pard\plain \ltrpar\ql \li0\ri0\widctlpar\wrapdefault\aspalpha\aspnum\faauto\adjustright\rin0\lin0\itap0 \rtlch\fcs1 \af0\afs20\alang1025 \ltrch\fcs0 \fs24\lang2057\langfe2057\cgrid\langnp2057\langfenp2057 {\rtlch\fcs1 \af0 _x000d__x000a_\ltrch\fcs0 \insrsid12065121 \chftnsep _x000d__x000a_\par }}{\*\aftnsepc \ltrpar \pard\plain \ltrpar\ql \li0\ri0\widctlpar\wrapdefault\aspalpha\aspnum\faauto\adjustright\rin0\lin0\itap0 \rtlch\fcs1 \af0\afs20\alang1025 \ltrch\fcs0 \fs24\lang2057\langfe2057\cgrid\langnp2057\langfenp2057 {\rtlch\fcs1 \af0 _x000d__x000a_\ltrch\fcs0 \insrsid12065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948854 \rtlch\fcs1 _x000d__x000a_\af0\afs20\alang1025 \ltrch\fcs0 \b\fs24\lang2057\langfe2057\cgrid\langnp2057\langfenp2057 {\rtlch\fcs1 \af0 \ltrch\fcs0 \cs17\b0\v\fs20\cf9\lang1024\langfe1024\loch\af1\hich\af1\dbch\af31501\noproof\insrsid3948854\charrsid15879488 {\*\bkmkstart restartB}_x000d__x000a_\hich\af1\dbch\af31501\loch\f1 &lt;AmendB&gt;}{\rtlch\fcs1 \af0 \ltrch\fcs0 \insrsid3948854\charrsid15879488 [ZAMENDMENT]\tab \tab }{\rtlch\fcs1 \af0 \ltrch\fcs0 _x000d__x000a_\cs17\b0\v\fs20\cf9\lang1024\langfe1024\loch\af1\hich\af1\dbch\af31501\noproof\insrsid3948854\charrsid15879488 \hich\af1\dbch\af31501\loch\f1 &lt;NumAmB&gt;}{\rtlch\fcs1 \af0 \ltrch\fcs0 \insrsid3948854\charrsid15879488 [ZNRAM]}{\rtlch\fcs1 \af0 \ltrch\fcs0 _x000d__x000a_\cs17\b0\v\fs20\cf9\lang1024\langfe1024\loch\af1\hich\af1\dbch\af31501\noproof\insrsid3948854\charrsid15879488 \hich\af1\dbch\af31501\loch\f1 &lt;/NumAmB&gt;}{\rtlch\fcs1 \af0 \ltrch\fcs0 \insrsid3948854\charrsid15879488 _x000d__x000a_\par }\pard\plain \ltrpar\s25\ql \li0\ri0\sb240\keepn\nowidctlpar\wrapdefault\aspalpha\aspnum\faauto\adjustright\rin0\lin0\itap0\pararsid3948854 \rtlch\fcs1 \af0\afs20\alang1025 \ltrch\fcs0 \b\fs24\lang2057\langfe2057\cgrid\langnp2057\langfenp2057 {_x000d__x000a_\rtlch\fcs1 \af0 \ltrch\fcs0 \cs17\b0\v\fs20\cf9\lang1024\langfe1024\loch\af1\hich\af1\dbch\af31501\noproof\insrsid3948854\charrsid15879488 \hich\af1\dbch\af31501\loch\f1 &lt;DocAmend&gt;}{\rtlch\fcs1 \af0 \ltrch\fcs0 \insrsid3948854\charrsid15879488 _x000d__x000a_[ZPROPOSAL][ZAMACT]}{\rtlch\fcs1 \af0 \ltrch\fcs0 \cs17\b0\v\fs20\cf9\lang1024\langfe1024\loch\af1\hich\af1\dbch\af31501\noproof\insrsid3948854\charrsid15879488 \hich\af1\dbch\af31501\loch\f1 &lt;/DocAmend&gt;}{\rtlch\fcs1 \af0 \ltrch\fcs0 _x000d__x000a_\insrsid3948854\charrsid15879488 _x000d__x000a_\par }\pard\plain \ltrpar\s19\ql \li0\ri0\keepn\nowidctlpar\wrapdefault\aspalpha\aspnum\faauto\adjustright\rin0\lin0\itap0\pararsid3948854 \rtlch\fcs1 \af0\afs20\alang1025 \ltrch\fcs0 \b\fs24\lang2057\langfe2057\cgrid\langnp2057\langfenp2057 {\rtlch\fcs1 \af0 _x000d__x000a_\ltrch\fcs0 \cs17\b0\v\fs20\cf9\lang1024\langfe1024\loch\af1\hich\af1\dbch\af31501\noproof\insrsid3948854\charrsid15879488 \hich\af1\dbch\af31501\loch\f1 &lt;Article&gt;}{\rtlch\fcs1 \af0 \ltrch\fcs0 \insrsid3948854\charrsid15879488 [ZAMPART]}{\rtlch\fcs1 \af0 _x000d__x000a_\ltrch\fcs0 \cs17\b0\v\fs20\cf9\lang1024\langfe1024\loch\af1\hich\af1\dbch\af31501\noproof\insrsid3948854\charrsid15879488 \hich\af1\dbch\af31501\loch\f1 &lt;/Article&gt;}{\rtlch\fcs1 \af0 \ltrch\fcs0 \insrsid3948854\charrsid15879488 _x000d__x000a_\par }\pard\plain \ltrpar\ql \li0\ri0\keepn\widctlpar\wrapdefault\aspalpha\aspnum\faauto\adjustright\rin0\lin0\itap0\pararsid3948854 \rtlch\fcs1 \af0\afs20\alang1025 \ltrch\fcs0 \fs24\lang2057\langfe2057\cgrid\langnp2057\langfenp2057 {\rtlch\fcs1 \af0 _x000d__x000a_\ltrch\fcs0 \cs17\v\fs20\cf9\lang1024\langfe1024\loch\af1\hich\af1\dbch\af31501\noproof\insrsid3948854\charrsid15879488 \hich\af1\dbch\af31501\loch\f1 &lt;DocAmend2&gt;&lt;OptDel&gt;}{\rtlch\fcs1 \af0 \ltrch\fcs0 \insrsid3948854\charrsid15879488 [ZNRACT]}{_x000d__x000a_\rtlch\fcs1 \af0 \ltrch\fcs0 \cs17\v\fs20\cf9\lang1024\langfe1024\loch\af1\hich\af1\dbch\af31501\noproof\insrsid3948854\charrsid15879488 \hich\af1\dbch\af31501\loch\f1 &lt;/OptDel&gt;&lt;/DocAmend2&gt;}{\rtlch\fcs1 \af0 \ltrch\fcs0 \insrsid3948854\charrsid15879488 _x000d__x000a__x000d__x000a_\par }\pard \ltrpar\ql \li0\ri0\widctlpar\wrapdefault\aspalpha\aspnum\faauto\adjustright\rin0\lin0\itap0\pararsid3948854 {\rtlch\fcs1 \af0 \ltrch\fcs0 _x000d__x000a_\cs17\v\fs20\cf9\lang1024\langfe1024\loch\af1\hich\af1\dbch\af31501\noproof\langnp1036\insrsid3948854\charrsid11356624 \hich\af1\dbch\af31501\loch\f1 &lt;Article2&gt;&lt;OptDel&gt;}{\rtlch\fcs1 \af0 \ltrch\fcs0 _x000d__x000a_\lang1036\langfe2057\langnp1036\insrsid3948854\charrsid11356624 [ZACTPART]}{\rtlch\fcs1 \af0 \ltrch\fcs0 \cs17\v\fs20\cf9\lang1024\langfe1024\loch\af1\hich\af1\dbch\af31501\noproof\langnp1036\insrsid3948854\charrsid11356624 \hich\af1\dbch\af31501\loch\f1 _x000d__x000a_&lt;/OptDel&gt;&lt;/Article2&gt;}{\rtlch\fcs1 \af0 \ltrch\fcs0 \lang1036\langfe2057\langnp1036\insrsid394885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948854\charrsid11356624 \cell }\pard \ltrpar\ql \li0\ri0\widctlpar\intbl\wrapdefault\aspalpha\aspnum\faauto\adjustright\rin0\lin0 {\rtlch\fcs1 \af0 \ltrch\fcs0 \insrsid394885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948854\charrsid15879488 [ZLEFTB]\cell [ZRIGHT]\cell }\pard\plain \ltrpar\ql \li0\ri0\widctlpar\intbl\wrapdefault\aspalpha\aspnum\faauto\adjustright\rin0\lin0 \rtlch\fcs1 \af0\afs20\alang1025 \ltrch\fcs0 _x000d__x000a_\fs24\lang2057\langfe2057\cgrid\langnp2057\langfenp2057 {\rtlch\fcs1 \af0 \ltrch\fcs0 \insrsid394885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948854\charrsid15879488 [ZTEXTL]\cell [ZTEXTR]}{\rtlch\fcs1 \af0\afs24 \ltrch\fcs0 \insrsid3948854\charrsid15879488 \cell }\pard\plain \ltrpar\ql \li0\ri0\widctlpar\intbl\wrapdefault\aspalpha\aspnum\faauto\adjustright\rin0\lin0 \rtlch\fcs1 _x000d__x000a_\af0\afs20\alang1025 \ltrch\fcs0 \fs24\lang2057\langfe2057\cgrid\langnp2057\langfenp2057 {\rtlch\fcs1 \af0 \ltrch\fcs0 \insrsid394885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948854 \rtlch\fcs1 \af0\afs20\alang1025 \ltrch\fcs0 \i\fs24\lang2057\langfe2057\cgrid\langnp2057\langfenp2057 {\rtlch\fcs1 \af0 \ltrch\fcs0 _x000d__x000a_\cs17\i0\v\fs20\cf9\lang1024\langfe1024\loch\af1\hich\af1\dbch\af31501\noproof\insrsid3948854\charrsid15879488 \hich\af1\dbch\af31501\loch\f1 &lt;OptDel&gt;}{\rtlch\fcs1 \af0 \ltrch\fcs0 \insrsid3948854\charrsid15879488 [ZCROSSREF]}{\rtlch\fcs1 \af0 _x000d__x000a_\ltrch\fcs0 \cs17\i0\v\fs20\cf9\lang1024\langfe1024\loch\af1\hich\af1\dbch\af31501\noproof\insrsid3948854\charrsid15879488 \hich\af1\dbch\af31501\loch\f1 &lt;/OptDel&gt;}{\rtlch\fcs1 \af0 \ltrch\fcs0 \insrsid3948854\charrsid15879488 _x000d__x000a_\par }\pard\plain \ltrpar\s22\qc \li0\ri0\sb240\sa240\keepn\nowidctlpar\wrapdefault\aspalpha\aspnum\faauto\adjustright\rin0\lin0\itap0\pararsid3948854 \rtlch\fcs1 \af0\afs20\alang1025 \ltrch\fcs0 \i\fs24\lang2057\langfe2057\cgrid\langnp2057\langfenp2057 {_x000d__x000a_\rtlch\fcs1 \af0 \ltrch\fcs0 \cs17\i0\v\fs20\cf9\lang1024\langfe1024\loch\af1\hich\af1\dbch\af31501\noproof\insrsid3948854\charrsid15879488 \hich\af1\dbch\af31501\loch\f1 &lt;TitreJust&gt;}{\rtlch\fcs1 \af0 \ltrch\fcs0 \insrsid3948854\charrsid15879488 _x000d__x000a_[ZJUSTIFICATION]}{\rtlch\fcs1 \af0 \ltrch\fcs0 \cs17\i0\v\fs20\cf9\lang1024\langfe1024\loch\af1\hich\af1\dbch\af31501\noproof\insrsid3948854\charrsid15879488 \hich\af1\dbch\af31501\loch\f1 &lt;/TitreJust&gt;}{\rtlch\fcs1 \af0 \ltrch\fcs0 _x000d__x000a_\insrsid3948854\charrsid15879488 _x000d__x000a_\par }\pard\plain \ltrpar\s20\ql \li0\ri0\sa240\nowidctlpar\wrapdefault\aspalpha\aspnum\faauto\adjustright\rin0\lin0\itap0\pararsid3948854 \rtlch\fcs1 \af0\afs20\alang1025 \ltrch\fcs0 \i\fs24\lang2057\langfe2057\cgrid\langnp2057\langfenp2057 {\rtlch\fcs1 \af0 _x000d__x000a_\ltrch\fcs0 \cs17\i0\v\fs20\cf9\lang1024\langfe1024\loch\af1\hich\af1\dbch\af31501\noproof\insrsid3948854\charrsid15879488 \hich\af1\dbch\af31501\loch\f1 &lt;OptDelPrev&gt;}{\rtlch\fcs1 \af0 \ltrch\fcs0 \insrsid3948854\charrsid15879488 [ZTEXTJUST]}{\rtlch\fcs1 _x000d__x000a_\af0 \ltrch\fcs0 \cs17\i0\v\fs20\cf9\lang1024\langfe1024\loch\af1\hich\af1\dbch\af31501\noproof\insrsid3948854\charrsid15879488 \hich\af1\dbch\af31501\loch\f1 &lt;/OptDelPrev&gt;}{\rtlch\fcs1 \af0 \ltrch\fcs0 \insrsid3948854\charrsid15879488 _x000d__x000a_\par }\pard\plain \ltrpar\ql \li0\ri0\widctlpar\wrapdefault\aspalpha\aspnum\faauto\adjustright\rin0\lin0\itap0\pararsid3948854 \rtlch\fcs1 \af0\afs20\alang1025 \ltrch\fcs0 \fs24\lang2057\langfe2057\cgrid\langnp2057\langfenp2057 {\rtlch\fcs1 \af0 \ltrch\fcs0 _x000d__x000a_\cs17\v\fs20\cf9\lang1024\langfe1024\loch\af1\hich\af1\dbch\af31501\noproof\insrsid3948854\charrsid15879488 \hich\af1\dbch\af31501\loch\f1 &lt;/AmendB&gt;}{\rtlch\fcs1 \af0 \ltrch\fcs0 \insrsid394885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b_x000d__x000a_adeb952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XTLANGUE" w:val="DE"/>
    <w:docVar w:name="TXTLANGUEMIN" w:val="de"/>
    <w:docVar w:name="TXTNRPE" w:val="736.586"/>
    <w:docVar w:name="TXTNRPROC" w:val="2021/0378"/>
    <w:docVar w:name="TXTPEorAP" w:val="PE"/>
    <w:docVar w:name="TXTROUTE" w:val="AD\1270366DE.docx"/>
    <w:docVar w:name="TXTVERSION" w:val="02-00"/>
  </w:docVars>
  <w:rsids>
    <w:rsidRoot w:val="00DA114B"/>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26AE1"/>
    <w:rsid w:val="0023131B"/>
    <w:rsid w:val="00244990"/>
    <w:rsid w:val="002A45D9"/>
    <w:rsid w:val="002A67EE"/>
    <w:rsid w:val="00304EA8"/>
    <w:rsid w:val="00327B18"/>
    <w:rsid w:val="00341A99"/>
    <w:rsid w:val="00360FAA"/>
    <w:rsid w:val="0038294E"/>
    <w:rsid w:val="0038739D"/>
    <w:rsid w:val="003A2F84"/>
    <w:rsid w:val="003C7390"/>
    <w:rsid w:val="003E1280"/>
    <w:rsid w:val="003F128E"/>
    <w:rsid w:val="0040055C"/>
    <w:rsid w:val="0044140A"/>
    <w:rsid w:val="00487596"/>
    <w:rsid w:val="004B3A53"/>
    <w:rsid w:val="004C2A0D"/>
    <w:rsid w:val="004F1D2F"/>
    <w:rsid w:val="00502B76"/>
    <w:rsid w:val="00513F6F"/>
    <w:rsid w:val="00522B51"/>
    <w:rsid w:val="00524707"/>
    <w:rsid w:val="00530CA4"/>
    <w:rsid w:val="005539B7"/>
    <w:rsid w:val="00571233"/>
    <w:rsid w:val="0060242A"/>
    <w:rsid w:val="00604367"/>
    <w:rsid w:val="00613134"/>
    <w:rsid w:val="00626D52"/>
    <w:rsid w:val="00643DA8"/>
    <w:rsid w:val="00657D5C"/>
    <w:rsid w:val="00676BBA"/>
    <w:rsid w:val="00683DD1"/>
    <w:rsid w:val="00691B1C"/>
    <w:rsid w:val="006A0F0A"/>
    <w:rsid w:val="006A48AA"/>
    <w:rsid w:val="006B1267"/>
    <w:rsid w:val="006D292E"/>
    <w:rsid w:val="006F3A74"/>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9178F"/>
    <w:rsid w:val="009E7319"/>
    <w:rsid w:val="00A71228"/>
    <w:rsid w:val="00A74E25"/>
    <w:rsid w:val="00AC2A60"/>
    <w:rsid w:val="00AD49D0"/>
    <w:rsid w:val="00B00EE6"/>
    <w:rsid w:val="00B476DC"/>
    <w:rsid w:val="00B556CD"/>
    <w:rsid w:val="00B62D4B"/>
    <w:rsid w:val="00B904FA"/>
    <w:rsid w:val="00BA3E40"/>
    <w:rsid w:val="00BD1F76"/>
    <w:rsid w:val="00BE20CF"/>
    <w:rsid w:val="00C22327"/>
    <w:rsid w:val="00C335C6"/>
    <w:rsid w:val="00C4219C"/>
    <w:rsid w:val="00C52A28"/>
    <w:rsid w:val="00C709B7"/>
    <w:rsid w:val="00C75E98"/>
    <w:rsid w:val="00C81C5B"/>
    <w:rsid w:val="00C83B35"/>
    <w:rsid w:val="00C85A4C"/>
    <w:rsid w:val="00C85D0F"/>
    <w:rsid w:val="00D25CF2"/>
    <w:rsid w:val="00D56CE0"/>
    <w:rsid w:val="00D6254D"/>
    <w:rsid w:val="00D67D0A"/>
    <w:rsid w:val="00D74FD1"/>
    <w:rsid w:val="00D943A5"/>
    <w:rsid w:val="00D9581F"/>
    <w:rsid w:val="00DA114B"/>
    <w:rsid w:val="00DB56E4"/>
    <w:rsid w:val="00DC3374"/>
    <w:rsid w:val="00E27F01"/>
    <w:rsid w:val="00E76EF9"/>
    <w:rsid w:val="00E77FF5"/>
    <w:rsid w:val="00E94D64"/>
    <w:rsid w:val="00EA3802"/>
    <w:rsid w:val="00EF1432"/>
    <w:rsid w:val="00EF33D5"/>
    <w:rsid w:val="00F15744"/>
    <w:rsid w:val="00F24D40"/>
    <w:rsid w:val="00F42DCF"/>
    <w:rsid w:val="00FE5B6F"/>
    <w:rsid w:val="00FF30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26BC28-5CFA-42E3-BFF1-440704C7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04367"/>
    <w:rPr>
      <w:sz w:val="24"/>
      <w:lang w:val="de-DE"/>
    </w:rPr>
  </w:style>
  <w:style w:type="paragraph" w:customStyle="1" w:styleId="Normal6">
    <w:name w:val="Normal6"/>
    <w:basedOn w:val="Normal"/>
    <w:link w:val="Normal6Char"/>
    <w:rsid w:val="00604367"/>
    <w:pPr>
      <w:spacing w:after="120"/>
    </w:pPr>
    <w:rPr>
      <w:szCs w:val="20"/>
    </w:rPr>
  </w:style>
  <w:style w:type="character" w:customStyle="1" w:styleId="NormalBoldChar">
    <w:name w:val="NormalBold Char"/>
    <w:basedOn w:val="DefaultParagraphFont"/>
    <w:link w:val="NormalBold"/>
    <w:locked/>
    <w:rsid w:val="00604367"/>
    <w:rPr>
      <w:b/>
      <w:sz w:val="24"/>
      <w:lang w:val="de-DE"/>
    </w:rPr>
  </w:style>
  <w:style w:type="paragraph" w:customStyle="1" w:styleId="Normal12Italic">
    <w:name w:val="Normal12Italic"/>
    <w:basedOn w:val="Normal"/>
    <w:rsid w:val="00604367"/>
    <w:pPr>
      <w:spacing w:after="240"/>
    </w:pPr>
    <w:rPr>
      <w:i/>
      <w:noProof/>
      <w:szCs w:val="20"/>
    </w:rPr>
  </w:style>
  <w:style w:type="paragraph" w:customStyle="1" w:styleId="JustificationTitle">
    <w:name w:val="JustificationTitle"/>
    <w:basedOn w:val="Normal"/>
    <w:next w:val="Normal"/>
    <w:rsid w:val="00604367"/>
    <w:pPr>
      <w:keepNext/>
      <w:spacing w:before="240" w:after="240"/>
      <w:jc w:val="center"/>
    </w:pPr>
    <w:rPr>
      <w:i/>
      <w:noProof/>
      <w:szCs w:val="20"/>
    </w:rPr>
  </w:style>
  <w:style w:type="paragraph" w:customStyle="1" w:styleId="ColumnHeading">
    <w:name w:val="ColumnHeading"/>
    <w:basedOn w:val="Normal"/>
    <w:rsid w:val="00604367"/>
    <w:pPr>
      <w:spacing w:after="240"/>
      <w:jc w:val="center"/>
    </w:pPr>
    <w:rPr>
      <w:i/>
      <w:szCs w:val="20"/>
    </w:rPr>
  </w:style>
  <w:style w:type="paragraph" w:customStyle="1" w:styleId="AMNumberTabs0">
    <w:name w:val="AMNumberTabs"/>
    <w:basedOn w:val="Normal"/>
    <w:rsid w:val="006043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04367"/>
    <w:pPr>
      <w:jc w:val="right"/>
    </w:pPr>
  </w:style>
  <w:style w:type="paragraph" w:customStyle="1" w:styleId="RollCallSymbols14pt">
    <w:name w:val="RollCallSymbols14pt"/>
    <w:basedOn w:val="Normal"/>
    <w:rsid w:val="00C85A4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85A4C"/>
    <w:pPr>
      <w:tabs>
        <w:tab w:val="center" w:pos="284"/>
        <w:tab w:val="left" w:pos="426"/>
      </w:tabs>
    </w:pPr>
    <w:rPr>
      <w:snapToGrid w:val="0"/>
      <w:szCs w:val="20"/>
      <w:lang w:eastAsia="en-US"/>
    </w:rPr>
  </w:style>
  <w:style w:type="paragraph" w:customStyle="1" w:styleId="RollCallVotes">
    <w:name w:val="RollCallVotes"/>
    <w:basedOn w:val="Normal"/>
    <w:rsid w:val="00C85A4C"/>
    <w:pPr>
      <w:spacing w:before="120" w:after="120"/>
      <w:jc w:val="center"/>
    </w:pPr>
    <w:rPr>
      <w:b/>
      <w:bCs/>
      <w:snapToGrid w:val="0"/>
      <w:sz w:val="16"/>
      <w:szCs w:val="20"/>
      <w:lang w:eastAsia="en-US"/>
    </w:rPr>
  </w:style>
  <w:style w:type="paragraph" w:customStyle="1" w:styleId="RollCallTable">
    <w:name w:val="RollCallTable"/>
    <w:basedOn w:val="Normal"/>
    <w:rsid w:val="00C85A4C"/>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76158-F38D-4EDA-A98E-F43BD9DE9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4688</Words>
  <Characters>34713</Characters>
  <Application>Microsoft Office Word</Application>
  <DocSecurity>0</DocSecurity>
  <Lines>1335</Lines>
  <Paragraphs>625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2023-01-26T16:04:00Z</dcterms:created>
  <dcterms:modified xsi:type="dcterms:W3CDTF">2023-01-26T16:04:00Z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\\eiciLUXpr1\pdocep$\DocEP\DOCS\General\PA\PA_Legam.dotx(17/04/2020 19:26:08)</vt:lpwstr>
  </property>
  <property fmtid="{D5CDD505-2E9C-101B-9397-08002B2CF9AE}" pid="6" name="&lt;ModelTra&gt;">
    <vt:lpwstr>\\eiciLUXpr1\pdocep$\DocEP\TRANSFIL\DE\PA_Legam.DE(10/07/2020 22:21:03)</vt:lpwstr>
  </property>
  <property fmtid="{D5CDD505-2E9C-101B-9397-08002B2CF9AE}" pid="7" name="&lt;Type&gt;">
    <vt:lpwstr>AD</vt:lpwstr>
  </property>
  <property fmtid="{D5CDD505-2E9C-101B-9397-08002B2CF9AE}" pid="8" name="Created with">
    <vt:lpwstr>9.11.0 Build [20211103]</vt:lpwstr>
  </property>
  <property fmtid="{D5CDD505-2E9C-101B-9397-08002B2CF9AE}" pid="9" name="FooterPath">
    <vt:lpwstr>AD\1270366DE.docx</vt:lpwstr>
  </property>
  <property fmtid="{D5CDD505-2E9C-101B-9397-08002B2CF9AE}" pid="10" name="LastEdited with">
    <vt:lpwstr>9.14.0 Build [20221101]</vt:lpwstr>
  </property>
  <property fmtid="{D5CDD505-2E9C-101B-9397-08002B2CF9AE}" pid="11" name="PE number">
    <vt:lpwstr>736.586</vt:lpwstr>
  </property>
  <property fmtid="{D5CDD505-2E9C-101B-9397-08002B2CF9AE}" pid="12" name="SDLStudio">
    <vt:lpwstr/>
  </property>
</Properties>
</file>