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743A1" w:rsidTr="00C85D0F">
        <w:trPr>
          <w:trHeight w:hRule="exact" w:val="1418"/>
        </w:trPr>
        <w:tc>
          <w:tcPr>
            <w:tcW w:w="6804" w:type="dxa"/>
            <w:shd w:val="clear" w:color="auto" w:fill="auto"/>
            <w:vAlign w:val="center"/>
          </w:tcPr>
          <w:p w:rsidR="00BA3E40" w:rsidRPr="00791EDA" w:rsidRDefault="009E38A5" w:rsidP="00C85D0F">
            <w:pPr>
              <w:pStyle w:val="EPName"/>
            </w:pPr>
            <w:r>
              <w:t>Ευρωπαϊκό Κοινοβούλιο</w:t>
            </w:r>
          </w:p>
          <w:p w:rsidR="00BA3E40" w:rsidRPr="00791EDA" w:rsidRDefault="009E38A5" w:rsidP="00B06FA8">
            <w:pPr>
              <w:pStyle w:val="EPTerm"/>
            </w:pPr>
            <w:r>
              <w:t>2019-2024</w:t>
            </w:r>
          </w:p>
        </w:tc>
        <w:tc>
          <w:tcPr>
            <w:tcW w:w="2268" w:type="dxa"/>
            <w:shd w:val="clear" w:color="auto" w:fill="auto"/>
          </w:tcPr>
          <w:p w:rsidR="00BA3E40" w:rsidRPr="00791EDA" w:rsidRDefault="009E38A5" w:rsidP="00C85D0F">
            <w:pPr>
              <w:pStyle w:val="EPLogo"/>
            </w:pPr>
            <w:r w:rsidRPr="00791E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0422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91EDA" w:rsidRDefault="00F24D40" w:rsidP="00F24D40">
      <w:pPr>
        <w:pStyle w:val="LineTop"/>
      </w:pPr>
    </w:p>
    <w:p w:rsidR="00F24D40" w:rsidRPr="00791EDA" w:rsidRDefault="009E38A5" w:rsidP="00F24D40">
      <w:pPr>
        <w:pStyle w:val="EPBody"/>
      </w:pPr>
      <w:r>
        <w:rPr>
          <w:rStyle w:val="HideTWBExt"/>
        </w:rPr>
        <w:t>&lt;</w:t>
      </w:r>
      <w:r>
        <w:rPr>
          <w:rStyle w:val="HideTWBExt"/>
          <w:i w:val="0"/>
        </w:rPr>
        <w:t>Commission</w:t>
      </w:r>
      <w:r>
        <w:rPr>
          <w:rStyle w:val="HideTWBExt"/>
        </w:rPr>
        <w:t>&gt;</w:t>
      </w:r>
      <w:r>
        <w:rPr>
          <w:rStyle w:val="HideTWBInt"/>
          <w:color w:val="auto"/>
        </w:rPr>
        <w:t>{LIBE}</w:t>
      </w:r>
      <w:r>
        <w:t>Επιτροπή Πολιτικών Ελευθεριών, Δικαιοσύνης και Εσωτερικών Υποθέσεων</w:t>
      </w:r>
      <w:r>
        <w:rPr>
          <w:rStyle w:val="HideTWBExt"/>
        </w:rPr>
        <w:t>&lt;/</w:t>
      </w:r>
      <w:r>
        <w:rPr>
          <w:rStyle w:val="HideTWBExt"/>
          <w:i w:val="0"/>
        </w:rPr>
        <w:t>Commission</w:t>
      </w:r>
      <w:r>
        <w:rPr>
          <w:rStyle w:val="HideTWBExt"/>
        </w:rPr>
        <w:t>&gt;</w:t>
      </w:r>
    </w:p>
    <w:p w:rsidR="00F24D40" w:rsidRPr="00791EDA" w:rsidRDefault="00F24D40" w:rsidP="00F24D40">
      <w:pPr>
        <w:pStyle w:val="LineBottom"/>
      </w:pPr>
    </w:p>
    <w:p w:rsidR="00DB56E4" w:rsidRPr="00791EDA" w:rsidRDefault="009E38A5" w:rsidP="00DB56E4">
      <w:pPr>
        <w:pStyle w:val="CoverReference"/>
      </w:pPr>
      <w:r>
        <w:rPr>
          <w:rStyle w:val="HideTWBExt"/>
          <w:b w:val="0"/>
        </w:rPr>
        <w:t>&lt;RefProc&gt;</w:t>
      </w:r>
      <w:r>
        <w:t>2021/0378</w:t>
      </w:r>
      <w:r>
        <w:rPr>
          <w:rStyle w:val="HideTWBExt"/>
          <w:b w:val="0"/>
        </w:rPr>
        <w:t>&lt;/RefProc&gt;&lt;RefTypeProc&gt;</w:t>
      </w:r>
      <w:r>
        <w:t>(COD)</w:t>
      </w:r>
      <w:r>
        <w:rPr>
          <w:rStyle w:val="HideTWBExt"/>
          <w:b w:val="0"/>
        </w:rPr>
        <w:t>&lt;/RefTypeProc&gt;</w:t>
      </w:r>
    </w:p>
    <w:p w:rsidR="00DB56E4" w:rsidRPr="00791EDA" w:rsidRDefault="009E38A5" w:rsidP="00DB56E4">
      <w:pPr>
        <w:pStyle w:val="CoverDate"/>
      </w:pPr>
      <w:r>
        <w:rPr>
          <w:rStyle w:val="HideTWBExt"/>
        </w:rPr>
        <w:t>&lt;Date&gt;</w:t>
      </w:r>
      <w:r>
        <w:rPr>
          <w:rStyle w:val="HideTWBInt"/>
          <w:color w:val="auto"/>
        </w:rPr>
        <w:t>{12/01/2023}</w:t>
      </w:r>
      <w:r>
        <w:t>12.1.2023</w:t>
      </w:r>
      <w:r>
        <w:rPr>
          <w:rStyle w:val="HideTWBExt"/>
        </w:rPr>
        <w:t>&lt;/Date&gt;</w:t>
      </w:r>
    </w:p>
    <w:p w:rsidR="00DB56E4" w:rsidRPr="00791EDA" w:rsidRDefault="009E38A5" w:rsidP="00DB56E4">
      <w:pPr>
        <w:pStyle w:val="CoverDocType24a"/>
      </w:pPr>
      <w:r>
        <w:rPr>
          <w:rStyle w:val="HideTWBExt"/>
          <w:b w:val="0"/>
        </w:rPr>
        <w:t>&lt;TitreType&gt;</w:t>
      </w:r>
      <w:r>
        <w:t>ΓΝΩΜΟΔΟΤΗΣΗ</w:t>
      </w:r>
      <w:r>
        <w:rPr>
          <w:rStyle w:val="HideTWBExt"/>
          <w:b w:val="0"/>
        </w:rPr>
        <w:t>&lt;/TitreType&gt;</w:t>
      </w:r>
    </w:p>
    <w:p w:rsidR="00DB56E4" w:rsidRPr="00791EDA" w:rsidRDefault="009E38A5" w:rsidP="00DB56E4">
      <w:pPr>
        <w:pStyle w:val="CoverNormal24a"/>
      </w:pPr>
      <w:r>
        <w:rPr>
          <w:rStyle w:val="HideTWBExt"/>
        </w:rPr>
        <w:t>&lt;CommissionResp&gt;</w:t>
      </w:r>
      <w:r>
        <w:t>της Επιτροπής Πολιτικών Ελευθεριών, Δικαιοσύνης και Εσωτερικών Υποθέσεων</w:t>
      </w:r>
      <w:r>
        <w:rPr>
          <w:rStyle w:val="HideTWBExt"/>
        </w:rPr>
        <w:t>&lt;/CommissionResp&gt;</w:t>
      </w:r>
    </w:p>
    <w:p w:rsidR="00DB56E4" w:rsidRPr="00791EDA" w:rsidRDefault="009E38A5" w:rsidP="00DB56E4">
      <w:pPr>
        <w:pStyle w:val="CoverNormal24a"/>
      </w:pPr>
      <w:r>
        <w:rPr>
          <w:rStyle w:val="HideTWBExt"/>
        </w:rPr>
        <w:t>&lt;CommissionInt&gt;</w:t>
      </w:r>
      <w:r>
        <w:t>προς την Επιτροπή Οικονομικής και Νομισματικής Πολιτικής</w:t>
      </w:r>
      <w:r>
        <w:rPr>
          <w:rStyle w:val="HideTWBExt"/>
        </w:rPr>
        <w:t>&lt;/CommissionInt&gt;</w:t>
      </w:r>
    </w:p>
    <w:p w:rsidR="00DB5C33" w:rsidRPr="006F3A74" w:rsidRDefault="009E38A5" w:rsidP="00DB5C33">
      <w:pPr>
        <w:pStyle w:val="CoverNormal"/>
      </w:pPr>
      <w:r>
        <w:rPr>
          <w:rStyle w:val="HideTWBExt"/>
        </w:rPr>
        <w:t>&lt;Titre&gt;</w:t>
      </w:r>
      <w:r>
        <w:t>σχετικά με την πρόταση κανονισμού του Ευρω</w:t>
      </w:r>
      <w:r>
        <w:t>παϊκού Κοινοβουλίου και του Συμβουλίου για τη θέσπιση ευρωπαϊκού ενιαίου σημείου πρόσβασης το οποίο παρέχει κεντρική πρόσβαση σε πληροφορίες διαθέσιμες στο κοινό σε σχέση με τις χρηματοπιστωτικές υπηρεσίες, τις κεφαλαιαγορές και τη βιωσιμότητα</w:t>
      </w:r>
      <w:r>
        <w:rPr>
          <w:rStyle w:val="HideTWBExt"/>
        </w:rPr>
        <w:t>&lt;/Titre&gt;</w:t>
      </w:r>
    </w:p>
    <w:p w:rsidR="00DB5C33" w:rsidRPr="006F3A74" w:rsidRDefault="009E38A5" w:rsidP="00DB5C33">
      <w:pPr>
        <w:pStyle w:val="CoverNormal24a"/>
      </w:pPr>
      <w:r>
        <w:rPr>
          <w:rStyle w:val="HideTWBExt"/>
        </w:rPr>
        <w:t>&lt;DocRef&gt;</w:t>
      </w:r>
      <w:r>
        <w:t>(COM(2021)0723 – C9</w:t>
      </w:r>
      <w:r>
        <w:noBreakHyphen/>
        <w:t>0434/2021 – 2021/0378(COD))</w:t>
      </w:r>
      <w:r>
        <w:rPr>
          <w:rStyle w:val="HideTWBExt"/>
        </w:rPr>
        <w:t>&lt;/DocRef&gt;</w:t>
      </w:r>
    </w:p>
    <w:p w:rsidR="00DB56E4" w:rsidRPr="00791EDA" w:rsidRDefault="009E38A5" w:rsidP="00DB56E4">
      <w:pPr>
        <w:pStyle w:val="CoverNormal24a"/>
      </w:pPr>
      <w:r>
        <w:t xml:space="preserve">Συντάκτης γνωμοδότησης: </w:t>
      </w:r>
      <w:r>
        <w:rPr>
          <w:rStyle w:val="HideTWBExt"/>
        </w:rPr>
        <w:t>&lt;Depute&gt;</w:t>
      </w:r>
      <w:r>
        <w:t>Emil Radev</w:t>
      </w:r>
      <w:r>
        <w:rPr>
          <w:rStyle w:val="HideTWBExt"/>
        </w:rPr>
        <w:t>&lt;/Depute&gt;</w:t>
      </w:r>
    </w:p>
    <w:p w:rsidR="00487596" w:rsidRPr="00791EDA" w:rsidRDefault="00487596" w:rsidP="00487596">
      <w:pPr>
        <w:pStyle w:val="CoverNormal"/>
      </w:pPr>
    </w:p>
    <w:p w:rsidR="00DB56E4" w:rsidRPr="00791EDA" w:rsidRDefault="009E38A5" w:rsidP="0004474F">
      <w:pPr>
        <w:tabs>
          <w:tab w:val="center" w:pos="4677"/>
        </w:tabs>
      </w:pPr>
      <w:r>
        <w:br w:type="page"/>
      </w:r>
      <w:r>
        <w:lastRenderedPageBreak/>
        <w:t>PA_Legam</w:t>
      </w:r>
    </w:p>
    <w:p w:rsidR="00470BF2" w:rsidRPr="00791EDA" w:rsidRDefault="009E38A5" w:rsidP="002A45D9">
      <w:pPr>
        <w:pStyle w:val="PageHeadingNotTOC"/>
      </w:pPr>
      <w:r>
        <w:br w:type="page"/>
      </w:r>
    </w:p>
    <w:p w:rsidR="00DB56E4" w:rsidRPr="00791EDA" w:rsidRDefault="009E38A5" w:rsidP="00DB56E4">
      <w:pPr>
        <w:pStyle w:val="AmHeadingPA"/>
      </w:pPr>
      <w:r>
        <w:lastRenderedPageBreak/>
        <w:t>ΤΡΟΠΟΛΟΓΙΕΣ</w:t>
      </w:r>
    </w:p>
    <w:p w:rsidR="00DB56E4" w:rsidRPr="00791EDA" w:rsidRDefault="009E38A5" w:rsidP="001E3AC4">
      <w:pPr>
        <w:pStyle w:val="Normal12a"/>
      </w:pPr>
      <w:bookmarkStart w:id="0" w:name="IntroA"/>
      <w:r>
        <w:t>Η Επιτροπή Πολιτικών Ελευθεριών, Δικαιοσύνης και Εσωτερικών Υποθέσεων καλεί την Επιτροπή Οικονομικής και Νομισματι</w:t>
      </w:r>
      <w:r>
        <w:t>κής Πολιτικής, που είναι αρμόδια επί της ουσίας, να λάβει υπόψη της τις ακόλουθες τροπολογίες:</w:t>
      </w:r>
    </w:p>
    <w:bookmarkEnd w:id="0"/>
    <w:p w:rsidR="00DB5C33" w:rsidRPr="006F3A74" w:rsidRDefault="009E38A5" w:rsidP="00DB5C33">
      <w:r>
        <w:rPr>
          <w:rStyle w:val="HideTWBExt"/>
        </w:rPr>
        <w:t>&lt;RepeatBlock-Amend&gt;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w:t>
            </w:r>
            <w:r>
              <w:t xml:space="preserve">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(2)</w:t>
            </w:r>
            <w:r>
              <w:tab/>
              <w:t>Η εύκολη πρόσβαση στα δεδομένα είναι σημαντική προκειμένου οι φορείς λήψης αποφάσεων στην οικονομία και την κοινωνία να λαμβάνουν ορθές αποφάσεις που εξυπηρετούν την αποτελεσματική λειτουργία της αγοράς. Η ανάπτυξη κοινών ευρωπαϊκ</w:t>
            </w:r>
            <w:r>
              <w:t>ών χώρων δεδομένων σε κρίσιμους τομείς, συμπεριλαμβανομένου του χρηματοοικονομικού τομέα, εξυπηρετεί αυτόν τον σκοπό. Ο χρηματοοικονομικός τομέας διέρχεται ψηφιακό μετασχηματισμό, ο οποίος αναμένεται να συνεχιστεί τα επόμενα έτη, και η Ένωση θα πρέπει να σ</w:t>
            </w:r>
            <w:r>
              <w:t>τηρίξει τον εν λόγω μετασχηματισμό, ιδίως με την προώθηση της χρηματοδότησης που βασίζεται στα δεδομένα. Επιπλέον, η τοποθέτηση των βιώσιμων χρηματοοικονομικών στο επίκεντρο του χρηματοοικονομικού συστήματος αποτελεί βασικό μέσο για την επίτευξη της πράσιν</w:t>
            </w:r>
            <w:r>
              <w:t xml:space="preserve">ης μετάβασης της οικονομίας της Ένωσης. Για να επιτύχει η πράσινη </w:t>
            </w:r>
            <w:r>
              <w:t>μετάβαση μέσω των βιώσιμων χρηματοοικονομικών, είναι σημαντικό οι πληροφορίες που σχετίζονται με τη βιωσιμότητα των επιχειρήσεων να είναι εύκολα προσβάσιμες στους επενδυτές, προκειμένου να ε</w:t>
            </w:r>
            <w:r>
              <w:t xml:space="preserve">ίναι καλύτερα ενημερωμένοι όταν λαμβάνουν αποφάσεις για επενδύσεις. Για τους εν λόγω σκοπούς, πρέπει να βελτιωθεί η πρόσβαση του κοινού σε πληροφορίες οντοτήτων, όπως χρηματοοικονομικές και μη </w:t>
            </w:r>
            <w:r>
              <w:lastRenderedPageBreak/>
              <w:t>χρηματοοικονομικές πληροφορίες εταιρειών, επιχειρήσεων, χρηματο</w:t>
            </w:r>
            <w:r>
              <w:t>πιστωτικών ιδρυμάτων. Ένα αποτελεσματικό μέσο για την επίτευξη αυτού του σκοπού σε επίπεδο Ένωσης είναι η δημιουργία μιας κεντρικής πλατφόρμας, ενός ευρωπαϊκού ενιαίου σημείου πρόσβασης (στο εξής: ESAP) που θα παρέχει ηλεκτρονική πρόσβαση σε όλες τις σχετι</w:t>
            </w:r>
            <w:r>
              <w:t>κές πληροφορίες.</w:t>
            </w:r>
          </w:p>
        </w:tc>
        <w:tc>
          <w:tcPr>
            <w:tcW w:w="4876" w:type="dxa"/>
            <w:hideMark/>
          </w:tcPr>
          <w:p w:rsidR="00DB5C33" w:rsidRPr="006F3A74" w:rsidRDefault="009E38A5" w:rsidP="004A2342">
            <w:pPr>
              <w:pStyle w:val="Normal6"/>
              <w:rPr>
                <w:szCs w:val="24"/>
              </w:rPr>
            </w:pPr>
            <w:r>
              <w:lastRenderedPageBreak/>
              <w:t>(2)</w:t>
            </w:r>
            <w:r>
              <w:tab/>
              <w:t xml:space="preserve">Η εύκολη </w:t>
            </w:r>
            <w:r>
              <w:rPr>
                <w:b/>
                <w:i/>
              </w:rPr>
              <w:t xml:space="preserve">και διαρθρωμένη </w:t>
            </w:r>
            <w:r>
              <w:t>πρόσβαση στα δεδομένα είναι σημαντική προκειμένου οι φορείς λήψης αποφάσεων στην οικονομία και την κοινωνία να λαμβάνουν ορθές</w:t>
            </w:r>
            <w:r>
              <w:rPr>
                <w:b/>
                <w:i/>
              </w:rPr>
              <w:t>, τεκμηριωμένες και περιβαλλοντικά και κοινωνικά υπεύθυνες επενδυτικές</w:t>
            </w:r>
            <w:r>
              <w:t xml:space="preserve"> αποφάσεις που</w:t>
            </w:r>
            <w:r>
              <w:t xml:space="preserve"> εξυπηρετούν την αποτελεσματική λειτουργία της αγοράς. Η ανάπτυξη </w:t>
            </w:r>
            <w:r>
              <w:t>κοινών ευρωπαϊκών χώρων δεδομένων σε κρίσιμους τομείς, συμπεριλαμβανομένου του χρηματοοικονομικού τομέα, εξυπηρετεί αυτόν τον σκοπό. Ο χρηματοοικονομικός τομέας διέρχεται ψηφιακό μετασχηματι</w:t>
            </w:r>
            <w:r>
              <w:t>σμό, ο οποίος αναμένεται να συνεχιστεί τα επόμενα έτη, και η Ένωση θα πρέπει να στηρίξει τον εν λόγω μετασχηματισμό, ιδίως με την προώθηση της χρηματοδότησης που βασίζεται στα δεδομένα. Επιπλέον, η τοποθέτηση των βιώσιμων χρηματοοικονομικών στο επίκεντρο τ</w:t>
            </w:r>
            <w:r>
              <w:t>ου χρηματοοικονομικού συστήματος αποτελεί βασικό μέσο για την επίτευξη της πράσινης μετάβασης της οικονομίας της Ένωσης. Για να επιτύχει η πράσινη μετάβαση μέσω των βιώσιμων χρηματοοικονομικών, είναι σημαντικό οι πληροφορίες που σχετίζονται με τη βιωσιμότη</w:t>
            </w:r>
            <w:r>
              <w:t xml:space="preserve">τα των επιχειρήσεων να είναι εύκολα προσβάσιμες στους επενδυτές, προκειμένου να είναι καλύτερα ενημερωμένοι όταν λαμβάνουν αποφάσεις για επενδύσεις. Για τους εν λόγω σκοπούς, </w:t>
            </w:r>
            <w:r>
              <w:lastRenderedPageBreak/>
              <w:t>πρέπει να βελτιωθεί η πρόσβαση του κοινού σε πληροφορίες οντοτήτων, όπως χρηματοο</w:t>
            </w:r>
            <w:r>
              <w:t xml:space="preserve">ικονομικές και μη χρηματοοικονομικές πληροφορίες εταιρειών, επιχειρήσεων, χρηματοπιστωτικών ιδρυμάτων. Ένα αποτελεσματικό μέσο για την </w:t>
            </w:r>
            <w:r>
              <w:t>επίτευξη αυτού του σκοπού σε επίπεδο Ένωσης είναι η δημιουργία μιας κεντρικής πλατφόρμας, ενός ευρωπαϊκού ενιαίου σημείου</w:t>
            </w:r>
            <w:r>
              <w:t xml:space="preserve"> πρόσβασης (στο εξής: ESAP) που θα παρέχει ηλεκτρονική πρόσβαση σε όλες τις σχετικές πληροφορίες.</w:t>
            </w:r>
          </w:p>
        </w:tc>
      </w:tr>
    </w:tbl>
    <w:p w:rsidR="00DB5C33" w:rsidRPr="006F3A74" w:rsidRDefault="009E38A5" w:rsidP="00DB5C33">
      <w:r>
        <w:rPr>
          <w:rStyle w:val="HideTWBExt"/>
        </w:rPr>
        <w:lastRenderedPageBreak/>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Αιτιολογική σκέψη 2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 xml:space="preserve">Κείμενο που προτείνει </w:t>
            </w:r>
            <w:r>
              <w:t>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4A2342">
            <w:pPr>
              <w:pStyle w:val="Normal6"/>
              <w:rPr>
                <w:szCs w:val="24"/>
              </w:rPr>
            </w:pPr>
            <w:r>
              <w:rPr>
                <w:b/>
                <w:i/>
              </w:rPr>
              <w:t>(2α)</w:t>
            </w:r>
            <w:r>
              <w:rPr>
                <w:b/>
                <w:i/>
              </w:rPr>
              <w:tab/>
              <w:t xml:space="preserve">δεδομένου ότι οι νέες νομοθετικές πράξεις, όπως ο κανονισμός ΧΧΧ για τα πράσινα ομόλογα, βρίσκονται επί του παρόντος υπό διαπραγμάτευση ή στο στάδιο της ολοκλήρωσής τους, αλλά </w:t>
            </w:r>
            <w:r>
              <w:rPr>
                <w:b/>
                <w:i/>
              </w:rPr>
              <w:t>δεν απαριθμούνται στο παράρτημα του παρόντος κανονι</w:t>
            </w:r>
            <w:r>
              <w:rPr>
                <w:b/>
                <w:i/>
              </w:rPr>
              <w:t>σμού, η Επιτροπή θα πρέπει να εξουσιοδοτηθεί να επικαιροποιεί το παράρτημα ώστε να προσθέτει πρόσφατα εγκριθείσα νομοθεσία σχετικά με την παροχή χρηματοπιστωτικών υπηρεσιών, τις κεφαλαιαγορές και τη βιωσιμότητα.</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3</w:t>
      </w:r>
      <w:r>
        <w:rPr>
          <w:rStyle w:val="HideTWBExt"/>
          <w:b w:val="0"/>
        </w:rPr>
        <w:t>&lt;/NumAm</w:t>
      </w:r>
      <w:r>
        <w:rPr>
          <w:rStyle w:val="HideTWBExt"/>
          <w:b w:val="0"/>
        </w:rPr>
        <w:t>&gt;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(4)</w:t>
            </w:r>
            <w:r>
              <w:tab/>
              <w:t xml:space="preserve">Οι πληροφορίες που πρέπει να δημοσιοποιούνται στο ESAP θα πρέπει να συλλέγονται από φορείς συλλογής που έχουν οριστεί για </w:t>
            </w:r>
            <w:r>
              <w:t xml:space="preserve">τον σκοπό της συλλογής </w:t>
            </w:r>
            <w:r>
              <w:lastRenderedPageBreak/>
              <w:t>των πληροφοριών τις οποίες οι οντότητες υποχρεούνται να δημοσιοποιούν. Προκειμένου να διασφαλιστεί η αποτελεσματική λειτουργία του ESAP, οι φορείς συλλογής θα πρέπει να διαθέτουν τις πληροφορίες στο ESAP με αυτοματοποιημένους τρόπους</w:t>
            </w:r>
            <w:r>
              <w:t xml:space="preserve"> μέσω μιας ενιαίας διεπαφής προγραμματισμού εφαρμογών. Προκειμένου οι πληροφορίες να μπορούν να χρησιμοποιηθούν ψηφιακά, οι οντότητες θα πρέπει να διαθέτουν τις εν λόγω πληροφορίες σε μορφότυπο που επιτρέπει την εξαγωγή δεδομένων ή, όταν απαιτείται από το </w:t>
            </w:r>
            <w:r>
              <w:t>δίκαιο της Ένωσης, σε μηχαναγνώσιμο μορφότυπο. Σε σύγκριση με τους μορφότυπους που επιτρέπουν την εξαγωγή δεδομένων, οι μηχαναγνώσιμοι μορφότυποι είναι μορφότυποι αρχείων δομημένοι έτσι ώστε οι εφαρμογές λογισμικού να μπορούν εύκολα να εντοπίζουν, να αναγν</w:t>
            </w:r>
            <w:r>
              <w:t xml:space="preserve">ωρίζουν και να εξάγουν συγκεκριμένα δεδομένα, συμπεριλαμβανομένων μεμονωμένων δηλώσεων πραγματικών περιστατικών, και την εσωτερική τους δομή. Για να διασφαλίζεται ότι οι οντότητες υποβάλλουν τις πληροφορίες στον σωστό μορφότυπο και για να αντιμετωπίζονται </w:t>
            </w:r>
            <w:r>
              <w:t>πιθανά τεχνικά ζητήματα που αντιμετωπίζουν οι οντότητες, οι φορείς συλλογής θα πρέπει να παρέχουν βοήθεια στις εν λόγω οντότητες.</w:t>
            </w:r>
          </w:p>
        </w:tc>
        <w:tc>
          <w:tcPr>
            <w:tcW w:w="4876" w:type="dxa"/>
            <w:hideMark/>
          </w:tcPr>
          <w:p w:rsidR="00DB5C33" w:rsidRPr="006F3A74" w:rsidRDefault="009E38A5" w:rsidP="004A2342">
            <w:pPr>
              <w:pStyle w:val="Normal6"/>
              <w:rPr>
                <w:szCs w:val="24"/>
              </w:rPr>
            </w:pPr>
            <w:r>
              <w:lastRenderedPageBreak/>
              <w:t>(4)</w:t>
            </w:r>
            <w:r>
              <w:tab/>
              <w:t xml:space="preserve">Οι πληροφορίες που πρέπει να δημοσιοποιούνται στο ESAP θα πρέπει να συλλέγονται από φορείς συλλογής που έχουν οριστεί για </w:t>
            </w:r>
            <w:r>
              <w:t xml:space="preserve">τον σκοπό της συλλογής </w:t>
            </w:r>
            <w:r>
              <w:lastRenderedPageBreak/>
              <w:t>των πληροφοριών τις οποίες οι οντότητες υποχρεούνται να δημοσιοποιούν. Προκειμένου να διασφαλιστεί η αποτελεσματική λειτουργία του ESAP, οι φορείς συλλογής θα πρέπει να διαθέτουν τις πληροφορίες στο ESAP με αυτοματοποιημένους τρόπους</w:t>
            </w:r>
            <w:r>
              <w:t xml:space="preserve"> μέσω μιας ενιαίας διεπαφής προγραμματισμού εφαρμογών.</w:t>
            </w:r>
            <w:r>
              <w:rPr>
                <w:b/>
                <w:i/>
              </w:rPr>
              <w:t xml:space="preserve"> Όπου είναι δυνατόν, και με την επιφύλαξη της απόφασης του οικείου κράτους μέλους, οι φορείς συλλογής που έχουν οριστεί για τον σκοπό της συλλογής πληροφοριών, τις οποίες οι οντότητες υποχρεούνται να </w:t>
            </w:r>
            <w:r>
              <w:rPr>
                <w:b/>
                <w:i/>
              </w:rPr>
              <w:t>δημοσιοποιούν, θα πρέπει επίσης να είναι επιφορτισμένοι με τη συλλογή των πληροφοριών που υποβάλλονται εθελοντικά.</w:t>
            </w:r>
            <w:r>
              <w:t xml:space="preserve"> Προκειμένου οι πληροφορίες να μπορούν να χρησιμοποιηθούν ψηφιακά, οι οντότητες θα πρέπει να διαθέτουν τις εν λόγω πληροφορίες σε μορφότυπο πο</w:t>
            </w:r>
            <w:r>
              <w:t>υ επιτρέπει την εξαγωγή δεδομένων ή, όταν απαιτείται από το δίκαιο της Ένωσης, σε μηχαναγνώσιμο μορφότυπο. Σε σύγκριση με τους μορφότυπους που επιτρέπουν την εξαγωγή δεδομένων, οι μηχαναγνώσιμοι μορφότυποι είναι μορφότυποι αρχείων δομημένοι έτσι ώστε οι εφ</w:t>
            </w:r>
            <w:r>
              <w:t>αρμογές λογισμικού να μπορούν εύκολα να εντοπίζουν, να αναγνωρίζουν και να εξάγουν συγκεκριμένα δεδομένα, συμπεριλαμβανομένων μεμονωμένων δηλώσεων πραγματικών περιστατικών, και την εσωτερική τους δομή. Για να διασφαλίζεται ότι οι οντότητες υποβάλλουν τις π</w:t>
            </w:r>
            <w:r>
              <w:t>ληροφορίες στον σωστό μορφότυπο και για να αντιμετωπίζονται πιθανά τεχνικά ζητήματα που αντιμετωπίζουν οι οντότητες, οι φορείς συλλογής θα πρέπει να παρέχουν βοήθεια στις εν λόγω οντότητες.</w:t>
            </w:r>
          </w:p>
        </w:tc>
      </w:tr>
    </w:tbl>
    <w:p w:rsidR="00DB5C33" w:rsidRPr="006F3A74" w:rsidRDefault="009E38A5" w:rsidP="00DB5C33">
      <w:r>
        <w:rPr>
          <w:rStyle w:val="HideTWBExt"/>
        </w:rPr>
        <w:lastRenderedPageBreak/>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4</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 xml:space="preserve">Πρόταση </w:t>
      </w:r>
      <w:r>
        <w:t>κανονισμού</w:t>
      </w:r>
      <w:r>
        <w:rPr>
          <w:rStyle w:val="HideTWBExt"/>
          <w:b w:val="0"/>
        </w:rPr>
        <w:t>&lt;/DocAmend&gt;</w:t>
      </w:r>
    </w:p>
    <w:p w:rsidR="00DB5C33" w:rsidRPr="006F3A74" w:rsidRDefault="009E38A5" w:rsidP="00DB5C33">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(5)</w:t>
            </w:r>
            <w:r>
              <w:tab/>
              <w:t xml:space="preserve">Εκτός από τις πληροφορίες σχετικά με τις χρηματοπιστωτικές υπηρεσίες, τις κεφαλαιαγορές και τη βιωσιμότητα που πρέπει να δημοσιοποιούνται βάσει </w:t>
            </w:r>
            <w:r>
              <w:t>του δικαίου της Ένωσης, οι επενδυτές, οι συμμετέχοντες στην αγορά, οι σύμβουλοι και το ευρύ κοινό μπορεί να ενδιαφέρονται να λάβουν άλλες πληροφορίες τις οποίες μια οντότητα επιθυμεί να καταστήσει προσβάσιμες. Οι μικρές και μεσαίες επιχειρήσεις μπορεί να θ</w:t>
            </w:r>
            <w:r>
              <w:t>ελήσουν να δημοσιοποιήσουν περισσότερες πληροφορίες προκειμένου να προβληθούν περισσότερο στους δυνητικούς επενδυτές και, ως εκ τούτου, να αυξήσουν τη χρηματοδότηση και να διαφοροποιήσουν τις ευκαιρίες χρηματοδότησης. Επίσης, οι συμμετέχοντες στην αγορά μπ</w:t>
            </w:r>
            <w:r>
              <w:t>ορεί να θελήσουν να παράσχουν περισσότερες πληροφορίες από αυτές που απαιτούνται από τη νομοθεσία ή να δημοσιοποιήσουν τις πληροφορίες που απαιτούνται από το εθνικό δίκαιο αλλά δεν είναι διαθέσιμες σε επίπεδο Ένωσης, προκειμένου να συμπληρώσουν τις πληροφο</w:t>
            </w:r>
            <w:r>
              <w:t>ρίες που παρέχονται στο κοινό σε επίπεδο Ένωσης. Συνεπώς, κάθε οντότητα θα πρέπει να έχει τη δυνατότητα να καθιστά προσβάσιμες στο ESAP χρηματοοικονομικές, συναφείς με τη βιωσιμότητα και άλλες σχετικές πληροφορίες. Σύμφωνα με την αρχή της ελαχιστοποίησης τ</w:t>
            </w:r>
            <w:r>
              <w:t>ων δεδομένων, οι οντότητες θα πρέπει να διασφαλίζουν ότι δεν περιλαμβάνονται δεδομένα προσωπικού χαρακτήρα, εκτός εάν τα εν λόγω δεδομένα αποτελούν απαραίτητο στοιχείο των πληροφοριών σχετικά με τις οικονομικές δραστηριότητές τους, μεταξύ άλλων όταν η επων</w:t>
            </w:r>
            <w:r>
              <w:t xml:space="preserve">υμία της οντότητας συμπίπτει με το όνομα του ιδιοκτήτη. Όταν οι πληροφορίες αυτές περιέχουν δεδομένα προσωπικού χαρακτήρα, οι οντότητες θα πρέπει να διασφαλίζουν ότι, για την εν λόγω γνωστοποίηση, μπορούν να βασιστούν σε έναν από τους νόμιμους </w:t>
            </w:r>
            <w:r>
              <w:lastRenderedPageBreak/>
              <w:t>λόγους επεξε</w:t>
            </w:r>
            <w:r>
              <w:t>ργασίας που προβλέπονται στο άρθρο 6 του κανονισμού (ΕΕ) 2016/679 του Ευρωπαϊκού Κοινοβουλίου και του Συμβουλίου</w:t>
            </w:r>
            <w:r>
              <w:rPr>
                <w:vertAlign w:val="superscript"/>
              </w:rPr>
              <w:t>26</w:t>
            </w:r>
            <w:r>
              <w:t>.</w:t>
            </w:r>
          </w:p>
        </w:tc>
        <w:tc>
          <w:tcPr>
            <w:tcW w:w="4876" w:type="dxa"/>
            <w:hideMark/>
          </w:tcPr>
          <w:p w:rsidR="00DB5C33" w:rsidRPr="006F3A74" w:rsidRDefault="009E38A5" w:rsidP="004A2342">
            <w:pPr>
              <w:pStyle w:val="Normal6"/>
              <w:rPr>
                <w:szCs w:val="24"/>
              </w:rPr>
            </w:pPr>
            <w:r>
              <w:lastRenderedPageBreak/>
              <w:t>(5)</w:t>
            </w:r>
            <w:r>
              <w:tab/>
              <w:t>Εκτός από τις πληροφορίες σχετικά με τις χρηματοπιστωτικές υπηρεσίες, τις κεφαλαιαγορές και τη βιωσιμότητα που πρέπει να δημοσιοποιούντα</w:t>
            </w:r>
            <w:r>
              <w:t xml:space="preserve">ι βάσει του δικαίου της Ένωσης, οι επενδυτές, οι συμμετέχοντες στην αγορά, οι σύμβουλοι και το ευρύ κοινό μπορεί να ενδιαφέρονται να λάβουν άλλες πληροφορίες τις οποίες μια οντότητα επιθυμεί να καταστήσει προσβάσιμες. Οι </w:t>
            </w:r>
            <w:r>
              <w:rPr>
                <w:b/>
                <w:i/>
              </w:rPr>
              <w:t xml:space="preserve">πολύ μικρές, </w:t>
            </w:r>
            <w:r>
              <w:t>μικρές και μεσαίες επι</w:t>
            </w:r>
            <w:r>
              <w:t>χειρήσεις μπορεί να θελήσουν να δημοσιοποιήσουν περισσότερες πληροφορίες προκειμένου να προβληθούν περισσότερο στους δυνητικούς επενδυτές και, ως εκ τούτου, να αυξήσουν τη χρηματοδότηση και να διαφοροποιήσουν τις ευκαιρίες χρηματοδότησης. Επίσης, οι συμμετ</w:t>
            </w:r>
            <w:r>
              <w:t>έχοντες στην αγορά μπορεί να θελήσουν να παράσχουν περισσότερες πληροφορίες από αυτές που απαιτούνται από τη νομοθεσία ή να δημοσιοποιήσουν τις πληροφορίες που απαιτούνται από το εθνικό δίκαιο αλλά δεν είναι διαθέσιμες σε επίπεδο Ένωσης, προκειμένου να συμ</w:t>
            </w:r>
            <w:r>
              <w:t>πληρώσουν τις πληροφορίες που παρέχονται στο κοινό σε επίπεδο Ένωσης. Συνεπώς, κάθε οντότητα θα πρέπει να έχει τη δυνατότητα να καθιστά προσβάσιμες στο ESAP χρηματοοικονομικές, συναφείς με τη βιωσιμότητα και άλλες σχετικές πληροφορίες</w:t>
            </w:r>
            <w:r>
              <w:rPr>
                <w:b/>
                <w:i/>
              </w:rPr>
              <w:t>.</w:t>
            </w:r>
            <w:r>
              <w:t xml:space="preserve"> </w:t>
            </w:r>
            <w:r>
              <w:rPr>
                <w:b/>
                <w:i/>
              </w:rPr>
              <w:t>Οι οντότητες που υπο</w:t>
            </w:r>
            <w:r>
              <w:rPr>
                <w:b/>
                <w:i/>
              </w:rPr>
              <w:t>βάλλουν οικειοθελώς πληροφορίες για την προσβασιμότητα στο ESAP θα πρέπει να είναι υπεύθυνες για την ποιότητα, την πληρότητα και την ακρίβειά τους. Οι πληροφορίες πρέπει να υποβάλλονται καλή τη πίστει και να αντικατοπτρίζουν την πραγματική κατάσταση.</w:t>
            </w:r>
            <w:r>
              <w:t xml:space="preserve"> Σύμφω</w:t>
            </w:r>
            <w:r>
              <w:t>να με την αρχή της ελαχιστοποίησης των δεδομένων, οι οντότητες θα πρέπει να διασφαλίζουν ότι δεν περιλαμβάνονται δεδομένα προσωπικού χαρακτήρα, εκτός εάν τα εν λόγω δεδομένα αποτελούν απαραίτητο στοιχείο των πληροφοριών σχετικά με τις οικονομικές δραστηριό</w:t>
            </w:r>
            <w:r>
              <w:t xml:space="preserve">τητές </w:t>
            </w:r>
            <w:r>
              <w:lastRenderedPageBreak/>
              <w:t>τους, μεταξύ άλλων όταν η επωνυμία της οντότητας συμπίπτει με το όνομα του ιδιοκτήτη. Όταν οι πληροφορίες αυτές περιέχουν δεδομένα προσωπικού χαρακτήρα, οι οντότητες θα πρέπει να διασφαλίζουν ότι, για την εν λόγω γνωστοποίηση, μπορούν να βασιστούν σε</w:t>
            </w:r>
            <w:r>
              <w:t xml:space="preserve"> έναν από τους νόμιμους λόγους επεξεργασίας που προβλέπονται στο άρθρο 6 του κανονισμού (ΕΕ) 2016/679 του Ευρωπαϊκού Κοινοβουλίου και του Συμβουλίου</w:t>
            </w:r>
            <w:r>
              <w:rPr>
                <w:vertAlign w:val="superscript"/>
              </w:rPr>
              <w:t>26</w:t>
            </w:r>
            <w:r>
              <w:t>.</w:t>
            </w:r>
          </w:p>
        </w:tc>
      </w:tr>
      <w:tr w:rsidR="00F743A1" w:rsidTr="004A2342">
        <w:trPr>
          <w:jc w:val="center"/>
        </w:trPr>
        <w:tc>
          <w:tcPr>
            <w:tcW w:w="4876" w:type="dxa"/>
            <w:hideMark/>
          </w:tcPr>
          <w:p w:rsidR="00DB5C33" w:rsidRPr="006F3A74" w:rsidRDefault="009E38A5" w:rsidP="004A2342">
            <w:pPr>
              <w:pStyle w:val="Normal6"/>
            </w:pPr>
            <w:r>
              <w:lastRenderedPageBreak/>
              <w:t>__________________</w:t>
            </w:r>
          </w:p>
        </w:tc>
        <w:tc>
          <w:tcPr>
            <w:tcW w:w="4876" w:type="dxa"/>
            <w:hideMark/>
          </w:tcPr>
          <w:p w:rsidR="00DB5C33" w:rsidRPr="006F3A74" w:rsidRDefault="009E38A5" w:rsidP="004A2342">
            <w:pPr>
              <w:pStyle w:val="Normal6"/>
              <w:rPr>
                <w:szCs w:val="24"/>
              </w:rPr>
            </w:pPr>
            <w:r>
              <w:t>__________________</w:t>
            </w:r>
          </w:p>
        </w:tc>
      </w:tr>
      <w:tr w:rsidR="00F743A1" w:rsidTr="004A2342">
        <w:trPr>
          <w:jc w:val="center"/>
        </w:trPr>
        <w:tc>
          <w:tcPr>
            <w:tcW w:w="4876" w:type="dxa"/>
            <w:hideMark/>
          </w:tcPr>
          <w:p w:rsidR="00DB5C33" w:rsidRPr="006F3A74" w:rsidRDefault="009E38A5" w:rsidP="004A2342">
            <w:pPr>
              <w:pStyle w:val="Normal6"/>
            </w:pPr>
            <w:r>
              <w:rPr>
                <w:vertAlign w:val="superscript"/>
              </w:rPr>
              <w:t>26</w:t>
            </w:r>
            <w:r>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w:t>
            </w:r>
            <w:r>
              <w:t>κατάργηση της οδηγίας 95/46/ΕΚ (γενικός κανονισμός για την προστασία δεδομένων) (ΕΕ L 119 της 4.5.2016, σ. 1).</w:t>
            </w:r>
          </w:p>
        </w:tc>
        <w:tc>
          <w:tcPr>
            <w:tcW w:w="4876" w:type="dxa"/>
            <w:hideMark/>
          </w:tcPr>
          <w:p w:rsidR="00DB5C33" w:rsidRPr="006F3A74" w:rsidRDefault="009E38A5" w:rsidP="004A2342">
            <w:pPr>
              <w:pStyle w:val="Normal6"/>
              <w:rPr>
                <w:szCs w:val="24"/>
              </w:rPr>
            </w:pPr>
            <w:r>
              <w:rPr>
                <w:vertAlign w:val="superscript"/>
              </w:rPr>
              <w:t>26</w:t>
            </w:r>
            <w:r>
              <w:t xml:space="preserve"> Κανονισμός (ΕΕ) 2016/679 του Ευρωπαϊκού Κοινοβουλίου και του Συμβουλίου, της 27ης Απριλίου 2016, για την προστασία των φυσικών προσώπων έναντι</w:t>
            </w:r>
            <w:r>
              <w:t xml:space="preserve">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w:t>
      </w:r>
      <w:r>
        <w:rPr>
          <w:rStyle w:val="HideTWBExt"/>
          <w:b w:val="0"/>
        </w:rPr>
        <w:t>mAm&gt;</w:t>
      </w:r>
      <w:r>
        <w:t>5</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Αιτιολογική σκέψη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(12)</w:t>
            </w:r>
            <w:r>
              <w:tab/>
              <w:t xml:space="preserve">Το ESAP θα πρέπει να παρέχει </w:t>
            </w:r>
            <w:r>
              <w:rPr>
                <w:b/>
                <w:i/>
              </w:rPr>
              <w:t>στους χρήστες</w:t>
            </w:r>
            <w:r>
              <w:t xml:space="preserve"> δωρεάν και χωρίς διακρίσεις πρόσβαση στις πληροφορίες και </w:t>
            </w:r>
            <w:r>
              <w:rPr>
                <w:b/>
                <w:i/>
              </w:rPr>
              <w:t xml:space="preserve">θα </w:t>
            </w:r>
            <w:r>
              <w:rPr>
                <w:b/>
                <w:i/>
              </w:rPr>
              <w:t>πρέπει να δίνει στους</w:t>
            </w:r>
            <w:r>
              <w:t xml:space="preserve"> εν λόγω χρήστες τη δυνατότητα αναζήτησης, πρόσβασης και τηλεφόρτωσης των πληροφοριών μέσω του ESAP. Ωστόσο, λαμβάνοντας υπόψη την ανάγκη προστασίας της ESMA από υπερβολική οικονομική επιβάρυνση σε σχέση με το κόστος για την εξυπηρέτησ</w:t>
            </w:r>
            <w:r>
              <w:t xml:space="preserve">η των αναγκών εντατικών χρηστών, εάν υπάρχουν, η ESMA θα πρέπει να έχει τη δυνατότητα να παράγει έσοδα. Ως εκ τούτου, κατά παρέκκλιση από την αρχή </w:t>
            </w:r>
            <w:r>
              <w:lastRenderedPageBreak/>
              <w:t>της δωρεάν πρόσβασης στις εν λόγω πληροφορίες, θα πρέπει να επιτραπεί στην ESMA να επιβάλλει τέλη για τις συγ</w:t>
            </w:r>
            <w:r>
              <w:t>κεκριμένες υπηρεσίες, συμπεριλαμβανομένων των υπηρεσιών με υψηλό κόστος συντήρησης λόγω αναζήτησης πολύ μεγάλου όγκου πληροφοριών ή συχνής πρόσβασης στο ESAP. Ωστόσο, τα τυχόν επιβαλλόμενα τέλη δεν θα πρέπει να υπερβαίνουν το κόστος της παρεχόμενης υπηρεσί</w:t>
            </w:r>
            <w:r>
              <w:t>ας.</w:t>
            </w:r>
          </w:p>
        </w:tc>
        <w:tc>
          <w:tcPr>
            <w:tcW w:w="4876" w:type="dxa"/>
            <w:hideMark/>
          </w:tcPr>
          <w:p w:rsidR="00DB5C33" w:rsidRPr="006F3A74" w:rsidRDefault="009E38A5" w:rsidP="004A2342">
            <w:pPr>
              <w:pStyle w:val="Normal6"/>
              <w:rPr>
                <w:szCs w:val="24"/>
              </w:rPr>
            </w:pPr>
            <w:r>
              <w:lastRenderedPageBreak/>
              <w:t>(12)</w:t>
            </w:r>
            <w:r>
              <w:tab/>
              <w:t xml:space="preserve">Το ESAP θα πρέπει να παρέχει </w:t>
            </w:r>
            <w:r>
              <w:rPr>
                <w:b/>
                <w:i/>
              </w:rPr>
              <w:t xml:space="preserve">σε όλους όσοι συμμετέχουν ενεργά στην ευρωπαϊκή ενιαία αγορά, συμπεριλαμβανομένων, μεταξύ άλλων, των επενδυτών, των καταναλωτών, των οργανώσεων της κοινωνίας των πολιτών, της ακαδημαϊκής κοινότητας, των εκπροσώπων των </w:t>
            </w:r>
            <w:r>
              <w:rPr>
                <w:b/>
                <w:i/>
              </w:rPr>
              <w:t>μέσων ενημέρωσης, την</w:t>
            </w:r>
            <w:r>
              <w:t xml:space="preserve"> δωρεάν και χωρίς διακρίσεις πρόσβαση στις πληροφορίες </w:t>
            </w:r>
            <w:r>
              <w:rPr>
                <w:b/>
                <w:i/>
              </w:rPr>
              <w:t xml:space="preserve">για την εκτέλεση του έργου τους </w:t>
            </w:r>
            <w:r>
              <w:t xml:space="preserve">και </w:t>
            </w:r>
            <w:r>
              <w:rPr>
                <w:b/>
                <w:i/>
              </w:rPr>
              <w:t>την επίτευξη των συμφερόντων τους.</w:t>
            </w:r>
            <w:r>
              <w:t xml:space="preserve"> </w:t>
            </w:r>
            <w:r>
              <w:rPr>
                <w:b/>
                <w:i/>
              </w:rPr>
              <w:t>Οι</w:t>
            </w:r>
            <w:r>
              <w:t xml:space="preserve"> εν λόγω χρήστες</w:t>
            </w:r>
            <w:r>
              <w:rPr>
                <w:b/>
                <w:i/>
              </w:rPr>
              <w:t xml:space="preserve"> θα πρέπει να έχουν</w:t>
            </w:r>
            <w:r>
              <w:t xml:space="preserve"> τη δυνατότητα αναζήτησης, πρόσβασης και </w:t>
            </w:r>
            <w:r>
              <w:lastRenderedPageBreak/>
              <w:t>τηλεφόρτωσης των πληροφοριών μέ</w:t>
            </w:r>
            <w:r>
              <w:t>σω του ESAP. Ωστόσο, λαμβάνοντας υπόψη την ανάγκη προστασίας της ESMA από υπερβολική οικονομική επιβάρυνση σε σχέση με το κόστος για την εξυπηρέτηση των αναγκών εντατικών χρηστών, εάν υπάρχουν, η ESMA θα πρέπει να έχει τη δυνατότητα να παράγει έσοδα. Ως εκ</w:t>
            </w:r>
            <w:r>
              <w:t xml:space="preserve"> τούτου, κατά παρέκκλιση από την αρχή της δωρεάν πρόσβασης στις εν λόγω πληροφορίες, θα πρέπει να επιτραπεί στην ESMA να επιβάλλει τέλη για τις συγκεκριμένες υπηρεσίες, συμπεριλαμβανομένων των υπηρεσιών με υψηλό κόστος συντήρησης λόγω αναζήτησης πολύ μεγάλ</w:t>
            </w:r>
            <w:r>
              <w:t>ου όγκου πληροφοριών ή συχνής πρόσβασης στο ESAP. Ωστόσο, τα τυχόν επιβαλλόμενα τέλη δεν θα πρέπει να υπερβαίνουν το κόστος της παρεχόμενης υπηρεσίας.</w:t>
            </w:r>
          </w:p>
        </w:tc>
      </w:tr>
    </w:tbl>
    <w:p w:rsidR="00DB5C33" w:rsidRPr="006F3A74" w:rsidRDefault="009E38A5" w:rsidP="00DB5C33">
      <w:r>
        <w:rPr>
          <w:rStyle w:val="HideTWBExt"/>
        </w:rPr>
        <w:lastRenderedPageBreak/>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6</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Αιτιολογι</w:t>
      </w:r>
      <w:r>
        <w:t>κή σκέψη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(13)</w:t>
            </w:r>
            <w:r>
              <w:tab/>
              <w:t xml:space="preserve">Το ESAP, προκειμένου να προωθήσει την καινοτομία βάσει δεδομένων στον χρηματοοικονομικό τομέα, να συμβάλει στην ενοποίηση των κεφαλαιαγορών στην Ευρωπαϊκή Ένωση, στη διοχέτευση </w:t>
            </w:r>
            <w:r>
              <w:t>επενδύσεων σε βιώσιμες δραστηριότητες και τη βελτίωση της αποτελεσματικότητας για τους καταναλωτές και τις επιχειρήσεις, θα πρέπει να βελτιώσει την πρόσβαση σε πληροφορίες που περιλαμβάνουν δεδομένα προσωπικού χαρακτήρα. Ωστόσο, το ESAP θα πρέπει να βελτιώ</w:t>
            </w:r>
            <w:r>
              <w:t xml:space="preserve">σει την πρόσβαση μόνο στα δεδομένα προσωπικού χαρακτήρα που πρέπει να υποβάλλονται σε επεξεργασία σύμφωνα με το δίκαιο της Ένωσης ή που υποβάλλονται σε επεξεργασία οικειοθελώς, υπό την προϋπόθεση ότι υπάρχει νόμιμος λόγος για </w:t>
            </w:r>
            <w:r>
              <w:lastRenderedPageBreak/>
              <w:t>την εν λόγω επεξεργασία σύμφων</w:t>
            </w:r>
            <w:r>
              <w:t>α με τον κανονισμό (ΕΕ) 2016/679 του Ευρωπαϊκού Κοινοβουλίου και του Συμβουλίου. Για κάθε επεξεργασία δεδομένων προσωπικού χαρακτήρα στο πλαίσιο της παροχής πληροφοριών μέσω του ESAP, οι φορείς συλλογής και η ESMA, υπό την ιδιότητα του διαχειριστή του ESAP</w:t>
            </w:r>
            <w:r>
              <w:t>, θα πρέπει να διασφαλίζουν τη συμμόρφωση με τον κανονισμό (ΕΕ) 2016/679 και τον κανονισμό (ΕΕ) 2018/1725 του Ευρωπαϊκού Κοινοβουλίου και του Συμβουλίου</w:t>
            </w:r>
            <w:r>
              <w:rPr>
                <w:vertAlign w:val="superscript"/>
              </w:rPr>
              <w:t>28</w:t>
            </w:r>
            <w:r>
              <w:t>.</w:t>
            </w:r>
          </w:p>
        </w:tc>
        <w:tc>
          <w:tcPr>
            <w:tcW w:w="4876" w:type="dxa"/>
            <w:hideMark/>
          </w:tcPr>
          <w:p w:rsidR="00DB5C33" w:rsidRPr="006F3A74" w:rsidRDefault="009E38A5" w:rsidP="004A2342">
            <w:pPr>
              <w:pStyle w:val="Normal6"/>
              <w:rPr>
                <w:szCs w:val="24"/>
              </w:rPr>
            </w:pPr>
            <w:r>
              <w:lastRenderedPageBreak/>
              <w:t>(13)</w:t>
            </w:r>
            <w:r>
              <w:tab/>
              <w:t xml:space="preserve">Το ESAP, προκειμένου να προωθήσει την καινοτομία βάσει δεδομένων στον χρηματοοικονομικό τομέα, </w:t>
            </w:r>
            <w:r>
              <w:t>να συμβάλει στην ενοποίηση των κεφαλαιαγορών στην Ευρωπαϊκή Ένωση, στη διοχέτευση επενδύσεων σε βιώσιμες δραστηριότητες και τη βελτίωση της αποτελεσματικότητας για τους καταναλωτές και τις επιχειρήσεις, θα πρέπει να βελτιώσει την πρόσβαση σε πληροφορίες πο</w:t>
            </w:r>
            <w:r>
              <w:t>υ περιλαμβάνουν δεδομένα προσωπικού χαρακτήρα. Ωστόσο, το ESAP θα πρέπει να βελτιώσει την πρόσβαση μόνο στα δεδομένα προσωπικού χαρακτήρα που πρέπει να υποβάλλονται σε επεξεργασία σύμφωνα με το δίκαιο της Ένωσης ή που υποβάλλονται σε επεξεργασία οικειοθελώ</w:t>
            </w:r>
            <w:r>
              <w:t xml:space="preserve">ς, υπό την προϋπόθεση ότι υπάρχει νόμιμος λόγος για </w:t>
            </w:r>
            <w:r>
              <w:lastRenderedPageBreak/>
              <w:t xml:space="preserve">την εν λόγω επεξεργασία σύμφωνα με τον κανονισμό (ΕΕ) 2016/679 του Ευρωπαϊκού Κοινοβουλίου και του Συμβουλίου. Για κάθε επεξεργασία δεδομένων προσωπικού χαρακτήρα στο πλαίσιο της παροχής πληροφοριών μέσω </w:t>
            </w:r>
            <w:r>
              <w:t xml:space="preserve">του ESAP, οι φορείς συλλογής και η ESMA, υπό την ιδιότητα του διαχειριστή του ESAP, </w:t>
            </w:r>
            <w:r>
              <w:rPr>
                <w:b/>
                <w:i/>
              </w:rPr>
              <w:t xml:space="preserve">είτε ενεργεί ως υπεύθυνος επεξεργασίας είτε ως από κοινού υπεύθυνος επεξεργασίας είτε ως εκτελών την επεξεργασία, </w:t>
            </w:r>
            <w:r>
              <w:t>θα πρέπει να διασφαλίζουν τη συμμόρφωση με τον κανονισμό (</w:t>
            </w:r>
            <w:r>
              <w:t>ΕΕ) 2016/679 και τον κανονισμό (ΕΕ) 2018/1725 του Ευρωπαϊκού Κοινοβουλίου και του Συμβουλίου</w:t>
            </w:r>
            <w:r>
              <w:rPr>
                <w:vertAlign w:val="superscript"/>
              </w:rPr>
              <w:t>28</w:t>
            </w:r>
            <w:r>
              <w:t>.</w:t>
            </w:r>
            <w:r>
              <w:rPr>
                <w:b/>
                <w:i/>
              </w:rPr>
              <w:t xml:space="preserve"> Συγκεκριμένα, η ESMA θα πρέπει να λαμβάνει υπόψη τις αρχές της προστασίας των δεδομένων εκ σχεδιασμού και εξ ορισμού.</w:t>
            </w:r>
          </w:p>
        </w:tc>
      </w:tr>
      <w:tr w:rsidR="00F743A1" w:rsidTr="004A2342">
        <w:trPr>
          <w:jc w:val="center"/>
        </w:trPr>
        <w:tc>
          <w:tcPr>
            <w:tcW w:w="4876" w:type="dxa"/>
            <w:hideMark/>
          </w:tcPr>
          <w:p w:rsidR="00DB5C33" w:rsidRPr="006F3A74" w:rsidRDefault="009E38A5" w:rsidP="004A2342">
            <w:pPr>
              <w:pStyle w:val="Normal6"/>
            </w:pPr>
            <w:r>
              <w:lastRenderedPageBreak/>
              <w:t>__________________</w:t>
            </w:r>
          </w:p>
        </w:tc>
        <w:tc>
          <w:tcPr>
            <w:tcW w:w="4876" w:type="dxa"/>
            <w:hideMark/>
          </w:tcPr>
          <w:p w:rsidR="00DB5C33" w:rsidRPr="006F3A74" w:rsidRDefault="009E38A5" w:rsidP="004A2342">
            <w:pPr>
              <w:pStyle w:val="Normal6"/>
              <w:rPr>
                <w:szCs w:val="24"/>
              </w:rPr>
            </w:pPr>
            <w:r>
              <w:t>__________________</w:t>
            </w:r>
          </w:p>
        </w:tc>
      </w:tr>
      <w:tr w:rsidR="00F743A1" w:rsidTr="004A2342">
        <w:trPr>
          <w:jc w:val="center"/>
        </w:trPr>
        <w:tc>
          <w:tcPr>
            <w:tcW w:w="4876" w:type="dxa"/>
            <w:hideMark/>
          </w:tcPr>
          <w:p w:rsidR="00DB5C33" w:rsidRPr="006F3A74" w:rsidRDefault="009E38A5" w:rsidP="004A2342">
            <w:pPr>
              <w:pStyle w:val="Normal6"/>
            </w:pPr>
            <w:r>
              <w:rPr>
                <w:vertAlign w:val="superscript"/>
              </w:rPr>
              <w:t>28</w:t>
            </w:r>
            <w:r>
              <w:t xml:space="preserve">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w:t>
            </w:r>
            <w:r>
              <w:t>ς και την ελεύθερη κυκλοφορία των δεδομένων αυτών, και για την κατάργηση του κανονισμού (ΕΚ) αριθ. 45/2001 και της απόφασης αριθ. 1247/2002/ΕΚ (ΕΕ L 295 της 21.11.2018, σ. 39).</w:t>
            </w:r>
          </w:p>
        </w:tc>
        <w:tc>
          <w:tcPr>
            <w:tcW w:w="4876" w:type="dxa"/>
            <w:hideMark/>
          </w:tcPr>
          <w:p w:rsidR="00DB5C33" w:rsidRPr="006F3A74" w:rsidRDefault="009E38A5" w:rsidP="004A2342">
            <w:pPr>
              <w:pStyle w:val="Normal6"/>
              <w:rPr>
                <w:szCs w:val="24"/>
              </w:rPr>
            </w:pPr>
            <w:r>
              <w:rPr>
                <w:vertAlign w:val="superscript"/>
              </w:rPr>
              <w:t>28</w:t>
            </w:r>
            <w:r>
              <w:t xml:space="preserve"> Κανονισμός (ΕΕ) 2018/1725 του Ευρωπαϊκού Κοινοβουλίου και του Συμβουλίου, τη</w:t>
            </w:r>
            <w:r>
              <w:t xml:space="preserve">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w:t>
            </w:r>
            <w:r>
              <w:t>κανονισμού (ΕΚ) αριθ. 45/2001 και της απόφασης αριθ. 1247/2002/ΕΚ (ΕΕ L 295 της 21.11.2018, σ. 39).</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7</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Αιτιολογική σκέψη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 xml:space="preserve">Κείμενο που προτείνει η </w:t>
            </w:r>
            <w:r>
              <w:t>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(14)</w:t>
            </w:r>
            <w:r>
              <w:tab/>
              <w:t xml:space="preserve">Σύμφωνα με το άρθρο 42 παράγραφος 1 του κανονισμού (ΕΕ) 2018/1725, ζητήθηκε η γνώμη του Ευρωπαίου Επόπτη Προστασίας Δεδομένων, ο οποίος </w:t>
            </w:r>
            <w:r>
              <w:rPr>
                <w:b/>
                <w:i/>
              </w:rPr>
              <w:t xml:space="preserve">γνωμοδότησε </w:t>
            </w:r>
            <w:r>
              <w:rPr>
                <w:b/>
                <w:i/>
              </w:rPr>
              <w:lastRenderedPageBreak/>
              <w:t>την/στις [να προστεθεί η ημερομηνία]</w:t>
            </w:r>
            <w:r>
              <w:t>.</w:t>
            </w:r>
          </w:p>
        </w:tc>
        <w:tc>
          <w:tcPr>
            <w:tcW w:w="4876" w:type="dxa"/>
            <w:hideMark/>
          </w:tcPr>
          <w:p w:rsidR="00DB5C33" w:rsidRPr="006F3A74" w:rsidRDefault="009E38A5" w:rsidP="004A2342">
            <w:pPr>
              <w:pStyle w:val="Normal6"/>
              <w:rPr>
                <w:szCs w:val="24"/>
              </w:rPr>
            </w:pPr>
            <w:r>
              <w:lastRenderedPageBreak/>
              <w:t>(14)</w:t>
            </w:r>
            <w:r>
              <w:tab/>
            </w:r>
            <w:r>
              <w:t xml:space="preserve">Σύμφωνα με το άρθρο 42 παράγραφος 1 του κανονισμού (ΕΕ) 2018/1725, ζητήθηκε η γνώμη του Ευρωπαίου Επόπτη Προστασίας Δεδομένων, ο οποίος </w:t>
            </w:r>
            <w:r>
              <w:rPr>
                <w:b/>
                <w:i/>
              </w:rPr>
              <w:t xml:space="preserve">διατύπωσε επίσημα </w:t>
            </w:r>
            <w:r>
              <w:rPr>
                <w:b/>
                <w:i/>
              </w:rPr>
              <w:lastRenderedPageBreak/>
              <w:t>σχόλια στις 19 Ιανουαρίου 2022</w:t>
            </w:r>
            <w:r>
              <w:t>.</w:t>
            </w:r>
          </w:p>
        </w:tc>
      </w:tr>
    </w:tbl>
    <w:p w:rsidR="00DB5C33" w:rsidRPr="006F3A74" w:rsidRDefault="009E38A5" w:rsidP="00DB5C33">
      <w:r>
        <w:rPr>
          <w:rStyle w:val="HideTWBExt"/>
        </w:rPr>
        <w:lastRenderedPageBreak/>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8</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 xml:space="preserve">Πρόταση </w:t>
      </w:r>
      <w:r>
        <w:t>κανονισμού</w:t>
      </w:r>
      <w:r>
        <w:rPr>
          <w:rStyle w:val="HideTWBExt"/>
          <w:b w:val="0"/>
        </w:rPr>
        <w:t>&lt;/DocAmend&gt;</w:t>
      </w:r>
    </w:p>
    <w:p w:rsidR="00DB5C33" w:rsidRPr="006F3A74" w:rsidRDefault="009E38A5" w:rsidP="00DB5C33">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(16)</w:t>
            </w:r>
            <w:r>
              <w:tab/>
              <w:t>Για να είναι οι πληροφορίες συγκρίσιμες σε βάθος χρόνου, οι χρήστες θα πρέπει να έχουν πρόσβαση σε παλαιότερες πληροφορίες. Επομένως, είναι απ</w:t>
            </w:r>
            <w:r>
              <w:t>αραίτητο να ζητηθεί από το ESAP να παρέχει πρόσβαση στις πληροφορίες για εύλογο χρονικό διάστημα, στον βαθμό που αυτό είναι συμβατό με άλλες ισχύουσες διατάξεις του ενωσιακού δικαίου. Γι’ αυτόν τον σκοπό, η ESMA θα πρέπει να διασφαλίζει ότι δεν καθίστανται</w:t>
            </w:r>
            <w:r>
              <w:t xml:space="preserve"> προσβάσιμα δεδομένα προσωπικού χαρακτήρα για μεγαλύτερο χρονικό διάστημα απ’ ό,τι απαιτείται, όπως προβλέπεται στο δίκαιο της Ένωσης. Για να μπορέσουν η ESMA και οι φορείς συλλογής να προετοιμάσουν τη λειτουργία του ESAP, το ESAP θα πρέπει να παρέχει πρόσ</w:t>
            </w:r>
            <w:r>
              <w:t xml:space="preserve">βαση μόνο στις πληροφορίες που </w:t>
            </w:r>
            <w:r>
              <w:rPr>
                <w:b/>
                <w:i/>
              </w:rPr>
              <w:t>υποβάλλονται από</w:t>
            </w:r>
            <w:r>
              <w:t xml:space="preserve"> την 1η Ιανουαρίου 2024.</w:t>
            </w:r>
          </w:p>
        </w:tc>
        <w:tc>
          <w:tcPr>
            <w:tcW w:w="4876" w:type="dxa"/>
            <w:hideMark/>
          </w:tcPr>
          <w:p w:rsidR="00DB5C33" w:rsidRPr="006F3A74" w:rsidRDefault="009E38A5" w:rsidP="009E38A5">
            <w:pPr>
              <w:pStyle w:val="Normal6"/>
              <w:rPr>
                <w:szCs w:val="24"/>
              </w:rPr>
            </w:pPr>
            <w:r>
              <w:t>(16)</w:t>
            </w:r>
            <w:r>
              <w:tab/>
              <w:t>Για να είναι οι πληροφορίες συγκρίσιμες σε βάθος χρόνου, οι χρήστες θα πρέπει να έχουν πρόσβαση σε παλαιότερες πληροφορίες. Επομένως, είναι απαραίτητο να ζητηθεί από το ESAP να πα</w:t>
            </w:r>
            <w:r>
              <w:t>ρέχει πρόσβαση στις πληροφορίες για εύλογο χρονικό διάστημα, στον βαθμό που αυτό είναι συμβατό με άλλες ισχύουσες διατάξεις του ενωσιακού δικαίου. Γι’ αυτόν τον σκοπό, η ESMA θα πρέπει να διασφαλίζει ότι δεν καθίστανται προσβάσιμα δεδομένα προσωπικού χαρακ</w:t>
            </w:r>
            <w:r>
              <w:t xml:space="preserve">τήρα για μεγαλύτερο χρονικό διάστημα απ’ ό,τι απαιτείται, όπως προβλέπεται στο δίκαιο της Ένωσης. Για να μπορέσουν η ESMA και οι φορείς συλλογής να προετοιμάσουν τη λειτουργία του ESAP, το ESAP θα πρέπει να παρέχει πρόσβαση μόνο στις πληροφορίες που </w:t>
            </w:r>
            <w:r>
              <w:rPr>
                <w:b/>
                <w:i/>
              </w:rPr>
              <w:t xml:space="preserve">είναι </w:t>
            </w:r>
            <w:r>
              <w:rPr>
                <w:b/>
                <w:i/>
              </w:rPr>
              <w:t>σήμερα διαθέσιμες</w:t>
            </w:r>
            <w:r>
              <w:t xml:space="preserve"> την 1η </w:t>
            </w:r>
            <w:r>
              <w:t>Ιανουαρίου </w:t>
            </w:r>
            <w:r>
              <w:t>2024.</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9</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1 – παράγραφος 1 – στοιχείο α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9E38A5">
            <w:pPr>
              <w:pStyle w:val="Normal6"/>
              <w:rPr>
                <w:szCs w:val="24"/>
              </w:rPr>
            </w:pPr>
            <w:r>
              <w:rPr>
                <w:b/>
                <w:i/>
              </w:rPr>
              <w:t>αα)</w:t>
            </w:r>
            <w:r>
              <w:rPr>
                <w:b/>
                <w:i/>
              </w:rPr>
              <w:tab/>
              <w:t xml:space="preserve">Ανατίθεται </w:t>
            </w:r>
            <w:r>
              <w:rPr>
                <w:b/>
                <w:i/>
              </w:rPr>
              <w:t>στην Επιτροπή η εξουσία να εκδίδει κατ’ </w:t>
            </w:r>
            <w:bookmarkStart w:id="1" w:name="_GoBack"/>
            <w:bookmarkEnd w:id="1"/>
            <w:r>
              <w:rPr>
                <w:b/>
                <w:i/>
              </w:rPr>
              <w:t xml:space="preserve">εξουσιοδότηση πράξεις για την τροποποίηση των παραρτημάτων με σκοπό την επικαιροποίηση του καταλόγου των νομοθετικών πράξεων κατά τον χρόνο έναρξης ισχύος κάθε νέας νομοθεσίας που αφορά την παροχή χρηματοπιστωτικών </w:t>
            </w:r>
            <w:r>
              <w:rPr>
                <w:b/>
                <w:i/>
              </w:rPr>
              <w:lastRenderedPageBreak/>
              <w:t>υ</w:t>
            </w:r>
            <w:r>
              <w:rPr>
                <w:b/>
                <w:i/>
              </w:rPr>
              <w:t>πηρεσιών, τις κεφαλαιαγορές και τη βιωσιμότητα.</w:t>
            </w:r>
          </w:p>
        </w:tc>
      </w:tr>
    </w:tbl>
    <w:p w:rsidR="00DB5C33" w:rsidRPr="006F3A74" w:rsidRDefault="009E38A5" w:rsidP="00DB5C33">
      <w:r>
        <w:rPr>
          <w:rStyle w:val="HideTWBExt"/>
        </w:rPr>
        <w:lastRenderedPageBreak/>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10</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1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rPr>
                <w:b/>
                <w:i/>
              </w:rPr>
              <w:t>2.</w:t>
            </w:r>
            <w:r>
              <w:rPr>
                <w:b/>
                <w:i/>
              </w:rPr>
              <w:tab/>
              <w:t>Το ESAP δεν παρέχει πρόσβαση</w:t>
            </w:r>
            <w:r>
              <w:rPr>
                <w:b/>
                <w:i/>
              </w:rPr>
              <w:t xml:space="preserve"> σε πληροφορίες που υποβλήθηκαν πριν από την 1η Ιανουαρίου 2024.</w:t>
            </w:r>
          </w:p>
        </w:tc>
        <w:tc>
          <w:tcPr>
            <w:tcW w:w="4876" w:type="dxa"/>
            <w:hideMark/>
          </w:tcPr>
          <w:p w:rsidR="00DB5C33" w:rsidRPr="006F3A74" w:rsidRDefault="009E38A5" w:rsidP="004A2342">
            <w:pPr>
              <w:pStyle w:val="Normal6"/>
              <w:rPr>
                <w:szCs w:val="24"/>
              </w:rPr>
            </w:pPr>
            <w:r>
              <w:rPr>
                <w:b/>
                <w:i/>
              </w:rPr>
              <w:t>διαγράφεται</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11</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2 – εδάφιο 1 – σημείο 7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4A2342">
            <w:pPr>
              <w:pStyle w:val="Normal6"/>
              <w:rPr>
                <w:szCs w:val="24"/>
              </w:rPr>
            </w:pPr>
            <w:r>
              <w:rPr>
                <w:b/>
                <w:i/>
              </w:rPr>
              <w:t>(7α)</w:t>
            </w:r>
            <w:r>
              <w:rPr>
                <w:b/>
                <w:i/>
              </w:rPr>
              <w:tab/>
              <w:t>οι ορισμοί του κανονισμού (ΕΕ) 2016/679·</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12</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3 – παράγραφος 1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1.</w:t>
            </w:r>
            <w:r>
              <w:tab/>
              <w:t>Κάθε φυσικό ή νομικό πρόσωπο μπορεί να υποβάλλει σε φορέα συλλογής τις πληροφορίες που αναφέρονται στο άρθρο 1 παράγραφος 1 στοιχείο β) για να καταστήσει τις εν λόγω πληροφορίες προσβάσιμες στο ESAP. Κατά την υποβολή των εν λόγω πληροφοριών, το φυσικό ή</w:t>
            </w:r>
            <w:r>
              <w:t xml:space="preserve"> νομικό πρόσωπο:</w:t>
            </w:r>
          </w:p>
        </w:tc>
        <w:tc>
          <w:tcPr>
            <w:tcW w:w="4876" w:type="dxa"/>
            <w:hideMark/>
          </w:tcPr>
          <w:p w:rsidR="00DB5C33" w:rsidRPr="006F3A74" w:rsidRDefault="009E38A5" w:rsidP="004A2342">
            <w:pPr>
              <w:pStyle w:val="Normal6"/>
              <w:rPr>
                <w:szCs w:val="24"/>
              </w:rPr>
            </w:pPr>
            <w:r>
              <w:t>1.</w:t>
            </w:r>
            <w:r>
              <w:tab/>
              <w:t xml:space="preserve">Κάθε φυσικό ή νομικό πρόσωπο </w:t>
            </w:r>
            <w:r>
              <w:rPr>
                <w:b/>
                <w:i/>
              </w:rPr>
              <w:t xml:space="preserve">που ενεργεί ως συμμετέχων στην αγορά της ΕΕ </w:t>
            </w:r>
            <w:r>
              <w:t>μπορεί να υποβάλλει σε φορέα συλλογής τις πληροφορίες που αναφέρονται στο άρθρο 1 παράγραφος 1 στοιχείο β) για να καταστήσει τις εν λόγω πληροφορίες προσβάσιμες στ</w:t>
            </w:r>
            <w:r>
              <w:t>ο ESAP. Κατά την υποβολή των εν λόγω πληροφοριών, το φυσικό ή νομικό πρόσωπο:</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13</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lastRenderedPageBreak/>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3 – παράγραφος 1 – στοιχείο γ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 xml:space="preserve">Κείμενο που προτείνει η </w:t>
            </w:r>
            <w:r>
              <w:t>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4A2342">
            <w:pPr>
              <w:pStyle w:val="Normal6"/>
              <w:rPr>
                <w:szCs w:val="24"/>
              </w:rPr>
            </w:pPr>
            <w:r>
              <w:rPr>
                <w:b/>
                <w:i/>
              </w:rPr>
              <w:t>γα)</w:t>
            </w:r>
            <w:r>
              <w:rPr>
                <w:b/>
                <w:i/>
              </w:rPr>
              <w:tab/>
              <w:t>όπου είναι δυνατόν, διασφαλίζει ότι οι πληροφορίες που υποβάλλονται οικειοθελώς υποβάλλονται με τον μορφότυπο που παρέχεται στα υφιστάμενα υποδείγματα που σχετίζονται με τη σχετική νομοθετική πράξη·</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14</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3 – παράγραφος 1 – στοιχείο δ</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δ)</w:t>
            </w:r>
            <w:r>
              <w:tab/>
              <w:t>διασφαλίζει ότι δεν περιλαμβάνονται δεδομένα προσωπικού χαρακτήρα, εκτός εάν τα δεδομένα προ</w:t>
            </w:r>
            <w:r>
              <w:t>σωπικού χαρακτήρα αποτελούν απαραίτητο στοιχείο των πληροφοριών σχετικά με τις οικονομικές δραστηριότητές του.</w:t>
            </w:r>
          </w:p>
        </w:tc>
        <w:tc>
          <w:tcPr>
            <w:tcW w:w="4876" w:type="dxa"/>
            <w:hideMark/>
          </w:tcPr>
          <w:p w:rsidR="00DB5C33" w:rsidRPr="006F3A74" w:rsidRDefault="009E38A5" w:rsidP="004A2342">
            <w:pPr>
              <w:pStyle w:val="Normal6"/>
              <w:rPr>
                <w:szCs w:val="24"/>
              </w:rPr>
            </w:pPr>
            <w:r>
              <w:t>δ)</w:t>
            </w:r>
            <w:r>
              <w:tab/>
              <w:t>διασφαλίζει ότι δεν περιλαμβάνονται δεδομένα προσωπικού χαρακτήρα, εκτός εάν τα δεδομένα προσωπικού χαρακτήρα αποτελούν απαραίτητο στοιχείο τω</w:t>
            </w:r>
            <w:r>
              <w:t>ν πληροφοριών σχετικά με τις οικονομικές δραστηριότητές του</w:t>
            </w:r>
            <w:r>
              <w:rPr>
                <w:b/>
                <w:i/>
              </w:rPr>
              <w:t>, σύμφωνα με την αρχή της ελαχιστοποίησης των δεδομένων</w:t>
            </w:r>
            <w:r>
              <w:t>.</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15</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3 – παράγραφος 2 – στοιχείο γ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4A2342">
            <w:pPr>
              <w:pStyle w:val="Normal6"/>
              <w:rPr>
                <w:szCs w:val="24"/>
              </w:rPr>
            </w:pPr>
            <w:r>
              <w:rPr>
                <w:b/>
                <w:i/>
              </w:rPr>
              <w:t>γα)</w:t>
            </w:r>
            <w:r>
              <w:rPr>
                <w:b/>
                <w:i/>
              </w:rPr>
              <w:tab/>
              <w:t>πρότυπα για τη συμμόρφωση των φορέων συλλογής με τις υποχρεώσεις τους βάσει του άρθρου 5 παράγραφος 2 στοιχεία β) και βα).</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16</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 xml:space="preserve">Πρόταση </w:t>
      </w:r>
      <w:r>
        <w:t>κανονισμού</w:t>
      </w:r>
      <w:r>
        <w:rPr>
          <w:rStyle w:val="HideTWBExt"/>
          <w:b w:val="0"/>
        </w:rPr>
        <w:t>&lt;/DocAmend&gt;</w:t>
      </w:r>
    </w:p>
    <w:p w:rsidR="00DB5C33" w:rsidRPr="006F3A74" w:rsidRDefault="009E38A5" w:rsidP="00DB5C33">
      <w:pPr>
        <w:pStyle w:val="NormalBold"/>
      </w:pPr>
      <w:r>
        <w:rPr>
          <w:rStyle w:val="HideTWBExt"/>
          <w:b w:val="0"/>
        </w:rPr>
        <w:t>&lt;Article&gt;</w:t>
      </w:r>
      <w:r>
        <w:t>Άρθρο 3 – παράγραφος 2 – εδάφιο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 xml:space="preserve">Η μεικτή επιτροπή των ευρωπαϊκών εποπτικών αρχών υποβάλλει στην Επιτροπή τα εν λόγω σχέδια εκτελεστικών τεχνικών προτύπων έως τη(ν) </w:t>
            </w:r>
            <w:r>
              <w:t xml:space="preserve">[ΕΕ: να συμπληρωθεί </w:t>
            </w:r>
            <w:r>
              <w:rPr>
                <w:b/>
                <w:bCs/>
                <w:i/>
                <w:iCs/>
              </w:rPr>
              <w:t>τρία</w:t>
            </w:r>
            <w:r>
              <w:t xml:space="preserve"> έτη μετά την έναρξη ισχύος].</w:t>
            </w:r>
          </w:p>
        </w:tc>
        <w:tc>
          <w:tcPr>
            <w:tcW w:w="4876" w:type="dxa"/>
            <w:hideMark/>
          </w:tcPr>
          <w:p w:rsidR="00DB5C33" w:rsidRPr="006F3A74" w:rsidRDefault="009E38A5" w:rsidP="004A2342">
            <w:pPr>
              <w:pStyle w:val="Normal6"/>
              <w:rPr>
                <w:szCs w:val="24"/>
              </w:rPr>
            </w:pPr>
            <w:r>
              <w:t xml:space="preserve">Η μεικτή επιτροπή των ευρωπαϊκών εποπτικών αρχών υποβάλλει στην Επιτροπή τα εν λόγω σχέδια εκτελεστικών τεχνικών προτύπων έως τη(ν) [ΕΕ: να συμπληρωθεί </w:t>
            </w:r>
            <w:r>
              <w:rPr>
                <w:b/>
                <w:bCs/>
                <w:i/>
                <w:iCs/>
              </w:rPr>
              <w:t>δύο</w:t>
            </w:r>
            <w:r>
              <w:t xml:space="preserve"> έτη μετά την έναρξη ισχύος].</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17</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3 – παράγραφος 3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4A2342">
            <w:pPr>
              <w:pStyle w:val="Normal6"/>
              <w:rPr>
                <w:szCs w:val="24"/>
              </w:rPr>
            </w:pPr>
            <w:r>
              <w:rPr>
                <w:b/>
                <w:i/>
              </w:rPr>
              <w:t>3α.</w:t>
            </w:r>
            <w:r>
              <w:rPr>
                <w:b/>
                <w:i/>
              </w:rPr>
              <w:tab/>
              <w:t xml:space="preserve">Οι οντότητες που υποβάλλουν πληροφορίες σε φορέα συλλογής σε εθελοντική βάση </w:t>
            </w:r>
            <w:r>
              <w:rPr>
                <w:b/>
                <w:i/>
              </w:rPr>
              <w:t>ενεργούν καλή τη πίστει και διασφαλίζουν ότι οι πληροφορίες είναι ορθές, ακριβείς και δημοσιοποιούνται με σαφή και μη παραπλανητικό τρόπο.</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18</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3 – παράγραφος</w:t>
      </w:r>
      <w:r>
        <w:t xml:space="preserve"> 3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4A2342">
            <w:pPr>
              <w:pStyle w:val="Normal6"/>
              <w:rPr>
                <w:szCs w:val="24"/>
              </w:rPr>
            </w:pPr>
            <w:r>
              <w:rPr>
                <w:b/>
                <w:i/>
              </w:rPr>
              <w:t>3β.</w:t>
            </w:r>
            <w:r>
              <w:rPr>
                <w:b/>
                <w:i/>
              </w:rPr>
              <w:tab/>
              <w:t xml:space="preserve">Οι πληροφορίες που παρέχονται σε φορέα συλλογής σε εθελοντική βάση παρουσιάζονται κατά τρόπο που επιτρέπει στους χρήστες να τις διακρίνουν από τις πληροφορίες που συλλέγονται σε </w:t>
            </w:r>
            <w:r>
              <w:rPr>
                <w:b/>
                <w:i/>
              </w:rPr>
              <w:t>υποχρεωτική βάση.</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19</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4 – εδάφιο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 xml:space="preserve">Η ESMA, στη διαδικτυακή πύλη που αναφέρεται στο άρθρο 7 </w:t>
            </w:r>
            <w:r>
              <w:t>παράγραφος 1 στοιχείο α), δημοσιεύει κατάλογο των φορέων συλλογής με πληροφορίες σχετικά με τον ομοιόμορφο εντοπιστή πόρων (URL) κάθε φορέα συλλογής.</w:t>
            </w:r>
          </w:p>
        </w:tc>
        <w:tc>
          <w:tcPr>
            <w:tcW w:w="4876" w:type="dxa"/>
            <w:hideMark/>
          </w:tcPr>
          <w:p w:rsidR="00DB5C33" w:rsidRPr="006F3A74" w:rsidRDefault="009E38A5" w:rsidP="004A2342">
            <w:pPr>
              <w:pStyle w:val="Normal6"/>
              <w:rPr>
                <w:szCs w:val="24"/>
              </w:rPr>
            </w:pPr>
            <w:r>
              <w:t xml:space="preserve">Η ESMA, στη διαδικτυακή πύλη που αναφέρεται στο άρθρο 7 παράγραφος 1 στοιχείο α), δημοσιεύει κατάλογο των </w:t>
            </w:r>
            <w:r>
              <w:t xml:space="preserve">φορέων συλλογής με πληροφορίες σχετικά με το </w:t>
            </w:r>
            <w:r>
              <w:rPr>
                <w:b/>
                <w:bCs/>
                <w:i/>
                <w:iCs/>
              </w:rPr>
              <w:t>όνομα, τη διεύθυνση, το κράτος μέλος καταγωγής και τον</w:t>
            </w:r>
            <w:r>
              <w:t xml:space="preserve"> ομοιόμορφο εντοπιστή πόρων (URL) κάθε φορέα συλλογής.</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20</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w:t>
      </w:r>
      <w:r>
        <w:t xml:space="preserve"> 5 – παράγραφος 1 – στοιχείο β – σημείο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ii)</w:t>
            </w:r>
            <w:r>
              <w:tab/>
              <w:t xml:space="preserve">τα μεταδεδομένα που καθορίζονται σύμφωνα με την παράγραφο 6 στοιχείο δ) είναι διαθέσιμα </w:t>
            </w:r>
            <w:r>
              <w:rPr>
                <w:b/>
                <w:bCs/>
                <w:i/>
                <w:iCs/>
              </w:rPr>
              <w:t>και</w:t>
            </w:r>
            <w:r>
              <w:t xml:space="preserve"> πλήρη·</w:t>
            </w:r>
          </w:p>
        </w:tc>
        <w:tc>
          <w:tcPr>
            <w:tcW w:w="4876" w:type="dxa"/>
            <w:hideMark/>
          </w:tcPr>
          <w:p w:rsidR="00DB5C33" w:rsidRPr="006F3A74" w:rsidRDefault="009E38A5" w:rsidP="004A2342">
            <w:pPr>
              <w:pStyle w:val="Normal6"/>
              <w:rPr>
                <w:szCs w:val="24"/>
              </w:rPr>
            </w:pPr>
            <w:r>
              <w:t>ii)</w:t>
            </w:r>
            <w:r>
              <w:tab/>
              <w:t>τα μεταδεδομένα που καθορίζονται σύμφωνα με την π</w:t>
            </w:r>
            <w:r>
              <w:t>αράγραφο 6 στοιχείο δ) είναι διαθέσιμα</w:t>
            </w:r>
            <w:r>
              <w:rPr>
                <w:b/>
                <w:bCs/>
                <w:i/>
                <w:iCs/>
              </w:rPr>
              <w:t>,</w:t>
            </w:r>
            <w:r>
              <w:t xml:space="preserve"> πλήρη </w:t>
            </w:r>
            <w:r>
              <w:rPr>
                <w:b/>
                <w:bCs/>
                <w:i/>
                <w:iCs/>
              </w:rPr>
              <w:t>και</w:t>
            </w:r>
            <w:r>
              <w:t xml:space="preserve"> </w:t>
            </w:r>
            <w:r>
              <w:rPr>
                <w:b/>
                <w:i/>
              </w:rPr>
              <w:t>διατηρούνται μόνο για όσο διάστημα είναι αποθηκευμένες οι πληροφορίες τις οποίες αφορούν</w:t>
            </w:r>
            <w:r>
              <w:t>·</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21</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 xml:space="preserve">Άρθρο 5 – </w:t>
      </w:r>
      <w:r>
        <w:t>παράγραφος 1 – στοιχείο στ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στ)</w:t>
            </w:r>
            <w:r>
              <w:tab/>
              <w:t>διασφαλίζουν ότι οι πληροφορίες που αναφέρονται στο άρθρο 1 παράγραφος 1 παραμένουν διαθέσιμες στο ESAP επί 10 έτη τουλάχιστον, εκτός εάν ορίζεται δι</w:t>
            </w:r>
            <w:r>
              <w:t>αφορετικά στις νομικές πράξεις που αναφέρονται στο άρθρο 1 παράγραφος 1 στοιχείο α). Τα δεδομένα προσωπικού χαρακτήρα που περιέχονται στις πληροφορίες που υποβάλλονται σύμφωνα με το άρθρο 1 παράγραφος 1 δεν διατηρούνται και δεν καθίστανται διαθέσιμα για δι</w:t>
            </w:r>
            <w:r>
              <w:t xml:space="preserve">άστημα μεγαλύτερο των 5 ετών, εκτός εάν ορίζεται διαφορετικά στις </w:t>
            </w:r>
            <w:r>
              <w:lastRenderedPageBreak/>
              <w:t>νομικές πράξεις που αναφέρονται στο άρθρο 1 παράγραφος 1 στοιχείο α).</w:t>
            </w:r>
          </w:p>
        </w:tc>
        <w:tc>
          <w:tcPr>
            <w:tcW w:w="4876" w:type="dxa"/>
            <w:hideMark/>
          </w:tcPr>
          <w:p w:rsidR="00DB5C33" w:rsidRPr="006F3A74" w:rsidRDefault="009E38A5" w:rsidP="004A2342">
            <w:pPr>
              <w:pStyle w:val="Normal6"/>
              <w:rPr>
                <w:szCs w:val="24"/>
              </w:rPr>
            </w:pPr>
            <w:r>
              <w:lastRenderedPageBreak/>
              <w:t>στ)</w:t>
            </w:r>
            <w:r>
              <w:tab/>
              <w:t>διασφαλίζουν ότι οι πληροφορίες που αναφέρονται στο άρθρο 1 παράγραφος 1 παραμένουν διαθέσιμες στο ESAP επί 10 έτη τ</w:t>
            </w:r>
            <w:r>
              <w:t>ουλάχιστον, εκτός εάν ορίζεται διαφορετικά στις νομικές πράξεις που αναφέρονται στο άρθρο 1 παράγραφος 1 στοιχείο α). Τα δεδομένα προσωπικού χαρακτήρα που περιέχονται στις πληροφορίες που υποβάλλονται σύμφωνα με το άρθρο 1 παράγραφος 1 δεν διατηρούνται και</w:t>
            </w:r>
            <w:r>
              <w:t xml:space="preserve"> δεν καθίστανται διαθέσιμα για διάστημα μεγαλύτερο </w:t>
            </w:r>
            <w:r>
              <w:rPr>
                <w:b/>
                <w:i/>
              </w:rPr>
              <w:t xml:space="preserve">από ό,τι είναι αναγκαίο και σε κάθε </w:t>
            </w:r>
            <w:r>
              <w:rPr>
                <w:b/>
                <w:i/>
              </w:rPr>
              <w:lastRenderedPageBreak/>
              <w:t xml:space="preserve">περίπτωση μεγαλύτερο </w:t>
            </w:r>
            <w:r>
              <w:t>των 5 ετών, εκτός εάν ορίζεται διαφορετικά στις νομικές πράξεις που αναφέρονται στο άρθρο 1 παράγραφος 1 στοιχείο α).</w:t>
            </w:r>
          </w:p>
        </w:tc>
      </w:tr>
    </w:tbl>
    <w:p w:rsidR="00DB5C33" w:rsidRPr="006F3A74" w:rsidRDefault="009E38A5" w:rsidP="00DB5C33">
      <w:r>
        <w:rPr>
          <w:rStyle w:val="HideTWBExt"/>
        </w:rPr>
        <w:lastRenderedPageBreak/>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22</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5 – παράγραφος 2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2.</w:t>
            </w:r>
            <w:r>
              <w:tab/>
              <w:t>Οι φορείς συλλογής απορρίπτουν τις πληροφορίες που υποβάλλονται από οντότητες σε καθεμ</w:t>
            </w:r>
            <w:r>
              <w:t>ία από τις ακόλουθες περιπτώσεις:</w:t>
            </w:r>
          </w:p>
        </w:tc>
        <w:tc>
          <w:tcPr>
            <w:tcW w:w="4876" w:type="dxa"/>
            <w:hideMark/>
          </w:tcPr>
          <w:p w:rsidR="00DB5C33" w:rsidRPr="006F3A74" w:rsidRDefault="009E38A5" w:rsidP="004A2342">
            <w:pPr>
              <w:pStyle w:val="Normal6"/>
              <w:rPr>
                <w:szCs w:val="24"/>
              </w:rPr>
            </w:pPr>
            <w:r>
              <w:t>2.</w:t>
            </w:r>
            <w:r>
              <w:tab/>
              <w:t xml:space="preserve">Οι φορείς συλλογής </w:t>
            </w:r>
            <w:r>
              <w:rPr>
                <w:b/>
                <w:i/>
              </w:rPr>
              <w:t xml:space="preserve">εξουσιοδοτούνται να ελέγχουν και να </w:t>
            </w:r>
            <w:r>
              <w:t>απορρίπτουν τις πληροφορίες που υποβάλλονται από οντότητες σε καθεμία από τις ακόλουθες περιπτώσεις:</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23</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5 – παράγραφος 2 – στοιχείο β α (νέο)</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4A2342">
            <w:pPr>
              <w:pStyle w:val="Normal6"/>
              <w:rPr>
                <w:szCs w:val="24"/>
              </w:rPr>
            </w:pPr>
            <w:r>
              <w:rPr>
                <w:b/>
                <w:i/>
              </w:rPr>
              <w:t>βα)</w:t>
            </w:r>
            <w:r>
              <w:rPr>
                <w:b/>
                <w:i/>
              </w:rPr>
              <w:tab/>
              <w:t xml:space="preserve">όταν καθίσταται προφανές ότι οι οντότητες δεν πληρούν τις απαιτήσεις τους για την υποβολή δεδομένων προσωπικού </w:t>
            </w:r>
            <w:r>
              <w:rPr>
                <w:b/>
                <w:i/>
              </w:rPr>
              <w:t>χαρακτήρα, όπως ορίζονται στο άρθρο 3 παράγραφος 1 στοιχείο δ) και στο άρθρο 3 παράγραφος 3.</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24</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5 – παράγραφος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w:t>
            </w:r>
            <w:r>
              <w:t>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4.</w:t>
            </w:r>
            <w:r>
              <w:tab/>
              <w:t>Οι οντότητες διασφαλίζουν την ακρίβεια των πληροφοριών που υποβάλλουν στους φορείς συλλογής.</w:t>
            </w:r>
          </w:p>
        </w:tc>
        <w:tc>
          <w:tcPr>
            <w:tcW w:w="4876" w:type="dxa"/>
            <w:hideMark/>
          </w:tcPr>
          <w:p w:rsidR="00DB5C33" w:rsidRPr="006F3A74" w:rsidRDefault="009E38A5" w:rsidP="004A2342">
            <w:pPr>
              <w:pStyle w:val="Normal6"/>
              <w:rPr>
                <w:szCs w:val="24"/>
              </w:rPr>
            </w:pPr>
            <w:r>
              <w:t>4.</w:t>
            </w:r>
            <w:r>
              <w:tab/>
              <w:t xml:space="preserve">Οι οντότητες διασφαλίζουν την </w:t>
            </w:r>
            <w:r>
              <w:rPr>
                <w:b/>
                <w:i/>
              </w:rPr>
              <w:t xml:space="preserve">ποιότητα, την πληρότητα και την </w:t>
            </w:r>
            <w:r>
              <w:t>ακρίβεια των πληροφοριών που υποβάλλουν στους φορείς συλλογής.</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lastRenderedPageBreak/>
        <w:t>&lt;Amend&gt;</w:t>
      </w:r>
      <w:r>
        <w:t>Τροπολογία</w:t>
      </w:r>
      <w:r>
        <w:tab/>
      </w:r>
      <w:r>
        <w:tab/>
      </w:r>
      <w:r>
        <w:rPr>
          <w:rStyle w:val="HideTWBExt"/>
          <w:b w:val="0"/>
        </w:rPr>
        <w:t>&lt;NumAm&gt;</w:t>
      </w:r>
      <w:r>
        <w:t>25</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5 – παράγραφος 6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tcPr>
          <w:p w:rsidR="00DB5C33" w:rsidRPr="006F3A74" w:rsidRDefault="00DB5C33" w:rsidP="004A2342">
            <w:pPr>
              <w:pStyle w:val="Normal6"/>
              <w:rPr>
                <w:lang w:val="en-GB"/>
              </w:rPr>
            </w:pPr>
          </w:p>
        </w:tc>
        <w:tc>
          <w:tcPr>
            <w:tcW w:w="4876" w:type="dxa"/>
            <w:hideMark/>
          </w:tcPr>
          <w:p w:rsidR="00DB5C33" w:rsidRPr="006F3A74" w:rsidRDefault="009E38A5" w:rsidP="004A2342">
            <w:pPr>
              <w:pStyle w:val="Normal6"/>
              <w:rPr>
                <w:szCs w:val="24"/>
              </w:rPr>
            </w:pPr>
            <w:r>
              <w:rPr>
                <w:b/>
                <w:i/>
              </w:rPr>
              <w:t>6α.</w:t>
            </w:r>
            <w:r>
              <w:rPr>
                <w:b/>
                <w:i/>
              </w:rPr>
              <w:tab/>
              <w:t xml:space="preserve">Η Μεικτή Επιτροπή των Ευρωπαϊκών Εποπτικών Αρχών αναπτύσσει διαδικασίες που </w:t>
            </w:r>
            <w:r>
              <w:rPr>
                <w:b/>
                <w:i/>
              </w:rPr>
              <w:t>αποσκοπούν στη διευκόλυνση της συνεργασίας μεταξύ φορέων συλλογής και οντοτήτων, ιδίως όσον αφορά τη ρύθμιση της υποβολής και της απόσυρσης εθελοντικών πληροφοριών, συμπεριλαμβανομένων, κατά περίπτωση, σχετικών υποδειγμάτων. Όταν αναπτύσσει αυτές τις διαδι</w:t>
            </w:r>
            <w:r>
              <w:rPr>
                <w:b/>
                <w:i/>
              </w:rPr>
              <w:t>κασίες, η μεικτή επιτροπή λαμβάνει υπόψη ιδίως τις ανάγκες των μικρών και μεσαίων επιχειρήσεων.</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26</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6 – εδάφιο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 xml:space="preserve">Η ESMA εφαρμόζει αποτελεσματική και αναλογική πολιτική ασφάλειας ΤΠ για το ESAP και διασφαλίζει τα κατάλληλα επίπεδα γνησιότητας, διαθεσιμότητας, ακεραιότητας και μη απόρριψης των πληροφοριών που καθίστανται προσβάσιμες στο ESAP και της </w:t>
            </w:r>
            <w:r>
              <w:t>προστασίας των δεδομένων προσωπικού χαρακτήρα.</w:t>
            </w:r>
          </w:p>
        </w:tc>
        <w:tc>
          <w:tcPr>
            <w:tcW w:w="4876" w:type="dxa"/>
            <w:hideMark/>
          </w:tcPr>
          <w:p w:rsidR="00DB5C33" w:rsidRPr="006F3A74" w:rsidRDefault="009E38A5" w:rsidP="004A2342">
            <w:pPr>
              <w:pStyle w:val="Normal6"/>
              <w:rPr>
                <w:szCs w:val="24"/>
              </w:rPr>
            </w:pPr>
            <w:r>
              <w:t>Η ESMA εφαρμόζει αποτελεσματική και αναλογική πολιτική ασφάλειας ΤΠ για το ESAP και διασφαλίζει τα κατάλληλα επίπεδα γνησιότητας, διαθεσιμότητας, ακεραιότητας και μη απόρριψης των πληροφοριών που καθίστανται π</w:t>
            </w:r>
            <w:r>
              <w:t xml:space="preserve">ροσβάσιμες στο ESAP και της προστασίας των δεδομένων προσωπικού χαρακτήρα. </w:t>
            </w:r>
            <w:r>
              <w:rPr>
                <w:b/>
                <w:i/>
              </w:rPr>
              <w:t>Η ESMA διενεργεί περιοδικές επανεξετάσεις της πολιτικής ασφάλειας των ΤΠ και της κατάστασης κυβερνοασφάλειας του ESAP, λαμβάνοντας υπόψη τις εξελισσόμενες ευρωπαϊκές και διεθνείς τά</w:t>
            </w:r>
            <w:r>
              <w:rPr>
                <w:b/>
                <w:i/>
              </w:rPr>
              <w:t>σεις σε θέματα κυβερνοασφάλειας και τις τελευταίες εξελίξεις.</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27</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7 – παράγραφος 1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α)</w:t>
            </w:r>
            <w:r>
              <w:tab/>
            </w:r>
            <w:r>
              <w:t>διαδικτυακή πύλη με φιλική προς τον χρήστη διεπαφή σε όλες τις επίσημες γλώσσες της Ένωσης για την παροχή πρόσβασης στις πληροφορίες του ESAP·</w:t>
            </w:r>
          </w:p>
        </w:tc>
        <w:tc>
          <w:tcPr>
            <w:tcW w:w="4876" w:type="dxa"/>
            <w:hideMark/>
          </w:tcPr>
          <w:p w:rsidR="00DB5C33" w:rsidRPr="006F3A74" w:rsidRDefault="009E38A5" w:rsidP="004A2342">
            <w:pPr>
              <w:pStyle w:val="Normal6"/>
              <w:rPr>
                <w:szCs w:val="24"/>
              </w:rPr>
            </w:pPr>
            <w:r>
              <w:t>α)</w:t>
            </w:r>
            <w:r>
              <w:tab/>
              <w:t>διαδικτυακή πύλη με φιλική προς τον χρήστη διεπαφή</w:t>
            </w:r>
            <w:r>
              <w:rPr>
                <w:b/>
                <w:i/>
              </w:rPr>
              <w:t>,</w:t>
            </w:r>
            <w:r>
              <w:t xml:space="preserve"> </w:t>
            </w:r>
            <w:r>
              <w:rPr>
                <w:b/>
                <w:i/>
              </w:rPr>
              <w:t>η οποία λαμβάνει υπόψη τις ειδικές ανάγκες πρόσβασης των α</w:t>
            </w:r>
            <w:r>
              <w:rPr>
                <w:b/>
                <w:i/>
              </w:rPr>
              <w:t>τόμων με αναπηρία, </w:t>
            </w:r>
            <w:r>
              <w:t>σε όλες τις επίσημες γλώσσες της Ένωσης για την παροχή πρόσβασης στις πληροφορίες του ESAP·</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28</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7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 xml:space="preserve">Κείμενο που </w:t>
            </w:r>
            <w:r>
              <w:t>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2.</w:t>
            </w:r>
            <w:r>
              <w:tab/>
              <w:t>Η ESMA διασφαλίζει ότι το ESAP μεριμνά για τις λειτουργικές δυνατότητες που αναφέρονται στην παράγραφο 1 στοιχεία ε) και ζ) έως τις 31 Δεκεμβρίου 2025.</w:t>
            </w:r>
          </w:p>
        </w:tc>
        <w:tc>
          <w:tcPr>
            <w:tcW w:w="4876" w:type="dxa"/>
            <w:hideMark/>
          </w:tcPr>
          <w:p w:rsidR="00DB5C33" w:rsidRPr="006F3A74" w:rsidRDefault="009E38A5" w:rsidP="004A2342">
            <w:pPr>
              <w:pStyle w:val="Normal6"/>
              <w:rPr>
                <w:szCs w:val="24"/>
              </w:rPr>
            </w:pPr>
            <w:r>
              <w:t>2.</w:t>
            </w:r>
            <w:r>
              <w:tab/>
              <w:t>Η ESMA διασφαλίζει ότι το ESAP μεριμνά για τις λειτουργικές δυνατ</w:t>
            </w:r>
            <w:r>
              <w:t xml:space="preserve">ότητες που αναφέρονται στην παράγραφο 1 στοιχεία ε) και ζ) έως τις 31 Δεκεμβρίου 2025. </w:t>
            </w:r>
            <w:r>
              <w:rPr>
                <w:b/>
                <w:i/>
              </w:rPr>
              <w:t>Η ESMA θεσπίζει κατάλληλα τεχνικά και οργανωτικά μέτρα για την πρόληψη της υπερβολικής γνωστοποίησης δεδομένων προσωπικού χαρακτήρα μέσω της υπηρεσίας τηλεφόρτωσης και τ</w:t>
            </w:r>
            <w:r>
              <w:rPr>
                <w:b/>
                <w:i/>
              </w:rPr>
              <w:t>ης API. Η ESMA παρέχει πρόσθετες εγγυήσεις όταν η γνωστοποίηση δεδομένων προσωπικού χαρακτήρα μέσω της υπηρεσίας τηλεφόρτωσης και της API αφορά δεδομένα προσωπικού χαρακτήρα ιδιαίτερα ευαίσθητης φύσης, όπως πληροφορίες σχετικά με διοικητικά μέτρα ή άλλες κ</w:t>
            </w:r>
            <w:r>
              <w:rPr>
                <w:b/>
                <w:i/>
              </w:rPr>
              <w:t>υρώσεις που αφορούν φυσικά πρόσωπα.</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29</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7 – παράγραφος 3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3.</w:t>
            </w:r>
            <w:r>
              <w:tab/>
              <w:t xml:space="preserve">Η λειτουργία </w:t>
            </w:r>
            <w:r>
              <w:t>αναζήτησης που αναφέρεται στην παράγραφο 1 στοιχείο γ) παρέχει τη δυνατότητα αναζήτησης με βάση τα ακόλουθα μεταδεδομένα:</w:t>
            </w:r>
          </w:p>
        </w:tc>
        <w:tc>
          <w:tcPr>
            <w:tcW w:w="4876" w:type="dxa"/>
            <w:hideMark/>
          </w:tcPr>
          <w:p w:rsidR="00DB5C33" w:rsidRPr="006F3A74" w:rsidRDefault="009E38A5" w:rsidP="004A2342">
            <w:pPr>
              <w:pStyle w:val="Normal6"/>
              <w:rPr>
                <w:szCs w:val="24"/>
              </w:rPr>
            </w:pPr>
            <w:r>
              <w:t>3.</w:t>
            </w:r>
            <w:r>
              <w:tab/>
              <w:t xml:space="preserve">Η λειτουργία αναζήτησης που αναφέρεται στην παράγραφο 1 στοιχείο γ) παρέχει τη δυνατότητα αναζήτησης με βάση </w:t>
            </w:r>
            <w:r>
              <w:rPr>
                <w:b/>
                <w:bCs/>
                <w:i/>
                <w:iCs/>
              </w:rPr>
              <w:t>τουλάχιστον</w:t>
            </w:r>
            <w:r>
              <w:t xml:space="preserve"> τα ακόλουθ</w:t>
            </w:r>
            <w:r>
              <w:t>α μεταδεδομένα:</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30</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8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1.</w:t>
            </w:r>
            <w:r>
              <w:tab/>
              <w:t xml:space="preserve">Η ESMA διασφαλίζει ότι η πρόσβαση στο ESAP παρέχεται χωρίς </w:t>
            </w:r>
            <w:r>
              <w:t>διακρίσεις.</w:t>
            </w:r>
          </w:p>
        </w:tc>
        <w:tc>
          <w:tcPr>
            <w:tcW w:w="4876" w:type="dxa"/>
            <w:hideMark/>
          </w:tcPr>
          <w:p w:rsidR="00DB5C33" w:rsidRPr="006F3A74" w:rsidRDefault="009E38A5" w:rsidP="004A2342">
            <w:pPr>
              <w:pStyle w:val="Normal6"/>
              <w:rPr>
                <w:szCs w:val="24"/>
              </w:rPr>
            </w:pPr>
            <w:r>
              <w:t>1.</w:t>
            </w:r>
            <w:r>
              <w:tab/>
            </w:r>
            <w:r>
              <w:rPr>
                <w:b/>
                <w:i/>
              </w:rPr>
              <w:t>Προκειμένου να προωθηθούν η διαφάνεια και η ομαλή λειτουργία των κεφαλαιαγορών της ΕΕ,</w:t>
            </w:r>
            <w:r>
              <w:t xml:space="preserve"> η ESMA διασφαλίζει ότι η πρόσβαση στο ESAP παρέχεται χωρίς διακρίσεις.</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31</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8 – παράγραφος 4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4.</w:t>
            </w:r>
            <w:r>
              <w:tab/>
              <w:t xml:space="preserve">Για τους σκοπούς της παραγράφου 2 δεύτερο εδάφιο, η ESMA </w:t>
            </w:r>
            <w:r>
              <w:rPr>
                <w:b/>
                <w:bCs/>
                <w:i/>
                <w:iCs/>
              </w:rPr>
              <w:t>μπορεί να καταρτίσει</w:t>
            </w:r>
            <w:r>
              <w:t xml:space="preserve"> σχέδια εκτελεστικών τεχνικών προτύπων προκειμένου να κα</w:t>
            </w:r>
            <w:r>
              <w:t>θορίσει τη φύση και την έκταση των συγκεκριμένων υπηρεσιών για τις οποίες ενδέχεται να χρεώνονται τέλη, καθώς και τη σχετική διάρθρωση των τελών.</w:t>
            </w:r>
          </w:p>
        </w:tc>
        <w:tc>
          <w:tcPr>
            <w:tcW w:w="4876" w:type="dxa"/>
            <w:hideMark/>
          </w:tcPr>
          <w:p w:rsidR="00DB5C33" w:rsidRPr="006F3A74" w:rsidRDefault="009E38A5" w:rsidP="004A2342">
            <w:pPr>
              <w:pStyle w:val="Normal6"/>
              <w:rPr>
                <w:szCs w:val="24"/>
              </w:rPr>
            </w:pPr>
            <w:r>
              <w:t>4.</w:t>
            </w:r>
            <w:r>
              <w:tab/>
              <w:t xml:space="preserve">Για τους σκοπούς της παραγράφου 2 δεύτερο εδάφιο, η ESMA </w:t>
            </w:r>
            <w:r>
              <w:rPr>
                <w:b/>
                <w:bCs/>
                <w:i/>
                <w:iCs/>
              </w:rPr>
              <w:t xml:space="preserve">καταρτίζει </w:t>
            </w:r>
            <w:r>
              <w:t>σχέδια εκτελεστικών τεχνικών προτύπων π</w:t>
            </w:r>
            <w:r>
              <w:t>ροκειμένου να καθορίσει τη φύση και την έκταση των συγκεκριμένων υπηρεσιών για τις οποίες ενδέχεται να χρεώνονται τέλη, καθώς και τη σχετική διάρθρωση των τελών.</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32</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10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1.</w:t>
            </w:r>
            <w:r>
              <w:tab/>
              <w:t>Η ESMA εκτελεί αυτοματοποιημένες επικυρώσεις για να επαληθεύει τη συμμόρφωση των πληροφοριών που υποβάλλονται από τους φορείς συλλογής με τις απαιτήσεις που ορίζον</w:t>
            </w:r>
            <w:r>
              <w:t>ται στο άρθρο 5 παράγραφος 1 στοιχείο β).</w:t>
            </w:r>
          </w:p>
        </w:tc>
        <w:tc>
          <w:tcPr>
            <w:tcW w:w="4876" w:type="dxa"/>
            <w:hideMark/>
          </w:tcPr>
          <w:p w:rsidR="00DB5C33" w:rsidRPr="006F3A74" w:rsidRDefault="009E38A5" w:rsidP="004A2342">
            <w:pPr>
              <w:pStyle w:val="Normal6"/>
              <w:rPr>
                <w:szCs w:val="24"/>
              </w:rPr>
            </w:pPr>
            <w:r>
              <w:t>1.</w:t>
            </w:r>
            <w:r>
              <w:tab/>
              <w:t>Η ESMA εκτελεί αυτοματοποιημένες επικυρώσεις</w:t>
            </w:r>
            <w:r>
              <w:rPr>
                <w:b/>
                <w:i/>
              </w:rPr>
              <w:t>, όπου είναι δυνατόν με αυτοματοποιημένο τρόπο,</w:t>
            </w:r>
            <w:r>
              <w:t xml:space="preserve"> για να επαληθεύει τη συμμόρφωση των πληροφοριών που υποβάλλονται από τους φορείς συλλογής με τις απαιτήσεις που ορίζοντ</w:t>
            </w:r>
            <w:r>
              <w:t>αι στο άρθρο 5 παράγραφος 1 στοιχείο β).</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33</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11 – παράγραφος 1 – στοιχείο γ</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γ)</w:t>
            </w:r>
            <w:r>
              <w:tab/>
              <w:t xml:space="preserve">διασφαλίζει ότι το </w:t>
            </w:r>
            <w:r>
              <w:t>ESAP είναι προσβάσιμο τουλάχιστον κατά 95 % του χρόνου ανά μήνα·</w:t>
            </w:r>
          </w:p>
        </w:tc>
        <w:tc>
          <w:tcPr>
            <w:tcW w:w="4876" w:type="dxa"/>
            <w:hideMark/>
          </w:tcPr>
          <w:p w:rsidR="00DB5C33" w:rsidRPr="006F3A74" w:rsidRDefault="009E38A5" w:rsidP="004A2342">
            <w:pPr>
              <w:pStyle w:val="Normal6"/>
              <w:rPr>
                <w:szCs w:val="24"/>
              </w:rPr>
            </w:pPr>
            <w:r>
              <w:t>γ)</w:t>
            </w:r>
            <w:r>
              <w:tab/>
              <w:t xml:space="preserve">διασφαλίζει ότι το ESAP είναι προσβάσιμο </w:t>
            </w:r>
            <w:r>
              <w:rPr>
                <w:b/>
                <w:bCs/>
                <w:i/>
                <w:iCs/>
              </w:rPr>
              <w:t>όχι μόνο κατά τη διάρκεια των περιόδων της αναγκαίας τεχνικής συντήρησης·</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34</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 xml:space="preserve">Πρόταση </w:t>
      </w:r>
      <w:r>
        <w:t>κανονισμού</w:t>
      </w:r>
      <w:r>
        <w:rPr>
          <w:rStyle w:val="HideTWBExt"/>
          <w:b w:val="0"/>
        </w:rPr>
        <w:t>&lt;/DocAmend&gt;</w:t>
      </w:r>
    </w:p>
    <w:p w:rsidR="00DB5C33" w:rsidRPr="006F3A74" w:rsidRDefault="009E38A5" w:rsidP="00DB5C33">
      <w:pPr>
        <w:pStyle w:val="NormalBold"/>
      </w:pPr>
      <w:r>
        <w:rPr>
          <w:rStyle w:val="HideTWBExt"/>
          <w:b w:val="0"/>
        </w:rPr>
        <w:t>&lt;Article&gt;</w:t>
      </w:r>
      <w:r>
        <w:t>Άρθρο 11 – παράγραφος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3.</w:t>
            </w:r>
            <w:r>
              <w:tab/>
              <w:t>Η ESMA δεν αποθηκεύει πληροφορίες που περιέχουν δεδομένα προσωπικού χαρακτήρα, με εξαίρεση την αυτόματη, ενδιάμεση και προσωρινή επεξεργασία,</w:t>
            </w:r>
            <w:r>
              <w:t xml:space="preserve"> συμπεριλαμβανομένης της αποθήκευσης των εν λόγω πληροφοριών στον βαθμό που είναι απολύτως αναγκαίο για την παροχή πρόσβασης σε πληροφορίες που παρέχονται από τους φορείς συλλογής.</w:t>
            </w:r>
          </w:p>
        </w:tc>
        <w:tc>
          <w:tcPr>
            <w:tcW w:w="4876" w:type="dxa"/>
            <w:hideMark/>
          </w:tcPr>
          <w:p w:rsidR="00DB5C33" w:rsidRPr="006F3A74" w:rsidRDefault="009E38A5" w:rsidP="004A2342">
            <w:pPr>
              <w:pStyle w:val="Normal6"/>
              <w:rPr>
                <w:szCs w:val="24"/>
              </w:rPr>
            </w:pPr>
            <w:r>
              <w:t>3.</w:t>
            </w:r>
            <w:r>
              <w:tab/>
              <w:t xml:space="preserve">Η ESMA δεν αποθηκεύει πληροφορίες που περιέχουν δεδομένα προσωπικού </w:t>
            </w:r>
            <w:r>
              <w:t xml:space="preserve">χαρακτήρα, με εξαίρεση την αυτόματη, ενδιάμεση και προσωρινή επεξεργασία, συμπεριλαμβανομένης της αποθήκευσης των εν λόγω πληροφοριών στον βαθμό που είναι απολύτως αναγκαίο για την παροχή πρόσβασης σε πληροφορίες που παρέχονται από τους φορείς συλλογής. </w:t>
            </w:r>
            <w:r>
              <w:rPr>
                <w:b/>
                <w:i/>
              </w:rPr>
              <w:t xml:space="preserve">Η </w:t>
            </w:r>
            <w:r>
              <w:rPr>
                <w:b/>
                <w:i/>
              </w:rPr>
              <w:t xml:space="preserve">ESMA λαμβάνει επίσης κατάλληλα τεχνικά και οργανωτικά μέτρα για να διασφαλίσει ότι οι πληροφορίες δεν διατηρούνται ούτε διατίθενται για μεγαλύτερο χρονικό διάστημα από εκείνο που προβλέπεται </w:t>
            </w:r>
            <w:r>
              <w:rPr>
                <w:b/>
                <w:i/>
              </w:rPr>
              <w:lastRenderedPageBreak/>
              <w:t>στο άρθρο 5 παράγραφος 1 στοιχείο στ) του παρόντος κανονισμού.</w:t>
            </w:r>
          </w:p>
        </w:tc>
      </w:tr>
    </w:tbl>
    <w:p w:rsidR="00DB5C33" w:rsidRPr="006F3A74" w:rsidRDefault="009E38A5" w:rsidP="00DB5C33">
      <w:r>
        <w:rPr>
          <w:rStyle w:val="HideTWBExt"/>
        </w:rPr>
        <w:lastRenderedPageBreak/>
        <w:t>&lt;</w:t>
      </w:r>
      <w:r>
        <w:rPr>
          <w:rStyle w:val="HideTWBExt"/>
        </w:rPr>
        <w: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35</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12 – παράγραφος 2 – στοιχείο 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α)</w:t>
            </w:r>
            <w:r>
              <w:tab/>
              <w:t>ο αριθμός των επισκεπτών και των αναζητήσεων·</w:t>
            </w:r>
          </w:p>
        </w:tc>
        <w:tc>
          <w:tcPr>
            <w:tcW w:w="4876" w:type="dxa"/>
            <w:hideMark/>
          </w:tcPr>
          <w:p w:rsidR="00DB5C33" w:rsidRPr="006F3A74" w:rsidRDefault="009E38A5" w:rsidP="004A2342">
            <w:pPr>
              <w:pStyle w:val="Normal6"/>
              <w:rPr>
                <w:szCs w:val="24"/>
              </w:rPr>
            </w:pPr>
            <w:r>
              <w:t>α)</w:t>
            </w:r>
            <w:r>
              <w:tab/>
              <w:t xml:space="preserve">ο αριθμός των </w:t>
            </w:r>
            <w:r>
              <w:t>επισκεπτών</w:t>
            </w:r>
            <w:r>
              <w:rPr>
                <w:b/>
                <w:i/>
              </w:rPr>
              <w:t>, συμπεριλαμβανομένων των μοναδικών επισκεπτών,</w:t>
            </w:r>
            <w:r>
              <w:t xml:space="preserve"> και των αναζητήσεων·</w:t>
            </w:r>
          </w:p>
        </w:tc>
      </w:tr>
    </w:tbl>
    <w:p w:rsidR="00DB5C33" w:rsidRPr="006F3A74" w:rsidRDefault="009E38A5" w:rsidP="00DB5C33">
      <w:r>
        <w:rPr>
          <w:rStyle w:val="HideTWBExt"/>
        </w:rPr>
        <w:t>&lt;/Amend&gt;</w:t>
      </w:r>
    </w:p>
    <w:p w:rsidR="00DB5C33" w:rsidRPr="006F3A74" w:rsidRDefault="009E38A5" w:rsidP="00DB5C33">
      <w:pPr>
        <w:pStyle w:val="AmNumberTabs"/>
      </w:pPr>
      <w:r>
        <w:rPr>
          <w:rStyle w:val="HideTWBExt"/>
          <w:b w:val="0"/>
        </w:rPr>
        <w:t>&lt;Amend&gt;</w:t>
      </w:r>
      <w:r>
        <w:t>Τροπολογία</w:t>
      </w:r>
      <w:r>
        <w:tab/>
      </w:r>
      <w:r>
        <w:tab/>
      </w:r>
      <w:r>
        <w:rPr>
          <w:rStyle w:val="HideTWBExt"/>
          <w:b w:val="0"/>
        </w:rPr>
        <w:t>&lt;NumAm&gt;</w:t>
      </w:r>
      <w:r>
        <w:t>36</w:t>
      </w:r>
      <w:r>
        <w:rPr>
          <w:rStyle w:val="HideTWBExt"/>
          <w:b w:val="0"/>
        </w:rPr>
        <w:t>&lt;/NumAm&gt;</w:t>
      </w:r>
    </w:p>
    <w:p w:rsidR="00DB5C33" w:rsidRPr="006F3A74" w:rsidRDefault="00DB5C33" w:rsidP="00DB5C33"/>
    <w:p w:rsidR="00DB5C33" w:rsidRPr="006F3A74" w:rsidRDefault="009E38A5" w:rsidP="00DB5C33">
      <w:pPr>
        <w:pStyle w:val="NormalBold"/>
        <w:keepNext/>
      </w:pPr>
      <w:r>
        <w:rPr>
          <w:rStyle w:val="HideTWBExt"/>
          <w:b w:val="0"/>
        </w:rPr>
        <w:t>&lt;DocAmend&gt;</w:t>
      </w:r>
      <w:r>
        <w:t>Πρόταση κανονισμού</w:t>
      </w:r>
      <w:r>
        <w:rPr>
          <w:rStyle w:val="HideTWBExt"/>
          <w:b w:val="0"/>
        </w:rPr>
        <w:t>&lt;/DocAmend&gt;</w:t>
      </w:r>
    </w:p>
    <w:p w:rsidR="00DB5C33" w:rsidRPr="006F3A74" w:rsidRDefault="009E38A5" w:rsidP="00DB5C33">
      <w:pPr>
        <w:pStyle w:val="NormalBold"/>
      </w:pPr>
      <w:r>
        <w:rPr>
          <w:rStyle w:val="HideTWBExt"/>
          <w:b w:val="0"/>
        </w:rPr>
        <w:t>&lt;Article&gt;</w:t>
      </w:r>
      <w:r>
        <w:t>Άρθρο 13 – εδάφιο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43A1" w:rsidTr="004A2342">
        <w:trPr>
          <w:jc w:val="center"/>
        </w:trPr>
        <w:tc>
          <w:tcPr>
            <w:tcW w:w="9752" w:type="dxa"/>
            <w:gridSpan w:val="2"/>
          </w:tcPr>
          <w:p w:rsidR="00DB5C33" w:rsidRPr="006F3A74" w:rsidRDefault="00DB5C33" w:rsidP="004A2342">
            <w:pPr>
              <w:keepNext/>
            </w:pPr>
          </w:p>
        </w:tc>
      </w:tr>
      <w:tr w:rsidR="00F743A1" w:rsidTr="004A2342">
        <w:trPr>
          <w:jc w:val="center"/>
        </w:trPr>
        <w:tc>
          <w:tcPr>
            <w:tcW w:w="4876" w:type="dxa"/>
            <w:hideMark/>
          </w:tcPr>
          <w:p w:rsidR="00DB5C33" w:rsidRPr="006F3A74" w:rsidRDefault="009E38A5" w:rsidP="004A2342">
            <w:pPr>
              <w:pStyle w:val="ColumnHeading"/>
              <w:keepNext/>
            </w:pPr>
            <w:r>
              <w:t>Κείμενο που προτείνει η Επιτροπή</w:t>
            </w:r>
          </w:p>
        </w:tc>
        <w:tc>
          <w:tcPr>
            <w:tcW w:w="4876" w:type="dxa"/>
            <w:hideMark/>
          </w:tcPr>
          <w:p w:rsidR="00DB5C33" w:rsidRPr="006F3A74" w:rsidRDefault="009E38A5" w:rsidP="004A2342">
            <w:pPr>
              <w:pStyle w:val="ColumnHeading"/>
              <w:keepNext/>
            </w:pPr>
            <w:r>
              <w:t>Τροπολογία</w:t>
            </w:r>
          </w:p>
        </w:tc>
      </w:tr>
      <w:tr w:rsidR="00F743A1" w:rsidTr="004A2342">
        <w:trPr>
          <w:jc w:val="center"/>
        </w:trPr>
        <w:tc>
          <w:tcPr>
            <w:tcW w:w="4876" w:type="dxa"/>
            <w:hideMark/>
          </w:tcPr>
          <w:p w:rsidR="00DB5C33" w:rsidRPr="006F3A74" w:rsidRDefault="009E38A5" w:rsidP="004A2342">
            <w:pPr>
              <w:pStyle w:val="Normal6"/>
            </w:pPr>
            <w:r>
              <w:t>Έως</w:t>
            </w:r>
            <w:r>
              <w:t xml:space="preserve"> τη(ν) [Υπηρεσία Εκδόσεων: να προστεθεί ημερομηνία 5 έτη μετά την έναρξη ισχύος του παρόντος Κανονισμού], η Επιτροπή επανεξετάζει τη λειτουργία του ESAP και αξιολογεί την αποτελεσματικότητά του. Η Επιτροπή υποβάλλει έκθεση στο Ευρωπαϊκό Κοινοβούλιο και στο</w:t>
            </w:r>
            <w:r>
              <w:t xml:space="preserve"> Συμβούλιο σχετικά με τα αποτελέσματα της επανεξέτασής της.</w:t>
            </w:r>
          </w:p>
        </w:tc>
        <w:tc>
          <w:tcPr>
            <w:tcW w:w="4876" w:type="dxa"/>
            <w:hideMark/>
          </w:tcPr>
          <w:p w:rsidR="00DB5C33" w:rsidRPr="006F3A74" w:rsidRDefault="009E38A5" w:rsidP="004A2342">
            <w:pPr>
              <w:pStyle w:val="Normal6"/>
              <w:rPr>
                <w:szCs w:val="24"/>
              </w:rPr>
            </w:pPr>
            <w:r>
              <w:t>Έως τη(ν) [Υπηρεσία Εκδόσεων: να προστεθεί ημερομηνία 5 έτη μετά την έναρξη ισχύος του παρόντος Κανονισμού], η Επιτροπή επανεξετάζει τη λειτουργία του ESAP και αξιολογεί την αποτελεσματικότητά του</w:t>
            </w:r>
            <w:r>
              <w:t xml:space="preserve">. Η </w:t>
            </w:r>
            <w:r>
              <w:rPr>
                <w:b/>
                <w:i/>
              </w:rPr>
              <w:t>επανεξέταση αυτή συνοδεύεται από επισκόπηση των υφιστάμενων κενών στα δεδομένα στον ESAP και από μια στρατηγική για την αντιμετώπισή τους. Η επανεξέταση μπορεί να περιλαμβάνει επίσης εκτίμηση των επιπτώσεων του παρόντος κανονισμού στη θέση των οντοτήτω</w:t>
            </w:r>
            <w:r>
              <w:rPr>
                <w:b/>
                <w:i/>
              </w:rPr>
              <w:t xml:space="preserve">ν στην αγορά. Η </w:t>
            </w:r>
            <w:r>
              <w:t>Επιτροπή υποβάλλει έκθεση στο Ευρωπαϊκό Κοινοβούλιο και στο Συμβούλιο σχετικά με τα αποτελέσματα της επανεξέτασής της.</w:t>
            </w:r>
          </w:p>
        </w:tc>
      </w:tr>
    </w:tbl>
    <w:p w:rsidR="00DB5C33" w:rsidRPr="006F3A74" w:rsidRDefault="009E38A5" w:rsidP="00DB5C33">
      <w:r>
        <w:rPr>
          <w:rStyle w:val="HideTWBExt"/>
        </w:rPr>
        <w:t>&lt;/Amend&gt;</w:t>
      </w:r>
    </w:p>
    <w:p w:rsidR="00DB5C33" w:rsidRPr="006F3A74" w:rsidRDefault="009E38A5" w:rsidP="00DB5C33">
      <w:r>
        <w:rPr>
          <w:rStyle w:val="HideTWBExt"/>
        </w:rPr>
        <w:t>&lt;/RepeatBlock-Amend&gt;</w:t>
      </w:r>
    </w:p>
    <w:p w:rsidR="00DF4469" w:rsidRPr="00DF4469" w:rsidRDefault="009E38A5" w:rsidP="00DF4469">
      <w:r>
        <w:br w:type="page"/>
      </w:r>
    </w:p>
    <w:p w:rsidR="00DF4469" w:rsidRDefault="009E38A5" w:rsidP="00DF4469">
      <w:pPr>
        <w:pStyle w:val="PageHeadingNotTOC"/>
      </w:pPr>
      <w:bookmarkStart w:id="2" w:name="ProcPageAD"/>
      <w:r>
        <w:lastRenderedPageBreak/>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743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 xml:space="preserve">Θέσπιση ενός Ευρωπαϊκού Ενιαίου Σημείου </w:t>
            </w:r>
            <w:r>
              <w:rPr>
                <w:color w:val="000000"/>
                <w:sz w:val="20"/>
              </w:rPr>
              <w:t>Πρόσβασης για την παροχή κεντρικής πρόσβασης σε δημοσίως διαθέσιμες πληροφορίες που αφορούν τις χρηματοπιστωτικές υπηρεσίες, τις κεφαλαιαγορές και τη βιωσιμότητα</w:t>
            </w:r>
          </w:p>
        </w:tc>
      </w:tr>
      <w:tr w:rsidR="00F743A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COM(2021)0723 – C9-0434/2021 – 2021/0378(COD)</w:t>
            </w:r>
          </w:p>
        </w:tc>
      </w:tr>
      <w:tr w:rsidR="00F743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 xml:space="preserve">Επιτροπή αρμόδια επί της </w:t>
            </w:r>
            <w:r>
              <w:rPr>
                <w:b/>
                <w:color w:val="000000"/>
                <w:sz w:val="20"/>
              </w:rPr>
              <w:t>ουσίας</w:t>
            </w:r>
          </w:p>
          <w:p w:rsidR="00DF4469" w:rsidRDefault="009E38A5">
            <w:pPr>
              <w:autoSpaceDE w:val="0"/>
              <w:autoSpaceDN w:val="0"/>
              <w:adjustRightInd w:val="0"/>
              <w:rPr>
                <w:color w:val="000000"/>
                <w:sz w:val="20"/>
                <w:szCs w:val="20"/>
              </w:rPr>
            </w:pPr>
            <w:r>
              <w:rPr>
                <w:color w:val="000000"/>
                <w:sz w:val="20"/>
              </w:rPr>
              <w:t xml:space="preserve"> </w:t>
            </w:r>
            <w:r>
              <w:rPr>
                <w:color w:val="000000"/>
                <w:sz w:val="20"/>
              </w:rPr>
              <w:t>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ECON</w:t>
            </w:r>
          </w:p>
          <w:p w:rsidR="00DF4469" w:rsidRDefault="009E38A5">
            <w:pPr>
              <w:autoSpaceDE w:val="0"/>
              <w:autoSpaceDN w:val="0"/>
              <w:adjustRightInd w:val="0"/>
              <w:rPr>
                <w:color w:val="000000"/>
                <w:sz w:val="20"/>
                <w:szCs w:val="20"/>
              </w:rPr>
            </w:pPr>
            <w:r>
              <w:rPr>
                <w:color w:val="000000"/>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r>
      <w:tr w:rsidR="00F743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Γνωμοδότηση της</w:t>
            </w:r>
          </w:p>
          <w:p w:rsidR="00DF4469" w:rsidRDefault="009E38A5">
            <w:pPr>
              <w:autoSpaceDE w:val="0"/>
              <w:autoSpaceDN w:val="0"/>
              <w:adjustRightInd w:val="0"/>
              <w:rPr>
                <w:color w:val="000000"/>
                <w:sz w:val="20"/>
                <w:szCs w:val="20"/>
              </w:rPr>
            </w:pPr>
            <w:r>
              <w:rPr>
                <w:color w:val="000000"/>
                <w:sz w:val="20"/>
              </w:rPr>
              <w:t xml:space="preserve"> </w:t>
            </w:r>
            <w:r>
              <w:rPr>
                <w:color w:val="000000"/>
                <w:sz w:val="20"/>
              </w:rPr>
              <w:t>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LIBE</w:t>
            </w:r>
          </w:p>
          <w:p w:rsidR="00DF4469" w:rsidRDefault="009E38A5">
            <w:pPr>
              <w:autoSpaceDE w:val="0"/>
              <w:autoSpaceDN w:val="0"/>
              <w:adjustRightInd w:val="0"/>
              <w:rPr>
                <w:color w:val="000000"/>
                <w:sz w:val="20"/>
                <w:szCs w:val="20"/>
              </w:rPr>
            </w:pPr>
            <w:r>
              <w:rPr>
                <w:color w:val="000000"/>
                <w:sz w:val="20"/>
              </w:rPr>
              <w:t>14.2.2022</w:t>
            </w:r>
          </w:p>
        </w:tc>
      </w:tr>
      <w:tr w:rsidR="00F743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Συντάκτης γνωμοδότησης</w:t>
            </w:r>
          </w:p>
          <w:p w:rsidR="00DF4469" w:rsidRDefault="009E38A5">
            <w:pPr>
              <w:autoSpaceDE w:val="0"/>
              <w:autoSpaceDN w:val="0"/>
              <w:adjustRightInd w:val="0"/>
              <w:rPr>
                <w:color w:val="000000"/>
                <w:sz w:val="20"/>
                <w:szCs w:val="20"/>
              </w:rPr>
            </w:pPr>
            <w:r>
              <w:rPr>
                <w:color w:val="000000"/>
                <w:sz w:val="20"/>
              </w:rPr>
              <w:t xml:space="preserve"> </w:t>
            </w:r>
            <w:r>
              <w:rPr>
                <w:color w:val="000000"/>
                <w:sz w:val="20"/>
              </w:rPr>
              <w:t>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Emil Radev</w:t>
            </w:r>
          </w:p>
          <w:p w:rsidR="00DF4469" w:rsidRDefault="009E38A5">
            <w:pPr>
              <w:autoSpaceDE w:val="0"/>
              <w:autoSpaceDN w:val="0"/>
              <w:adjustRightInd w:val="0"/>
              <w:rPr>
                <w:color w:val="000000"/>
                <w:sz w:val="20"/>
                <w:szCs w:val="20"/>
              </w:rPr>
            </w:pPr>
            <w:r>
              <w:rPr>
                <w:color w:val="000000"/>
                <w:sz w:val="20"/>
              </w:rPr>
              <w:t>30.5.2022</w:t>
            </w:r>
          </w:p>
        </w:tc>
      </w:tr>
      <w:tr w:rsidR="00F743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r>
      <w:tr w:rsidR="00F743A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F4469" w:rsidRDefault="00DF4469">
            <w:pPr>
              <w:autoSpaceDE w:val="0"/>
              <w:autoSpaceDN w:val="0"/>
              <w:adjustRightInd w:val="0"/>
              <w:rPr>
                <w:rFonts w:ascii="sans-serif" w:hAnsi="sans-serif" w:cs="sans-serif"/>
                <w:color w:val="000000"/>
              </w:rPr>
            </w:pPr>
          </w:p>
        </w:tc>
      </w:tr>
      <w:tr w:rsidR="00F743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w:t>
            </w:r>
          </w:p>
          <w:p w:rsidR="00DF4469" w:rsidRDefault="009E38A5">
            <w:pPr>
              <w:autoSpaceDE w:val="0"/>
              <w:autoSpaceDN w:val="0"/>
              <w:adjustRightInd w:val="0"/>
              <w:rPr>
                <w:color w:val="000000"/>
                <w:sz w:val="20"/>
                <w:szCs w:val="20"/>
              </w:rPr>
            </w:pPr>
            <w:r>
              <w:rPr>
                <w:color w:val="000000"/>
                <w:sz w:val="20"/>
              </w:rPr>
              <w:t>–:</w:t>
            </w:r>
          </w:p>
          <w:p w:rsidR="00DF4469" w:rsidRDefault="009E38A5">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59</w:t>
            </w:r>
          </w:p>
          <w:p w:rsidR="00DF4469" w:rsidRDefault="009E38A5">
            <w:pPr>
              <w:autoSpaceDE w:val="0"/>
              <w:autoSpaceDN w:val="0"/>
              <w:adjustRightInd w:val="0"/>
              <w:rPr>
                <w:color w:val="000000"/>
                <w:sz w:val="20"/>
                <w:szCs w:val="20"/>
              </w:rPr>
            </w:pPr>
            <w:r>
              <w:rPr>
                <w:color w:val="000000"/>
                <w:sz w:val="20"/>
              </w:rPr>
              <w:t>0</w:t>
            </w:r>
          </w:p>
          <w:p w:rsidR="00DF4469" w:rsidRDefault="009E38A5">
            <w:pPr>
              <w:autoSpaceDE w:val="0"/>
              <w:autoSpaceDN w:val="0"/>
              <w:adjustRightInd w:val="0"/>
              <w:rPr>
                <w:color w:val="000000"/>
                <w:sz w:val="20"/>
                <w:szCs w:val="20"/>
              </w:rPr>
            </w:pPr>
            <w:r>
              <w:rPr>
                <w:color w:val="000000"/>
                <w:sz w:val="20"/>
              </w:rPr>
              <w:t>3</w:t>
            </w:r>
          </w:p>
        </w:tc>
      </w:tr>
      <w:tr w:rsidR="00F743A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 xml:space="preserve">Abir Al-Sahlani, Malik Azmani, Vladimír Bilčík, Malin Björk, Vasile Blaga, Patrick Breyer, Saskia Bricmont, Joachim Stanisław </w:t>
            </w:r>
            <w:r>
              <w:rPr>
                <w:color w:val="000000"/>
                <w:sz w:val="20"/>
              </w:rPr>
              <w:t>Brudziński, Jorge Buxadé Villalba, Patricia Chagnon, Clare Daly, Lena Düpont, Lucia Ďuriš Nicholsonová, Laura Ferrara, Andrzej Halicki, Evin Incir, Sophia in ‘t Veld, Patryk Jaki, Marina Kaljurand, Fabienne Keller, Łukasz Kohut, Moritz Körner, Alice Kuhnke</w:t>
            </w:r>
            <w:r>
              <w:rPr>
                <w:color w:val="000000"/>
                <w:sz w:val="20"/>
              </w:rPr>
              <w:t>, Jeroen Lenaers, Juan Fernando López Aguilar, Lukas Mandl, Erik Marquardt, Nadine Morano, Javier Moreno Sánchez, Theresa Muigg, Maite Pagazaurtundúa, Paulo Rangel, Karlo Ressler, Isabel Santos, Birgit Sippel, Sara Skyttedal, Vincenzo Sofo, Tineke Strik, R</w:t>
            </w:r>
            <w:r>
              <w:rPr>
                <w:color w:val="000000"/>
                <w:sz w:val="20"/>
              </w:rPr>
              <w:t>amona Strugariu, Yana Toom, Milan Uhrík, Tom Vandendriessche, Elena Yoncheva</w:t>
            </w:r>
          </w:p>
        </w:tc>
      </w:tr>
      <w:tr w:rsidR="00F743A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Λουκάς Φουρλάς, Beata Kempa, Ondřej Kovařík, Alessandra Mussolini, Matjaž Nemec, Sira Rego, Thijs Reuten, Domènec Ruiz Devesa, Lorá</w:t>
            </w:r>
            <w:r>
              <w:rPr>
                <w:color w:val="000000"/>
                <w:sz w:val="20"/>
              </w:rPr>
              <w:t>nt Vincze, Petar Vitanov, Tomáš Zdechovský</w:t>
            </w:r>
          </w:p>
        </w:tc>
      </w:tr>
      <w:tr w:rsidR="00F743A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b/>
                <w:bCs/>
                <w:color w:val="000000"/>
                <w:sz w:val="20"/>
                <w:szCs w:val="20"/>
              </w:rPr>
            </w:pPr>
            <w:r>
              <w:rPr>
                <w:b/>
                <w:color w:val="000000"/>
                <w:sz w:val="20"/>
              </w:rPr>
              <w:t>Αναπληρωτές (άρθρο 209 παράγραφος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F4469" w:rsidRDefault="009E38A5">
            <w:pPr>
              <w:autoSpaceDE w:val="0"/>
              <w:autoSpaceDN w:val="0"/>
              <w:adjustRightInd w:val="0"/>
              <w:rPr>
                <w:color w:val="000000"/>
                <w:sz w:val="20"/>
                <w:szCs w:val="20"/>
              </w:rPr>
            </w:pPr>
            <w:r>
              <w:rPr>
                <w:color w:val="000000"/>
                <w:sz w:val="20"/>
              </w:rPr>
              <w:t xml:space="preserve">Asim Ademov, Gunnar Beck, Isabel Benjumea Benjumea, Marian-Jean Marinescu, René Repasi, Antonio Maria Rinaldi, Mounir </w:t>
            </w:r>
            <w:r>
              <w:rPr>
                <w:color w:val="000000"/>
                <w:sz w:val="20"/>
              </w:rPr>
              <w:t>Satouri, Jörgen Warborn</w:t>
            </w:r>
          </w:p>
        </w:tc>
      </w:tr>
    </w:tbl>
    <w:p w:rsidR="00DF4469" w:rsidRPr="00DB5C33" w:rsidRDefault="00DF4469" w:rsidP="00DB5C33"/>
    <w:bookmarkEnd w:id="2"/>
    <w:p w:rsidR="00DB5C33" w:rsidRDefault="00DB5C33" w:rsidP="00DB5C33">
      <w:pPr>
        <w:sectPr w:rsidR="00DB5C33" w:rsidSect="00DB5C3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B5C33" w:rsidRPr="006F3A74" w:rsidRDefault="009E38A5" w:rsidP="00DB5C33">
      <w:pPr>
        <w:pStyle w:val="PageHeadingNotTOC"/>
      </w:pPr>
      <w:bookmarkStart w:id="3" w:name="RollCallPageAD"/>
      <w:r>
        <w:lastRenderedPageBreak/>
        <w:t>ΤΕΛΙΚΗ ΨΗΦΟΦΟΡΙΑ ΜΕ ΟΝΟΜΑΣΤΙΚΗ ΚΛΗΣΗ</w:t>
      </w:r>
      <w:r>
        <w:br/>
        <w:t>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743A1" w:rsidTr="004A2342">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5C33" w:rsidRPr="006F3A74" w:rsidRDefault="009E38A5" w:rsidP="004A2342">
            <w:pPr>
              <w:pStyle w:val="RollCallVotes"/>
              <w:spacing w:line="256" w:lineRule="auto"/>
            </w:pPr>
            <w:r>
              <w:t>59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5C33" w:rsidRPr="006F3A74" w:rsidRDefault="009E38A5" w:rsidP="004A2342">
            <w:pPr>
              <w:pStyle w:val="RollCallSymbols14pt"/>
              <w:spacing w:line="256" w:lineRule="auto"/>
            </w:pPr>
            <w:r>
              <w:t>+</w:t>
            </w:r>
          </w:p>
        </w:tc>
      </w:tr>
      <w:tr w:rsidR="00F743A1" w:rsidTr="004A234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Joachim Stanisław Brudziński, Patryk Jaki, Beata Kempa, Vincenzo Sofo</w:t>
            </w:r>
          </w:p>
        </w:tc>
      </w:tr>
      <w:tr w:rsidR="00F743A1" w:rsidTr="004A234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Patricia Chagnon, Antonio Maria Rinaldi, Tom Vandendriessche</w:t>
            </w:r>
          </w:p>
        </w:tc>
      </w:tr>
      <w:tr w:rsidR="00F743A1" w:rsidTr="004A234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Laura Ferrara</w:t>
            </w:r>
          </w:p>
        </w:tc>
      </w:tr>
      <w:tr w:rsidR="00F743A1" w:rsidTr="004A234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DB5C33">
            <w:pPr>
              <w:pStyle w:val="RollCallTable"/>
              <w:spacing w:line="256" w:lineRule="auto"/>
            </w:pPr>
            <w:r>
              <w:t xml:space="preserve">Asim Ademov, Isabel Benjumea Benjumea, Vladimír Bilčík, Vasile Blaga, Lena Düpont, Λουκάς Φουρλάς, Andrzej Halicki, Jeroen Lenaers, Lukas Mandl, Marian-Jean Marinescu, Nadine Morano, Alessandra Mussolini, Paulo Rangel, Karlo Ressler, Sara Skyttedal, </w:t>
            </w:r>
            <w:r>
              <w:t>Loránt Vincze, Jörgen Warborn, Tomáš Zdechovský</w:t>
            </w:r>
          </w:p>
        </w:tc>
      </w:tr>
      <w:tr w:rsidR="00F743A1" w:rsidTr="004A234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Abir Al-Sahlani, Malik Azmani, Lucia Ďuriš Nicholsonová, Sophia in 't Veld, Fabienne Keller, Moritz Körner, Ondřej Kovařík, Maite Pagazaurtundúa, Ramona Strugariu, Yana Toom</w:t>
            </w:r>
          </w:p>
        </w:tc>
      </w:tr>
      <w:tr w:rsidR="00F743A1" w:rsidTr="004A234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 xml:space="preserve">Evin Incir, Marina </w:t>
            </w:r>
            <w:r>
              <w:t>Kaljurand, Łukasz Kohut, Juan Fernando López Aguilar, Javier Moreno Sánchez, Theresa Muigg, Matjaž Nemec, René Repasi, Thijs Reuten, Domènec Ruiz Devesa, Isabel Santos, Birgit Sippel, Petar Vitanov, Elena Yoncheva</w:t>
            </w:r>
          </w:p>
        </w:tc>
      </w:tr>
      <w:tr w:rsidR="00F743A1" w:rsidTr="004A234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Malin Björk, Clare Daly, Sira Re</w:t>
            </w:r>
            <w:r>
              <w:t>go</w:t>
            </w:r>
          </w:p>
        </w:tc>
      </w:tr>
      <w:tr w:rsidR="00F743A1" w:rsidTr="004A2342">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Patrick Breyer, Saskia Bricmont, Alice Kuhnke, Erik Marquardt, Mounir Satouri, Tineke Strik</w:t>
            </w:r>
          </w:p>
        </w:tc>
      </w:tr>
    </w:tbl>
    <w:p w:rsidR="00DB5C33" w:rsidRPr="006F3A74" w:rsidRDefault="00DB5C33" w:rsidP="00DB5C3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743A1" w:rsidTr="004A2342">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5C33" w:rsidRPr="006F3A74" w:rsidRDefault="009E38A5" w:rsidP="004A2342">
            <w:pPr>
              <w:pStyle w:val="RollCallVotes"/>
              <w:spacing w:line="256" w:lineRule="auto"/>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5C33" w:rsidRPr="006F3A74" w:rsidRDefault="009E38A5" w:rsidP="004A2342">
            <w:pPr>
              <w:pStyle w:val="RollCallSymbols14pt"/>
              <w:spacing w:line="256" w:lineRule="auto"/>
            </w:pPr>
            <w:r>
              <w:t>-</w:t>
            </w:r>
          </w:p>
        </w:tc>
      </w:tr>
      <w:tr w:rsidR="00F743A1" w:rsidTr="004A2342">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DB5C33" w:rsidRPr="006F3A74" w:rsidRDefault="00DB5C33" w:rsidP="004A2342">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DB5C33" w:rsidRPr="006F3A74" w:rsidRDefault="00DB5C33" w:rsidP="004A2342">
            <w:pPr>
              <w:pStyle w:val="RollCallTable"/>
              <w:spacing w:line="256" w:lineRule="auto"/>
            </w:pPr>
          </w:p>
        </w:tc>
      </w:tr>
    </w:tbl>
    <w:p w:rsidR="00DB5C33" w:rsidRPr="006F3A74" w:rsidRDefault="00DB5C33" w:rsidP="00DB5C3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743A1" w:rsidTr="00DB5C33">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5C33" w:rsidRPr="006F3A74" w:rsidRDefault="009E38A5" w:rsidP="004A2342">
            <w:pPr>
              <w:pStyle w:val="RollCallVotes"/>
              <w:spacing w:line="256" w:lineRule="auto"/>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5C33" w:rsidRPr="006F3A74" w:rsidRDefault="009E38A5" w:rsidP="004A2342">
            <w:pPr>
              <w:pStyle w:val="RollCallSymbols14pt"/>
              <w:spacing w:line="256" w:lineRule="auto"/>
            </w:pPr>
            <w:r>
              <w:t>0</w:t>
            </w:r>
          </w:p>
        </w:tc>
      </w:tr>
      <w:tr w:rsidR="00F743A1" w:rsidTr="00DB5C3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Jorge Buxadé Villalba</w:t>
            </w:r>
          </w:p>
        </w:tc>
      </w:tr>
      <w:tr w:rsidR="00F743A1" w:rsidTr="00DB5C33">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Gunnar Beck</w:t>
            </w:r>
          </w:p>
        </w:tc>
      </w:tr>
      <w:tr w:rsidR="00F743A1" w:rsidTr="00DB5C33">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DB5C33" w:rsidRPr="006F3A74" w:rsidRDefault="009E38A5" w:rsidP="004A2342">
            <w:pPr>
              <w:pStyle w:val="RollCallTable"/>
              <w:spacing w:line="256" w:lineRule="auto"/>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DB5C33" w:rsidRPr="006F3A74" w:rsidRDefault="009E38A5" w:rsidP="004A2342">
            <w:pPr>
              <w:pStyle w:val="RollCallTable"/>
              <w:spacing w:line="256" w:lineRule="auto"/>
            </w:pPr>
            <w:r>
              <w:t>Milan Uhrík</w:t>
            </w:r>
          </w:p>
        </w:tc>
      </w:tr>
    </w:tbl>
    <w:p w:rsidR="00DB5C33" w:rsidRDefault="00DB5C33" w:rsidP="00DB5C33"/>
    <w:p w:rsidR="00DB5C33" w:rsidRDefault="009E38A5" w:rsidP="004A2342">
      <w:r>
        <w:t>Υπόμνημα των χρησιμοποιούμενων συμβόλων:</w:t>
      </w:r>
    </w:p>
    <w:p w:rsidR="00DB5C33" w:rsidRDefault="009E38A5" w:rsidP="004A2342">
      <w:pPr>
        <w:pStyle w:val="RollCallTabs"/>
      </w:pPr>
      <w:r>
        <w:t>+</w:t>
      </w:r>
      <w:r>
        <w:tab/>
        <w:t>:</w:t>
      </w:r>
      <w:r>
        <w:tab/>
        <w:t>υπέρ</w:t>
      </w:r>
    </w:p>
    <w:p w:rsidR="00DB5C33" w:rsidRDefault="009E38A5" w:rsidP="004A2342">
      <w:pPr>
        <w:pStyle w:val="RollCallTabs"/>
      </w:pPr>
      <w:r>
        <w:t>-</w:t>
      </w:r>
      <w:r>
        <w:tab/>
        <w:t>:</w:t>
      </w:r>
      <w:r>
        <w:tab/>
        <w:t>κατά</w:t>
      </w:r>
    </w:p>
    <w:p w:rsidR="00DB5C33" w:rsidRDefault="009E38A5" w:rsidP="004A2342">
      <w:pPr>
        <w:pStyle w:val="RollCallTabs"/>
      </w:pPr>
      <w:r>
        <w:t>0</w:t>
      </w:r>
      <w:r>
        <w:tab/>
        <w:t>:</w:t>
      </w:r>
      <w:r>
        <w:tab/>
        <w:t>αποχή</w:t>
      </w:r>
    </w:p>
    <w:p w:rsidR="00DB5C33" w:rsidRDefault="00DB5C33" w:rsidP="004A2342"/>
    <w:bookmarkEnd w:id="3"/>
    <w:p w:rsidR="00DB56E4" w:rsidRPr="00DB5C33" w:rsidRDefault="00DB56E4" w:rsidP="00DB5C33"/>
    <w:sectPr w:rsidR="00DB56E4" w:rsidRPr="00DB5C33" w:rsidSect="00DB5C3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E38A5">
      <w:r>
        <w:separator/>
      </w:r>
    </w:p>
  </w:endnote>
  <w:endnote w:type="continuationSeparator" w:id="0">
    <w:p w:rsidR="00000000" w:rsidRDefault="009E3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42" w:rsidRDefault="009E38A5" w:rsidP="00DF4469">
    <w:pPr>
      <w:pStyle w:val="EPFooter"/>
    </w:pPr>
    <w:r>
      <w:t>PE</w:t>
    </w:r>
    <w:r w:rsidRPr="00DF4469">
      <w:rPr>
        <w:rStyle w:val="HideTWBExt"/>
      </w:rPr>
      <w:t>&lt;NoPE&gt;</w:t>
    </w:r>
    <w:r>
      <w:t>736.586</w:t>
    </w:r>
    <w:r w:rsidRPr="00DF4469">
      <w:rPr>
        <w:rStyle w:val="HideTWBExt"/>
      </w:rPr>
      <w:t>&lt;/NoPE&gt;&lt;Version&gt;</w:t>
    </w:r>
    <w:r>
      <w:t>v02-00</w:t>
    </w:r>
    <w:r w:rsidRPr="00DF4469">
      <w:rPr>
        <w:rStyle w:val="HideTWBExt"/>
      </w:rPr>
      <w:t>&lt;/Version&gt;</w:t>
    </w:r>
    <w:r>
      <w:tab/>
    </w:r>
    <w:r>
      <w:fldChar w:fldCharType="begin"/>
    </w:r>
    <w:r>
      <w:instrText xml:space="preserve"> PAGE  \* MERGEFORMAT </w:instrText>
    </w:r>
    <w:r>
      <w:fldChar w:fldCharType="separate"/>
    </w:r>
    <w:r>
      <w:rPr>
        <w:noProof/>
      </w:rPr>
      <w:t>10</w:t>
    </w:r>
    <w:r>
      <w:fldChar w:fldCharType="end"/>
    </w:r>
    <w:r>
      <w:t>/</w:t>
    </w:r>
    <w:r w:rsidR="007E0F51">
      <w:fldChar w:fldCharType="begin"/>
    </w:r>
    <w:r>
      <w:instrText xml:space="preserve"> NUMPAGES  \* MERGEFORMAT </w:instrText>
    </w:r>
    <w:r w:rsidR="007E0F51">
      <w:fldChar w:fldCharType="separate"/>
    </w:r>
    <w:r>
      <w:rPr>
        <w:noProof/>
      </w:rPr>
      <w:t>22</w:t>
    </w:r>
    <w:r w:rsidR="007E0F51">
      <w:rPr>
        <w:noProof/>
      </w:rPr>
      <w:fldChar w:fldCharType="end"/>
    </w:r>
    <w:r>
      <w:tab/>
    </w:r>
    <w:r w:rsidRPr="00DF4469">
      <w:rPr>
        <w:rStyle w:val="HideTWBExt"/>
      </w:rPr>
      <w:t>&lt;PathFdR&gt;</w:t>
    </w:r>
    <w:r>
      <w:t>AD\1270366EL.docx</w:t>
    </w:r>
    <w:r w:rsidRPr="00DF4469">
      <w:rPr>
        <w:rStyle w:val="HideTWBExt"/>
      </w:rPr>
      <w:t>&lt;/PathFdR&gt;</w:t>
    </w:r>
  </w:p>
  <w:p w:rsidR="004A2342" w:rsidRPr="00791EDA" w:rsidRDefault="009E38A5" w:rsidP="00DF4469">
    <w:pPr>
      <w:pStyle w:val="EPFooter2"/>
    </w:pPr>
    <w:r>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42" w:rsidRDefault="009E38A5" w:rsidP="00DF4469">
    <w:pPr>
      <w:pStyle w:val="EPFooter"/>
    </w:pPr>
    <w:r w:rsidRPr="00DF4469">
      <w:rPr>
        <w:rStyle w:val="HideTWBExt"/>
      </w:rPr>
      <w:t>&lt;PathFdR&gt;</w:t>
    </w:r>
    <w:r>
      <w:t>AD\1270366EL.docx</w:t>
    </w:r>
    <w:r w:rsidRPr="00DF4469">
      <w:rPr>
        <w:rStyle w:val="HideTWBExt"/>
      </w:rPr>
      <w:t>&lt;/PathFdR&gt;</w:t>
    </w:r>
    <w:r>
      <w:tab/>
    </w:r>
    <w:r>
      <w:fldChar w:fldCharType="begin"/>
    </w:r>
    <w:r>
      <w:instrText xml:space="preserve"> PAGE  \* MERGEFORMAT </w:instrText>
    </w:r>
    <w:r>
      <w:fldChar w:fldCharType="separate"/>
    </w:r>
    <w:r>
      <w:rPr>
        <w:noProof/>
      </w:rPr>
      <w:t>9</w:t>
    </w:r>
    <w:r>
      <w:fldChar w:fldCharType="end"/>
    </w:r>
    <w:r>
      <w:t>/</w:t>
    </w:r>
    <w:r w:rsidR="007E0F51">
      <w:fldChar w:fldCharType="begin"/>
    </w:r>
    <w:r>
      <w:instrText xml:space="preserve"> NUMPAGES  \* MERGEFORMAT </w:instrText>
    </w:r>
    <w:r w:rsidR="007E0F51">
      <w:fldChar w:fldCharType="separate"/>
    </w:r>
    <w:r>
      <w:rPr>
        <w:noProof/>
      </w:rPr>
      <w:t>22</w:t>
    </w:r>
    <w:r w:rsidR="007E0F51">
      <w:rPr>
        <w:noProof/>
      </w:rPr>
      <w:fldChar w:fldCharType="end"/>
    </w:r>
    <w:r>
      <w:tab/>
      <w:t>PE</w:t>
    </w:r>
    <w:r w:rsidRPr="00DF4469">
      <w:rPr>
        <w:rStyle w:val="HideTWBExt"/>
      </w:rPr>
      <w:t>&lt;NoPE&gt;</w:t>
    </w:r>
    <w:r>
      <w:t>736.586</w:t>
    </w:r>
    <w:r w:rsidRPr="00DF4469">
      <w:rPr>
        <w:rStyle w:val="HideTWBExt"/>
      </w:rPr>
      <w:t>&lt;/NoPE&gt;&lt;Version&gt;</w:t>
    </w:r>
    <w:r>
      <w:t>v02-00</w:t>
    </w:r>
    <w:r w:rsidRPr="00DF4469">
      <w:rPr>
        <w:rStyle w:val="HideTWBExt"/>
      </w:rPr>
      <w:t>&lt;/Version&gt;</w:t>
    </w:r>
  </w:p>
  <w:p w:rsidR="004A2342" w:rsidRPr="00791EDA" w:rsidRDefault="009E38A5" w:rsidP="00DF4469">
    <w:pPr>
      <w:pStyle w:val="EPFooter2"/>
    </w:pPr>
    <w:r>
      <w:tab/>
    </w:r>
    <w:r>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42" w:rsidRDefault="009E38A5" w:rsidP="00DF4469">
    <w:pPr>
      <w:pStyle w:val="EPFooter"/>
    </w:pPr>
    <w:r w:rsidRPr="00DF4469">
      <w:rPr>
        <w:rStyle w:val="HideTWBExt"/>
      </w:rPr>
      <w:t>&lt;PathFdR&gt;</w:t>
    </w:r>
    <w:r>
      <w:t>AD\1270366EL.docx</w:t>
    </w:r>
    <w:r w:rsidRPr="00DF4469">
      <w:rPr>
        <w:rStyle w:val="HideTWBExt"/>
      </w:rPr>
      <w:t>&lt;/PathFdR&gt;</w:t>
    </w:r>
    <w:r>
      <w:tab/>
    </w:r>
    <w:r>
      <w:tab/>
      <w:t>PE</w:t>
    </w:r>
    <w:r w:rsidRPr="00DF4469">
      <w:rPr>
        <w:rStyle w:val="HideTWBExt"/>
      </w:rPr>
      <w:t>&lt;NoPE&gt;</w:t>
    </w:r>
    <w:r>
      <w:t>736.586</w:t>
    </w:r>
    <w:r w:rsidRPr="00DF4469">
      <w:rPr>
        <w:rStyle w:val="HideTWBExt"/>
      </w:rPr>
      <w:t>&lt;/NoPE&gt;&lt;Version&gt;</w:t>
    </w:r>
    <w:r>
      <w:t>v02-00</w:t>
    </w:r>
    <w:r w:rsidRPr="00DF4469">
      <w:rPr>
        <w:rStyle w:val="HideTWBExt"/>
      </w:rPr>
      <w:t>&lt;/Version&gt;</w:t>
    </w:r>
  </w:p>
  <w:p w:rsidR="004A2342" w:rsidRPr="00791EDA" w:rsidRDefault="009E38A5" w:rsidP="00DF4469">
    <w:pPr>
      <w:pStyle w:val="EPFooter2"/>
    </w:pPr>
    <w:r>
      <w:t>EL</w:t>
    </w:r>
    <w:r>
      <w:tab/>
    </w:r>
    <w:r w:rsidRPr="00DF4469">
      <w:rPr>
        <w:b w:val="0"/>
        <w:i/>
        <w:color w:val="C0C0C0"/>
        <w:sz w:val="22"/>
      </w:rPr>
      <w:t>Ενωμένη στην πολυμορφία</w:t>
    </w:r>
    <w:r>
      <w:tab/>
      <w:t>E</w:t>
    </w:r>
    <w:r>
      <w:t>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E38A5">
      <w:r>
        <w:separator/>
      </w:r>
    </w:p>
  </w:footnote>
  <w:footnote w:type="continuationSeparator" w:id="0">
    <w:p w:rsidR="00000000" w:rsidRDefault="009E3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42" w:rsidRDefault="004A2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42" w:rsidRDefault="004A23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342" w:rsidRDefault="004A23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ECON"/>
    <w:docVar w:name="COMKEY" w:val="LIBE"/>
    <w:docVar w:name="CopyToNetwork"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43257 HideTWBExt;}{_x000d__x000a_\s18\ql \li0\ri0\sa120\nowidctlpar\wrapdefault\aspalpha\aspnum\faauto\adjustright\rin0\lin0\itap0 \rtlch\fcs1 \af0\afs20\alang1025 \ltrch\fcs0 \fs24\lang2057\langfe2057\cgrid\langnp2057\langfenp2057 \sbasedon0 \snext18 \spriority0 \styrsid10843257 _x000d__x000a_Normal6a;}{\s19\ql \li0\ri0\nowidctlpar\wrapdefault\aspalpha\aspnum\faauto\adjustright\rin0\lin0\itap0 \rtlch\fcs1 \af0\afs20\alang1025 \ltrch\fcs0 \b\fs24\lang2057\langfe2057\cgrid\langnp2057\langfenp2057 \sbasedon0 \snext19 \spriority0 \styrsid10843257 _x000d__x000a_NormalBold;}{\*\cs20 \additive \v\f1\fs20\cf15 \spriority0 \styrsid10843257 HideTWBInt;}{\s21\qc \li0\ri0\sa240\nowidctlpar\wrapdefault\aspalpha\aspnum\faauto\adjustright\rin0\lin0\itap0 \rtlch\fcs1 \af0\afs20\alang1025 \ltrch\fcs0 _x000d__x000a_\i\fs24\lang2057\langfe2057\cgrid\langnp2057\langfenp2057 \sbasedon0 \snext21 \spriority0 \styrsid1084325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843257 AmNumberTabs;}{\s23\ql \li0\ri0\sb240\nowidctlpar\wrapdefault\aspalpha\aspnum\faauto\adjustright\rin0\lin0\itap0 \rtlch\fcs1 _x000d__x000a_\af0\afs20\alang1025 \ltrch\fcs0 \b\fs24\lang2057\langfe2057\cgrid\langnp2057\langfenp2057 \sbasedon0 \snext23 \spriority0 \styrsid10843257 NormalBold12b;}}{\*\rsidtbl \rsid24658\rsid223860\rsid735077\rsid1718133\rsid2892074\rsid3565327\rsid4334617_x000d__x000a_\rsid4666813\rsid6641733\rsid7823322\rsid9636012\rsid10377208\rsid10843257\rsid11215221\rsid11549030\rsid12154954\rsid14382809\rsid14424199\rsid15204470\rsid15285974\rsid15950462\rsid16324206\rsid16662270}{\mmathPr\mmathFont34\mbrkBin0\mbrkBinSub0_x000d__x000a_\msmallFrac0\mdispDef1\mlMargin0\mrMargin0\mdefJc1\mwrapIndent1440\mintLim0\mnaryLim1}{\info{\author KOUTI Maria}{\operator KOUTI Maria}{\creatim\yr2023\mo1\dy14\hr10\min15}{\revtim\yr2023\mo1\dy14\hr10\min15}{\version1}{\edmins0}{\nofpages1}{\nofwords28}_x000d__x000a_{\nofchars178}{\nofcharsws20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0843257\newtblstyruls\nogrowautofit\usenormstyforlist\noindnmbrts\felnbrelev\nocxsptable\indrlsweleven\noafcnsttbl\afelev\utinl\hwelev\spltpgpar\notcvasp\notbrkcnstfrctbl\notvatxbx\krnprsnet\cachedcolbal _x000d__x000a_\nouicompat \fet0{\*\wgrffmtfilter 013f}\nofeaturethrottle1\ilfomacatclnup0{\*\template C:\\Users\\mkouti\\AppData\\Local\\Temp\\Blank1.dotx}{\*\ftnsep \ltrpar \pard\plain \ltrpar_x000d__x000a_\ql \li0\ri0\widctlpar\wrapdefault\aspalpha\aspnum\faauto\adjustright\rin0\lin0\itap0 \rtlch\fcs1 \af0\afs20\alang1025 \ltrch\fcs0 \fs24\lang2057\langfe2057\cgrid\langnp2057\langfenp2057 {\rtlch\fcs1 \af0 \ltrch\fcs0 \insrsid4334617 \chftnsep _x000d__x000a_\par }}{\*\ftnsepc \ltrpar \pard\plain \ltrpar\ql \li0\ri0\widctlpar\wrapdefault\aspalpha\aspnum\faauto\adjustright\rin0\lin0\itap0 \rtlch\fcs1 \af0\afs20\alang1025 \ltrch\fcs0 \fs24\lang2057\langfe2057\cgrid\langnp2057\langfenp2057 {\rtlch\fcs1 \af0 _x000d__x000a_\ltrch\fcs0 \insrsid4334617 \chftnsepc _x000d__x000a_\par }}{\*\aftnsep \ltrpar \pard\plain \ltrpar\ql \li0\ri0\widctlpar\wrapdefault\aspalpha\aspnum\faauto\adjustright\rin0\lin0\itap0 \rtlch\fcs1 \af0\afs20\alang1025 \ltrch\fcs0 \fs24\lang2057\langfe2057\cgrid\langnp2057\langfenp2057 {\rtlch\fcs1 \af0 _x000d__x000a_\ltrch\fcs0 \insrsid4334617 \chftnsep _x000d__x000a_\par }}{\*\aftnsepc \ltrpar \pard\plain \ltrpar\ql \li0\ri0\widctlpar\wrapdefault\aspalpha\aspnum\faauto\adjustright\rin0\lin0\itap0 \rtlch\fcs1 \af0\afs20\alang1025 \ltrch\fcs0 \fs24\lang2057\langfe2057\cgrid\langnp2057\langfenp2057 {\rtlch\fcs1 \af0 _x000d__x000a_\ltrch\fcs0 \insrsid43346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843257 \rtlch\fcs1 _x000d__x000a_\af0\afs20\alang1025 \ltrch\fcs0 \b\fs24\lang2057\langfe2057\cgrid\langnp2057\langfenp2057 {\rtlch\fcs1 \af0 \ltrch\fcs0 \cs17\b0\v\fs20\cf9\loch\af1\hich\af1\dbch\af31501\insrsid10843257\charrsid9057188 {\*\bkmkstart restartA}_x000d__x000a_\hich\af1\dbch\af31501\loch\f1 &lt;AmendA&gt;}{\rtlch\fcs1 \af0 \ltrch\fcs0 \insrsid10843257\charrsid9057188 Amendment\tab \tab }{\rtlch\fcs1 \af0 \ltrch\fcs0 \cs17\b0\v\fs20\cf9\loch\af1\hich\af1\dbch\af31501\insrsid10843257\charrsid9057188 _x000d__x000a_\hich\af1\dbch\af31501\loch\f1 &lt;NumAmA&gt;}{\rtlch\fcs1 \af0 \ltrch\fcs0 \insrsid10843257\charrsid9057188 #}{\rtlch\fcs1 \af1 \ltrch\fcs0 \cs20\v\f1\fs20\cf15\insrsid10843257\charrsid9057188 ENMIENDA@NRAM@}{\rtlch\fcs1 \af0 \ltrch\fcs0 _x000d__x000a_\insrsid10843257\charrsid9057188 #}{\rtlch\fcs1 \af0 \ltrch\fcs0 \cs17\b0\v\fs20\cf9\loch\af1\hich\af1\dbch\af31501\insrsid10843257\charrsid9057188 \hich\af1\dbch\af31501\loch\f1 &lt;/NumAmA&gt;}{\rtlch\fcs1 \af0 \ltrch\fcs0 \insrsid10843257\charrsid9057188 _x000d__x000a__x000d__x000a_\par }\pard\plain \ltrpar\s23\ql \li0\ri0\sb240\keepn\nowidctlpar\wrapdefault\aspalpha\aspnum\faauto\adjustright\rin0\lin0\itap0\pararsid10843257 \rtlch\fcs1 \af0\afs20\alang1025 \ltrch\fcs0 \b\fs24\lang2057\langfe2057\cgrid\langnp2057\langfenp2057 {_x000d__x000a_\rtlch\fcs1 \af0 \ltrch\fcs0 \cs17\b0\v\fs20\cf9\loch\af1\hich\af1\dbch\af31501\insrsid10843257\charrsid9057188 \hich\af1\dbch\af31501\loch\f1 &lt;DocAmend&gt;}{\rtlch\fcs1 \af0 \ltrch\fcs0 \insrsid10843257\charrsid9057188 Draft legislative resolution}{_x000d__x000a_\rtlch\fcs1 \af0 \ltrch\fcs0 \cs17\b0\v\fs20\cf9\loch\af1\hich\af1\dbch\af31501\insrsid10843257\charrsid9057188 \hich\af1\dbch\af31501\loch\f1 &lt;/DocAmend&gt;}{\rtlch\fcs1 \af0 \ltrch\fcs0 \insrsid10843257\charrsid9057188 _x000d__x000a_\par }\pard\plain \ltrpar\s19\ql \li0\ri0\nowidctlpar\wrapdefault\aspalpha\aspnum\faauto\adjustright\rin0\lin0\itap0\pararsid10843257 \rtlch\fcs1 \af0\afs20\alang1025 \ltrch\fcs0 \b\fs24\lang2057\langfe2057\cgrid\langnp2057\langfenp2057 {\rtlch\fcs1 \af0 _x000d__x000a_\ltrch\fcs0 \cs17\b0\v\fs20\cf9\loch\af1\hich\af1\dbch\af31501\insrsid10843257\charrsid9057188 \hich\af1\dbch\af31501\loch\f1 &lt;Article&gt;}{\rtlch\fcs1 \af0 \ltrch\fcs0 \cf10\insrsid10843257\charrsid15797747 \u9668\'3f}{\rtlch\fcs1 \af0 \ltrch\fcs0 _x000d__x000a_\insrsid10843257\charrsid9057188 #}{\rtlch\fcs1 \af1 \ltrch\fcs0 \cs20\v\f1\fs20\cf15\insrsid10843257\charrsid9057188 TVTRESPART@RESPART@}{\rtlch\fcs1 \af0 \ltrch\fcs0 \insrsid10843257\charrsid9057188 #}{\rtlch\fcs1 \af0 \ltrch\fcs0 _x000d__x000a_\cf10\insrsid10843257\charrsid15797747 \u9658\'3f}{\rtlch\fcs1 \af0 \ltrch\fcs0 \cs17\b0\v\fs20\cf9\loch\af1\hich\af1\dbch\af31501\insrsid10843257\charrsid9057188 \hich\af1\dbch\af31501\loch\f1 &lt;/Article&gt;}{\rtlch\fcs1 \af0 \ltrch\fcs0 _x000d__x000a_\insrsid10843257\charrsid905718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0843257\charrsid9057188 \cell }\pard \ltrpar\ql \li0\ri0\widctlpar\intbl\wrapdefault\aspalpha\aspnum\faauto\adjustright\rin0\lin0 {\rtlch\fcs1 \af0 \ltrch\fcs0 _x000d__x000a_\insrsid10843257\charrsid9057188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10843257\charrsid9057188 Draft legislative resolution\cell Amendment\cell }\pard\plain \ltrpar\ql \li0\ri0\widctlpar\intbl\wrapdefault\aspalpha\aspnum\faauto\adjustright\rin0\lin0 \rtlch\fcs1 \af0\afs20\alang1025 \ltrch\fcs0 _x000d__x000a_\fs24\lang2057\langfe2057\cgrid\langnp2057\langfenp2057 {\rtlch\fcs1 \af0 \ltrch\fcs0 \insrsid10843257\charrsid90571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843257\charrsid9057188 ##\cell ##}{\rtlch\fcs1 \af0\afs24 \ltrch\fcs0 \insrsid10843257\charrsid9057188 \cell }\pard\plain \ltrpar\ql \li0\ri0\widctlpar\intbl\wrapdefault\aspalpha\aspnum\faauto\adjustright\rin0\lin0 \rtlch\fcs1 _x000d__x000a_\af0\afs20\alang1025 \ltrch\fcs0 \fs24\lang2057\langfe2057\cgrid\langnp2057\langfenp2057 {\rtlch\fcs1 \af0 \ltrch\fcs0 \insrsid10843257\charrsid90571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843257 {\rtlch\fcs1 \af0 \ltrch\fcs0 \cs17\v\fs20\cf9\loch\af1\hich\af1\dbch\af31501\insrsid10843257\charrsid9057188 \hich\af1\dbch\af31501\loch\f1 &lt;/AmendA&gt;}{_x000d__x000a_\rtlch\fcs1 \af0 \ltrch\fcs0 \insrsid1084325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3c_x000d__x000a_1cbcf82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36452 HideTWBExt;}{_x000d__x000a_\s18\ql \li0\ri0\sa120\nowidctlpar\wrapdefault\aspalpha\aspnum\faauto\adjustright\rin0\lin0\itap0 \rtlch\fcs1 \af0\afs20\alang1025 \ltrch\fcs0 \fs24\lang2057\langfe2057\cgrid\langnp2057\langfenp2057 \sbasedon0 \snext18 \spriority0 \styrsid6236452 _x000d__x000a_Normal6a;}{\s19\ql \li0\ri0\nowidctlpar\wrapdefault\aspalpha\aspnum\faauto\adjustright\rin0\lin0\itap0 \rtlch\fcs1 \af0\afs20\alang1025 \ltrch\fcs0 \b\fs24\lang2057\langfe2057\cgrid\langnp2057\langfenp2057 \sbasedon0 \snext19 \spriority0 \styrsid6236452 _x000d__x000a_NormalBold;}{\s20\ql \li0\ri0\sa240\nowidctlpar\wrapdefault\aspalpha\aspnum\faauto\adjustright\rin0\lin0\itap0 \rtlch\fcs1 \af0\afs20\alang1025 \ltrch\fcs0 \i\fs24\lang2057\langfe2057\cgrid\langnp2057\langfenp2057 _x000d__x000a_\sbasedon0 \snext20 \spriority0 \styrsid6236452 AmJustText;}{\s21\qc \li0\ri0\sb240\sa240\nowidctlpar\wrapdefault\aspalpha\aspnum\faauto\adjustright\rin0\lin0\itap0 \rtlch\fcs1 \af0\afs20\alang1025 \ltrch\fcs0 _x000d__x000a_\i\fs24\lang2057\langfe2057\cgrid\langnp2057\langfenp2057 \sbasedon0 \snext21 \spriority0 \styrsid6236452 AmCrossRef;}{\*\cs22 \additive \v\f1\fs20\cf15 \spriority0 \styrsid6236452 HideTWBInt;}{_x000d__x000a_\s23\qc \li0\ri0\sb240\sa240\keepn\nowidctlpar\wrapdefault\aspalpha\aspnum\faauto\adjustright\rin0\lin0\itap0 \rtlch\fcs1 \af0\afs20\alang1025 \ltrch\fcs0 \i\fs24\lang2057\langfe2057\cgrid\langnp2057\langfenp2057 _x000d__x000a_\sbasedon0 \snext20 \spriority0 \styrsid6236452 AmJustTitle;}{\s24\qc \li0\ri0\sa240\nowidctlpar\wrapdefault\aspalpha\aspnum\faauto\adjustright\rin0\lin0\itap0 \rtlch\fcs1 \af0\afs20\alang1025 \ltrch\fcs0 _x000d__x000a_\i\fs24\lang2057\langfe2057\cgrid\langnp2057\langfenp2057 \sbasedon0 \snext24 \spriority0 \styrsid62364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6236452 AmNumberTabs;}{\s26\ql \li0\ri0\sb240\nowidctlpar\wrapdefault\aspalpha\aspnum\faauto\adjustright\rin0\lin0\itap0 \rtlch\fcs1 _x000d__x000a_\af0\afs20\alang1025 \ltrch\fcs0 \b\fs24\lang2057\langfe2057\cgrid\langnp2057\langfenp2057 \sbasedon0 \snext26 \spriority0 \styrsid6236452 NormalBold12b;}}{\*\rsidtbl \rsid24658\rsid223860\rsid735077\rsid1718133\rsid2892074\rsid3565327\rsid4666813_x000d__x000a_\rsid6236452\rsid6641733\rsid7823322\rsid9636012\rsid10377208\rsid11215221\rsid11549030\rsid11753515\rsid12154954\rsid14382809\rsid14424199\rsid15204470\rsid15285974\rsid15950462\rsid16324206\rsid16662270}{\mmathPr\mmathFont34\mbrkBin0\mbrkBinSub0_x000d__x000a_\msmallFrac0\mdispDef1\mlMargin0\mrMargin0\mdefJc1\mwrapIndent1440\mintLim0\mnaryLim1}{\info{\author KOUTI Maria}{\operator KOUTI Maria}{\creatim\yr2023\mo1\dy14\hr10\min15}{\revtim\yr2023\mo1\dy14\hr10\min15}{\version1}{\edmins0}{\nofpages1}{\nofwords88}_x000d__x000a_{\nofchars562}{\nofcharsws63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6236452\newtblstyruls\nogrowautofit\usenormstyforlist\noindnmbrts\felnbrelev\nocxsptable\indrlsweleven\noafcnsttbl\afelev\utinl\hwelev\spltpgpar\notcvasp\notbrkcnstfrctbl\notvatxbx\krnprsnet\cachedcolbal _x000d__x000a_\nouicompat \fet0{\*\wgrffmtfilter 013f}\nofeaturethrottle1\ilfomacatclnup0{\*\template C:\\Users\\mkouti\\AppData\\Local\\Temp\\Blank1.dotx}{\*\ftnsep \ltrpar \pard\plain \ltrpar_x000d__x000a_\ql \li0\ri0\widctlpar\wrapdefault\aspalpha\aspnum\faauto\adjustright\rin0\lin0\itap0 \rtlch\fcs1 \af0\afs20\alang1025 \ltrch\fcs0 \fs24\lang2057\langfe2057\cgrid\langnp2057\langfenp2057 {\rtlch\fcs1 \af0 \ltrch\fcs0 \insrsid11753515 \chftnsep _x000d__x000a_\par }}{\*\ftnsepc \ltrpar \pard\plain \ltrpar\ql \li0\ri0\widctlpar\wrapdefault\aspalpha\aspnum\faauto\adjustright\rin0\lin0\itap0 \rtlch\fcs1 \af0\afs20\alang1025 \ltrch\fcs0 \fs24\lang2057\langfe2057\cgrid\langnp2057\langfenp2057 {\rtlch\fcs1 \af0 _x000d__x000a_\ltrch\fcs0 \insrsid11753515 \chftnsepc _x000d__x000a_\par }}{\*\aftnsep \ltrpar \pard\plain \ltrpar\ql \li0\ri0\widctlpar\wrapdefault\aspalpha\aspnum\faauto\adjustright\rin0\lin0\itap0 \rtlch\fcs1 \af0\afs20\alang1025 \ltrch\fcs0 \fs24\lang2057\langfe2057\cgrid\langnp2057\langfenp2057 {\rtlch\fcs1 \af0 _x000d__x000a_\ltrch\fcs0 \insrsid11753515 \chftnsep _x000d__x000a_\par }}{\*\aftnsepc \ltrpar \pard\plain \ltrpar\ql \li0\ri0\widctlpar\wrapdefault\aspalpha\aspnum\faauto\adjustright\rin0\lin0\itap0 \rtlch\fcs1 \af0\afs20\alang1025 \ltrch\fcs0 \fs24\lang2057\langfe2057\cgrid\langnp2057\langfenp2057 {\rtlch\fcs1 \af0 _x000d__x000a_\ltrch\fcs0 \insrsid11753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236452 \rtlch\fcs1 _x000d__x000a_\af0\afs20\alang1025 \ltrch\fcs0 \b\fs24\lang2057\langfe2057\cgrid\langnp2057\langfenp2057 {\rtlch\fcs1 \af0 \ltrch\fcs0 \cs17\b0\v\fs20\cf9\loch\af1\hich\af1\dbch\af31501\insrsid6236452\charrsid9057188 {\*\bkmkstart restartB}_x000d__x000a_\hich\af1\dbch\af31501\loch\f1 &lt;AmendB&gt;}{\rtlch\fcs1 \af0 \ltrch\fcs0 \insrsid6236452\charrsid9057188 Amendment\tab \tab }{\rtlch\fcs1 \af0 \ltrch\fcs0 \cs17\b0\v\fs20\cf9\loch\af1\hich\af1\dbch\af31501\insrsid6236452\charrsid9057188 _x000d__x000a_\hich\af1\dbch\af31501\loch\f1 &lt;NumAmB&gt;}{\rtlch\fcs1 \af0 \ltrch\fcs0 \insrsid6236452\charrsid9057188 #}{\rtlch\fcs1 \af1 \ltrch\fcs0 \cs22\v\f1\fs20\cf15\insrsid6236452\charrsid9057188 ENMIENDA@NRAM@}{\rtlch\fcs1 \af0 \ltrch\fcs0 _x000d__x000a_\insrsid6236452\charrsid9057188 #}{\rtlch\fcs1 \af0 \ltrch\fcs0 \cs17\b0\v\fs20\cf9\loch\af1\hich\af1\dbch\af31501\insrsid6236452\charrsid9057188 \hich\af1\dbch\af31501\loch\f1 &lt;/NumAmB&gt;}{\rtlch\fcs1 \af0 \ltrch\fcs0 \insrsid6236452\charrsid9057188 _x000d__x000a__x000d__x000a_\par }\pard\plain \ltrpar\s26\ql \li0\ri0\sb240\keepn\nowidctlpar\wrapdefault\aspalpha\aspnum\faauto\adjustright\rin0\lin0\itap0\pararsid6236452 \rtlch\fcs1 \af0\afs20\alang1025 \ltrch\fcs0 \b\fs24\lang2057\langfe2057\cgrid\langnp2057\langfenp2057 {_x000d__x000a_\rtlch\fcs1 \af0 \ltrch\fcs0 \cs17\b0\v\fs20\cf9\loch\af1\hich\af1\dbch\af31501\insrsid6236452\charrsid9057188 \hich\af1\dbch\af31501\loch\f1 &lt;DocAmend&gt;}{\rtlch\fcs1 \af0 \ltrch\fcs0 \insrsid6236452\charrsid9057188 #}{\rtlch\fcs1 \af1 \ltrch\fcs0 _x000d__x000a_\cs22\v\f1\fs20\cf15\insrsid6236452\charrsid9057188 MNU[OPTPROPOSALCOD][OPTPROPOSALCNS][OPTPROPOSALNLE]@CHOICE@CODEMNU}{\rtlch\fcs1 \af0 \ltrch\fcs0 \insrsid6236452\charrsid9057188 ##}{\rtlch\fcs1 \af1 \ltrch\fcs0 _x000d__x000a_\cs22\v\f1\fs20\cf15\insrsid6236452\charrsid9057188 MNU[AMACTYES][NOTAPP]@CHOICE@AMACTMNU}{\rtlch\fcs1 \af0 \ltrch\fcs0 \insrsid6236452\charrsid9057188 #}{\rtlch\fcs1 \af0 \ltrch\fcs0 _x000d__x000a_\cs17\b0\v\fs20\cf9\loch\af1\hich\af1\dbch\af31501\insrsid6236452\charrsid9057188 \hich\af1\dbch\af31501\loch\f1 &lt;/DocAmend&gt;}{\rtlch\fcs1 \af0 \ltrch\fcs0 \insrsid6236452\charrsid9057188 _x000d__x000a_\par }\pard\plain \ltrpar\s19\ql \li0\ri0\keepn\nowidctlpar\wrapdefault\aspalpha\aspnum\faauto\adjustright\rin0\lin0\itap0\pararsid6236452 \rtlch\fcs1 \af0\afs20\alang1025 \ltrch\fcs0 \b\fs24\lang2057\langfe2057\cgrid\langnp2057\langfenp2057 {\rtlch\fcs1 \af0 _x000d__x000a_\ltrch\fcs0 \cs17\b0\v\fs20\cf9\loch\af1\hich\af1\dbch\af31501\insrsid6236452\charrsid9057188 \hich\af1\dbch\af31501\loch\f1 &lt;Article&gt;}{\rtlch\fcs1 \af0 \ltrch\fcs0 \insrsid6236452\charrsid9057188 #}{\rtlch\fcs1 \af1 \ltrch\fcs0 _x000d__x000a_\cs22\v\f1\fs20\cf15\insrsid6236452\charrsid9057188 MNU[AMACTPARTYES][AMACTPARTNO]@CHOICE@AMACTMNU}{\rtlch\fcs1 \af0 \ltrch\fcs0 \insrsid6236452\charrsid9057188 #}{\rtlch\fcs1 \af0 \ltrch\fcs0 _x000d__x000a_\cs17\b0\v\fs20\cf9\loch\af1\hich\af1\dbch\af31501\insrsid6236452\charrsid9057188 \hich\af1\dbch\af31501\loch\f1 &lt;/Article&gt;}{\rtlch\fcs1 \af0 \ltrch\fcs0 \insrsid6236452\charrsid9057188 _x000d__x000a_\par }\pard\plain \ltrpar\ql \li0\ri0\keepn\widctlpar\wrapdefault\aspalpha\aspnum\faauto\adjustright\rin0\lin0\itap0\pararsid6236452 \rtlch\fcs1 \af0\afs20\alang1025 \ltrch\fcs0 \fs24\lang2057\langfe2057\cgrid\langnp2057\langfenp2057 {\rtlch\fcs1 \af0 _x000d__x000a_\ltrch\fcs0 \cs17\v\fs20\cf9\loch\af1\hich\af1\dbch\af31501\insrsid6236452\charrsid9057188 \hich\af1\dbch\af31501\loch\f1 &lt;DocAmend2&gt;&lt;OptDel&gt;}{\rtlch\fcs1 \af0 \ltrch\fcs0 \insrsid6236452\charrsid9057188 #}{\rtlch\fcs1 \af1 \ltrch\fcs0 _x000d__x000a_\cs22\v\f1\fs20\cf15\insrsid6236452\charrsid9057188 MNU[OPTNRACTYES][NOTAPP]@CHOICE@AMACTMNU}{\rtlch\fcs1 \af0 \ltrch\fcs0 \insrsid6236452\charrsid9057188 #}{\rtlch\fcs1 \af0 \ltrch\fcs0 _x000d__x000a_\cs17\v\fs20\cf9\loch\af1\hich\af1\dbch\af31501\insrsid6236452\charrsid9057188 \hich\af1\dbch\af31501\loch\f1 &lt;/OptDel&gt;&lt;/DocAmend2&gt;}{\rtlch\fcs1 \af0 \ltrch\fcs0 \insrsid6236452\charrsid9057188 _x000d__x000a_\par }\pard \ltrpar\ql \li0\ri0\widctlpar\wrapdefault\aspalpha\aspnum\faauto\adjustright\rin0\lin0\itap0\pararsid6236452 {\rtlch\fcs1 \af0 \ltrch\fcs0 \cs17\v\fs20\cf9\loch\af1\hich\af1\dbch\af31501\insrsid6236452\charrsid9057188 _x000d__x000a_\hich\af1\dbch\af31501\loch\f1 &lt;Article2&gt;&lt;OptDel&gt;}{\rtlch\fcs1 \af0 \ltrch\fcs0 \insrsid6236452\charrsid9057188 #}{\rtlch\fcs1 \af1 \ltrch\fcs0 \cs22\v\f1\fs20\cf15\insrsid6236452\charrsid9057188 MNU[OPTACTPARTYES][NOTAPP]@CHOICE@AMACTMNU}{\rtlch\fcs1 _x000d__x000a_\af0 \ltrch\fcs0 \insrsid6236452\charrsid9057188 #}{\rtlch\fcs1 \af0 \ltrch\fcs0 \cs17\v\fs20\cf9\loch\af1\hich\af1\dbch\af31501\insrsid6236452\charrsid9057188 \hich\af1\dbch\af31501\loch\f1 &lt;/OptDel&gt;&lt;/Article2&gt;}{\rtlch\fcs1 \af0 \ltrch\fcs0 _x000d__x000a_\insrsid6236452\charrsid905718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6236452\charrsid9057188 \cell }\pard \ltrpar\ql \li0\ri0\widctlpar\intbl\wrapdefault\aspalpha\aspnum\faauto\adjustright\rin0\lin0 {\rtlch\fcs1 \af0 \ltrch\fcs0 \insrsid6236452\charrsid905718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6236452\charrsid9057188 #}{\rtlch\fcs1 \af1 \ltrch\fcs0 \cs22\v\f1\fs20\cf15\insrsid6236452\charrsid9057188 MNU[OPTLEFTAMACT][LEFTPROP]@CHOICE@AMACTMNU}{\rtlch\fcs1 \af0 \ltrch\fcs0 \insrsid6236452\charrsid9057188 #\cell Amendment\cell _x000d__x000a_}\pard\plain \ltrpar\ql \li0\ri0\widctlpar\intbl\wrapdefault\aspalpha\aspnum\faauto\adjustright\rin0\lin0 \rtlch\fcs1 \af0\afs20\alang1025 \ltrch\fcs0 \fs24\lang2057\langfe2057\cgrid\langnp2057\langfenp2057 {\rtlch\fcs1 \af0 \ltrch\fcs0 _x000d__x000a_\insrsid6236452\charrsid905718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6236452\charrsid9057188 ##\cell ##}{\rtlch\fcs1 \af0\afs24 \ltrch\fcs0 \insrsid6236452\charrsid9057188 \cell }\pard\plain \ltrpar\ql \li0\ri0\widctlpar\intbl\wrapdefault\aspalpha\aspnum\faauto\adjustright\rin0\lin0 _x000d__x000a_\rtlch\fcs1 \af0\afs20\alang1025 \ltrch\fcs0 \fs24\lang2057\langfe2057\cgrid\langnp2057\langfenp2057 {\rtlch\fcs1 \af0 \ltrch\fcs0 \insrsid6236452\charrsid90571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236452 \rtlch\fcs1 \af0\afs20\alang1025 \ltrch\fcs0 \i\fs24\lang2057\langfe2057\cgrid\langnp2057\langfenp2057 {\rtlch\fcs1 \af0 \ltrch\fcs0 _x000d__x000a_\cs17\i0\v\fs20\cf9\loch\af1\hich\af1\dbch\af31501\insrsid6236452\charrsid9057188 \hich\af1\dbch\af31501\loch\f1 &lt;OptDel&gt;}{\rtlch\fcs1 \af0 \ltrch\fcs0 \insrsid6236452\charrsid9057188 #}{\rtlch\fcs1 \af1 \ltrch\fcs0 _x000d__x000a_\cs22\v\f1\fs20\cf15\insrsid6236452\charrsid9057188 MNU[CROSSREFNO][CROSSREFYES]@CHOICE@}{\rtlch\fcs1 \af0 \ltrch\fcs0 \insrsid6236452\charrsid9057188 #}{\rtlch\fcs1 \af0 \ltrch\fcs0 _x000d__x000a_\cs17\i0\v\fs20\cf9\loch\af1\hich\af1\dbch\af31501\insrsid6236452\charrsid9057188 \hich\af1\dbch\af31501\loch\f1 &lt;/OptDel&gt;}{\rtlch\fcs1 \af0 \ltrch\fcs0 \insrsid6236452\charrsid9057188 _x000d__x000a_\par }\pard\plain \ltrpar\s23\qc \li0\ri0\sb240\sa240\keepn\nowidctlpar\wrapdefault\aspalpha\aspnum\faauto\adjustright\rin0\lin0\itap0\pararsid6236452 \rtlch\fcs1 \af0\afs20\alang1025 \ltrch\fcs0 \i\fs24\lang2057\langfe2057\cgrid\langnp2057\langfenp2057 {_x000d__x000a_\rtlch\fcs1 \af0 \ltrch\fcs0 \cs17\i0\v\fs20\cf9\loch\af1\hich\af1\dbch\af31501\insrsid6236452\charrsid9057188 \hich\af1\dbch\af31501\loch\f1 &lt;TitreJust&gt;}{\rtlch\fcs1 \af0 \ltrch\fcs0 \insrsid6236452\charrsid9057188 Justification}{\rtlch\fcs1 \af0 _x000d__x000a_\ltrch\fcs0 \cs17\i0\v\fs20\cf9\loch\af1\hich\af1\dbch\af31501\insrsid6236452\charrsid9057188 \hich\af1\dbch\af31501\loch\f1 &lt;/TitreJust&gt;}{\rtlch\fcs1 \af0 \ltrch\fcs0 \insrsid6236452\charrsid9057188 _x000d__x000a_\par }\pard\plain \ltrpar\s20\ql \li0\ri0\sa240\nowidctlpar\wrapdefault\aspalpha\aspnum\faauto\adjustright\rin0\lin0\itap0\pararsid6236452 \rtlch\fcs1 \af0\afs20\alang1025 \ltrch\fcs0 \i\fs24\lang2057\langfe2057\cgrid\langnp2057\langfenp2057 {\rtlch\fcs1 \af0 _x000d__x000a_\ltrch\fcs0 \cs17\i0\v\fs20\cf9\loch\af1\hich\af1\dbch\af31501\insrsid6236452\charrsid9057188 \hich\af1\dbch\af31501\loch\f1 &lt;OptDelPrev&gt;}{\rtlch\fcs1 \af0 \ltrch\fcs0 \insrsid6236452\charrsid9057188 #}{\rtlch\fcs1 \af1 \ltrch\fcs0 _x000d__x000a_\cs22\v\f1\fs20\cf15\insrsid6236452\charrsid9057188 MNU[TEXTJUSTYES][TEXTJUSTNO]@CHOICE@}{\rtlch\fcs1 \af0 \ltrch\fcs0 \insrsid6236452\charrsid9057188 #}{\rtlch\fcs1 \af0 \ltrch\fcs0 _x000d__x000a_\cs17\i0\v\fs20\cf9\loch\af1\hich\af1\dbch\af31501\insrsid6236452\charrsid9057188 \hich\af1\dbch\af31501\loch\f1 &lt;/OptDelPrev&gt;}{\rtlch\fcs1 \af0 \ltrch\fcs0 \insrsid6236452\charrsid9057188 _x000d__x000a_\par }\pard\plain \ltrpar\ql \li0\ri0\widctlpar\wrapdefault\aspalpha\aspnum\faauto\adjustright\rin0\lin0\itap0\pararsid6236452 \rtlch\fcs1 \af0\afs20\alang1025 \ltrch\fcs0 \fs24\lang2057\langfe2057\cgrid\langnp2057\langfenp2057 {\rtlch\fcs1 \af0 \ltrch\fcs0 _x000d__x000a_\cs17\v\fs20\cf9\loch\af1\hich\af1\dbch\af31501\insrsid6236452\charrsid9057188 \hich\af1\dbch\af31501\loch\f1 &lt;/AmendB&gt;}{\rtlch\fcs1 \af0 \ltrch\fcs0 \insrsid623645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01_x000d__x000a_c0bdf82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77045 HideTWBExt;}{_x000d__x000a_\s18\ql \li0\ri0\sa120\nowidctlpar\wrapdefault\aspalpha\aspnum\faauto\adjustright\rin0\lin0\itap0 \rtlch\fcs1 \af0\afs20\alang1025 \ltrch\fcs0 \fs24\lang2057\langfe2057\cgrid\langnp2057\langfenp2057 \sbasedon0 \snext18 \spriority0 \styrsid12277045 _x000d__x000a_Normal6a;}{\s19\ql \li0\ri0\nowidctlpar\wrapdefault\aspalpha\aspnum\faauto\adjustright\rin0\lin0\itap0 \rtlch\fcs1 \af0\afs20\alang1025 \ltrch\fcs0 \b\fs24\lang2057\langfe2057\cgrid\langnp2057\langfenp2057 \sbasedon0 \snext19 \spriority0 \styrsid12277045 _x000d__x000a_NormalBold;}{\s20\qc \li0\ri0\sa240\nowidctlpar\wrapdefault\aspalpha\aspnum\faauto\adjustright\rin0\lin0\itap0 \rtlch\fcs1 \af0\afs20\alang1025 \ltrch\fcs0 \i\fs24\lang2057\langfe2057\cgrid\langnp2057\langfenp2057 _x000d__x000a_\sbasedon0 \snext20 \spriority0 \styrsid1227704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277045 AmNumberTabs;}{\s22\ql \li0\ri0\sb240\nowidctlpar\wrapdefault\aspalpha\aspnum\faauto\adjustright\rin0\lin0\itap0 \rtlch\fcs1 _x000d__x000a_\af0\afs20\alang1025 \ltrch\fcs0 \b\fs24\lang2057\langfe2057\cgrid\langnp2057\langfenp2057 \sbasedon0 \snext22 \spriority0 \styrsid12277045 NormalBold12b;}}{\*\rsidtbl \rsid24658\rsid223860\rsid735077\rsid1718133\rsid2892074\rsid3565327\rsid4666813_x000d__x000a_\rsid6641733\rsid7823322\rsid8331094\rsid9636012\rsid10377208\rsid11215221\rsid11549030\rsid12154954\rsid12277045\rsid14382809\rsid14424199\rsid15204470\rsid15285974\rsid15950462\rsid16324206\rsid16662270}{\mmathPr\mmathFont34\mbrkBin0\mbrkBinSub0_x000d__x000a_\msmallFrac0\mdispDef1\mlMargin0\mrMargin0\mdefJc1\mwrapIndent1440\mintLim0\mnaryLim1}{\info{\author KOUTI Maria}{\operator KOUTI Maria}{\creatim\yr2023\mo1\dy14\hr10\min15}{\revtim\yr2023\mo1\dy14\hr10\min15}{\version1}{\edmins0}{\nofpages1}{\nofwords22}_x000d__x000a_{\nofchars141}{\nofcharsws16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2277045\newtblstyruls\nogrowautofit\usenormstyforlist\noindnmbrts\felnbrelev\nocxsptable\indrlsweleven\noafcnsttbl\afelev\utinl\hwelev\spltpgpar\notcvasp\notbrkcnstfrctbl\notvatxbx\krnprsnet\cachedcolbal _x000d__x000a_\nouicompat \fet0{\*\wgrffmtfilter 013f}\nofeaturethrottle1\ilfomacatclnup0{\*\template C:\\Users\\mkouti\\AppData\\Local\\Temp\\Blank1.dotx}{\*\ftnsep \ltrpar \pard\plain \ltrpar_x000d__x000a_\ql \li0\ri0\widctlpar\wrapdefault\aspalpha\aspnum\faauto\adjustright\rin0\lin0\itap0 \rtlch\fcs1 \af0\afs20\alang1025 \ltrch\fcs0 \fs24\lang2057\langfe2057\cgrid\langnp2057\langfenp2057 {\rtlch\fcs1 \af0 \ltrch\fcs0 \insrsid8331094 \chftnsep _x000d__x000a_\par }}{\*\ftnsepc \ltrpar \pard\plain \ltrpar\ql \li0\ri0\widctlpar\wrapdefault\aspalpha\aspnum\faauto\adjustright\rin0\lin0\itap0 \rtlch\fcs1 \af0\afs20\alang1025 \ltrch\fcs0 \fs24\lang2057\langfe2057\cgrid\langnp2057\langfenp2057 {\rtlch\fcs1 \af0 _x000d__x000a_\ltrch\fcs0 \insrsid8331094 \chftnsepc _x000d__x000a_\par }}{\*\aftnsep \ltrpar \pard\plain \ltrpar\ql \li0\ri0\widctlpar\wrapdefault\aspalpha\aspnum\faauto\adjustright\rin0\lin0\itap0 \rtlch\fcs1 \af0\afs20\alang1025 \ltrch\fcs0 \fs24\lang2057\langfe2057\cgrid\langnp2057\langfenp2057 {\rtlch\fcs1 \af0 _x000d__x000a_\ltrch\fcs0 \insrsid8331094 \chftnsep _x000d__x000a_\par }}{\*\aftnsepc \ltrpar \pard\plain \ltrpar\ql \li0\ri0\widctlpar\wrapdefault\aspalpha\aspnum\faauto\adjustright\rin0\lin0\itap0 \rtlch\fcs1 \af0\afs20\alang1025 \ltrch\fcs0 \fs24\lang2057\langfe2057\cgrid\langnp2057\langfenp2057 {\rtlch\fcs1 \af0 _x000d__x000a_\ltrch\fcs0 \insrsid83310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277045 \rtlch\fcs1 _x000d__x000a_\af0\afs20\alang1025 \ltrch\fcs0 \b\fs24\lang2057\langfe2057\cgrid\langnp2057\langfenp2057 {\rtlch\fcs1 \af0 \ltrch\fcs0 \cs17\b0\v\fs20\cf9\lang1024\langfe1024\loch\af1\hich\af1\dbch\af31501\noproof\insrsid12277045\charrsid15879488 {\*\bkmkstart restartA_x000d__x000a_}\hich\af1\dbch\af31501\loch\f1 &lt;AmendA&gt;}{\rtlch\fcs1 \af0 \ltrch\fcs0 \insrsid12277045\charrsid15879488 [ZAMENDMENT]\tab \tab }{\rtlch\fcs1 \af0 \ltrch\fcs0 _x000d__x000a_\cs17\b0\v\fs20\cf9\lang1024\langfe1024\loch\af1\hich\af1\dbch\af31501\noproof\insrsid12277045\charrsid15879488 \hich\af1\dbch\af31501\loch\f1 &lt;NumAmA&gt;}{\rtlch\fcs1 \af0 \ltrch\fcs0 \insrsid12277045\charrsid15879488 [ZNRAM]}{\rtlch\fcs1 \af0 \ltrch\fcs0 _x000d__x000a_\cs17\b0\v\fs20\cf9\lang1024\langfe1024\loch\af1\hich\af1\dbch\af31501\noproof\insrsid12277045\charrsid15879488 \hich\af1\dbch\af31501\loch\f1 &lt;/NumAmA&gt;}{\rtlch\fcs1 \af0 \ltrch\fcs0 \insrsid12277045\charrsid15879488 _x000d__x000a_\par }\pard\plain \ltrpar\s22\ql \li0\ri0\sb240\keepn\nowidctlpar\wrapdefault\aspalpha\aspnum\faauto\adjustright\rin0\lin0\itap0\pararsid12277045 \rtlch\fcs1 \af0\afs20\alang1025 \ltrch\fcs0 \b\fs24\lang2057\langfe2057\cgrid\langnp2057\langfenp2057 {_x000d__x000a_\rtlch\fcs1 \af0 \ltrch\fcs0 \cs17\b0\v\fs20\cf9\lang1024\langfe1024\loch\af1\hich\af1\dbch\af31501\noproof\langnp1036\insrsid12277045\charrsid11356624 \hich\af1\dbch\af31501\loch\f1 &lt;DocAmend&gt;}{\rtlch\fcs1 \af0 \ltrch\fcs0 _x000d__x000a_\lang1036\langfe2057\langnp1036\insrsid12277045\charrsid11356624 [ZRESOLUTION]}{\rtlch\fcs1 \af0 \ltrch\fcs0 \cs17\b0\v\fs20\cf9\lang1024\langfe1024\loch\af1\hich\af1\dbch\af31501\noproof\langnp1036\insrsid12277045\charrsid11356624 _x000d__x000a_\hich\af1\dbch\af31501\loch\f1 &lt;/DocAmend&gt;}{\rtlch\fcs1 \af0 \ltrch\fcs0 \lang1036\langfe2057\langnp1036\insrsid12277045\charrsid11356624 _x000d__x000a_\par }\pard\plain \ltrpar\s19\ql \li0\ri0\nowidctlpar\wrapdefault\aspalpha\aspnum\faauto\adjustright\rin0\lin0\itap0\pararsid12277045 \rtlch\fcs1 \af0\afs20\alang1025 \ltrch\fcs0 \b\fs24\lang2057\langfe2057\cgrid\langnp2057\langfenp2057 {\rtlch\fcs1 \af0 _x000d__x000a_\ltrch\fcs0 \cs17\b0\v\fs20\cf9\lang1024\langfe1024\loch\af1\hich\af1\dbch\af31501\noproof\langnp1036\insrsid12277045\charrsid11356624 \hich\af1\dbch\af31501\loch\f1 &lt;Article&gt;}{\rtlch\fcs1 \af0 \ltrch\fcs0 _x000d__x000a_\lang1036\langfe2057\langnp1036\insrsid12277045\charrsid11356624 [ZRESPART]}{\rtlch\fcs1 \af0 \ltrch\fcs0 \cs17\b0\v\fs20\cf9\lang1024\langfe1024\loch\af1\hich\af1\dbch\af31501\noproof\langnp1036\insrsid12277045\charrsid11356624 _x000d__x000a_\hich\af1\dbch\af31501\loch\f1 &lt;/Article&gt;}{\rtlch\fcs1 \af0 \ltrch\fcs0 \lang1036\langfe2057\langnp1036\insrsid1227704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277045\charrsid11356624 \cell }\pard \ltrpar_x000d__x000a_\ql \li0\ri0\widctlpar\intbl\wrapdefault\aspalpha\aspnum\faauto\adjustright\rin0\lin0 {\rtlch\fcs1 \af0 \ltrch\fcs0 \insrsid1227704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2277045\charrsid15879488 [ZLEFTA]\cell [ZRIGHT]\cell }\pard\plain \ltrpar_x000d__x000a_\ql \li0\ri0\widctlpar\intbl\wrapdefault\aspalpha\aspnum\faauto\adjustright\rin0\lin0 \rtlch\fcs1 \af0\afs20\alang1025 \ltrch\fcs0 \fs24\lang2057\langfe2057\cgrid\langnp2057\langfenp2057 {\rtlch\fcs1 \af0 \ltrch\fcs0 \insrsid12277045\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277045\charrsid15879488 [ZTEXTL]\cell [ZTEXTR]}{\rtlch\fcs1 \af0\afs24 \ltrch\fcs0 \insrsid12277045\charrsid15879488 \cell }\pard\plain \ltrpar\ql \li0\ri0\widctlpar\intbl\wrapdefault\aspalpha\aspnum\faauto\adjustright\rin0\lin0 \rtlch\fcs1 _x000d__x000a_\af0\afs20\alang1025 \ltrch\fcs0 \fs24\lang2057\langfe2057\cgrid\langnp2057\langfenp2057 {\rtlch\fcs1 \af0 \ltrch\fcs0 \insrsid1227704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277045 {\rtlch\fcs1 \af0 \ltrch\fcs0 \cs17\v\fs20\cf9\lang1024\langfe1024\loch\af1\hich\af1\dbch\af31501\noproof\insrsid12277045\charrsid15879488 _x000d__x000a_\hich\af1\dbch\af31501\loch\f1 &lt;/AmendA&gt;}{\rtlch\fcs1 \af0 \ltrch\fcs0 \insrsid1227704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7_x000d__x000a_7cbff82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30642 HideTWBExt;}{_x000d__x000a_\s18\ql \li0\ri0\sa120\nowidctlpar\wrapdefault\aspalpha\aspnum\faauto\adjustright\rin0\lin0\itap0 \rtlch\fcs1 \af0\afs20\alang1025 \ltrch\fcs0 \fs24\lang2057\langfe2057\cgrid\langnp2057\langfenp2057 \sbasedon0 \snext18 \spriority0 \styrsid10630642 _x000d__x000a_Normal6a;}{\s19\ql \li0\ri0\nowidctlpar\wrapdefault\aspalpha\aspnum\faauto\adjustright\rin0\lin0\itap0 \rtlch\fcs1 \af0\afs20\alang1025 \ltrch\fcs0 \b\fs24\lang2057\langfe2057\cgrid\langnp2057\langfenp2057 \sbasedon0 \snext19 \spriority0 \styrsid10630642 _x000d__x000a_NormalBold;}{\s20\ql \li0\ri0\sa240\nowidctlpar\wrapdefault\aspalpha\aspnum\faauto\adjustright\rin0\lin0\itap0 \rtlch\fcs1 \af0\afs20\alang1025 \ltrch\fcs0 \i\fs24\lang2057\langfe2057\cgrid\langnp2057\langfenp2057 _x000d__x000a_\sbasedon0 \snext20 \spriority0 \styrsid10630642 AmJustText;}{\s21\qc \li0\ri0\sb240\sa240\nowidctlpar\wrapdefault\aspalpha\aspnum\faauto\adjustright\rin0\lin0\itap0 \rtlch\fcs1 \af0\afs20\alang1025 \ltrch\fcs0 _x000d__x000a_\i\fs24\lang2057\langfe2057\cgrid\langnp2057\langfenp2057 \sbasedon0 \snext21 \spriority0 \styrsid10630642 AmCrossRef;}{\s22\qc \li0\ri0\sb240\sa240\keepn\nowidctlpar\wrapdefault\aspalpha\aspnum\faauto\adjustright\rin0\lin0\itap0 \rtlch\fcs1 _x000d__x000a_\af0\afs20\alang1025 \ltrch\fcs0 \i\fs24\lang2057\langfe2057\cgrid\langnp2057\langfenp2057 \sbasedon0 \snext20 \spriority0 \styrsid10630642 AmJustTitle;}{\s23\qc \li0\ri0\sa240\nowidctlpar\wrapdefault\aspalpha\aspnum\faauto\adjustright\rin0\lin0\itap0 _x000d__x000a_\rtlch\fcs1 \af0\afs20\alang1025 \ltrch\fcs0 \i\fs24\lang2057\langfe2057\cgrid\langnp2057\langfenp2057 \sbasedon0 \snext23 \spriority0 \styrsid1063064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630642 AmNumberTabs;}{\s25\ql \li0\ri0\sb240\nowidctlpar\wrapdefault\aspalpha\aspnum\faauto\adjustright\rin0\lin0\itap0 \rtlch\fcs1 _x000d__x000a_\af0\afs20\alang1025 \ltrch\fcs0 \b\fs24\lang2057\langfe2057\cgrid\langnp2057\langfenp2057 \sbasedon0 \snext25 \spriority0 \styrsid10630642 NormalBold12b;}}{\*\rsidtbl \rsid24658\rsid223860\rsid735077\rsid1718133\rsid2892074\rsid3369499\rsid3565327_x000d__x000a_\rsid4666813\rsid6641733\rsid7823322\rsid9636012\rsid10377208\rsid10630642\rsid11215221\rsid11549030\rsid12154954\rsid14382809\rsid14424199\rsid15204470\rsid15285974\rsid15950462\rsid16324206\rsid16662270}{\mmathPr\mmathFont34\mbrkBin0\mbrkBinSub0_x000d__x000a_\msmallFrac0\mdispDef1\mlMargin0\mrMargin0\mdefJc1\mwrapIndent1440\mintLim0\mnaryLim1}{\info{\author KOUTI Maria}{\operator KOUTI Maria}{\creatim\yr2023\mo1\dy14\hr10\min15}{\revtim\yr2023\mo1\dy14\hr10\min15}{\version1}{\edmins0}{\nofpages1}{\nofwords50}_x000d__x000a_{\nofchars322}{\nofcharsws366}{\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0630642\newtblstyruls\nogrowautofit\usenormstyforlist\noindnmbrts\felnbrelev\nocxsptable\indrlsweleven\noafcnsttbl\afelev\utinl\hwelev\spltpgpar\notcvasp\notbrkcnstfrctbl\notvatxbx\krnprsnet\cachedcolbal _x000d__x000a_\nouicompat \fet0{\*\wgrffmtfilter 013f}\nofeaturethrottle1\ilfomacatclnup0{\*\template C:\\Users\\mkouti\\AppData\\Local\\Temp\\Blank1.dotx}{\*\ftnsep \ltrpar \pard\plain \ltrpar_x000d__x000a_\ql \li0\ri0\widctlpar\wrapdefault\aspalpha\aspnum\faauto\adjustright\rin0\lin0\itap0 \rtlch\fcs1 \af0\afs20\alang1025 \ltrch\fcs0 \fs24\lang2057\langfe2057\cgrid\langnp2057\langfenp2057 {\rtlch\fcs1 \af0 \ltrch\fcs0 \insrsid3369499 \chftnsep _x000d__x000a_\par }}{\*\ftnsepc \ltrpar \pard\plain \ltrpar\ql \li0\ri0\widctlpar\wrapdefault\aspalpha\aspnum\faauto\adjustright\rin0\lin0\itap0 \rtlch\fcs1 \af0\afs20\alang1025 \ltrch\fcs0 \fs24\lang2057\langfe2057\cgrid\langnp2057\langfenp2057 {\rtlch\fcs1 \af0 _x000d__x000a_\ltrch\fcs0 \insrsid3369499 \chftnsepc _x000d__x000a_\par }}{\*\aftnsep \ltrpar \pard\plain \ltrpar\ql \li0\ri0\widctlpar\wrapdefault\aspalpha\aspnum\faauto\adjustright\rin0\lin0\itap0 \rtlch\fcs1 \af0\afs20\alang1025 \ltrch\fcs0 \fs24\lang2057\langfe2057\cgrid\langnp2057\langfenp2057 {\rtlch\fcs1 \af0 _x000d__x000a_\ltrch\fcs0 \insrsid3369499 \chftnsep _x000d__x000a_\par }}{\*\aftnsepc \ltrpar \pard\plain \ltrpar\ql \li0\ri0\widctlpar\wrapdefault\aspalpha\aspnum\faauto\adjustright\rin0\lin0\itap0 \rtlch\fcs1 \af0\afs20\alang1025 \ltrch\fcs0 \fs24\lang2057\langfe2057\cgrid\langnp2057\langfenp2057 {\rtlch\fcs1 \af0 _x000d__x000a_\ltrch\fcs0 \insrsid33694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630642 \rtlch\fcs1 _x000d__x000a_\af0\afs20\alang1025 \ltrch\fcs0 \b\fs24\lang2057\langfe2057\cgrid\langnp2057\langfenp2057 {\rtlch\fcs1 \af0 \ltrch\fcs0 \cs17\b0\v\fs20\cf9\lang1024\langfe1024\loch\af1\hich\af1\dbch\af31501\noproof\insrsid10630642\charrsid15879488 {\*\bkmkstart restartB_x000d__x000a_}\hich\af1\dbch\af31501\loch\f1 &lt;AmendB&gt;}{\rtlch\fcs1 \af0 \ltrch\fcs0 \insrsid10630642\charrsid15879488 [ZAMENDMENT]\tab \tab }{\rtlch\fcs1 \af0 \ltrch\fcs0 _x000d__x000a_\cs17\b0\v\fs20\cf9\lang1024\langfe1024\loch\af1\hich\af1\dbch\af31501\noproof\insrsid10630642\charrsid15879488 \hich\af1\dbch\af31501\loch\f1 &lt;NumAmB&gt;}{\rtlch\fcs1 \af0 \ltrch\fcs0 \insrsid10630642\charrsid15879488 [ZNRAM]}{\rtlch\fcs1 \af0 \ltrch\fcs0 _x000d__x000a_\cs17\b0\v\fs20\cf9\lang1024\langfe1024\loch\af1\hich\af1\dbch\af31501\noproof\insrsid10630642\charrsid15879488 \hich\af1\dbch\af31501\loch\f1 &lt;/NumAmB&gt;}{\rtlch\fcs1 \af0 \ltrch\fcs0 \insrsid10630642\charrsid15879488 _x000d__x000a_\par }\pard\plain \ltrpar\s25\ql \li0\ri0\sb240\keepn\nowidctlpar\wrapdefault\aspalpha\aspnum\faauto\adjustright\rin0\lin0\itap0\pararsid10630642 \rtlch\fcs1 \af0\afs20\alang1025 \ltrch\fcs0 \b\fs24\lang2057\langfe2057\cgrid\langnp2057\langfenp2057 {_x000d__x000a_\rtlch\fcs1 \af0 \ltrch\fcs0 \cs17\b0\v\fs20\cf9\lang1024\langfe1024\loch\af1\hich\af1\dbch\af31501\noproof\insrsid10630642\charrsid15879488 \hich\af1\dbch\af31501\loch\f1 &lt;DocAmend&gt;}{\rtlch\fcs1 \af0 \ltrch\fcs0 \insrsid10630642\charrsid15879488 _x000d__x000a_[ZPROPOSAL][ZAMACT]}{\rtlch\fcs1 \af0 \ltrch\fcs0 \cs17\b0\v\fs20\cf9\lang1024\langfe1024\loch\af1\hich\af1\dbch\af31501\noproof\insrsid10630642\charrsid15879488 \hich\af1\dbch\af31501\loch\f1 &lt;/DocAmend&gt;}{\rtlch\fcs1 \af0 \ltrch\fcs0 _x000d__x000a_\insrsid10630642\charrsid15879488 _x000d__x000a_\par }\pard\plain \ltrpar\s19\ql \li0\ri0\keepn\nowidctlpar\wrapdefault\aspalpha\aspnum\faauto\adjustright\rin0\lin0\itap0\pararsid10630642 \rtlch\fcs1 \af0\afs20\alang1025 \ltrch\fcs0 \b\fs24\lang2057\langfe2057\cgrid\langnp2057\langfenp2057 {\rtlch\fcs1 _x000d__x000a_\af0 \ltrch\fcs0 \cs17\b0\v\fs20\cf9\lang1024\langfe1024\loch\af1\hich\af1\dbch\af31501\noproof\insrsid10630642\charrsid15879488 \hich\af1\dbch\af31501\loch\f1 &lt;Article&gt;}{\rtlch\fcs1 \af0 \ltrch\fcs0 \insrsid10630642\charrsid15879488 [ZAMPART]}{_x000d__x000a_\rtlch\fcs1 \af0 \ltrch\fcs0 \cs17\b0\v\fs20\cf9\lang1024\langfe1024\loch\af1\hich\af1\dbch\af31501\noproof\insrsid10630642\charrsid15879488 \hich\af1\dbch\af31501\loch\f1 &lt;/Article&gt;}{\rtlch\fcs1 \af0 \ltrch\fcs0 \insrsid10630642\charrsid15879488 _x000d__x000a_\par }\pard\plain \ltrpar\ql \li0\ri0\keepn\widctlpar\wrapdefault\aspalpha\aspnum\faauto\adjustright\rin0\lin0\itap0\pararsid10630642 \rtlch\fcs1 \af0\afs20\alang1025 \ltrch\fcs0 \fs24\lang2057\langfe2057\cgrid\langnp2057\langfenp2057 {\rtlch\fcs1 \af0 _x000d__x000a_\ltrch\fcs0 \cs17\v\fs20\cf9\lang1024\langfe1024\loch\af1\hich\af1\dbch\af31501\noproof\insrsid10630642\charrsid15879488 \hich\af1\dbch\af31501\loch\f1 &lt;DocAmend2&gt;&lt;OptDel&gt;}{\rtlch\fcs1 \af0 \ltrch\fcs0 \insrsid10630642\charrsid15879488 [ZNRACT]}{_x000d__x000a_\rtlch\fcs1 \af0 \ltrch\fcs0 \cs17\v\fs20\cf9\lang1024\langfe1024\loch\af1\hich\af1\dbch\af31501\noproof\insrsid10630642\charrsid15879488 \hich\af1\dbch\af31501\loch\f1 &lt;/OptDel&gt;&lt;/DocAmend2&gt;}{\rtlch\fcs1 \af0 \ltrch\fcs0 \insrsid10630642\charrsid15879488 _x000d__x000a__x000d__x000a_\par }\pard \ltrpar\ql \li0\ri0\widctlpar\wrapdefault\aspalpha\aspnum\faauto\adjustright\rin0\lin0\itap0\pararsid10630642 {\rtlch\fcs1 \af0 \ltrch\fcs0 _x000d__x000a_\cs17\v\fs20\cf9\lang1024\langfe1024\loch\af1\hich\af1\dbch\af31501\noproof\langnp1036\insrsid10630642\charrsid11356624 \hich\af1\dbch\af31501\loch\f1 &lt;Article2&gt;&lt;OptDel&gt;}{\rtlch\fcs1 \af0 \ltrch\fcs0 _x000d__x000a_\lang1036\langfe2057\langnp1036\insrsid10630642\charrsid11356624 [ZACTPART]}{\rtlch\fcs1 \af0 \ltrch\fcs0 \cs17\v\fs20\cf9\lang1024\langfe1024\loch\af1\hich\af1\dbch\af31501\noproof\langnp1036\insrsid10630642\charrsid11356624 _x000d__x000a_\hich\af1\dbch\af31501\loch\f1 &lt;/OptDel&gt;&lt;/Article2&gt;}{\rtlch\fcs1 \af0 \ltrch\fcs0 \lang1036\langfe2057\langnp1036\insrsid1063064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0630642\charrsid11356624 \cell }\pard \ltrpar\ql \li0\ri0\widctlpar\intbl\wrapdefault\aspalpha\aspnum\faauto\adjustright\rin0\lin0 {\rtlch\fcs1 \af0 \ltrch\fcs0 \insrsid1063064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0630642\charrsid15879488 [ZLEFTB]\cell [ZRIGHT]\cell }\pard\plain \ltrpar\ql \li0\ri0\widctlpar\intbl\wrapdefault\aspalpha\aspnum\faauto\adjustright\rin0\lin0 \rtlch\fcs1 \af0\afs20\alang1025 \ltrch\fcs0 _x000d__x000a_\fs24\lang2057\langfe2057\cgrid\langnp2057\langfenp2057 {\rtlch\fcs1 \af0 \ltrch\fcs0 \insrsid1063064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630642\charrsid15879488 [ZTEXTL]\cell [ZTEXTR]}{\rtlch\fcs1 \af0\afs24 \ltrch\fcs0 \insrsid10630642\charrsid15879488 \cell }\pard\plain \ltrpar\ql \li0\ri0\widctlpar\intbl\wrapdefault\aspalpha\aspnum\faauto\adjustright\rin0\lin0 \rtlch\fcs1 _x000d__x000a_\af0\afs20\alang1025 \ltrch\fcs0 \fs24\lang2057\langfe2057\cgrid\langnp2057\langfenp2057 {\rtlch\fcs1 \af0 \ltrch\fcs0 \insrsid1063064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630642 \rtlch\fcs1 \af0\afs20\alang1025 \ltrch\fcs0 \i\fs24\lang2057\langfe2057\cgrid\langnp2057\langfenp2057 {\rtlch\fcs1 \af0 \ltrch\fcs0 _x000d__x000a_\cs17\i0\v\fs20\cf9\lang1024\langfe1024\loch\af1\hich\af1\dbch\af31501\noproof\insrsid10630642\charrsid15879488 \hich\af1\dbch\af31501\loch\f1 &lt;OptDel&gt;}{\rtlch\fcs1 \af0 \ltrch\fcs0 \insrsid10630642\charrsid15879488 [ZCROSSREF]}{\rtlch\fcs1 \af0 _x000d__x000a_\ltrch\fcs0 \cs17\i0\v\fs20\cf9\lang1024\langfe1024\loch\af1\hich\af1\dbch\af31501\noproof\insrsid10630642\charrsid15879488 \hich\af1\dbch\af31501\loch\f1 &lt;/OptDel&gt;}{\rtlch\fcs1 \af0 \ltrch\fcs0 \insrsid10630642\charrsid15879488 _x000d__x000a_\par }\pard\plain \ltrpar\s22\qc \li0\ri0\sb240\sa240\keepn\nowidctlpar\wrapdefault\aspalpha\aspnum\faauto\adjustright\rin0\lin0\itap0\pararsid10630642 \rtlch\fcs1 \af0\afs20\alang1025 \ltrch\fcs0 \i\fs24\lang2057\langfe2057\cgrid\langnp2057\langfenp2057 {_x000d__x000a_\rtlch\fcs1 \af0 \ltrch\fcs0 \cs17\i0\v\fs20\cf9\lang1024\langfe1024\loch\af1\hich\af1\dbch\af31501\noproof\insrsid10630642\charrsid15879488 \hich\af1\dbch\af31501\loch\f1 &lt;TitreJust&gt;}{\rtlch\fcs1 \af0 \ltrch\fcs0 \insrsid10630642\charrsid15879488 _x000d__x000a_[ZJUSTIFICATION]}{\rtlch\fcs1 \af0 \ltrch\fcs0 \cs17\i0\v\fs20\cf9\lang1024\langfe1024\loch\af1\hich\af1\dbch\af31501\noproof\insrsid10630642\charrsid15879488 \hich\af1\dbch\af31501\loch\f1 &lt;/TitreJust&gt;}{\rtlch\fcs1 \af0 \ltrch\fcs0 _x000d__x000a_\insrsid10630642\charrsid15879488 _x000d__x000a_\par }\pard\plain \ltrpar\s20\ql \li0\ri0\sa240\nowidctlpar\wrapdefault\aspalpha\aspnum\faauto\adjustright\rin0\lin0\itap0\pararsid10630642 \rtlch\fcs1 \af0\afs20\alang1025 \ltrch\fcs0 \i\fs24\lang2057\langfe2057\cgrid\langnp2057\langfenp2057 {\rtlch\fcs1 _x000d__x000a_\af0 \ltrch\fcs0 \cs17\i0\v\fs20\cf9\lang1024\langfe1024\loch\af1\hich\af1\dbch\af31501\noproof\insrsid10630642\charrsid15879488 \hich\af1\dbch\af31501\loch\f1 &lt;OptDelPrev&gt;}{\rtlch\fcs1 \af0 \ltrch\fcs0 \insrsid10630642\charrsid15879488 [ZTEXTJUST]}{_x000d__x000a_\rtlch\fcs1 \af0 \ltrch\fcs0 \cs17\i0\v\fs20\cf9\lang1024\langfe1024\loch\af1\hich\af1\dbch\af31501\noproof\insrsid10630642\charrsid15879488 \hich\af1\dbch\af31501\loch\f1 &lt;/OptDelPrev&gt;}{\rtlch\fcs1 \af0 \ltrch\fcs0 \insrsid10630642\charrsid15879488 _x000d__x000a__x000d__x000a_\par }\pard\plain \ltrpar\ql \li0\ri0\widctlpar\wrapdefault\aspalpha\aspnum\faauto\adjustright\rin0\lin0\itap0\pararsid10630642 \rtlch\fcs1 \af0\afs20\alang1025 \ltrch\fcs0 \fs24\lang2057\langfe2057\cgrid\langnp2057\langfenp2057 {\rtlch\fcs1 \af0 \ltrch\fcs0 _x000d__x000a_\cs17\v\fs20\cf9\lang1024\langfe1024\loch\af1\hich\af1\dbch\af31501\noproof\insrsid10630642\charrsid15879488 \hich\af1\dbch\af31501\loch\f1 &lt;/AmendB&gt;}{\rtlch\fcs1 \af0 \ltrch\fcs0 \insrsid1063064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4_x000d__x000a_33c1f82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VTRESPART" w:val="xxx"/>
    <w:docVar w:name="TXTLANGUE" w:val="EL"/>
    <w:docVar w:name="TXTLANGUEMIN" w:val="el"/>
    <w:docVar w:name="TXTNRC" w:val="0434/2021"/>
    <w:docVar w:name="TXTNRCOM" w:val="(2021)0723"/>
    <w:docVar w:name="TXTNRPE" w:val="736.586"/>
    <w:docVar w:name="TXTNRPROC" w:val="2021/0378"/>
    <w:docVar w:name="TXTPEorAP" w:val="PE"/>
    <w:docVar w:name="TXTROUTE" w:val="AD\1270366EL.docx"/>
    <w:docVar w:name="TXTVERSION" w:val="02-00"/>
  </w:docVars>
  <w:rsids>
    <w:rsidRoot w:val="00180906"/>
    <w:rsid w:val="00026559"/>
    <w:rsid w:val="00027FA8"/>
    <w:rsid w:val="0004474F"/>
    <w:rsid w:val="00082EC4"/>
    <w:rsid w:val="00092BBA"/>
    <w:rsid w:val="000C1918"/>
    <w:rsid w:val="000D44A6"/>
    <w:rsid w:val="000E5842"/>
    <w:rsid w:val="00122C05"/>
    <w:rsid w:val="00134974"/>
    <w:rsid w:val="00141CD7"/>
    <w:rsid w:val="001616BD"/>
    <w:rsid w:val="00180906"/>
    <w:rsid w:val="001820A9"/>
    <w:rsid w:val="001A0556"/>
    <w:rsid w:val="001B0A1E"/>
    <w:rsid w:val="001C0886"/>
    <w:rsid w:val="001D5154"/>
    <w:rsid w:val="001D70D2"/>
    <w:rsid w:val="001E3AC4"/>
    <w:rsid w:val="0020077A"/>
    <w:rsid w:val="00223387"/>
    <w:rsid w:val="0023131B"/>
    <w:rsid w:val="00245ABA"/>
    <w:rsid w:val="002A45D9"/>
    <w:rsid w:val="002A67EE"/>
    <w:rsid w:val="00304EA8"/>
    <w:rsid w:val="00341A99"/>
    <w:rsid w:val="00347631"/>
    <w:rsid w:val="00360FAA"/>
    <w:rsid w:val="0038294E"/>
    <w:rsid w:val="003A2F84"/>
    <w:rsid w:val="003C7390"/>
    <w:rsid w:val="003E1280"/>
    <w:rsid w:val="003F128E"/>
    <w:rsid w:val="0040055C"/>
    <w:rsid w:val="00443FA1"/>
    <w:rsid w:val="00470BF2"/>
    <w:rsid w:val="00487596"/>
    <w:rsid w:val="004A2342"/>
    <w:rsid w:val="004B3A53"/>
    <w:rsid w:val="004B7938"/>
    <w:rsid w:val="004C2A0D"/>
    <w:rsid w:val="004F1D2F"/>
    <w:rsid w:val="004F737B"/>
    <w:rsid w:val="00502B76"/>
    <w:rsid w:val="00513F6F"/>
    <w:rsid w:val="00522B51"/>
    <w:rsid w:val="00524707"/>
    <w:rsid w:val="005445FE"/>
    <w:rsid w:val="005539B7"/>
    <w:rsid w:val="00556B59"/>
    <w:rsid w:val="00571233"/>
    <w:rsid w:val="005C0D79"/>
    <w:rsid w:val="00613134"/>
    <w:rsid w:val="00626D52"/>
    <w:rsid w:val="00643DA8"/>
    <w:rsid w:val="00657D5C"/>
    <w:rsid w:val="00683DD1"/>
    <w:rsid w:val="00691B1C"/>
    <w:rsid w:val="006A0F0A"/>
    <w:rsid w:val="006A48AA"/>
    <w:rsid w:val="006B1267"/>
    <w:rsid w:val="006D292E"/>
    <w:rsid w:val="006F3A74"/>
    <w:rsid w:val="00712462"/>
    <w:rsid w:val="00716BAA"/>
    <w:rsid w:val="0078548A"/>
    <w:rsid w:val="00791EDA"/>
    <w:rsid w:val="007A58F9"/>
    <w:rsid w:val="007B7CE3"/>
    <w:rsid w:val="007E0F51"/>
    <w:rsid w:val="007F187F"/>
    <w:rsid w:val="008065D1"/>
    <w:rsid w:val="00817D13"/>
    <w:rsid w:val="00820C7D"/>
    <w:rsid w:val="00833D11"/>
    <w:rsid w:val="00836FD3"/>
    <w:rsid w:val="008375A8"/>
    <w:rsid w:val="00840F3E"/>
    <w:rsid w:val="00872A52"/>
    <w:rsid w:val="00876A73"/>
    <w:rsid w:val="0089388A"/>
    <w:rsid w:val="008F3DB0"/>
    <w:rsid w:val="00902602"/>
    <w:rsid w:val="00904864"/>
    <w:rsid w:val="009052FE"/>
    <w:rsid w:val="009215FC"/>
    <w:rsid w:val="00924555"/>
    <w:rsid w:val="009368B3"/>
    <w:rsid w:val="00982B83"/>
    <w:rsid w:val="009857B4"/>
    <w:rsid w:val="009E38A5"/>
    <w:rsid w:val="009E7319"/>
    <w:rsid w:val="00A71228"/>
    <w:rsid w:val="00A74E25"/>
    <w:rsid w:val="00A815F2"/>
    <w:rsid w:val="00A96315"/>
    <w:rsid w:val="00AB08FA"/>
    <w:rsid w:val="00AC2A60"/>
    <w:rsid w:val="00AD49D0"/>
    <w:rsid w:val="00AE155A"/>
    <w:rsid w:val="00B00EE6"/>
    <w:rsid w:val="00B06FA8"/>
    <w:rsid w:val="00B36378"/>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5D0F"/>
    <w:rsid w:val="00D215D3"/>
    <w:rsid w:val="00D25CF2"/>
    <w:rsid w:val="00D56CE0"/>
    <w:rsid w:val="00D6254D"/>
    <w:rsid w:val="00D67D0A"/>
    <w:rsid w:val="00D74FD1"/>
    <w:rsid w:val="00D943A5"/>
    <w:rsid w:val="00D9581F"/>
    <w:rsid w:val="00DB56E4"/>
    <w:rsid w:val="00DB5C33"/>
    <w:rsid w:val="00DF4469"/>
    <w:rsid w:val="00E005E8"/>
    <w:rsid w:val="00E06FDD"/>
    <w:rsid w:val="00E27F01"/>
    <w:rsid w:val="00E47FD7"/>
    <w:rsid w:val="00E77FF5"/>
    <w:rsid w:val="00E94D64"/>
    <w:rsid w:val="00EA3802"/>
    <w:rsid w:val="00EF1432"/>
    <w:rsid w:val="00EF33D5"/>
    <w:rsid w:val="00F15744"/>
    <w:rsid w:val="00F24D40"/>
    <w:rsid w:val="00F5627A"/>
    <w:rsid w:val="00F743A1"/>
    <w:rsid w:val="00FA41E2"/>
    <w:rsid w:val="00FD5D1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849C5"/>
  <w15:chartTrackingRefBased/>
  <w15:docId w15:val="{B9C47B08-1B89-43C9-849A-66C62239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F5627A"/>
    <w:pPr>
      <w:tabs>
        <w:tab w:val="center" w:pos="4513"/>
        <w:tab w:val="right" w:pos="9026"/>
      </w:tabs>
    </w:pPr>
  </w:style>
  <w:style w:type="character" w:customStyle="1" w:styleId="FooterChar">
    <w:name w:val="Footer Char"/>
    <w:basedOn w:val="DefaultParagraphFont"/>
    <w:link w:val="Footer"/>
    <w:rsid w:val="00F5627A"/>
    <w:rPr>
      <w:sz w:val="24"/>
      <w:szCs w:val="24"/>
    </w:rPr>
  </w:style>
  <w:style w:type="character" w:customStyle="1" w:styleId="Normal6Char">
    <w:name w:val="Normal6 Char"/>
    <w:basedOn w:val="DefaultParagraphFont"/>
    <w:link w:val="Normal6"/>
    <w:locked/>
    <w:rsid w:val="000C1918"/>
    <w:rPr>
      <w:sz w:val="24"/>
      <w:lang w:val="el-GR"/>
    </w:rPr>
  </w:style>
  <w:style w:type="paragraph" w:customStyle="1" w:styleId="Normal6">
    <w:name w:val="Normal6"/>
    <w:basedOn w:val="Normal"/>
    <w:link w:val="Normal6Char"/>
    <w:rsid w:val="000C1918"/>
    <w:pPr>
      <w:spacing w:after="120"/>
    </w:pPr>
    <w:rPr>
      <w:szCs w:val="20"/>
    </w:rPr>
  </w:style>
  <w:style w:type="character" w:customStyle="1" w:styleId="NormalBoldChar">
    <w:name w:val="NormalBold Char"/>
    <w:basedOn w:val="DefaultParagraphFont"/>
    <w:link w:val="NormalBold"/>
    <w:locked/>
    <w:rsid w:val="000C1918"/>
    <w:rPr>
      <w:b/>
      <w:sz w:val="24"/>
    </w:rPr>
  </w:style>
  <w:style w:type="paragraph" w:customStyle="1" w:styleId="Normal12Italic">
    <w:name w:val="Normal12Italic"/>
    <w:basedOn w:val="Normal"/>
    <w:rsid w:val="000C1918"/>
    <w:pPr>
      <w:spacing w:after="240"/>
    </w:pPr>
    <w:rPr>
      <w:i/>
      <w:noProof/>
      <w:szCs w:val="20"/>
    </w:rPr>
  </w:style>
  <w:style w:type="paragraph" w:customStyle="1" w:styleId="JustificationTitle">
    <w:name w:val="JustificationTitle"/>
    <w:basedOn w:val="Normal"/>
    <w:next w:val="Normal"/>
    <w:rsid w:val="000C1918"/>
    <w:pPr>
      <w:keepNext/>
      <w:spacing w:before="240" w:after="240"/>
      <w:jc w:val="center"/>
    </w:pPr>
    <w:rPr>
      <w:i/>
      <w:noProof/>
      <w:szCs w:val="20"/>
    </w:rPr>
  </w:style>
  <w:style w:type="paragraph" w:customStyle="1" w:styleId="ColumnHeading">
    <w:name w:val="ColumnHeading"/>
    <w:basedOn w:val="Normal"/>
    <w:rsid w:val="000C1918"/>
    <w:pPr>
      <w:spacing w:after="240"/>
      <w:jc w:val="center"/>
    </w:pPr>
    <w:rPr>
      <w:i/>
      <w:szCs w:val="20"/>
    </w:rPr>
  </w:style>
  <w:style w:type="paragraph" w:customStyle="1" w:styleId="AMNumberTabs0">
    <w:name w:val="AMNumberTabs"/>
    <w:basedOn w:val="Normal"/>
    <w:rsid w:val="000C19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0C1918"/>
    <w:pPr>
      <w:jc w:val="right"/>
    </w:pPr>
  </w:style>
  <w:style w:type="paragraph" w:styleId="BalloonText">
    <w:name w:val="Balloon Text"/>
    <w:basedOn w:val="Normal"/>
    <w:link w:val="BalloonTextChar"/>
    <w:semiHidden/>
    <w:unhideWhenUsed/>
    <w:rsid w:val="00E06FDD"/>
    <w:rPr>
      <w:rFonts w:ascii="Segoe UI" w:hAnsi="Segoe UI" w:cs="Segoe UI"/>
      <w:sz w:val="18"/>
      <w:szCs w:val="18"/>
    </w:rPr>
  </w:style>
  <w:style w:type="character" w:customStyle="1" w:styleId="BalloonTextChar">
    <w:name w:val="Balloon Text Char"/>
    <w:basedOn w:val="DefaultParagraphFont"/>
    <w:link w:val="BalloonText"/>
    <w:semiHidden/>
    <w:rsid w:val="00E06FDD"/>
    <w:rPr>
      <w:rFonts w:ascii="Segoe UI" w:hAnsi="Segoe UI" w:cs="Segoe UI"/>
      <w:sz w:val="18"/>
      <w:szCs w:val="18"/>
    </w:rPr>
  </w:style>
  <w:style w:type="character" w:styleId="CommentReference">
    <w:name w:val="annotation reference"/>
    <w:basedOn w:val="DefaultParagraphFont"/>
    <w:rsid w:val="00B36378"/>
    <w:rPr>
      <w:sz w:val="16"/>
      <w:szCs w:val="16"/>
    </w:rPr>
  </w:style>
  <w:style w:type="paragraph" w:styleId="CommentText">
    <w:name w:val="annotation text"/>
    <w:basedOn w:val="Normal"/>
    <w:link w:val="CommentTextChar"/>
    <w:rsid w:val="00B36378"/>
    <w:rPr>
      <w:sz w:val="20"/>
      <w:szCs w:val="20"/>
    </w:rPr>
  </w:style>
  <w:style w:type="character" w:customStyle="1" w:styleId="CommentTextChar">
    <w:name w:val="Comment Text Char"/>
    <w:basedOn w:val="DefaultParagraphFont"/>
    <w:link w:val="CommentText"/>
    <w:rsid w:val="00B36378"/>
  </w:style>
  <w:style w:type="paragraph" w:styleId="CommentSubject">
    <w:name w:val="annotation subject"/>
    <w:basedOn w:val="CommentText"/>
    <w:next w:val="CommentText"/>
    <w:link w:val="CommentSubjectChar"/>
    <w:semiHidden/>
    <w:unhideWhenUsed/>
    <w:rsid w:val="00B36378"/>
    <w:rPr>
      <w:b/>
      <w:bCs/>
    </w:rPr>
  </w:style>
  <w:style w:type="character" w:customStyle="1" w:styleId="CommentSubjectChar">
    <w:name w:val="Comment Subject Char"/>
    <w:basedOn w:val="CommentTextChar"/>
    <w:link w:val="CommentSubject"/>
    <w:semiHidden/>
    <w:rsid w:val="00B36378"/>
    <w:rPr>
      <w:b/>
      <w:bCs/>
    </w:rPr>
  </w:style>
  <w:style w:type="paragraph" w:customStyle="1" w:styleId="RollCallSymbols14pt">
    <w:name w:val="RollCallSymbols14pt"/>
    <w:basedOn w:val="Normal"/>
    <w:rsid w:val="00DB5C33"/>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B5C33"/>
    <w:pPr>
      <w:tabs>
        <w:tab w:val="center" w:pos="284"/>
        <w:tab w:val="left" w:pos="426"/>
      </w:tabs>
    </w:pPr>
    <w:rPr>
      <w:snapToGrid w:val="0"/>
      <w:szCs w:val="20"/>
      <w:lang w:eastAsia="en-US"/>
    </w:rPr>
  </w:style>
  <w:style w:type="paragraph" w:customStyle="1" w:styleId="RollCallVotes">
    <w:name w:val="RollCallVotes"/>
    <w:basedOn w:val="Normal"/>
    <w:rsid w:val="00DB5C33"/>
    <w:pPr>
      <w:spacing w:before="120" w:after="120"/>
      <w:jc w:val="center"/>
    </w:pPr>
    <w:rPr>
      <w:b/>
      <w:bCs/>
      <w:snapToGrid w:val="0"/>
      <w:sz w:val="16"/>
      <w:szCs w:val="20"/>
      <w:lang w:eastAsia="en-US"/>
    </w:rPr>
  </w:style>
  <w:style w:type="paragraph" w:customStyle="1" w:styleId="RollCallTable">
    <w:name w:val="RollCallTable"/>
    <w:basedOn w:val="Normal"/>
    <w:rsid w:val="00DB5C33"/>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AFDB4-561A-4E90-9ED7-1A26F109E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5315</Words>
  <Characters>32196</Characters>
  <Application>Microsoft Office Word</Application>
  <DocSecurity>0</DocSecurity>
  <Lines>1307</Lines>
  <Paragraphs>332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2023-01-25T14:38:00Z</dcterms:created>
  <dcterms:modified xsi:type="dcterms:W3CDTF">2023-01-25T14:38:00Z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- 2023/01/25 15:38</vt:lpwstr>
  </property>
  <property fmtid="{D5CDD505-2E9C-101B-9397-08002B2CF9AE}" pid="9" name="Created with">
    <vt:lpwstr>9.13.0 Build [20220701]</vt:lpwstr>
  </property>
  <property fmtid="{D5CDD505-2E9C-101B-9397-08002B2CF9AE}" pid="10" name="FooterPath">
    <vt:lpwstr>AD\1270366EL.docx</vt:lpwstr>
  </property>
  <property fmtid="{D5CDD505-2E9C-101B-9397-08002B2CF9AE}" pid="11" name="LastEdited with">
    <vt:lpwstr>9.14.0 Build [20221101]</vt:lpwstr>
  </property>
  <property fmtid="{D5CDD505-2E9C-101B-9397-08002B2CF9AE}" pid="12" name="PE number">
    <vt:lpwstr>736.586</vt:lpwstr>
  </property>
  <property fmtid="{D5CDD505-2E9C-101B-9397-08002B2CF9AE}" pid="13" name="SDLStudio">
    <vt:lpwstr/>
  </property>
  <property fmtid="{D5CDD505-2E9C-101B-9397-08002B2CF9AE}" pid="14" name="SendToEpades">
    <vt:lpwstr>OK - 2022/09/20 16:22</vt:lpwstr>
  </property>
</Properties>
</file>