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C3B8B" w:rsidTr="00C85D0F">
        <w:trPr>
          <w:trHeight w:hRule="exact" w:val="1418"/>
        </w:trPr>
        <w:tc>
          <w:tcPr>
            <w:tcW w:w="6804" w:type="dxa"/>
            <w:shd w:val="clear" w:color="auto" w:fill="auto"/>
            <w:vAlign w:val="center"/>
          </w:tcPr>
          <w:p w:rsidR="00BA3E40" w:rsidRPr="005D512F" w:rsidRDefault="002A3A59" w:rsidP="00C85D0F">
            <w:pPr>
              <w:pStyle w:val="EPName"/>
            </w:pPr>
            <w:r>
              <w:t>Europees Parlement</w:t>
            </w:r>
          </w:p>
          <w:p w:rsidR="00BA3E40" w:rsidRPr="005D512F" w:rsidRDefault="002A3A59" w:rsidP="00B06FA8">
            <w:pPr>
              <w:pStyle w:val="EPTerm"/>
            </w:pPr>
            <w:r>
              <w:t>2019-2024</w:t>
            </w:r>
          </w:p>
        </w:tc>
        <w:tc>
          <w:tcPr>
            <w:tcW w:w="2268" w:type="dxa"/>
            <w:shd w:val="clear" w:color="auto" w:fill="auto"/>
          </w:tcPr>
          <w:p w:rsidR="00BA3E40" w:rsidRPr="005D512F" w:rsidRDefault="002A3A59" w:rsidP="00C85D0F">
            <w:pPr>
              <w:pStyle w:val="EPLogo"/>
            </w:pPr>
            <w:r w:rsidRPr="005D51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60422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D512F" w:rsidRDefault="00F24D40" w:rsidP="00F24D40">
      <w:pPr>
        <w:pStyle w:val="LineTop"/>
      </w:pPr>
    </w:p>
    <w:p w:rsidR="00F24D40" w:rsidRPr="005D512F" w:rsidRDefault="002A3A59" w:rsidP="00F24D40">
      <w:pPr>
        <w:pStyle w:val="EPBody"/>
      </w:pPr>
      <w:r>
        <w:rPr>
          <w:rStyle w:val="HideTWBExt"/>
        </w:rPr>
        <w:t>&lt;</w:t>
      </w:r>
      <w:r>
        <w:rPr>
          <w:rStyle w:val="HideTWBExt"/>
          <w:i w:val="0"/>
        </w:rPr>
        <w:t>Commission</w:t>
      </w:r>
      <w:r>
        <w:rPr>
          <w:rStyle w:val="HideTWBExt"/>
        </w:rPr>
        <w:t>&gt;</w:t>
      </w:r>
      <w:r>
        <w:rPr>
          <w:rStyle w:val="HideTWBInt"/>
          <w:color w:val="auto"/>
        </w:rPr>
        <w:t>{LIBE}</w:t>
      </w:r>
      <w:r>
        <w:t>Commissie burgerlijke vrijheden, justitie en binnenlandse zaken</w:t>
      </w:r>
      <w:r>
        <w:rPr>
          <w:rStyle w:val="HideTWBExt"/>
        </w:rPr>
        <w:t>&lt;/</w:t>
      </w:r>
      <w:r>
        <w:rPr>
          <w:rStyle w:val="HideTWBExt"/>
          <w:i w:val="0"/>
        </w:rPr>
        <w:t>Commission</w:t>
      </w:r>
      <w:r>
        <w:rPr>
          <w:rStyle w:val="HideTWBExt"/>
        </w:rPr>
        <w:t>&gt;</w:t>
      </w:r>
    </w:p>
    <w:p w:rsidR="00F24D40" w:rsidRPr="005D512F" w:rsidRDefault="00F24D40" w:rsidP="00F24D40">
      <w:pPr>
        <w:pStyle w:val="LineBottom"/>
      </w:pPr>
    </w:p>
    <w:p w:rsidR="00DB56E4" w:rsidRPr="005D512F" w:rsidRDefault="002A3A59" w:rsidP="00DB56E4">
      <w:pPr>
        <w:pStyle w:val="CoverReference"/>
      </w:pPr>
      <w:r>
        <w:rPr>
          <w:rStyle w:val="HideTWBExt"/>
          <w:b w:val="0"/>
        </w:rPr>
        <w:t>&lt;RefProc&gt;</w:t>
      </w:r>
      <w:r>
        <w:t>2021/0378</w:t>
      </w:r>
      <w:r>
        <w:rPr>
          <w:rStyle w:val="HideTWBExt"/>
          <w:b w:val="0"/>
        </w:rPr>
        <w:t>&lt;/RefProc&gt;&lt;RefTypeProc&gt;</w:t>
      </w:r>
      <w:r>
        <w:t>(COD)</w:t>
      </w:r>
      <w:r>
        <w:rPr>
          <w:rStyle w:val="HideTWBExt"/>
          <w:b w:val="0"/>
        </w:rPr>
        <w:t>&lt;/RefTypeProc&gt;</w:t>
      </w:r>
    </w:p>
    <w:p w:rsidR="00DB56E4" w:rsidRPr="005D512F" w:rsidRDefault="002A3A59" w:rsidP="00DB56E4">
      <w:pPr>
        <w:pStyle w:val="CoverDate"/>
      </w:pPr>
      <w:r>
        <w:rPr>
          <w:rStyle w:val="HideTWBExt"/>
        </w:rPr>
        <w:t>&lt;Date&gt;</w:t>
      </w:r>
      <w:r>
        <w:rPr>
          <w:rStyle w:val="HideTWBInt"/>
          <w:color w:val="auto"/>
        </w:rPr>
        <w:t>{12/01/2023}</w:t>
      </w:r>
      <w:r>
        <w:t>12.1.2023</w:t>
      </w:r>
      <w:r>
        <w:rPr>
          <w:rStyle w:val="HideTWBExt"/>
        </w:rPr>
        <w:t>&lt;/Date&gt;</w:t>
      </w:r>
    </w:p>
    <w:p w:rsidR="00DB56E4" w:rsidRPr="005D512F" w:rsidRDefault="002A3A59" w:rsidP="00DB56E4">
      <w:pPr>
        <w:pStyle w:val="CoverDocType24a"/>
      </w:pPr>
      <w:r>
        <w:rPr>
          <w:rStyle w:val="HideTWBExt"/>
          <w:b w:val="0"/>
        </w:rPr>
        <w:t>&lt;TitreType&gt;</w:t>
      </w:r>
      <w:r>
        <w:t>ADVIES</w:t>
      </w:r>
      <w:r>
        <w:rPr>
          <w:rStyle w:val="HideTWBExt"/>
          <w:b w:val="0"/>
        </w:rPr>
        <w:t>&lt;/TitreType&gt;</w:t>
      </w:r>
    </w:p>
    <w:p w:rsidR="00DB56E4" w:rsidRPr="005D512F" w:rsidRDefault="002A3A59" w:rsidP="00DB56E4">
      <w:pPr>
        <w:pStyle w:val="CoverNormal24a"/>
      </w:pPr>
      <w:r>
        <w:rPr>
          <w:rStyle w:val="HideTWBExt"/>
        </w:rPr>
        <w:t>&lt;CommissionResp&gt;</w:t>
      </w:r>
      <w:r>
        <w:t>van de Commissie burgerlijke vrijheden, justitie en binnenlandse zaken</w:t>
      </w:r>
      <w:r>
        <w:rPr>
          <w:rStyle w:val="HideTWBExt"/>
        </w:rPr>
        <w:t>&lt;/CommissionResp&gt;</w:t>
      </w:r>
    </w:p>
    <w:p w:rsidR="00DB56E4" w:rsidRPr="005D512F" w:rsidRDefault="002A3A59" w:rsidP="00DB56E4">
      <w:pPr>
        <w:pStyle w:val="CoverNormal24a"/>
      </w:pPr>
      <w:r>
        <w:rPr>
          <w:rStyle w:val="HideTWBExt"/>
        </w:rPr>
        <w:t>&lt;CommissionInt&gt;</w:t>
      </w:r>
      <w:r>
        <w:t>aan de Commissie economische en monetaire zaken</w:t>
      </w:r>
      <w:r>
        <w:rPr>
          <w:rStyle w:val="HideTWBExt"/>
        </w:rPr>
        <w:t>&lt;/CommissionInt&gt;</w:t>
      </w:r>
    </w:p>
    <w:p w:rsidR="00DB56E4" w:rsidRPr="005D512F" w:rsidRDefault="002A3A59" w:rsidP="00DB56E4">
      <w:pPr>
        <w:pStyle w:val="CoverNormal"/>
      </w:pPr>
      <w:r>
        <w:rPr>
          <w:rStyle w:val="HideTWBExt"/>
        </w:rPr>
        <w:t>&lt;Titre&gt;</w:t>
      </w:r>
      <w:r>
        <w:t>inzake het voorstel voor een verordening van het Europees Parlemen</w:t>
      </w:r>
      <w:r>
        <w:t>t en de Raad tot oprichting van een Europees centraal toegangspunt dat gecentraliseerde toegang biedt tot voor financiële diensten, kapitaalmarkten en duurzaamheid relevante publiek beschikbare informatie</w:t>
      </w:r>
      <w:r>
        <w:rPr>
          <w:rStyle w:val="HideTWBExt"/>
        </w:rPr>
        <w:t>&lt;/Titre&gt;</w:t>
      </w:r>
    </w:p>
    <w:p w:rsidR="00DB56E4" w:rsidRPr="002A3A59" w:rsidRDefault="002A3A59" w:rsidP="00DB56E4">
      <w:pPr>
        <w:pStyle w:val="CoverNormal24a"/>
        <w:rPr>
          <w:lang w:val="pt-PT"/>
        </w:rPr>
      </w:pPr>
      <w:r w:rsidRPr="002A3A59">
        <w:rPr>
          <w:rStyle w:val="HideTWBExt"/>
          <w:lang w:val="pt-PT"/>
        </w:rPr>
        <w:t>&lt;DocRef&gt;</w:t>
      </w:r>
      <w:r w:rsidRPr="002A3A59">
        <w:rPr>
          <w:lang w:val="pt-PT"/>
        </w:rPr>
        <w:t>(COM(2021)0723 – C9</w:t>
      </w:r>
      <w:r w:rsidRPr="002A3A59">
        <w:rPr>
          <w:lang w:val="pt-PT"/>
        </w:rPr>
        <w:noBreakHyphen/>
        <w:t xml:space="preserve">0434/2021 – </w:t>
      </w:r>
      <w:r w:rsidRPr="002A3A59">
        <w:rPr>
          <w:lang w:val="pt-PT"/>
        </w:rPr>
        <w:t>2021/0378(COD))</w:t>
      </w:r>
      <w:r w:rsidRPr="002A3A59">
        <w:rPr>
          <w:rStyle w:val="HideTWBExt"/>
          <w:lang w:val="pt-PT"/>
        </w:rPr>
        <w:t>&lt;/DocRef&gt;</w:t>
      </w:r>
    </w:p>
    <w:p w:rsidR="00DB56E4" w:rsidRPr="002A3A59" w:rsidRDefault="002A3A59" w:rsidP="00DB56E4">
      <w:pPr>
        <w:pStyle w:val="CoverNormal24a"/>
        <w:rPr>
          <w:lang w:val="pt-PT"/>
        </w:rPr>
      </w:pPr>
      <w:r w:rsidRPr="002A3A59">
        <w:rPr>
          <w:lang w:val="pt-PT"/>
        </w:rPr>
        <w:t xml:space="preserve">Rapporteur voor advies: </w:t>
      </w:r>
      <w:r w:rsidRPr="002A3A59">
        <w:rPr>
          <w:rStyle w:val="HideTWBExt"/>
          <w:lang w:val="pt-PT"/>
        </w:rPr>
        <w:t>&lt;Depute&gt;</w:t>
      </w:r>
      <w:r w:rsidRPr="002A3A59">
        <w:rPr>
          <w:lang w:val="pt-PT"/>
        </w:rPr>
        <w:t>Emil Radev</w:t>
      </w:r>
      <w:r w:rsidRPr="002A3A59">
        <w:rPr>
          <w:rStyle w:val="HideTWBExt"/>
          <w:lang w:val="pt-PT"/>
        </w:rPr>
        <w:t>&lt;/Depute&gt;</w:t>
      </w:r>
    </w:p>
    <w:p w:rsidR="00487596" w:rsidRPr="002A3A59" w:rsidRDefault="00487596" w:rsidP="00487596">
      <w:pPr>
        <w:pStyle w:val="CoverNormal"/>
        <w:rPr>
          <w:lang w:val="pt-PT"/>
        </w:rPr>
      </w:pPr>
    </w:p>
    <w:p w:rsidR="00DB56E4" w:rsidRPr="002A3A59" w:rsidRDefault="002A3A59" w:rsidP="0004474F">
      <w:pPr>
        <w:tabs>
          <w:tab w:val="center" w:pos="4677"/>
        </w:tabs>
        <w:rPr>
          <w:lang w:val="pt-PT"/>
        </w:rPr>
      </w:pPr>
      <w:r w:rsidRPr="002A3A59">
        <w:rPr>
          <w:lang w:val="pt-PT"/>
        </w:rPr>
        <w:br w:type="page"/>
      </w:r>
      <w:r w:rsidRPr="002A3A59">
        <w:rPr>
          <w:lang w:val="pt-PT"/>
        </w:rPr>
        <w:lastRenderedPageBreak/>
        <w:t>PA_Legam</w:t>
      </w:r>
    </w:p>
    <w:p w:rsidR="00470BF2" w:rsidRPr="002A3A59" w:rsidRDefault="002A3A59" w:rsidP="002A45D9">
      <w:pPr>
        <w:pStyle w:val="PageHeadingNotTOC"/>
        <w:rPr>
          <w:lang w:val="pt-PT"/>
        </w:rPr>
      </w:pPr>
      <w:r w:rsidRPr="002A3A59">
        <w:rPr>
          <w:lang w:val="pt-PT"/>
        </w:rPr>
        <w:br w:type="page"/>
      </w:r>
    </w:p>
    <w:p w:rsidR="00DB56E4" w:rsidRPr="005D512F" w:rsidRDefault="002A3A59" w:rsidP="00DB56E4">
      <w:pPr>
        <w:pStyle w:val="AmHeadingPA"/>
      </w:pPr>
      <w:r>
        <w:lastRenderedPageBreak/>
        <w:t>AMENDEMENTEN</w:t>
      </w:r>
    </w:p>
    <w:p w:rsidR="00DB56E4" w:rsidRPr="005D512F" w:rsidRDefault="002A3A59" w:rsidP="001E3AC4">
      <w:pPr>
        <w:pStyle w:val="Normal12a"/>
      </w:pPr>
      <w:bookmarkStart w:id="0" w:name="IntroA"/>
      <w:r>
        <w:t>De Commissie burgerlijke vrijheden, justitie en binnenlandse zaken verzoekt de bevoegde Commissie economische en monetaire zaken onderstaande amendemente</w:t>
      </w:r>
      <w:r>
        <w:t>n in aanmerking te nemen:</w:t>
      </w:r>
    </w:p>
    <w:bookmarkEnd w:id="0"/>
    <w:p w:rsidR="00537F24" w:rsidRPr="006F3A74" w:rsidRDefault="002A3A59" w:rsidP="00537F24">
      <w:pPr>
        <w:pStyle w:val="AmNumberTabs"/>
      </w:pPr>
      <w:r>
        <w:rPr>
          <w:rStyle w:val="HideTWBExt"/>
          <w:b w:val="0"/>
        </w:rPr>
        <w:t>&lt;RepeatBlock-Amend&gt;&lt;Amend&gt;</w:t>
      </w:r>
      <w:r>
        <w:t>Amendement</w:t>
      </w:r>
      <w:r>
        <w:tab/>
      </w:r>
      <w:r>
        <w:tab/>
      </w:r>
      <w:r>
        <w:rPr>
          <w:rStyle w:val="HideTWBExt"/>
          <w:b w:val="0"/>
        </w:rPr>
        <w:t>&lt;NumAm&gt;</w:t>
      </w:r>
      <w:r>
        <w:t>1</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Overweging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(2)</w:t>
            </w:r>
            <w:r>
              <w:tab/>
              <w:t xml:space="preserve">Gemakkelijke toegang tot data is </w:t>
            </w:r>
            <w:r>
              <w:t>belangrijk om besluitvormers in de economie en de samenleving doordachte</w:t>
            </w:r>
            <w:r>
              <w:rPr>
                <w:b/>
                <w:i/>
              </w:rPr>
              <w:t xml:space="preserve"> beslissingen</w:t>
            </w:r>
            <w:r>
              <w:t xml:space="preserve"> te laten nemen die het doelmatige functioneren van de markt ten goede komen. De uitrol van gemeenschappelijke Europese dataruimten in cruciale sectoren, zoals de financië</w:t>
            </w:r>
            <w:r>
              <w:t>le sector, zou daarbij kunnen helpen. De financiële sector maakt een digitale transformatie door die de komende jaren nog zal doorgaan, en de Unie moet dit ondersteunen, met name door een datagedreven geldwezen te bevorderen. Voorts is het centraal stellen</w:t>
            </w:r>
            <w:r>
              <w:t xml:space="preserve"> van het duurzame geldwezen in het financiële stelsel een cruciaal middel om een groene transitie van de economie van de Unie te verwezenlijken. Wil de groene transitie via het duurzame geldwezen slagen, dan is het van essentieel belang dat informatie over</w:t>
            </w:r>
            <w:r>
              <w:t xml:space="preserve"> de duurzaamheid van bedrijven gemakkelijk toegankelijk is voor beleggers, zodat zij beter geïnformeerd zijn wanneer zij beleggingsbeslissingen nemen. Daartoe moet financiële en niet-financiële informatie van entiteiten zoals vennootschappen, bedrijven, fi</w:t>
            </w:r>
            <w:r>
              <w:t>nanciële instellingen, beter publiek toegankelijk worden. Een efficiënt middel om dat op Unieniveau te doen is de oprichting van een centraal platform – een European single acces point (“ESAP”) – dat elektronische toegang geeft tot alle betrokken informati</w:t>
            </w:r>
            <w:r>
              <w:t>e.</w:t>
            </w:r>
          </w:p>
        </w:tc>
        <w:tc>
          <w:tcPr>
            <w:tcW w:w="4876" w:type="dxa"/>
            <w:hideMark/>
          </w:tcPr>
          <w:p w:rsidR="00537F24" w:rsidRPr="006F3A74" w:rsidRDefault="002A3A59" w:rsidP="00F8632E">
            <w:pPr>
              <w:pStyle w:val="Normal6"/>
              <w:rPr>
                <w:szCs w:val="24"/>
              </w:rPr>
            </w:pPr>
            <w:r>
              <w:t>(2)</w:t>
            </w:r>
            <w:r>
              <w:tab/>
              <w:t xml:space="preserve">Gemakkelijke </w:t>
            </w:r>
            <w:r>
              <w:rPr>
                <w:b/>
                <w:i/>
              </w:rPr>
              <w:t xml:space="preserve">en gestructureerde </w:t>
            </w:r>
            <w:r>
              <w:t>toegang tot data is belangrijk om besluitvormers in de economie en de samenleving doordachte</w:t>
            </w:r>
            <w:r>
              <w:rPr>
                <w:b/>
                <w:i/>
              </w:rPr>
              <w:t>, geïnformeerde en ecologisch en maatschappelijk verantwoorde investeringsbeslissingen</w:t>
            </w:r>
            <w:r>
              <w:t xml:space="preserve"> te laten nemen die het doelmatige func</w:t>
            </w:r>
            <w:r>
              <w:t>tioneren van de markt ten goede komen. De uitrol van gemeenschappelijke Europese dataruimten in cruciale sectoren, zoals de financiële sector, zou daarbij kunnen helpen. De financiële sector maakt een digitale transformatie door die de komende jaren nog za</w:t>
            </w:r>
            <w:r>
              <w:t>l doorgaan, en de Unie moet dit ondersteunen, met name door een datagedreven geldwezen te bevorderen. Voorts is het centraal stellen van het duurzame geldwezen in het financiële stelsel een cruciaal middel om een groene transitie van de economie van de Uni</w:t>
            </w:r>
            <w:r>
              <w:t>e te verwezenlijken. Wil de groene transitie via het duurzame geldwezen slagen, dan is het van essentieel belang dat informatie over de duurzaamheid van bedrijven gemakkelijk toegankelijk is voor beleggers, zodat zij beter geïnformeerd zijn wanneer zij bel</w:t>
            </w:r>
            <w:r>
              <w:t>eggingsbeslissingen nemen. Daartoe moet financiële en niet-financiële informatie van entiteiten zoals vennootschappen, bedrijven, financiële instellingen, beter publiek toegankelijk worden. Een efficiënt middel om dat op Unieniveau te doen is de oprichting</w:t>
            </w:r>
            <w:r>
              <w:t xml:space="preserve"> van een centraal platform – een European single acces point (“ESAP”) – dat </w:t>
            </w:r>
            <w:r>
              <w:lastRenderedPageBreak/>
              <w:t>elektronische toegang geeft tot alle betrokken informatie.</w:t>
            </w:r>
          </w:p>
        </w:tc>
      </w:tr>
    </w:tbl>
    <w:p w:rsidR="00537F24" w:rsidRPr="006F3A74" w:rsidRDefault="002A3A59" w:rsidP="00537F24">
      <w:r>
        <w:rPr>
          <w:rStyle w:val="HideTWBExt"/>
        </w:rPr>
        <w:lastRenderedPageBreak/>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2</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Overweging 2 b</w:t>
      </w:r>
      <w:r>
        <w:t>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tcPr>
          <w:p w:rsidR="00537F24" w:rsidRPr="006F3A74" w:rsidRDefault="00537F24" w:rsidP="00F8632E">
            <w:pPr>
              <w:pStyle w:val="Normal6"/>
              <w:rPr>
                <w:lang w:val="en-GB"/>
              </w:rPr>
            </w:pPr>
          </w:p>
        </w:tc>
        <w:tc>
          <w:tcPr>
            <w:tcW w:w="4876" w:type="dxa"/>
            <w:hideMark/>
          </w:tcPr>
          <w:p w:rsidR="00537F24" w:rsidRPr="006F3A74" w:rsidRDefault="002A3A59" w:rsidP="00F8632E">
            <w:pPr>
              <w:pStyle w:val="Normal6"/>
              <w:rPr>
                <w:szCs w:val="24"/>
              </w:rPr>
            </w:pPr>
            <w:r>
              <w:rPr>
                <w:b/>
                <w:i/>
              </w:rPr>
              <w:t>(2 bis)</w:t>
            </w:r>
            <w:r>
              <w:rPr>
                <w:b/>
                <w:i/>
              </w:rPr>
              <w:tab/>
              <w:t xml:space="preserve">Aangezien nieuwe wetgevingshandelingen, zoals Verordening XXX over Europese groene obligaties, nog in de onderhandelingsfase zijn of bijna zijn afgerond, maar niet zijn </w:t>
            </w:r>
            <w:r>
              <w:rPr>
                <w:b/>
                <w:i/>
              </w:rPr>
              <w:t>opgenomen in de bijlage bij deze verordening, moet de Commissie de bijlage kunnen bijwerken om recentelijk goedgekeurde wetgeving met betrekking tot de verstrekking van financiële diensten, kapitaalmarkten en duurzaamheid toe te voegen.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w:t>
      </w:r>
      <w:r>
        <w:t>endement</w:t>
      </w:r>
      <w:r>
        <w:tab/>
      </w:r>
      <w:r>
        <w:tab/>
      </w:r>
      <w:r>
        <w:rPr>
          <w:rStyle w:val="HideTWBExt"/>
          <w:b w:val="0"/>
        </w:rPr>
        <w:t>&lt;NumAm&gt;</w:t>
      </w:r>
      <w:r>
        <w:t>3</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Overweging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(4)</w:t>
            </w:r>
            <w:r>
              <w:tab/>
              <w:t xml:space="preserve">De informatie die op ESAP publiek beschikbaar moet worden gesteld, moet worden verzameld </w:t>
            </w:r>
            <w:r>
              <w:t>door verzamelende instanties die worden aangewezen voor het verzamelen van de informatie die de entiteiten openbaar moeten maken. Om ESAP efficiënt te laten functioneren, moeten de verzamelende instanties de informatie geautomatiseerd op ESAP beschikbaar s</w:t>
            </w:r>
            <w:r>
              <w:t xml:space="preserve">tellen via één application programming interface (API). Wil de informatie digitaal bruikbaar zijn, dan moeten entiteiten die beschikbaar stellen in een formaat dat voor data-extractie geschikt is of, wanneer dat door Unierecht wordt voorgeschreven, in een </w:t>
            </w:r>
            <w:r>
              <w:t xml:space="preserve">machinaal </w:t>
            </w:r>
            <w:r>
              <w:lastRenderedPageBreak/>
              <w:t>leesbaar formaat. Vergeleken met voor data-extractie geschikte formaten, zijn machinaal leesbare formaten bestandsformaten die zodanig zijn gestructureerd dat softwaretoepassingen specifieke data, met inbegrip van individuele feitelijke beschrijv</w:t>
            </w:r>
            <w:r>
              <w:t>ingen, en de interne structuur van die data gemakkelijk kunnen identificeren, herkennen en extraheren. Om ervoor te zorgen dat entiteiten de informatie in het correcte formaat aanleveren en om mogelijke technische problemen tegen te gaan waarmee de entitei</w:t>
            </w:r>
            <w:r>
              <w:t>ten te maken krijgen, moeten de verzamelende instanties die entiteiten bijstand verlenen.</w:t>
            </w:r>
          </w:p>
        </w:tc>
        <w:tc>
          <w:tcPr>
            <w:tcW w:w="4876" w:type="dxa"/>
            <w:hideMark/>
          </w:tcPr>
          <w:p w:rsidR="00537F24" w:rsidRPr="006F3A74" w:rsidRDefault="002A3A59" w:rsidP="00F8632E">
            <w:pPr>
              <w:pStyle w:val="Normal6"/>
              <w:rPr>
                <w:szCs w:val="24"/>
              </w:rPr>
            </w:pPr>
            <w:r>
              <w:lastRenderedPageBreak/>
              <w:t>(4)</w:t>
            </w:r>
            <w:r>
              <w:tab/>
              <w:t>De informatie die op ESAP publiek beschikbaar moet worden gesteld, moet worden verzameld door verzamelende instanties die worden aangewezen voor het verzamelen va</w:t>
            </w:r>
            <w:r>
              <w:t>n de informatie die de entiteiten openbaar moeten maken. Om ESAP efficiënt te laten functioneren, moeten de verzamelende instanties de informatie geautomatiseerd op ESAP beschikbaar stellen via één application programming interface (API).</w:t>
            </w:r>
            <w:r>
              <w:rPr>
                <w:b/>
                <w:i/>
              </w:rPr>
              <w:t xml:space="preserve"> Indien mogelijk, </w:t>
            </w:r>
            <w:r>
              <w:rPr>
                <w:b/>
                <w:i/>
              </w:rPr>
              <w:t xml:space="preserve">en afhankelijk van het besluit van de betrokken lidstaat, moeten verzamelende instanties die worden aangewezen voor het verzamelen van informatie die de entiteiten openbaar </w:t>
            </w:r>
            <w:r>
              <w:rPr>
                <w:b/>
                <w:i/>
              </w:rPr>
              <w:lastRenderedPageBreak/>
              <w:t>moeten maken, ook worden belast met het verzamelen van vrijwillig aangeleverde info</w:t>
            </w:r>
            <w:r>
              <w:rPr>
                <w:b/>
                <w:i/>
              </w:rPr>
              <w:t>rmatie.</w:t>
            </w:r>
            <w:r>
              <w:t xml:space="preserve"> Wil de informatie digitaal bruikbaar zijn, dan moeten entiteiten die beschikbaar stellen in een formaat dat voor data-extractie geschikt is of, wanneer dat door Unierecht wordt voorgeschreven, in een machinaal leesbaar formaat. Vergeleken met voor </w:t>
            </w:r>
            <w:r>
              <w:t>data-extractie geschikte formaten, zijn machinaal leesbare formaten bestandsformaten die zodanig zijn gestructureerd dat softwaretoepassingen specifieke data, met inbegrip van individuele feitelijke beschrijvingen, en de interne structuur van die data gema</w:t>
            </w:r>
            <w:r>
              <w:t>kkelijk kunnen identificeren, herkennen en extraheren. Om ervoor te zorgen dat entiteiten de informatie in het correcte formaat aanleveren en om mogelijke technische problemen tegen te gaan waarmee de entiteiten te maken krijgen, moeten de verzamelende ins</w:t>
            </w:r>
            <w:r>
              <w:t>tanties die entiteiten bijstand verlenen.</w:t>
            </w:r>
          </w:p>
        </w:tc>
      </w:tr>
    </w:tbl>
    <w:p w:rsidR="00537F24" w:rsidRPr="006F3A74" w:rsidRDefault="002A3A59" w:rsidP="00537F24">
      <w:r>
        <w:rPr>
          <w:rStyle w:val="HideTWBExt"/>
        </w:rPr>
        <w:lastRenderedPageBreak/>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4</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Overweging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(5)</w:t>
            </w:r>
            <w:r>
              <w:tab/>
              <w:t xml:space="preserve">Naast de informatie met </w:t>
            </w:r>
            <w:r>
              <w:t>betrekking tot financiële diensten, kapitaalmarkten en duurzaamheid die op grond van Unierecht openbaar moet worden gemaakt, hebben beleggers, marktdeelnemers, adviseurs en het brede publiek er misschien ook belang bij om andere informatie te verkrijgen di</w:t>
            </w:r>
            <w:r>
              <w:t>e een entiteit toegankelijk wil maken. Kleine en middelgrote ondernemingen willen misschien meer informatie publiek toegankelijk maken om beter zichtbaar te worden voor potentiële investeerders en zo hun financiering te verruimen en hun financieringsmogeli</w:t>
            </w:r>
            <w:r>
              <w:t xml:space="preserve">jkheden te diversifiëren. Ook kan het zijn dat marktdeelnemers meer informatie willen </w:t>
            </w:r>
            <w:r>
              <w:lastRenderedPageBreak/>
              <w:t>verschaffen dan wettelijk vereist is, of dat zij de informatie openbaar willen maken die zij volgens nationaal recht openbaar moeten maken, maar die niet op Unieniveau be</w:t>
            </w:r>
            <w:r>
              <w:t>schikbaar is, om zo de informatie aan te vullen die op Unieniveau aan het publiek wordt verstrekt. Entiteiten moeten dus de mogelijkheid hebben om financiële, duurzaamheids- en andere relevante informatie op ESAP toegankelijk te maken. Uit hoofde van het b</w:t>
            </w:r>
            <w:r>
              <w:t>eginsel van de minimale gegevensverwerking moeten entiteiten ervoor zorgen dat geen persoonsgegevens worden opgenomen, tenzij die gegevens een noodzakelijk onderdeel zijn van de informatie over hun economische activiteiten, onder meer wanneer de naam van d</w:t>
            </w:r>
            <w:r>
              <w:t>e entiteit samenvalt met de naam van de eigenaar. Indien die informatie persoonsgegevens bevat, moeten de entiteiten erop toezien dat zij voor de openbaarmaking daarvan kunnen steunen op een van de rechtsgronden voor verwerking uit artikel 6 van Verordenin</w:t>
            </w:r>
            <w:r>
              <w:t>g (EU) 2016/679 van het Europees Parlement en de Raad</w:t>
            </w:r>
            <w:r>
              <w:rPr>
                <w:vertAlign w:val="superscript"/>
              </w:rPr>
              <w:t>26</w:t>
            </w:r>
            <w:r>
              <w:t>.</w:t>
            </w:r>
          </w:p>
        </w:tc>
        <w:tc>
          <w:tcPr>
            <w:tcW w:w="4876" w:type="dxa"/>
            <w:hideMark/>
          </w:tcPr>
          <w:p w:rsidR="00537F24" w:rsidRPr="006F3A74" w:rsidRDefault="002A3A59" w:rsidP="00F8632E">
            <w:pPr>
              <w:pStyle w:val="Normal6"/>
              <w:rPr>
                <w:szCs w:val="24"/>
              </w:rPr>
            </w:pPr>
            <w:r>
              <w:lastRenderedPageBreak/>
              <w:t>(5)</w:t>
            </w:r>
            <w:r>
              <w:tab/>
              <w:t>Naast de informatie met betrekking tot financiële diensten, kapitaalmarkten en duurzaamheid die op grond van Unierecht openbaar moet worden gemaakt, hebben beleggers, marktdeelnemers, adviseurs e</w:t>
            </w:r>
            <w:r>
              <w:t xml:space="preserve">n het brede publiek er misschien ook belang bij om andere informatie te verkrijgen die een entiteit toegankelijk wil maken. </w:t>
            </w:r>
            <w:r>
              <w:rPr>
                <w:b/>
                <w:i/>
              </w:rPr>
              <w:t xml:space="preserve">Micro-, </w:t>
            </w:r>
            <w:r>
              <w:t>kleine en middelgrote ondernemingen willen misschien meer informatie publiek toegankelijk maken om beter zichtbaar te worden</w:t>
            </w:r>
            <w:r>
              <w:t xml:space="preserve"> voor potentiële investeerders en zo hun financiering te verruimen en hun financieringsmogelijkheden te diversifiëren. Ook kan het zijn dat marktdeelnemers meer informatie willen </w:t>
            </w:r>
            <w:r>
              <w:lastRenderedPageBreak/>
              <w:t>verschaffen dan wettelijk vereist is, of dat zij de informatie openbaar wille</w:t>
            </w:r>
            <w:r>
              <w:t>n maken die zij volgens nationaal recht openbaar moeten maken, maar die niet op Unieniveau beschikbaar is, om zo de informatie aan te vullen die op Unieniveau aan het publiek wordt verstrekt. Entiteiten moeten dus de mogelijkheid hebben om financiële, duur</w:t>
            </w:r>
            <w:r>
              <w:t>zaamheids- en andere relevante informatie op ESAP toegankelijk te maken</w:t>
            </w:r>
            <w:r>
              <w:rPr>
                <w:b/>
                <w:i/>
              </w:rPr>
              <w:t>.</w:t>
            </w:r>
            <w:r>
              <w:t xml:space="preserve"> </w:t>
            </w:r>
            <w:r>
              <w:rPr>
                <w:b/>
                <w:i/>
              </w:rPr>
              <w:t>Entiteiten die vrijwillig informatie aanleveren om deze op ESAP toegankelijk te maken, moeten verantwoordelijk zijn voor de kwaliteit, volledigheid en nauwkeurigheid van de informatie</w:t>
            </w:r>
            <w:r>
              <w:rPr>
                <w:b/>
                <w:i/>
              </w:rPr>
              <w:t>. De informatie moet te goeder trouw worden aangeleverd en moet met de werkelijkheid stroken.</w:t>
            </w:r>
            <w:r>
              <w:t xml:space="preserve"> Uit hoofde van het beginsel van de minimale gegevensverwerking moeten entiteiten ervoor zorgen dat geen persoonsgegevens worden opgenomen, tenzij die gegevens een</w:t>
            </w:r>
            <w:r>
              <w:t xml:space="preserve"> noodzakelijk onderdeel zijn van de informatie over hun economische activiteiten, onder meer wanneer de naam van de entiteit samenvalt met de naam van de eigenaar. Indien die informatie persoonsgegevens bevat, moeten de entiteiten erop toezien dat zij voor</w:t>
            </w:r>
            <w:r>
              <w:t xml:space="preserve"> de openbaarmaking daarvan kunnen steunen op een van de rechtsgronden voor verwerking uit artikel 6 van Verordening (EU) 2016/679 van het Europees Parlement en de Raad</w:t>
            </w:r>
            <w:r>
              <w:rPr>
                <w:vertAlign w:val="superscript"/>
              </w:rPr>
              <w:t>26</w:t>
            </w:r>
            <w:r>
              <w:t>.</w:t>
            </w:r>
          </w:p>
        </w:tc>
      </w:tr>
      <w:tr w:rsidR="00BC3B8B" w:rsidTr="00F8632E">
        <w:trPr>
          <w:jc w:val="center"/>
        </w:trPr>
        <w:tc>
          <w:tcPr>
            <w:tcW w:w="4876" w:type="dxa"/>
            <w:hideMark/>
          </w:tcPr>
          <w:p w:rsidR="00537F24" w:rsidRPr="006F3A74" w:rsidRDefault="002A3A59" w:rsidP="00F8632E">
            <w:pPr>
              <w:pStyle w:val="Normal6"/>
            </w:pPr>
            <w:r>
              <w:lastRenderedPageBreak/>
              <w:t>__________________</w:t>
            </w:r>
          </w:p>
        </w:tc>
        <w:tc>
          <w:tcPr>
            <w:tcW w:w="4876" w:type="dxa"/>
            <w:hideMark/>
          </w:tcPr>
          <w:p w:rsidR="00537F24" w:rsidRPr="006F3A74" w:rsidRDefault="002A3A59" w:rsidP="00F8632E">
            <w:pPr>
              <w:pStyle w:val="Normal6"/>
              <w:rPr>
                <w:szCs w:val="24"/>
              </w:rPr>
            </w:pPr>
            <w:r>
              <w:t>__________________</w:t>
            </w:r>
          </w:p>
        </w:tc>
      </w:tr>
      <w:tr w:rsidR="00BC3B8B" w:rsidTr="00F8632E">
        <w:trPr>
          <w:jc w:val="center"/>
        </w:trPr>
        <w:tc>
          <w:tcPr>
            <w:tcW w:w="4876" w:type="dxa"/>
            <w:hideMark/>
          </w:tcPr>
          <w:p w:rsidR="00537F24" w:rsidRPr="006F3A74" w:rsidRDefault="002A3A59" w:rsidP="00F8632E">
            <w:pPr>
              <w:pStyle w:val="Normal6"/>
            </w:pPr>
            <w:r>
              <w:rPr>
                <w:vertAlign w:val="superscript"/>
              </w:rPr>
              <w:t>26</w:t>
            </w:r>
            <w:r>
              <w:t xml:space="preserve"> Verordening (EU) 2016/679 van het Europees</w:t>
            </w:r>
            <w:r>
              <w:t xml:space="preserve"> Parlement en de Raad van 27 april 2016 betreffende de bescherming van natuurlijke personen in verband met de verwerking van persoonsgegevens en betreffende het vrije verkeer van die gegevens en tot intrekking van Richtlijn 95/46/EG (algemene verordening g</w:t>
            </w:r>
            <w:r>
              <w:t>egevensbescherming) (PB L 119 van 4.5.2016, blz. 1).</w:t>
            </w:r>
          </w:p>
        </w:tc>
        <w:tc>
          <w:tcPr>
            <w:tcW w:w="4876" w:type="dxa"/>
            <w:hideMark/>
          </w:tcPr>
          <w:p w:rsidR="00537F24" w:rsidRPr="006F3A74" w:rsidRDefault="002A3A59" w:rsidP="00F8632E">
            <w:pPr>
              <w:pStyle w:val="Normal6"/>
              <w:rPr>
                <w:szCs w:val="24"/>
              </w:rPr>
            </w:pPr>
            <w:r>
              <w:rPr>
                <w:vertAlign w:val="superscript"/>
              </w:rPr>
              <w:t>26</w:t>
            </w:r>
            <w:r>
              <w:t xml:space="preserve"> Verordening (EU) 2016/679 van het Europees Parlement en de Raad van 27 april 2016 betreffende de bescherming van natuurlijke personen in verband met de verwerking van persoonsgegevens en betreffende h</w:t>
            </w:r>
            <w:r>
              <w:t>et vrije verkeer van die gegevens en tot intrekking van Richtlijn 95/46/EG (algemene verordening gegevensbescherming) (PB L 119 van 4.5.2016, blz. 1).</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lastRenderedPageBreak/>
        <w:t>&lt;Amend&gt;</w:t>
      </w:r>
      <w:r>
        <w:t>Amendement</w:t>
      </w:r>
      <w:r>
        <w:tab/>
      </w:r>
      <w:r>
        <w:tab/>
      </w:r>
      <w:r>
        <w:rPr>
          <w:rStyle w:val="HideTWBExt"/>
          <w:b w:val="0"/>
        </w:rPr>
        <w:t>&lt;NumAm&gt;</w:t>
      </w:r>
      <w:r>
        <w:t>5</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Overweging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(12)</w:t>
            </w:r>
            <w:r>
              <w:tab/>
              <w:t xml:space="preserve">ESAP moet gebruikers kosteloos en zonder discriminatie toegang geven tot informatie </w:t>
            </w:r>
            <w:r>
              <w:rPr>
                <w:b/>
                <w:i/>
              </w:rPr>
              <w:t>en moet</w:t>
            </w:r>
            <w:r>
              <w:t xml:space="preserve"> het die gebruikers mogelijk maken </w:t>
            </w:r>
            <w:r>
              <w:rPr>
                <w:b/>
                <w:i/>
              </w:rPr>
              <w:t>om</w:t>
            </w:r>
            <w:r>
              <w:t xml:space="preserve"> de informatie via ESAP op te zoeken, d</w:t>
            </w:r>
            <w:r>
              <w:t xml:space="preserve">aartoe toegang te krijgen en deze te downloaden. Gelet echter op de noodzaak om de ESMA te beschermen tegen buitensporige lasten in verband met kosten om in de behoeften van eventuele intensieve gebruikers te voorzien, moet de ESMA de mogelijkheid krijgen </w:t>
            </w:r>
            <w:r>
              <w:t>om inkomsten te genereren. Daarom moet de ESMA, in afwijking van het beginsel dat informatie kosteloos toegankelijk moet zijn, de mogelijkheid krijgen om voor die specifieke diensten vergoedingen te berekenen, onder meer voor diensten met hoge onderhoudsko</w:t>
            </w:r>
            <w:r>
              <w:t>sten als gevolg van zoekopdrachten voor zeer grote volumes informatie of voor frequente toegang tot ESAP. Vergoedingen die worden berekend, mogen de kosten van de geleverde dienst echter niet overschrijden.</w:t>
            </w:r>
          </w:p>
        </w:tc>
        <w:tc>
          <w:tcPr>
            <w:tcW w:w="4876" w:type="dxa"/>
            <w:hideMark/>
          </w:tcPr>
          <w:p w:rsidR="00537F24" w:rsidRPr="006F3A74" w:rsidRDefault="002A3A59" w:rsidP="00F8632E">
            <w:pPr>
              <w:pStyle w:val="Normal6"/>
              <w:rPr>
                <w:szCs w:val="24"/>
              </w:rPr>
            </w:pPr>
            <w:r>
              <w:t>(12)</w:t>
            </w:r>
            <w:r>
              <w:tab/>
              <w:t xml:space="preserve">ESAP moet </w:t>
            </w:r>
            <w:r>
              <w:rPr>
                <w:b/>
                <w:i/>
              </w:rPr>
              <w:t xml:space="preserve">alle actieve </w:t>
            </w:r>
            <w:r>
              <w:t xml:space="preserve">gebruikers </w:t>
            </w:r>
            <w:r>
              <w:rPr>
                <w:b/>
                <w:i/>
              </w:rPr>
              <w:t xml:space="preserve">op de Europese eengemaakte markt, met inbegrip van, maar niet beperkt tot, investeerders, consumenten, maatschappelijke organisaties, de academische wereld en mediavertegenwoordigers, </w:t>
            </w:r>
            <w:r>
              <w:t xml:space="preserve">kosteloos en zonder discriminatie </w:t>
            </w:r>
            <w:r>
              <w:rPr>
                <w:b/>
                <w:i/>
              </w:rPr>
              <w:t xml:space="preserve">dezelfde </w:t>
            </w:r>
            <w:r>
              <w:t xml:space="preserve">toegang geven tot informatie </w:t>
            </w:r>
            <w:r>
              <w:rPr>
                <w:b/>
                <w:i/>
              </w:rPr>
              <w:t>om</w:t>
            </w:r>
            <w:r>
              <w:t xml:space="preserve"> het </w:t>
            </w:r>
            <w:r>
              <w:rPr>
                <w:b/>
                <w:i/>
              </w:rPr>
              <w:t xml:space="preserve">voor </w:t>
            </w:r>
            <w:r>
              <w:t>die gebruikers mogelijk</w:t>
            </w:r>
            <w:r>
              <w:rPr>
                <w:b/>
                <w:i/>
              </w:rPr>
              <w:t xml:space="preserve"> te</w:t>
            </w:r>
            <w:r>
              <w:t xml:space="preserve"> maken </w:t>
            </w:r>
            <w:r>
              <w:rPr>
                <w:b/>
                <w:i/>
              </w:rPr>
              <w:t>hun werk uit te voeren en hun belangen te behartigen.</w:t>
            </w:r>
            <w:r>
              <w:t xml:space="preserve"> </w:t>
            </w:r>
            <w:r>
              <w:rPr>
                <w:b/>
                <w:i/>
              </w:rPr>
              <w:t>Die gebruikers moeten de mogelijkheid hebben</w:t>
            </w:r>
            <w:r>
              <w:t xml:space="preserve"> de informatie via ESAP op te zoeken, daartoe toegang te krijgen en deze te downloaden. Gelet echter op de noodza</w:t>
            </w:r>
            <w:r>
              <w:t>ak om de ESMA te beschermen tegen buitensporige lasten in verband met kosten om in de behoeften van eventuele intensieve gebruikers te voorzien, moet de ESMA de mogelijkheid krijgen om inkomsten te genereren. Daarom moet de ESMA, in afwijking van het begin</w:t>
            </w:r>
            <w:r>
              <w:t>sel dat informatie kosteloos toegankelijk moet zijn, de mogelijkheid krijgen om voor die specifieke diensten vergoedingen te berekenen, onder meer voor diensten met hoge onderhoudskosten als gevolg van zoekopdrachten voor zeer grote volumes informatie of v</w:t>
            </w:r>
            <w:r>
              <w:t>oor frequente toegang tot ESAP. Vergoedingen die worden berekend, mogen de kosten van de geleverde dienst echter niet overschrijden.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6</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Overweging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(13)</w:t>
            </w:r>
            <w:r>
              <w:tab/>
              <w:t>Om datagedreven innovatie in het geldwezen te bevorderen, de kapitaalmarkten in de Europese Unie te helpen integreren, investeringen toe te leiden naar duurzame activiteiten en efficiëntiew</w:t>
            </w:r>
            <w:r>
              <w:t>insten te creëren voor consumenten en bedrijven, moet ESAP de toegang verbeteren tot informatie die persoonsgegevens omvat. ESAP moet echter alleen de toegang verbeteren tot de persoonsgegevens die uit hoofde van Unierecht moeten worden verwerkt of die vri</w:t>
            </w:r>
            <w:r>
              <w:t xml:space="preserve">jwillig worden verwerkt, mits er voor die verwerking een rechtsgrond is overeenkomstig Verordening (EU) 2016/679 van het Europees Parlement en de Raad. Voor de verwerking van persoonsgegevens in het kader van de aanlevering van informatie via ESAP, moeten </w:t>
            </w:r>
            <w:r>
              <w:t>de verzamelende instanties, en de ESMA in haar hoedanigheid van exploitant van ESAP, erop toezien dat Verordening (EU) 2016/679 en Verordening (EU) 2018/1725 van het Europees Parlement en de Raad</w:t>
            </w:r>
            <w:r>
              <w:rPr>
                <w:vertAlign w:val="superscript"/>
              </w:rPr>
              <w:t>28</w:t>
            </w:r>
            <w:r>
              <w:t xml:space="preserve"> in acht worden genomen.</w:t>
            </w:r>
          </w:p>
        </w:tc>
        <w:tc>
          <w:tcPr>
            <w:tcW w:w="4876" w:type="dxa"/>
            <w:hideMark/>
          </w:tcPr>
          <w:p w:rsidR="00537F24" w:rsidRPr="006F3A74" w:rsidRDefault="002A3A59" w:rsidP="00F8632E">
            <w:pPr>
              <w:pStyle w:val="Normal6"/>
              <w:rPr>
                <w:szCs w:val="24"/>
              </w:rPr>
            </w:pPr>
            <w:r>
              <w:t>(13)</w:t>
            </w:r>
            <w:r>
              <w:tab/>
              <w:t xml:space="preserve">Om datagedreven innovatie in </w:t>
            </w:r>
            <w:r>
              <w:t xml:space="preserve">het geldwezen te bevorderen, de kapitaalmarkten in de Europese Unie te helpen integreren, investeringen toe te leiden naar duurzame activiteiten en efficiëntiewinsten te creëren voor consumenten en bedrijven, moet ESAP de toegang verbeteren tot informatie </w:t>
            </w:r>
            <w:r>
              <w:t>die persoonsgegevens omvat. ESAP moet echter alleen de toegang verbeteren tot de persoonsgegevens die uit hoofde van Unierecht moeten worden verwerkt of die vrijwillig worden verwerkt, mits er voor die verwerking een rechtsgrond is overeenkomstig Verordeni</w:t>
            </w:r>
            <w:r>
              <w:t xml:space="preserve">ng (EU) 2016/679 van het Europees Parlement en de Raad. Voor de verwerking van persoonsgegevens in het kader van de aanlevering van informatie via ESAP, moeten de verzamelende instanties, en de ESMA in haar hoedanigheid van exploitant van ESAP, </w:t>
            </w:r>
            <w:r>
              <w:rPr>
                <w:b/>
                <w:i/>
              </w:rPr>
              <w:t>ongeacht of</w:t>
            </w:r>
            <w:r>
              <w:rPr>
                <w:b/>
                <w:i/>
              </w:rPr>
              <w:t xml:space="preserve"> de ESMA als verwerkingsverantwoordelijke, gezamenlijke verwerkingsverantwoordelijke of verwerker optreedt, </w:t>
            </w:r>
            <w:r>
              <w:t>erop toezien dat Verordening (EU) 2016/679 en Verordening (EU) 2018/1725 van het Europees Parlement en de Raad</w:t>
            </w:r>
            <w:r>
              <w:rPr>
                <w:vertAlign w:val="superscript"/>
              </w:rPr>
              <w:t>28</w:t>
            </w:r>
            <w:r>
              <w:t xml:space="preserve"> in acht worden genomen.</w:t>
            </w:r>
            <w:r>
              <w:rPr>
                <w:b/>
                <w:i/>
              </w:rPr>
              <w:t xml:space="preserve"> De ESMA die</w:t>
            </w:r>
            <w:r>
              <w:rPr>
                <w:b/>
                <w:i/>
              </w:rPr>
              <w:t>nt met name de beginselen van gegevensbescherming door ontwerp en door standaardinstellingen in acht te nemen.</w:t>
            </w:r>
          </w:p>
        </w:tc>
      </w:tr>
      <w:tr w:rsidR="00BC3B8B" w:rsidTr="00F8632E">
        <w:trPr>
          <w:jc w:val="center"/>
        </w:trPr>
        <w:tc>
          <w:tcPr>
            <w:tcW w:w="4876" w:type="dxa"/>
            <w:hideMark/>
          </w:tcPr>
          <w:p w:rsidR="00537F24" w:rsidRPr="006F3A74" w:rsidRDefault="002A3A59" w:rsidP="00F8632E">
            <w:pPr>
              <w:pStyle w:val="Normal6"/>
            </w:pPr>
            <w:r>
              <w:t>__________________</w:t>
            </w:r>
          </w:p>
        </w:tc>
        <w:tc>
          <w:tcPr>
            <w:tcW w:w="4876" w:type="dxa"/>
            <w:hideMark/>
          </w:tcPr>
          <w:p w:rsidR="00537F24" w:rsidRPr="006F3A74" w:rsidRDefault="002A3A59" w:rsidP="00F8632E">
            <w:pPr>
              <w:pStyle w:val="Normal6"/>
              <w:rPr>
                <w:szCs w:val="24"/>
              </w:rPr>
            </w:pPr>
            <w:r>
              <w:t>__________________</w:t>
            </w:r>
          </w:p>
        </w:tc>
      </w:tr>
      <w:tr w:rsidR="00BC3B8B" w:rsidTr="00F8632E">
        <w:trPr>
          <w:jc w:val="center"/>
        </w:trPr>
        <w:tc>
          <w:tcPr>
            <w:tcW w:w="4876" w:type="dxa"/>
            <w:hideMark/>
          </w:tcPr>
          <w:p w:rsidR="00537F24" w:rsidRPr="006F3A74" w:rsidRDefault="002A3A59" w:rsidP="00F8632E">
            <w:pPr>
              <w:pStyle w:val="Normal6"/>
            </w:pPr>
            <w:r>
              <w:rPr>
                <w:vertAlign w:val="superscript"/>
              </w:rPr>
              <w:t>28</w:t>
            </w:r>
            <w:r>
              <w:t xml:space="preserve"> Verordening (EU) 2018/1725 van het Europees Parlement en de Raad van 23 oktober 2018 betreffende de be</w:t>
            </w:r>
            <w:r>
              <w:t xml:space="preserve">scherming van natuurlijke personen in verband met de verwerking van persoonsgegevens door de instellingen, organen en instanties van de Unie en betreffende het vrije verkeer van die gegevens, en tot intrekking van </w:t>
            </w:r>
            <w:r>
              <w:lastRenderedPageBreak/>
              <w:t>Verordening (EG) nr. 45/2001 en Besluit nr</w:t>
            </w:r>
            <w:r>
              <w:t>. 1247/2002/EG (PB L 295 van 21.11.2018, blz. 39).</w:t>
            </w:r>
          </w:p>
        </w:tc>
        <w:tc>
          <w:tcPr>
            <w:tcW w:w="4876" w:type="dxa"/>
            <w:hideMark/>
          </w:tcPr>
          <w:p w:rsidR="00537F24" w:rsidRPr="006F3A74" w:rsidRDefault="002A3A59" w:rsidP="00F8632E">
            <w:pPr>
              <w:pStyle w:val="Normal6"/>
              <w:rPr>
                <w:szCs w:val="24"/>
              </w:rPr>
            </w:pPr>
            <w:r>
              <w:rPr>
                <w:vertAlign w:val="superscript"/>
              </w:rPr>
              <w:lastRenderedPageBreak/>
              <w:t>28</w:t>
            </w:r>
            <w:r>
              <w:t xml:space="preserve"> Verordening (EU) 2018/1725 van het Europees Parlement en de Raad van 23 oktober 2018 betreffende de bescherming van natuurlijke personen in verband met de verwerking van persoonsgegevens door de instell</w:t>
            </w:r>
            <w:r>
              <w:t xml:space="preserve">ingen, organen en instanties van de Unie en betreffende het vrije verkeer van die gegevens, en tot intrekking van </w:t>
            </w:r>
            <w:r>
              <w:lastRenderedPageBreak/>
              <w:t>Verordening (EG) nr. 45/2001 en Besluit nr. 1247/2002/EG (PB L 295 van 21.11.2018, blz. 39).</w:t>
            </w:r>
          </w:p>
        </w:tc>
      </w:tr>
    </w:tbl>
    <w:p w:rsidR="00537F24" w:rsidRPr="006F3A74" w:rsidRDefault="002A3A59" w:rsidP="00537F24">
      <w:r>
        <w:rPr>
          <w:rStyle w:val="HideTWBExt"/>
        </w:rPr>
        <w:lastRenderedPageBreak/>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7</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w:t>
      </w:r>
      <w:r>
        <w:rPr>
          <w:rStyle w:val="HideTWBExt"/>
          <w:b w:val="0"/>
        </w:rPr>
        <w:t>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Overweging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(14)</w:t>
            </w:r>
            <w:r>
              <w:tab/>
              <w:t>Overeenkomstig artikel</w:t>
            </w:r>
            <w:r>
              <w:rPr>
                <w:b/>
                <w:i/>
              </w:rPr>
              <w:t xml:space="preserve"> </w:t>
            </w:r>
            <w:r>
              <w:t>42, lid</w:t>
            </w:r>
            <w:r>
              <w:rPr>
                <w:b/>
                <w:i/>
              </w:rPr>
              <w:t xml:space="preserve"> </w:t>
            </w:r>
            <w:r>
              <w:t>1, van Verordening (EU)</w:t>
            </w:r>
            <w:r>
              <w:rPr>
                <w:b/>
                <w:i/>
              </w:rPr>
              <w:t xml:space="preserve"> </w:t>
            </w:r>
            <w:r>
              <w:t xml:space="preserve">2018/1725 </w:t>
            </w:r>
            <w:r>
              <w:rPr>
                <w:b/>
                <w:i/>
              </w:rPr>
              <w:t xml:space="preserve">is de Europese Toezichthouder voor </w:t>
            </w:r>
            <w:r>
              <w:rPr>
                <w:b/>
                <w:i/>
              </w:rPr>
              <w:t>gegevensbescherming geraadpleegd, en</w:t>
            </w:r>
            <w:r>
              <w:t xml:space="preserve"> op </w:t>
            </w:r>
            <w:r>
              <w:rPr>
                <w:b/>
                <w:i/>
              </w:rPr>
              <w:t>[datum invoegen] heeft hij een advies</w:t>
            </w:r>
            <w:r>
              <w:t xml:space="preserve"> uitgebracht.</w:t>
            </w:r>
          </w:p>
        </w:tc>
        <w:tc>
          <w:tcPr>
            <w:tcW w:w="4876" w:type="dxa"/>
            <w:hideMark/>
          </w:tcPr>
          <w:p w:rsidR="00537F24" w:rsidRPr="006F3A74" w:rsidRDefault="002A3A59" w:rsidP="00F8632E">
            <w:pPr>
              <w:pStyle w:val="Normal6"/>
              <w:rPr>
                <w:szCs w:val="24"/>
              </w:rPr>
            </w:pPr>
            <w:r>
              <w:t>(14)</w:t>
            </w:r>
            <w:r>
              <w:tab/>
            </w:r>
            <w:r>
              <w:rPr>
                <w:b/>
                <w:i/>
              </w:rPr>
              <w:t>De Europese Toezichthouder voor gegevensbescherming werd geraadpleegd</w:t>
            </w:r>
            <w:r>
              <w:t xml:space="preserve"> overeenkomstig artikel 42, lid 1, van Verordening (EU) 2018/1725 </w:t>
            </w:r>
            <w:r>
              <w:rPr>
                <w:b/>
                <w:i/>
              </w:rPr>
              <w:t>en heeft</w:t>
            </w:r>
            <w:r>
              <w:t xml:space="preserve"> op </w:t>
            </w:r>
            <w:r>
              <w:rPr>
                <w:b/>
                <w:i/>
              </w:rPr>
              <w:t>19 januari 20</w:t>
            </w:r>
            <w:r>
              <w:rPr>
                <w:b/>
                <w:i/>
              </w:rPr>
              <w:t>22 formeel commentaar</w:t>
            </w:r>
            <w:r>
              <w:t xml:space="preserve"> uitgebracht.</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8</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Overweging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(16)</w:t>
            </w:r>
            <w:r>
              <w:tab/>
              <w:t xml:space="preserve">Wil de informatie in de tijd </w:t>
            </w:r>
            <w:r>
              <w:t>vergelijkbaar zijn, dan moeten gebruikers toegang hebben tot informatie uit het verleden. Daarom moet worden voorgeschreven dat ESAP voor een redelijke termijn toegang biedt tot informatie, voor zover bestaanbaar met andere toepasselijke bepalingen van Uni</w:t>
            </w:r>
            <w:r>
              <w:t xml:space="preserve">erecht. Daartoe moet de ESMA erop toezien dat persoonsgegevens niet langer beschikbaar worden gesteld dan volgens Unierecht is voorgeschreven. Om de ESMA en de verzamelende instanties in staat te stellen de exploitatie van ESAP voor te bereiden, moet ESAP </w:t>
            </w:r>
            <w:r>
              <w:t>alleen toegang bieden tot de vanaf 1 januari 2024</w:t>
            </w:r>
            <w:r>
              <w:rPr>
                <w:b/>
                <w:i/>
              </w:rPr>
              <w:t xml:space="preserve"> aangeleverde informatie</w:t>
            </w:r>
            <w:r>
              <w:t>.</w:t>
            </w:r>
          </w:p>
        </w:tc>
        <w:tc>
          <w:tcPr>
            <w:tcW w:w="4876" w:type="dxa"/>
            <w:hideMark/>
          </w:tcPr>
          <w:p w:rsidR="00537F24" w:rsidRPr="006F3A74" w:rsidRDefault="002A3A59" w:rsidP="00F8632E">
            <w:pPr>
              <w:pStyle w:val="Normal6"/>
              <w:rPr>
                <w:szCs w:val="24"/>
              </w:rPr>
            </w:pPr>
            <w:r>
              <w:t>(16)</w:t>
            </w:r>
            <w:r>
              <w:tab/>
              <w:t>Wil de informatie in de tijd vergelijkbaar zijn, dan moeten gebruikers toegang hebben tot informatie uit het verleden. Daarom moet worden voorgeschreven dat ESAP voor een redel</w:t>
            </w:r>
            <w:r>
              <w:t>ijke termijn toegang biedt tot informatie, voor zover bestaanbaar met andere toepasselijke bepalingen van Unierecht. Daartoe moet de ESMA erop toezien dat persoonsgegevens niet langer beschikbaar worden gesteld dan volgens Unierecht is voorgeschreven. Om d</w:t>
            </w:r>
            <w:r>
              <w:t xml:space="preserve">e ESMA en de verzamelende instanties in staat te stellen de exploitatie van ESAP voor te bereiden, moet ESAP alleen toegang bieden tot de </w:t>
            </w:r>
            <w:r>
              <w:rPr>
                <w:b/>
                <w:i/>
              </w:rPr>
              <w:t xml:space="preserve">informatie die beschikbaar is </w:t>
            </w:r>
            <w:r>
              <w:t>vanaf 1 januari 2024.</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9</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lastRenderedPageBreak/>
        <w:t>&lt;DocAmend&gt;</w:t>
      </w:r>
      <w:r>
        <w:t xml:space="preserve">Voorstel </w:t>
      </w:r>
      <w:r>
        <w:t>voor een verordening</w:t>
      </w:r>
      <w:r>
        <w:rPr>
          <w:rStyle w:val="HideTWBExt"/>
          <w:b w:val="0"/>
        </w:rPr>
        <w:t>&lt;/DocAmend&gt;</w:t>
      </w:r>
    </w:p>
    <w:p w:rsidR="00537F24" w:rsidRPr="006F3A74" w:rsidRDefault="002A3A59" w:rsidP="00537F24">
      <w:pPr>
        <w:pStyle w:val="NormalBold"/>
      </w:pPr>
      <w:r>
        <w:rPr>
          <w:rStyle w:val="HideTWBExt"/>
          <w:b w:val="0"/>
        </w:rPr>
        <w:t>&lt;Article&gt;</w:t>
      </w:r>
      <w:r>
        <w:t>Artikel 1 – lid 1 – punt a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tcPr>
          <w:p w:rsidR="00537F24" w:rsidRPr="006F3A74" w:rsidRDefault="00537F24" w:rsidP="00F8632E">
            <w:pPr>
              <w:pStyle w:val="Normal6"/>
              <w:rPr>
                <w:lang w:val="en-GB"/>
              </w:rPr>
            </w:pPr>
          </w:p>
        </w:tc>
        <w:tc>
          <w:tcPr>
            <w:tcW w:w="4876" w:type="dxa"/>
            <w:hideMark/>
          </w:tcPr>
          <w:p w:rsidR="00537F24" w:rsidRPr="006F3A74" w:rsidRDefault="002A3A59" w:rsidP="00F8632E">
            <w:pPr>
              <w:pStyle w:val="Normal6"/>
              <w:rPr>
                <w:szCs w:val="24"/>
              </w:rPr>
            </w:pPr>
            <w:r>
              <w:rPr>
                <w:b/>
                <w:i/>
              </w:rPr>
              <w:t>a bis)</w:t>
            </w:r>
            <w:r>
              <w:rPr>
                <w:b/>
                <w:i/>
              </w:rPr>
              <w:tab/>
              <w:t xml:space="preserve">De Commissie is bevoegd om gedelegeerde handelingen vast te stellen tot wijziging van de bijlagen om de </w:t>
            </w:r>
            <w:r>
              <w:rPr>
                <w:b/>
                <w:i/>
              </w:rPr>
              <w:t>daarin opgenomen lijst van wetgevingshandelingen te actualiseren op het moment dat nieuwe wetgeving met betrekking tot het verlenen van financiële diensten, kapitaalmarkten en duurzaamheid in werking treedt.</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10</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1 – lid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rPr>
                <w:b/>
                <w:i/>
              </w:rPr>
              <w:t>2.</w:t>
            </w:r>
            <w:r>
              <w:rPr>
                <w:b/>
                <w:i/>
              </w:rPr>
              <w:tab/>
              <w:t>ESAP biedt geen toegang tot informatie die vóór 1 januari 2024 is aangeleverd</w:t>
            </w:r>
          </w:p>
        </w:tc>
        <w:tc>
          <w:tcPr>
            <w:tcW w:w="4876" w:type="dxa"/>
            <w:hideMark/>
          </w:tcPr>
          <w:p w:rsidR="00537F24" w:rsidRPr="006F3A74" w:rsidRDefault="002A3A59" w:rsidP="00F8632E">
            <w:pPr>
              <w:pStyle w:val="Normal6"/>
              <w:rPr>
                <w:szCs w:val="24"/>
              </w:rPr>
            </w:pPr>
            <w:r>
              <w:rPr>
                <w:b/>
                <w:i/>
              </w:rPr>
              <w:t>Schrappen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11</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2 – alinea 1 – punt 7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tcPr>
          <w:p w:rsidR="00537F24" w:rsidRPr="006F3A74" w:rsidRDefault="00537F24" w:rsidP="00F8632E">
            <w:pPr>
              <w:pStyle w:val="Normal6"/>
              <w:rPr>
                <w:lang w:val="en-GB"/>
              </w:rPr>
            </w:pPr>
          </w:p>
        </w:tc>
        <w:tc>
          <w:tcPr>
            <w:tcW w:w="4876" w:type="dxa"/>
            <w:hideMark/>
          </w:tcPr>
          <w:p w:rsidR="00537F24" w:rsidRPr="006F3A74" w:rsidRDefault="002A3A59" w:rsidP="00F8632E">
            <w:pPr>
              <w:pStyle w:val="Normal6"/>
              <w:rPr>
                <w:szCs w:val="24"/>
              </w:rPr>
            </w:pPr>
            <w:r>
              <w:rPr>
                <w:b/>
                <w:i/>
              </w:rPr>
              <w:t>(7 bis)</w:t>
            </w:r>
            <w:r>
              <w:rPr>
                <w:b/>
                <w:i/>
              </w:rPr>
              <w:tab/>
              <w:t>de definities in Verordening (EU) 2016/679;</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12</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3 – lid 1 – inleidende formule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1.</w:t>
            </w:r>
            <w:r>
              <w:tab/>
              <w:t xml:space="preserve">Natuurlijke personen of rechtspersonen kunnen bij een </w:t>
            </w:r>
            <w:r>
              <w:lastRenderedPageBreak/>
              <w:t>verzamelende instantie de in artikel 1, lid 1, punt b), bedoelde informatie aanleveren om die informatie op ESAP beschikbaar te stellen. Bij het aanleveren van die informatie doet de natuurlijke persoon of de rechtspersoon het volgende:</w:t>
            </w:r>
          </w:p>
        </w:tc>
        <w:tc>
          <w:tcPr>
            <w:tcW w:w="4876" w:type="dxa"/>
            <w:hideMark/>
          </w:tcPr>
          <w:p w:rsidR="00537F24" w:rsidRPr="006F3A74" w:rsidRDefault="002A3A59" w:rsidP="00F8632E">
            <w:pPr>
              <w:pStyle w:val="Normal6"/>
              <w:rPr>
                <w:szCs w:val="24"/>
              </w:rPr>
            </w:pPr>
            <w:r>
              <w:lastRenderedPageBreak/>
              <w:t>1.</w:t>
            </w:r>
            <w:r>
              <w:tab/>
              <w:t>Natuurlijke pers</w:t>
            </w:r>
            <w:r>
              <w:t xml:space="preserve">onen of rechtspersonen </w:t>
            </w:r>
            <w:r>
              <w:rPr>
                <w:b/>
                <w:i/>
              </w:rPr>
              <w:t xml:space="preserve">die handelen als </w:t>
            </w:r>
            <w:r>
              <w:rPr>
                <w:b/>
                <w:i/>
              </w:rPr>
              <w:lastRenderedPageBreak/>
              <w:t xml:space="preserve">marktdeelnemer op de EU-markt </w:t>
            </w:r>
            <w:r>
              <w:t>kunnen bij een verzamelende instantie de in artikel 1, lid 1, punt b), bedoelde informatie aanleveren om die informatie op ESAP beschikbaar te stellen. Bij het aanleveren van die informa</w:t>
            </w:r>
            <w:r>
              <w:t>tie doet de natuurlijke persoon of de rechtspersoon het volgende:</w:t>
            </w:r>
          </w:p>
        </w:tc>
      </w:tr>
    </w:tbl>
    <w:p w:rsidR="00537F24" w:rsidRPr="006F3A74" w:rsidRDefault="002A3A59" w:rsidP="00537F24">
      <w:r>
        <w:rPr>
          <w:rStyle w:val="HideTWBExt"/>
        </w:rPr>
        <w:lastRenderedPageBreak/>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13</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3 – lid 1 – punt c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 xml:space="preserve">Door de Commissie voorgestelde </w:t>
            </w:r>
            <w:r>
              <w:t>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tcPr>
          <w:p w:rsidR="00537F24" w:rsidRPr="006F3A74" w:rsidRDefault="00537F24" w:rsidP="00F8632E">
            <w:pPr>
              <w:pStyle w:val="Normal6"/>
              <w:rPr>
                <w:lang w:val="en-GB"/>
              </w:rPr>
            </w:pPr>
          </w:p>
        </w:tc>
        <w:tc>
          <w:tcPr>
            <w:tcW w:w="4876" w:type="dxa"/>
            <w:hideMark/>
          </w:tcPr>
          <w:p w:rsidR="00537F24" w:rsidRPr="006F3A74" w:rsidRDefault="002A3A59" w:rsidP="00F8632E">
            <w:pPr>
              <w:pStyle w:val="Normal6"/>
              <w:rPr>
                <w:szCs w:val="24"/>
              </w:rPr>
            </w:pPr>
            <w:r>
              <w:rPr>
                <w:b/>
                <w:i/>
              </w:rPr>
              <w:t>c bis)</w:t>
            </w:r>
            <w:r>
              <w:rPr>
                <w:b/>
                <w:i/>
              </w:rPr>
              <w:tab/>
              <w:t>hij zorgt er indien mogelijk voor dat alle vrijwillig ingediende informatie wordt aangeleverd in het formaat zoals aangegeven in bestaande modellen met betrekking tot de relevante wetgevingshandeling;</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14</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3 – lid 1 – punt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d)</w:t>
            </w:r>
            <w:r>
              <w:tab/>
              <w:t xml:space="preserve">hij ziet erop toe dat geen persoonsgegevens worden opgenomen, behalve wanneer de </w:t>
            </w:r>
            <w:r>
              <w:t>persoonsgegevens een noodzakelijk onderdeel zijn van de informatie over zijn economische activiteiten.</w:t>
            </w:r>
          </w:p>
        </w:tc>
        <w:tc>
          <w:tcPr>
            <w:tcW w:w="4876" w:type="dxa"/>
            <w:hideMark/>
          </w:tcPr>
          <w:p w:rsidR="00537F24" w:rsidRPr="006F3A74" w:rsidRDefault="002A3A59" w:rsidP="00F8632E">
            <w:pPr>
              <w:pStyle w:val="Normal6"/>
              <w:rPr>
                <w:szCs w:val="24"/>
              </w:rPr>
            </w:pPr>
            <w:r>
              <w:t>d)</w:t>
            </w:r>
            <w:r>
              <w:tab/>
              <w:t>hij ziet erop toe dat geen persoonsgegevens worden opgenomen, behalve wanneer de persoonsgegevens een noodzakelijk onderdeel zijn van de informatie ov</w:t>
            </w:r>
            <w:r>
              <w:t>er zijn economische activiteiten</w:t>
            </w:r>
            <w:r>
              <w:rPr>
                <w:b/>
                <w:i/>
              </w:rPr>
              <w:t>, overeenkomstig het beginsel van gegevensminimalisatie</w:t>
            </w:r>
            <w:r>
              <w:t>.</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15</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3 – lid 2 – punt c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 xml:space="preserve">Door de </w:t>
            </w:r>
            <w:r>
              <w:t>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tcPr>
          <w:p w:rsidR="00537F24" w:rsidRPr="006F3A74" w:rsidRDefault="00537F24" w:rsidP="00F8632E">
            <w:pPr>
              <w:pStyle w:val="Normal6"/>
              <w:rPr>
                <w:lang w:val="en-GB"/>
              </w:rPr>
            </w:pPr>
          </w:p>
        </w:tc>
        <w:tc>
          <w:tcPr>
            <w:tcW w:w="4876" w:type="dxa"/>
            <w:hideMark/>
          </w:tcPr>
          <w:p w:rsidR="00537F24" w:rsidRPr="006F3A74" w:rsidRDefault="002A3A59" w:rsidP="00F8632E">
            <w:pPr>
              <w:pStyle w:val="Normal6"/>
              <w:rPr>
                <w:szCs w:val="24"/>
              </w:rPr>
            </w:pPr>
            <w:r>
              <w:rPr>
                <w:b/>
                <w:i/>
              </w:rPr>
              <w:t>c bis)</w:t>
            </w:r>
            <w:r>
              <w:rPr>
                <w:b/>
                <w:i/>
              </w:rPr>
              <w:tab/>
              <w:t>normen voor de verzamelende instanties om aan hun verplichtingen uit hoofde van artikel 5, lid 2, punt b) en b bis), te voldoen.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16</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 xml:space="preserve">Voorstel voor een </w:t>
      </w:r>
      <w:r>
        <w:t>verordening</w:t>
      </w:r>
      <w:r>
        <w:rPr>
          <w:rStyle w:val="HideTWBExt"/>
          <w:b w:val="0"/>
        </w:rPr>
        <w:t>&lt;/DocAmend&gt;</w:t>
      </w:r>
    </w:p>
    <w:p w:rsidR="00537F24" w:rsidRPr="006F3A74" w:rsidRDefault="002A3A59" w:rsidP="00537F24">
      <w:pPr>
        <w:pStyle w:val="NormalBold"/>
      </w:pPr>
      <w:r>
        <w:rPr>
          <w:rStyle w:val="HideTWBExt"/>
          <w:b w:val="0"/>
        </w:rPr>
        <w:t>&lt;Article&gt;</w:t>
      </w:r>
      <w:r>
        <w:t>Artikel 3 – lid 2 – alinea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Het Gemengd Comité van Europese toezichthoudende autoriteiten legt die ontwerpen van technische uitvoeringsnormen uiterlijk [PB:  datu</w:t>
            </w:r>
            <w:r>
              <w:t xml:space="preserve">m invoegen </w:t>
            </w:r>
            <w:r>
              <w:rPr>
                <w:b/>
                <w:i/>
              </w:rPr>
              <w:t>drie</w:t>
            </w:r>
            <w:r>
              <w:t xml:space="preserve"> jaar na inwerkingtreding] voor aan de Commissie.</w:t>
            </w:r>
          </w:p>
        </w:tc>
        <w:tc>
          <w:tcPr>
            <w:tcW w:w="4876" w:type="dxa"/>
            <w:hideMark/>
          </w:tcPr>
          <w:p w:rsidR="00537F24" w:rsidRPr="006F3A74" w:rsidRDefault="002A3A59" w:rsidP="00F8632E">
            <w:pPr>
              <w:pStyle w:val="Normal6"/>
              <w:rPr>
                <w:szCs w:val="24"/>
              </w:rPr>
            </w:pPr>
            <w:r>
              <w:t xml:space="preserve">Het Gemengd Comité van Europese toezichthoudende autoriteiten legt die ontwerpen van technische uitvoeringsnormen uiterlijk [PB: datum invoegen </w:t>
            </w:r>
            <w:r>
              <w:rPr>
                <w:b/>
                <w:i/>
              </w:rPr>
              <w:t>twee</w:t>
            </w:r>
            <w:r>
              <w:t xml:space="preserve"> jaar na inwerkingtreding] voor aan de Comm</w:t>
            </w:r>
            <w:r>
              <w:t>issie.</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17</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3 – lid 3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tcPr>
          <w:p w:rsidR="00537F24" w:rsidRPr="006F3A74" w:rsidRDefault="00537F24" w:rsidP="00F8632E">
            <w:pPr>
              <w:pStyle w:val="Normal6"/>
              <w:rPr>
                <w:lang w:val="en-GB"/>
              </w:rPr>
            </w:pPr>
          </w:p>
        </w:tc>
        <w:tc>
          <w:tcPr>
            <w:tcW w:w="4876" w:type="dxa"/>
            <w:hideMark/>
          </w:tcPr>
          <w:p w:rsidR="00537F24" w:rsidRPr="006F3A74" w:rsidRDefault="002A3A59" w:rsidP="00F8632E">
            <w:pPr>
              <w:pStyle w:val="Normal6"/>
              <w:rPr>
                <w:szCs w:val="24"/>
              </w:rPr>
            </w:pPr>
            <w:r>
              <w:rPr>
                <w:b/>
                <w:i/>
              </w:rPr>
              <w:t>3 bis.</w:t>
            </w:r>
            <w:r>
              <w:rPr>
                <w:b/>
                <w:i/>
              </w:rPr>
              <w:tab/>
              <w:t xml:space="preserve">Entiteiten die op vrijwillige basis </w:t>
            </w:r>
            <w:r>
              <w:rPr>
                <w:b/>
                <w:i/>
              </w:rPr>
              <w:t>informatie bij een verzamelende instantie aanleveren, handelen te goeder trouw en zorgen ervoor dat de informatie billijk en nauwkeurig is en op duidelijke en niet-misleidende wijze openbaar wordt gemaakt.</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18</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3 – lid 3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tcPr>
          <w:p w:rsidR="00537F24" w:rsidRPr="006F3A74" w:rsidRDefault="00537F24" w:rsidP="00F8632E">
            <w:pPr>
              <w:pStyle w:val="Normal6"/>
              <w:rPr>
                <w:lang w:val="en-GB"/>
              </w:rPr>
            </w:pPr>
          </w:p>
        </w:tc>
        <w:tc>
          <w:tcPr>
            <w:tcW w:w="4876" w:type="dxa"/>
            <w:hideMark/>
          </w:tcPr>
          <w:p w:rsidR="00537F24" w:rsidRPr="006F3A74" w:rsidRDefault="002A3A59" w:rsidP="00F8632E">
            <w:pPr>
              <w:pStyle w:val="Normal6"/>
              <w:rPr>
                <w:szCs w:val="24"/>
              </w:rPr>
            </w:pPr>
            <w:r>
              <w:rPr>
                <w:b/>
                <w:i/>
              </w:rPr>
              <w:t>3 ter.</w:t>
            </w:r>
            <w:r>
              <w:rPr>
                <w:b/>
                <w:i/>
              </w:rPr>
              <w:tab/>
              <w:t xml:space="preserve">Informatie die op vrijwillige basis bij een verzamelende instantie wordt aangeleverd, wordt </w:t>
            </w:r>
            <w:r>
              <w:rPr>
                <w:b/>
                <w:i/>
              </w:rPr>
              <w:t>zodanig gepresenteerd dat gebruikers deze kunnen onderscheiden van informatie die op verplichte basis is verzameld.</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19</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4 – alinea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De ESMA maakt op het in artikel 7, lid 1, punt a), bedoelde webportaal een lijst van verzamelende instanties bekend met informatie over de Uniform Resource Locator (URL) van iedere verzamelende instantie.</w:t>
            </w:r>
          </w:p>
        </w:tc>
        <w:tc>
          <w:tcPr>
            <w:tcW w:w="4876" w:type="dxa"/>
            <w:hideMark/>
          </w:tcPr>
          <w:p w:rsidR="00537F24" w:rsidRPr="006F3A74" w:rsidRDefault="002A3A59" w:rsidP="00F8632E">
            <w:pPr>
              <w:pStyle w:val="Normal6"/>
              <w:rPr>
                <w:szCs w:val="24"/>
              </w:rPr>
            </w:pPr>
            <w:r>
              <w:t>D</w:t>
            </w:r>
            <w:r>
              <w:t xml:space="preserve">e ESMA maakt op het in artikel 7, lid 1, punt a), bedoelde webportaal een lijst van verzamelende instanties bekend met informatie over de </w:t>
            </w:r>
            <w:r>
              <w:rPr>
                <w:b/>
                <w:i/>
              </w:rPr>
              <w:t xml:space="preserve">naam, het adres, de lidstaat van oorsprong en de </w:t>
            </w:r>
            <w:r>
              <w:t>Uniform Resource Locator (URL) van iedere verzamelende instantie.</w:t>
            </w:r>
          </w:p>
        </w:tc>
      </w:tr>
    </w:tbl>
    <w:p w:rsidR="00537F24" w:rsidRPr="006F3A74" w:rsidRDefault="002A3A59" w:rsidP="00537F24">
      <w:r>
        <w:rPr>
          <w:rStyle w:val="HideTWBExt"/>
        </w:rPr>
        <w:t>&lt;/</w:t>
      </w:r>
      <w:r>
        <w:rPr>
          <w:rStyle w:val="HideTWBExt"/>
        </w:rPr>
        <w: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20</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5 – lid 1 – punt b –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ii)</w:t>
            </w:r>
            <w:r>
              <w:tab/>
              <w:t>de metadata als bepaald uit hoofde van lid 6, punt d),</w:t>
            </w:r>
            <w:r>
              <w:t xml:space="preserve"> zijn beschikbaar en volledig;</w:t>
            </w:r>
          </w:p>
        </w:tc>
        <w:tc>
          <w:tcPr>
            <w:tcW w:w="4876" w:type="dxa"/>
            <w:hideMark/>
          </w:tcPr>
          <w:p w:rsidR="00537F24" w:rsidRPr="006F3A74" w:rsidRDefault="002A3A59" w:rsidP="00F8632E">
            <w:pPr>
              <w:pStyle w:val="Normal6"/>
              <w:rPr>
                <w:szCs w:val="24"/>
              </w:rPr>
            </w:pPr>
            <w:r>
              <w:t>ii)</w:t>
            </w:r>
            <w:r>
              <w:tab/>
              <w:t>de metadata als bepaald uit hoofde van lid 6, punt d), zijn beschikbaar en volledig</w:t>
            </w:r>
            <w:r>
              <w:rPr>
                <w:b/>
                <w:i/>
              </w:rPr>
              <w:t xml:space="preserve"> en worden slechts bewaard zolang de informatie waarop zij betrekking hebben, is opgeslagen</w:t>
            </w:r>
            <w:r>
              <w:t>;</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21</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5 – lid 1 – punt f – inleidende formule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f)</w:t>
            </w:r>
            <w:r>
              <w:tab/>
              <w:t xml:space="preserve">zien erop toe dat de in artikel 1, lid 1, bedoelde informatie ten minste </w:t>
            </w:r>
            <w:r>
              <w:t xml:space="preserve">tien jaar op ESAP beschikbaar blijft, tenzij anders is vermeld in de artikel 1, lid 1, punt a), bedoelde wetgevingshandelingen. Persoonsgegevens in de uit hoofde van artikel 1, lid 1, aangeleverde informatie worden </w:t>
            </w:r>
            <w:r>
              <w:rPr>
                <w:b/>
                <w:i/>
              </w:rPr>
              <w:t>voor ten hoogste vijf jaar bewaard</w:t>
            </w:r>
            <w:r>
              <w:t xml:space="preserve"> en bes</w:t>
            </w:r>
            <w:r>
              <w:t>chikbaar gesteld, tenzij anders is vermeld in de artikel 1, lid 1, punt a), bedoelde wetgevingshandelingen.</w:t>
            </w:r>
          </w:p>
        </w:tc>
        <w:tc>
          <w:tcPr>
            <w:tcW w:w="4876" w:type="dxa"/>
            <w:hideMark/>
          </w:tcPr>
          <w:p w:rsidR="00537F24" w:rsidRPr="006F3A74" w:rsidRDefault="002A3A59" w:rsidP="00F8632E">
            <w:pPr>
              <w:pStyle w:val="Normal6"/>
              <w:rPr>
                <w:szCs w:val="24"/>
              </w:rPr>
            </w:pPr>
            <w:r>
              <w:t>f)</w:t>
            </w:r>
            <w:r>
              <w:tab/>
              <w:t>zien erop toe dat de in artikel 1, lid 1, bedoelde informatie ten minste tien jaar op ESAP beschikbaar blijft, tenzij anders is vermeld in de art</w:t>
            </w:r>
            <w:r>
              <w:t xml:space="preserve">ikel 1, lid 1, punt a), bedoelde wetgevingshandelingen. Persoonsgegevens in de uit hoofde van artikel 1, lid 1, aangeleverde informatie worden </w:t>
            </w:r>
            <w:r>
              <w:rPr>
                <w:b/>
                <w:i/>
              </w:rPr>
              <w:t>niet langer bewaard dan nodig</w:t>
            </w:r>
            <w:r>
              <w:t xml:space="preserve"> en </w:t>
            </w:r>
            <w:r>
              <w:rPr>
                <w:b/>
                <w:i/>
              </w:rPr>
              <w:t xml:space="preserve">in ieder geval niet langer </w:t>
            </w:r>
            <w:r>
              <w:t>beschikbaar gesteld</w:t>
            </w:r>
            <w:r>
              <w:rPr>
                <w:b/>
                <w:i/>
              </w:rPr>
              <w:t xml:space="preserve"> dan vijf jaar</w:t>
            </w:r>
            <w:r>
              <w:t>, tenzij anders is v</w:t>
            </w:r>
            <w:r>
              <w:t>ermeld in de artikel 1, lid 1, punt a), bedoelde wetgevingshandelingen.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22</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5 – lid 2 – inleidende formule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 xml:space="preserve">Door de Commissie </w:t>
            </w:r>
            <w:r>
              <w:t>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2.</w:t>
            </w:r>
            <w:r>
              <w:tab/>
              <w:t xml:space="preserve">Verzamelende instanties </w:t>
            </w:r>
            <w:r>
              <w:rPr>
                <w:b/>
                <w:i/>
              </w:rPr>
              <w:t>verwerpen</w:t>
            </w:r>
            <w:r>
              <w:t xml:space="preserve"> door entiteiten aangeleverde informatie in elk van de volgende gevallen:</w:t>
            </w:r>
          </w:p>
        </w:tc>
        <w:tc>
          <w:tcPr>
            <w:tcW w:w="4876" w:type="dxa"/>
            <w:hideMark/>
          </w:tcPr>
          <w:p w:rsidR="00537F24" w:rsidRPr="006F3A74" w:rsidRDefault="002A3A59" w:rsidP="00F8632E">
            <w:pPr>
              <w:pStyle w:val="Normal6"/>
              <w:rPr>
                <w:szCs w:val="24"/>
              </w:rPr>
            </w:pPr>
            <w:r>
              <w:t>2.</w:t>
            </w:r>
            <w:r>
              <w:tab/>
              <w:t xml:space="preserve">Verzamelende instanties </w:t>
            </w:r>
            <w:r>
              <w:rPr>
                <w:b/>
                <w:i/>
              </w:rPr>
              <w:t>zijn bevoegd om</w:t>
            </w:r>
            <w:r>
              <w:t xml:space="preserve"> door entiteiten aangeleverde informatie</w:t>
            </w:r>
            <w:r>
              <w:rPr>
                <w:b/>
                <w:i/>
              </w:rPr>
              <w:t xml:space="preserve"> te onderzoeken en te verwerpen</w:t>
            </w:r>
            <w:r>
              <w:t xml:space="preserve"> i</w:t>
            </w:r>
            <w:r>
              <w:t>n elk van de volgende gevallen: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23</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5 – lid 2 – punt b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tcPr>
          <w:p w:rsidR="00537F24" w:rsidRPr="006F3A74" w:rsidRDefault="00537F24" w:rsidP="00F8632E">
            <w:pPr>
              <w:pStyle w:val="Normal6"/>
              <w:rPr>
                <w:lang w:val="en-GB"/>
              </w:rPr>
            </w:pPr>
          </w:p>
        </w:tc>
        <w:tc>
          <w:tcPr>
            <w:tcW w:w="4876" w:type="dxa"/>
            <w:hideMark/>
          </w:tcPr>
          <w:p w:rsidR="00537F24" w:rsidRPr="006F3A74" w:rsidRDefault="002A3A59" w:rsidP="00F8632E">
            <w:pPr>
              <w:pStyle w:val="Normal6"/>
              <w:rPr>
                <w:szCs w:val="24"/>
              </w:rPr>
            </w:pPr>
            <w:r>
              <w:rPr>
                <w:b/>
                <w:i/>
              </w:rPr>
              <w:t>b bis)</w:t>
            </w:r>
            <w:r>
              <w:rPr>
                <w:b/>
                <w:i/>
              </w:rPr>
              <w:tab/>
              <w:t xml:space="preserve">indien </w:t>
            </w:r>
            <w:r>
              <w:rPr>
                <w:b/>
                <w:i/>
              </w:rPr>
              <w:t>blijkt dat entiteiten niet voldoen aan hun vereisten voor het indienen van persoonsgegevens als bedoeld in artikel 3, lid 1, punt d) en artikel 3, lid 3.</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24</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5 – lid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4.</w:t>
            </w:r>
            <w:r>
              <w:tab/>
              <w:t>Entiteiten borgen de nauwkeurigheid van de informatie die zij bij verzamelende instanties aanleveren.</w:t>
            </w:r>
          </w:p>
        </w:tc>
        <w:tc>
          <w:tcPr>
            <w:tcW w:w="4876" w:type="dxa"/>
            <w:hideMark/>
          </w:tcPr>
          <w:p w:rsidR="00537F24" w:rsidRPr="006F3A74" w:rsidRDefault="002A3A59" w:rsidP="00F8632E">
            <w:pPr>
              <w:pStyle w:val="Normal6"/>
              <w:rPr>
                <w:szCs w:val="24"/>
              </w:rPr>
            </w:pPr>
            <w:r>
              <w:t>4.</w:t>
            </w:r>
            <w:r>
              <w:tab/>
              <w:t xml:space="preserve">Entiteiten borgen de </w:t>
            </w:r>
            <w:r>
              <w:rPr>
                <w:b/>
                <w:i/>
              </w:rPr>
              <w:t xml:space="preserve">kwaliteit, volledigheid en </w:t>
            </w:r>
            <w:r>
              <w:t>nauwkeurigheid van de informatie die zij bij verzamelende instanties aanleveren.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25</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5 – lid 6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w:t>
            </w:r>
            <w:r>
              <w:t>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tcPr>
          <w:p w:rsidR="00537F24" w:rsidRPr="006F3A74" w:rsidRDefault="00537F24" w:rsidP="00F8632E">
            <w:pPr>
              <w:pStyle w:val="Normal6"/>
              <w:rPr>
                <w:lang w:val="en-GB"/>
              </w:rPr>
            </w:pPr>
          </w:p>
        </w:tc>
        <w:tc>
          <w:tcPr>
            <w:tcW w:w="4876" w:type="dxa"/>
            <w:hideMark/>
          </w:tcPr>
          <w:p w:rsidR="00537F24" w:rsidRPr="006F3A74" w:rsidRDefault="002A3A59" w:rsidP="00F8632E">
            <w:pPr>
              <w:pStyle w:val="Normal6"/>
              <w:rPr>
                <w:szCs w:val="24"/>
              </w:rPr>
            </w:pPr>
            <w:r>
              <w:rPr>
                <w:b/>
                <w:i/>
              </w:rPr>
              <w:t>6 bis.</w:t>
            </w:r>
            <w:r>
              <w:rPr>
                <w:b/>
                <w:i/>
              </w:rPr>
              <w:tab/>
              <w:t xml:space="preserve">Het Gemengd Comité van de Europese toezichthoudende autoriteiten ontwikkelt procedures om de samenwerking tussen verzamelende instanties en entiteiten te vergemakkelijken, met name door de aanlevering en intrekking van </w:t>
            </w:r>
            <w:r>
              <w:rPr>
                <w:b/>
                <w:i/>
              </w:rPr>
              <w:t>vrijwillige informatie te regelen, met inbegrip van, in voorkomend geval, relevante modellen. Bij de ontwikkeling van dergelijke procedures houdt het Gemengd Comité met name rekening met de behoeften van kleine en middelgrote ondernemingen.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w:t>
      </w:r>
      <w:r>
        <w:rPr>
          <w:rStyle w:val="HideTWBExt"/>
          <w:b w:val="0"/>
        </w:rPr>
        <w:t>d&gt;</w:t>
      </w:r>
      <w:r>
        <w:t>Amendement</w:t>
      </w:r>
      <w:r>
        <w:tab/>
      </w:r>
      <w:r>
        <w:tab/>
      </w:r>
      <w:r>
        <w:rPr>
          <w:rStyle w:val="HideTWBExt"/>
          <w:b w:val="0"/>
        </w:rPr>
        <w:t>&lt;NumAm&gt;</w:t>
      </w:r>
      <w:r>
        <w:t>26</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6 – alinea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 xml:space="preserve">De ESMA zet een effectief en evenredig IT-beveiligingsbeleid op voor ESAP en </w:t>
            </w:r>
            <w:r>
              <w:t>borgt de nodige niveaus van authenticiteit, beschikbaarheid, integriteit en niet-afwijzing van de op ESAP beschikbaar gestelde informatie en van de bescherming van persoonsgegevens.</w:t>
            </w:r>
          </w:p>
        </w:tc>
        <w:tc>
          <w:tcPr>
            <w:tcW w:w="4876" w:type="dxa"/>
            <w:hideMark/>
          </w:tcPr>
          <w:p w:rsidR="00537F24" w:rsidRPr="006F3A74" w:rsidRDefault="002A3A59" w:rsidP="00F8632E">
            <w:pPr>
              <w:pStyle w:val="Normal6"/>
              <w:rPr>
                <w:szCs w:val="24"/>
              </w:rPr>
            </w:pPr>
            <w:r>
              <w:t xml:space="preserve">De ESMA zet een effectief en evenredig IT-beveiligingsbeleid op voor ESAP </w:t>
            </w:r>
            <w:r>
              <w:t xml:space="preserve">en borgt de nodige niveaus van authenticiteit, beschikbaarheid, integriteit en niet-afwijzing van de op ESAP beschikbaar gestelde informatie en van de bescherming van persoonsgegevens. </w:t>
            </w:r>
            <w:r>
              <w:rPr>
                <w:b/>
                <w:i/>
              </w:rPr>
              <w:t>De ESMA voert periodieke beoordelingen van het IT-beveiligingsbeleid en</w:t>
            </w:r>
            <w:r>
              <w:rPr>
                <w:b/>
                <w:i/>
              </w:rPr>
              <w:t xml:space="preserve"> de cyberbeveiligingssituatie van ESAP uit, </w:t>
            </w:r>
            <w:r>
              <w:rPr>
                <w:b/>
                <w:i/>
              </w:rPr>
              <w:lastRenderedPageBreak/>
              <w:t>rekening houdend met veranderende Europese en internationale trends op het gebied van cyberbeveiliging en de laatste ontwikkelingen.</w:t>
            </w:r>
          </w:p>
        </w:tc>
      </w:tr>
    </w:tbl>
    <w:p w:rsidR="00537F24" w:rsidRPr="006F3A74" w:rsidRDefault="002A3A59" w:rsidP="00537F24">
      <w:r>
        <w:rPr>
          <w:rStyle w:val="HideTWBExt"/>
        </w:rPr>
        <w:lastRenderedPageBreak/>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27</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w:t>
      </w:r>
      <w:r>
        <w:t>ordening</w:t>
      </w:r>
      <w:r>
        <w:rPr>
          <w:rStyle w:val="HideTWBExt"/>
          <w:b w:val="0"/>
        </w:rPr>
        <w:t>&lt;/DocAmend&gt;</w:t>
      </w:r>
    </w:p>
    <w:p w:rsidR="00537F24" w:rsidRPr="006F3A74" w:rsidRDefault="002A3A59" w:rsidP="00537F24">
      <w:pPr>
        <w:pStyle w:val="NormalBold"/>
      </w:pPr>
      <w:r>
        <w:rPr>
          <w:rStyle w:val="HideTWBExt"/>
          <w:b w:val="0"/>
        </w:rPr>
        <w:t>&lt;Article&gt;</w:t>
      </w:r>
      <w:r>
        <w:t>Artikel 7 – lid 1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a)</w:t>
            </w:r>
            <w:r>
              <w:tab/>
              <w:t>een webportaal met een gebruiksvriendelijke interface in alle officiële talen van de Unie die toegang biedt tot de informatie in ESAP;</w:t>
            </w:r>
          </w:p>
        </w:tc>
        <w:tc>
          <w:tcPr>
            <w:tcW w:w="4876" w:type="dxa"/>
            <w:hideMark/>
          </w:tcPr>
          <w:p w:rsidR="00537F24" w:rsidRPr="006F3A74" w:rsidRDefault="002A3A59" w:rsidP="00F8632E">
            <w:pPr>
              <w:pStyle w:val="Normal6"/>
              <w:rPr>
                <w:szCs w:val="24"/>
              </w:rPr>
            </w:pPr>
            <w:r>
              <w:t>a)</w:t>
            </w:r>
            <w:r>
              <w:tab/>
              <w:t>een webportaal met een gebruiksvriendelijke interface</w:t>
            </w:r>
            <w:r>
              <w:rPr>
                <w:b/>
                <w:i/>
              </w:rPr>
              <w:t>, waarin rekening wordt gehouden met de speciale toegangsbehoeften van personen met een beperking en</w:t>
            </w:r>
            <w:r>
              <w:t xml:space="preserve"> in alle officiële talen van de Unie</w:t>
            </w:r>
            <w:r>
              <w:rPr>
                <w:b/>
                <w:i/>
              </w:rPr>
              <w:t>,</w:t>
            </w:r>
            <w:r>
              <w:t xml:space="preserve"> die toegang biedt tot de informatie in ESAP;</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28</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7 – lid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2.</w:t>
            </w:r>
            <w:r>
              <w:tab/>
              <w:t>De ESMA ziet erop toe dat ESAP uiterlijk 31 december 2025 de in lid 1, punten e) en</w:t>
            </w:r>
            <w:r>
              <w:t xml:space="preserve"> g), bedoelde functionaliteiten aanbiedt.</w:t>
            </w:r>
          </w:p>
        </w:tc>
        <w:tc>
          <w:tcPr>
            <w:tcW w:w="4876" w:type="dxa"/>
            <w:hideMark/>
          </w:tcPr>
          <w:p w:rsidR="00537F24" w:rsidRPr="006F3A74" w:rsidRDefault="002A3A59" w:rsidP="00F8632E">
            <w:pPr>
              <w:pStyle w:val="Normal6"/>
              <w:rPr>
                <w:szCs w:val="24"/>
              </w:rPr>
            </w:pPr>
            <w:r>
              <w:t>2.</w:t>
            </w:r>
            <w:r>
              <w:tab/>
              <w:t xml:space="preserve">De ESMA ziet erop toe dat ESAP uiterlijk 31 december 2025 de in lid 1, punten e) en g), bedoelde functionaliteiten aanbiedt. </w:t>
            </w:r>
            <w:r>
              <w:rPr>
                <w:b/>
                <w:i/>
              </w:rPr>
              <w:t>De ESMA zal voorzien in passende technische en organisatorische maatregelen om buitens</w:t>
            </w:r>
            <w:r>
              <w:rPr>
                <w:b/>
                <w:i/>
              </w:rPr>
              <w:t>porige openbaarmaking van persoonsgegevens via de downloadservice en de API te voorkomen. De ESMA zal voorzien in aanvullende waarborgen indien de openbaarmaking van persoonsgegevens via de downloadservice en de API persoonsgegevens van bijzonder gevoelige</w:t>
            </w:r>
            <w:r>
              <w:rPr>
                <w:b/>
                <w:i/>
              </w:rPr>
              <w:t xml:space="preserve"> aard betreft, zoals informatie omtrent administratieve maatregelen of andere sancties tegen natuurlijke personen.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29</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 xml:space="preserve">Artikel 7 – lid 3 – inleidende </w:t>
      </w:r>
      <w:r>
        <w:t>formule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3.</w:t>
            </w:r>
            <w:r>
              <w:tab/>
              <w:t>Met de in lid 1, punt c), bedoelde zoekfunctie moet het mogelijk zijn zoekopdrachten te verrichten op basis van de volgende metadata:</w:t>
            </w:r>
          </w:p>
        </w:tc>
        <w:tc>
          <w:tcPr>
            <w:tcW w:w="4876" w:type="dxa"/>
            <w:hideMark/>
          </w:tcPr>
          <w:p w:rsidR="00537F24" w:rsidRPr="006F3A74" w:rsidRDefault="002A3A59" w:rsidP="00F8632E">
            <w:pPr>
              <w:pStyle w:val="Normal6"/>
              <w:rPr>
                <w:szCs w:val="24"/>
              </w:rPr>
            </w:pPr>
            <w:r>
              <w:t>3.</w:t>
            </w:r>
            <w:r>
              <w:tab/>
              <w:t xml:space="preserve">Met de in lid 1, punt c), bedoelde zoekfunctie </w:t>
            </w:r>
            <w:r>
              <w:t xml:space="preserve">moet het mogelijk zijn zoekopdrachten te verrichten op basis van </w:t>
            </w:r>
            <w:r>
              <w:rPr>
                <w:b/>
                <w:i/>
              </w:rPr>
              <w:t xml:space="preserve">ten minste </w:t>
            </w:r>
            <w:r>
              <w:t>de volgende metadata:</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30</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8 – lid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 xml:space="preserve">Door de Commissie </w:t>
            </w:r>
            <w:r>
              <w:t>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1.</w:t>
            </w:r>
            <w:r>
              <w:tab/>
              <w:t xml:space="preserve">De </w:t>
            </w:r>
            <w:r>
              <w:rPr>
                <w:b/>
                <w:i/>
              </w:rPr>
              <w:t>ESMA</w:t>
            </w:r>
            <w:r>
              <w:t xml:space="preserve"> ziet erop toe dat zonder enige discriminatie toegang wordt verleend tot ESAP.</w:t>
            </w:r>
          </w:p>
        </w:tc>
        <w:tc>
          <w:tcPr>
            <w:tcW w:w="4876" w:type="dxa"/>
            <w:hideMark/>
          </w:tcPr>
          <w:p w:rsidR="00537F24" w:rsidRPr="006F3A74" w:rsidRDefault="002A3A59" w:rsidP="00F8632E">
            <w:pPr>
              <w:pStyle w:val="Normal6"/>
              <w:rPr>
                <w:szCs w:val="24"/>
              </w:rPr>
            </w:pPr>
            <w:r>
              <w:t>1.</w:t>
            </w:r>
            <w:r>
              <w:tab/>
            </w:r>
            <w:r>
              <w:rPr>
                <w:b/>
                <w:i/>
              </w:rPr>
              <w:t>Om</w:t>
            </w:r>
            <w:r>
              <w:t xml:space="preserve"> de </w:t>
            </w:r>
            <w:r>
              <w:rPr>
                <w:b/>
                <w:i/>
              </w:rPr>
              <w:t>transparantie en de soepele werking van Europese kapitaalmarkten te bevorderen,</w:t>
            </w:r>
            <w:r>
              <w:t xml:space="preserve"> ziet</w:t>
            </w:r>
            <w:r>
              <w:rPr>
                <w:b/>
                <w:i/>
              </w:rPr>
              <w:t xml:space="preserve"> de ESMA</w:t>
            </w:r>
            <w:r>
              <w:t xml:space="preserve"> erop toe dat zonder enige discrimi</w:t>
            </w:r>
            <w:r>
              <w:t>natie toegang wordt verleend tot ESAP.</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31</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8 – lid 4 – inleidende formule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4.</w:t>
            </w:r>
            <w:r>
              <w:tab/>
            </w:r>
            <w:r>
              <w:t xml:space="preserve">Voor de toepassing van lid 2, tweede alinea, </w:t>
            </w:r>
            <w:r>
              <w:rPr>
                <w:b/>
                <w:i/>
              </w:rPr>
              <w:t>kan</w:t>
            </w:r>
            <w:r>
              <w:t xml:space="preserve"> de ESMA ontwerpen van technische uitvoeringsnormen</w:t>
            </w:r>
            <w:r>
              <w:rPr>
                <w:b/>
                <w:i/>
              </w:rPr>
              <w:t xml:space="preserve"> ontwikkelen</w:t>
            </w:r>
            <w:r>
              <w:t xml:space="preserve"> om de aard en de omvang te bepalen van de specifieke diensten waarvoor vergoedingen kunnen worden berekend, en om de daarmee samenhangende vergo</w:t>
            </w:r>
            <w:r>
              <w:t>edingsstructuur vast te stellen.</w:t>
            </w:r>
          </w:p>
        </w:tc>
        <w:tc>
          <w:tcPr>
            <w:tcW w:w="4876" w:type="dxa"/>
            <w:hideMark/>
          </w:tcPr>
          <w:p w:rsidR="00537F24" w:rsidRPr="006F3A74" w:rsidRDefault="002A3A59" w:rsidP="00F8632E">
            <w:pPr>
              <w:pStyle w:val="Normal6"/>
              <w:rPr>
                <w:szCs w:val="24"/>
              </w:rPr>
            </w:pPr>
            <w:r>
              <w:t>4.</w:t>
            </w:r>
            <w:r>
              <w:tab/>
              <w:t xml:space="preserve">Voor de toepassing van lid 2, tweede alinea, </w:t>
            </w:r>
            <w:r>
              <w:rPr>
                <w:b/>
                <w:i/>
              </w:rPr>
              <w:t>ontwikkelt</w:t>
            </w:r>
            <w:r>
              <w:t xml:space="preserve"> de ESMA ontwerpen van technische uitvoeringsnormen om de aard en de omvang te bepalen van de specifieke diensten waarvoor vergoedingen kunnen worden berekend, en om de daarmee samenhangende vergoedingsstructuur vast te stellen.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32</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10 – lid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1.</w:t>
            </w:r>
            <w:r>
              <w:tab/>
              <w:t>De ESMA voert</w:t>
            </w:r>
            <w:r>
              <w:rPr>
                <w:b/>
                <w:i/>
              </w:rPr>
              <w:t xml:space="preserve"> geautomatiseerde</w:t>
            </w:r>
            <w:r>
              <w:t xml:space="preserve"> validaties uit om zich ervan te vergewissen dat de door verza</w:t>
            </w:r>
            <w:r>
              <w:t>melende instanties aangeleverde informatie aan de vereisten van artikel 5, lid 1, punt b), voldoet.</w:t>
            </w:r>
          </w:p>
        </w:tc>
        <w:tc>
          <w:tcPr>
            <w:tcW w:w="4876" w:type="dxa"/>
            <w:hideMark/>
          </w:tcPr>
          <w:p w:rsidR="00537F24" w:rsidRPr="006F3A74" w:rsidRDefault="002A3A59" w:rsidP="00F8632E">
            <w:pPr>
              <w:pStyle w:val="Normal6"/>
              <w:rPr>
                <w:szCs w:val="24"/>
              </w:rPr>
            </w:pPr>
            <w:r>
              <w:t>1.</w:t>
            </w:r>
            <w:r>
              <w:tab/>
              <w:t>De ESMA voert</w:t>
            </w:r>
            <w:r>
              <w:rPr>
                <w:b/>
                <w:i/>
              </w:rPr>
              <w:t>, indien mogelijk op geautomatiseerde wijze,</w:t>
            </w:r>
            <w:r>
              <w:t xml:space="preserve"> validaties uit om zich ervan te vergewissen dat de door verzamelende instanties aangeleverde in</w:t>
            </w:r>
            <w:r>
              <w:t>formatie aan de vereisten van artikel 5, lid 1, punt b), voldoet.</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33</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11 – lid 1 – punt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c)</w:t>
            </w:r>
            <w:r>
              <w:tab/>
              <w:t xml:space="preserve">zij borgt dat ESAP </w:t>
            </w:r>
            <w:r>
              <w:rPr>
                <w:b/>
                <w:i/>
              </w:rPr>
              <w:t>per maand ten minste 95 %</w:t>
            </w:r>
            <w:r>
              <w:t xml:space="preserve"> van </w:t>
            </w:r>
            <w:r>
              <w:rPr>
                <w:b/>
                <w:i/>
              </w:rPr>
              <w:t>de tijd toegankelijk is</w:t>
            </w:r>
            <w:r>
              <w:t>;</w:t>
            </w:r>
          </w:p>
        </w:tc>
        <w:tc>
          <w:tcPr>
            <w:tcW w:w="4876" w:type="dxa"/>
            <w:hideMark/>
          </w:tcPr>
          <w:p w:rsidR="00537F24" w:rsidRPr="006F3A74" w:rsidRDefault="002A3A59" w:rsidP="00F8632E">
            <w:pPr>
              <w:pStyle w:val="Normal6"/>
              <w:rPr>
                <w:szCs w:val="24"/>
              </w:rPr>
            </w:pPr>
            <w:r>
              <w:t>c)</w:t>
            </w:r>
            <w:r>
              <w:tab/>
              <w:t xml:space="preserve">zij borgt dat ESAP </w:t>
            </w:r>
            <w:r>
              <w:rPr>
                <w:b/>
                <w:i/>
              </w:rPr>
              <w:t>toegankelijk is buiten de periodes</w:t>
            </w:r>
            <w:r>
              <w:t xml:space="preserve"> van </w:t>
            </w:r>
            <w:r>
              <w:rPr>
                <w:b/>
                <w:i/>
              </w:rPr>
              <w:t>noodzakelijk technisch onderhoud</w:t>
            </w:r>
            <w:r>
              <w:t>;</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34</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 xml:space="preserve">Voorstel voor </w:t>
      </w:r>
      <w:r>
        <w:t>een verordening</w:t>
      </w:r>
      <w:r>
        <w:rPr>
          <w:rStyle w:val="HideTWBExt"/>
          <w:b w:val="0"/>
        </w:rPr>
        <w:t>&lt;/DocAmend&gt;</w:t>
      </w:r>
    </w:p>
    <w:p w:rsidR="00537F24" w:rsidRPr="006F3A74" w:rsidRDefault="002A3A59" w:rsidP="00537F24">
      <w:pPr>
        <w:pStyle w:val="NormalBold"/>
      </w:pPr>
      <w:r>
        <w:rPr>
          <w:rStyle w:val="HideTWBExt"/>
          <w:b w:val="0"/>
        </w:rPr>
        <w:t>&lt;Article&gt;</w:t>
      </w:r>
      <w:r>
        <w:t>Artikel 11 – lid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3.</w:t>
            </w:r>
            <w:r>
              <w:tab/>
              <w:t>De ESMA slaat geen informatie op die persoonsgegevens bevat, tenzij ten behoeve van automatische, intermediaire en tijdelijke verwerking,</w:t>
            </w:r>
            <w:r>
              <w:t xml:space="preserve"> daaronder begrepen de opslag van die informatie voor zover strikt noodzakelijk om toegang te verlenen tot informatie die door de verzamelende instanties wordt verschaft.</w:t>
            </w:r>
          </w:p>
        </w:tc>
        <w:tc>
          <w:tcPr>
            <w:tcW w:w="4876" w:type="dxa"/>
            <w:hideMark/>
          </w:tcPr>
          <w:p w:rsidR="00537F24" w:rsidRPr="006F3A74" w:rsidRDefault="002A3A59" w:rsidP="00F8632E">
            <w:pPr>
              <w:pStyle w:val="Normal6"/>
              <w:rPr>
                <w:szCs w:val="24"/>
              </w:rPr>
            </w:pPr>
            <w:r>
              <w:t>3.</w:t>
            </w:r>
            <w:r>
              <w:tab/>
              <w:t>De ESMA slaat geen informatie op die persoonsgegevens bevat, tenzij ten behoeve va</w:t>
            </w:r>
            <w:r>
              <w:t xml:space="preserve">n automatische, intermediaire en tijdelijke verwerking, daaronder begrepen de opslag van die informatie voor zover strikt noodzakelijk om toegang te verlenen tot informatie die door de verzamelende instanties wordt verschaft. </w:t>
            </w:r>
            <w:r>
              <w:rPr>
                <w:b/>
                <w:i/>
              </w:rPr>
              <w:t>De ESMA zal ook passende techn</w:t>
            </w:r>
            <w:r>
              <w:rPr>
                <w:b/>
                <w:i/>
              </w:rPr>
              <w:t>ische en organisatorische maatregelen nemen om te waarborgen dat de informatie niet langer wordt bewaard dan bepaald in punt f) van artikel 5, lid 1, van deze Verordening.</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35</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lastRenderedPageBreak/>
        <w:t>&lt;DocAmend&gt;</w:t>
      </w:r>
      <w:r>
        <w:t>Voorstel voor een verorden</w:t>
      </w:r>
      <w:r>
        <w:t>ing</w:t>
      </w:r>
      <w:r>
        <w:rPr>
          <w:rStyle w:val="HideTWBExt"/>
          <w:b w:val="0"/>
        </w:rPr>
        <w:t>&lt;/DocAmend&gt;</w:t>
      </w:r>
    </w:p>
    <w:p w:rsidR="00537F24" w:rsidRPr="006F3A74" w:rsidRDefault="002A3A59" w:rsidP="00537F24">
      <w:pPr>
        <w:pStyle w:val="NormalBold"/>
      </w:pPr>
      <w:r>
        <w:rPr>
          <w:rStyle w:val="HideTWBExt"/>
          <w:b w:val="0"/>
        </w:rPr>
        <w:t>&lt;Article&gt;</w:t>
      </w:r>
      <w:r>
        <w:t>Artikel 12 – lid 2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a)</w:t>
            </w:r>
            <w:r>
              <w:tab/>
              <w:t>het aantal bezoekers en zoekopdrachten;</w:t>
            </w:r>
          </w:p>
        </w:tc>
        <w:tc>
          <w:tcPr>
            <w:tcW w:w="4876" w:type="dxa"/>
            <w:hideMark/>
          </w:tcPr>
          <w:p w:rsidR="00537F24" w:rsidRPr="006F3A74" w:rsidRDefault="002A3A59" w:rsidP="00F8632E">
            <w:pPr>
              <w:pStyle w:val="Normal6"/>
              <w:rPr>
                <w:szCs w:val="24"/>
              </w:rPr>
            </w:pPr>
            <w:r>
              <w:t>a)</w:t>
            </w:r>
            <w:r>
              <w:tab/>
              <w:t>het aantal bezoekers</w:t>
            </w:r>
            <w:r>
              <w:rPr>
                <w:b/>
                <w:i/>
              </w:rPr>
              <w:t>, met inbegrip van unieke bezoekers,</w:t>
            </w:r>
            <w:r>
              <w:t xml:space="preserve"> en zoekopdrachten;</w:t>
            </w:r>
          </w:p>
        </w:tc>
      </w:tr>
    </w:tbl>
    <w:p w:rsidR="00537F24" w:rsidRPr="006F3A74" w:rsidRDefault="002A3A59" w:rsidP="00537F24">
      <w:r>
        <w:rPr>
          <w:rStyle w:val="HideTWBExt"/>
        </w:rPr>
        <w:t>&lt;/Amend&gt;</w:t>
      </w:r>
    </w:p>
    <w:p w:rsidR="00537F24" w:rsidRPr="006F3A74" w:rsidRDefault="002A3A59" w:rsidP="00537F24">
      <w:pPr>
        <w:pStyle w:val="AmNumberTabs"/>
      </w:pPr>
      <w:r>
        <w:rPr>
          <w:rStyle w:val="HideTWBExt"/>
          <w:b w:val="0"/>
        </w:rPr>
        <w:t>&lt;Amend&gt;</w:t>
      </w:r>
      <w:r>
        <w:t>Amendement</w:t>
      </w:r>
      <w:r>
        <w:tab/>
      </w:r>
      <w:r>
        <w:tab/>
      </w:r>
      <w:r>
        <w:rPr>
          <w:rStyle w:val="HideTWBExt"/>
          <w:b w:val="0"/>
        </w:rPr>
        <w:t>&lt;NumAm&gt;</w:t>
      </w:r>
      <w:r>
        <w:t>36</w:t>
      </w:r>
      <w:r>
        <w:rPr>
          <w:rStyle w:val="HideTWBExt"/>
          <w:b w:val="0"/>
        </w:rPr>
        <w:t>&lt;/NumAm&gt;</w:t>
      </w:r>
    </w:p>
    <w:p w:rsidR="00537F24" w:rsidRPr="006F3A74" w:rsidRDefault="00537F24" w:rsidP="00537F24"/>
    <w:p w:rsidR="00537F24" w:rsidRPr="006F3A74" w:rsidRDefault="002A3A59" w:rsidP="00537F24">
      <w:pPr>
        <w:pStyle w:val="NormalBold"/>
        <w:keepNext/>
      </w:pPr>
      <w:r>
        <w:rPr>
          <w:rStyle w:val="HideTWBExt"/>
          <w:b w:val="0"/>
        </w:rPr>
        <w:t>&lt;DocAmend&gt;</w:t>
      </w:r>
      <w:r>
        <w:t>Voorstel voor een verordening</w:t>
      </w:r>
      <w:r>
        <w:rPr>
          <w:rStyle w:val="HideTWBExt"/>
          <w:b w:val="0"/>
        </w:rPr>
        <w:t>&lt;/DocAmend&gt;</w:t>
      </w:r>
    </w:p>
    <w:p w:rsidR="00537F24" w:rsidRPr="006F3A74" w:rsidRDefault="002A3A59" w:rsidP="00537F24">
      <w:pPr>
        <w:pStyle w:val="NormalBold"/>
      </w:pPr>
      <w:r>
        <w:rPr>
          <w:rStyle w:val="HideTWBExt"/>
          <w:b w:val="0"/>
        </w:rPr>
        <w:t>&lt;Article&gt;</w:t>
      </w:r>
      <w:r>
        <w:t>Artikel 13 – alinea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3B8B" w:rsidTr="00F8632E">
        <w:trPr>
          <w:jc w:val="center"/>
        </w:trPr>
        <w:tc>
          <w:tcPr>
            <w:tcW w:w="9752" w:type="dxa"/>
            <w:gridSpan w:val="2"/>
          </w:tcPr>
          <w:p w:rsidR="00537F24" w:rsidRPr="006F3A74" w:rsidRDefault="00537F24" w:rsidP="00F8632E">
            <w:pPr>
              <w:keepNext/>
            </w:pPr>
          </w:p>
        </w:tc>
      </w:tr>
      <w:tr w:rsidR="00BC3B8B" w:rsidTr="00F8632E">
        <w:trPr>
          <w:jc w:val="center"/>
        </w:trPr>
        <w:tc>
          <w:tcPr>
            <w:tcW w:w="4876" w:type="dxa"/>
            <w:hideMark/>
          </w:tcPr>
          <w:p w:rsidR="00537F24" w:rsidRPr="006F3A74" w:rsidRDefault="002A3A59" w:rsidP="00F8632E">
            <w:pPr>
              <w:pStyle w:val="ColumnHeading"/>
              <w:keepNext/>
            </w:pPr>
            <w:r>
              <w:t>Door de Commissie voorgestelde tekst</w:t>
            </w:r>
          </w:p>
        </w:tc>
        <w:tc>
          <w:tcPr>
            <w:tcW w:w="4876" w:type="dxa"/>
            <w:hideMark/>
          </w:tcPr>
          <w:p w:rsidR="00537F24" w:rsidRPr="006F3A74" w:rsidRDefault="002A3A59" w:rsidP="00F8632E">
            <w:pPr>
              <w:pStyle w:val="ColumnHeading"/>
              <w:keepNext/>
            </w:pPr>
            <w:r>
              <w:t>Amendement</w:t>
            </w:r>
          </w:p>
        </w:tc>
      </w:tr>
      <w:tr w:rsidR="00BC3B8B" w:rsidTr="00F8632E">
        <w:trPr>
          <w:jc w:val="center"/>
        </w:trPr>
        <w:tc>
          <w:tcPr>
            <w:tcW w:w="4876" w:type="dxa"/>
            <w:hideMark/>
          </w:tcPr>
          <w:p w:rsidR="00537F24" w:rsidRPr="006F3A74" w:rsidRDefault="002A3A59" w:rsidP="00F8632E">
            <w:pPr>
              <w:pStyle w:val="Normal6"/>
            </w:pPr>
            <w:r>
              <w:t xml:space="preserve">Uiterlijk [PB: datum invoegen vijf jaar na inwerkingtreding van deze verordening] </w:t>
            </w:r>
            <w:r>
              <w:t>evalueert de Commissie het functioneren van ESAP en beoordeelt zij de doeltreffendheid ervan. De Commissie dient bij het Europees Parlement en bij de Raad een verslag in over de uitkomsten van deze evaluatie.</w:t>
            </w:r>
          </w:p>
        </w:tc>
        <w:tc>
          <w:tcPr>
            <w:tcW w:w="4876" w:type="dxa"/>
            <w:hideMark/>
          </w:tcPr>
          <w:p w:rsidR="00537F24" w:rsidRPr="006F3A74" w:rsidRDefault="002A3A59" w:rsidP="00F8632E">
            <w:pPr>
              <w:pStyle w:val="Normal6"/>
              <w:rPr>
                <w:szCs w:val="24"/>
              </w:rPr>
            </w:pPr>
            <w:r>
              <w:t>Uiterlijk [PB: datum invoegen vijf jaar na inwe</w:t>
            </w:r>
            <w:r>
              <w:t xml:space="preserve">rkingtreding van deze verordening] evalueert de Commissie het functioneren van ESAP en beoordeelt zij de doeltreffendheid ervan. De </w:t>
            </w:r>
            <w:r>
              <w:rPr>
                <w:b/>
                <w:i/>
              </w:rPr>
              <w:t>evaluatie gaat gepaard met een overzicht van bestaande lacunes in de gegevens in ESAP en een strategie voor de aanpak daarva</w:t>
            </w:r>
            <w:r>
              <w:rPr>
                <w:b/>
                <w:i/>
              </w:rPr>
              <w:t xml:space="preserve">n. De evaluatie kan ook een effectbeoordeling van deze Verordening ten aanzien van de marktpositie van de entiteiten bevatten. De </w:t>
            </w:r>
            <w:r>
              <w:t>Commissie dient bij het Europees Parlement en bij de Raad een verslag in over de uitkomsten van deze evaluatie.</w:t>
            </w:r>
          </w:p>
        </w:tc>
      </w:tr>
    </w:tbl>
    <w:p w:rsidR="00537F24" w:rsidRPr="006F3A74" w:rsidRDefault="002A3A59" w:rsidP="00537F24">
      <w:r>
        <w:rPr>
          <w:rStyle w:val="HideTWBExt"/>
        </w:rPr>
        <w:t>&lt;/Amend&gt;</w:t>
      </w:r>
    </w:p>
    <w:p w:rsidR="00537F24" w:rsidRPr="005D512F" w:rsidRDefault="002A3A59" w:rsidP="00537F24">
      <w:pPr>
        <w:pStyle w:val="AMNumberTabs0"/>
        <w:keepNext/>
      </w:pPr>
      <w:r>
        <w:rPr>
          <w:rStyle w:val="HideTWBExt"/>
        </w:rPr>
        <w:t>&lt;/Re</w:t>
      </w:r>
      <w:r>
        <w:rPr>
          <w:rStyle w:val="HideTWBExt"/>
        </w:rPr>
        <w:t>peatBlock-Amend&gt;</w:t>
      </w:r>
    </w:p>
    <w:p w:rsidR="000C1918" w:rsidRPr="005D512F" w:rsidRDefault="000C1918" w:rsidP="000C1918"/>
    <w:p w:rsidR="00DE204A" w:rsidRPr="00DE204A" w:rsidRDefault="002A3A59" w:rsidP="00DE204A">
      <w:r>
        <w:br w:type="page"/>
      </w:r>
    </w:p>
    <w:p w:rsidR="00DE204A" w:rsidRDefault="002A3A59" w:rsidP="00DE204A">
      <w:pPr>
        <w:pStyle w:val="PageHeadingNotTOC"/>
      </w:pPr>
      <w:bookmarkStart w:id="1" w:name="ProcPageAD"/>
      <w:r>
        <w:lastRenderedPageBreak/>
        <w:t>PROCEDURE VAN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C3B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Oprichting van een Europees centraal toegangspunt dat gecentraliseerde toegang biedt tot voor financiële diensten, kapitaalmarkten en duurzaamheid relevante publiek beschikbare informatie</w:t>
            </w:r>
          </w:p>
        </w:tc>
      </w:tr>
      <w:tr w:rsidR="00BC3B8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COM(2021)0723 – C9-0434/2021 – 2021/0378(COD)</w:t>
            </w:r>
          </w:p>
        </w:tc>
      </w:tr>
      <w:tr w:rsidR="00BC3B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Bevoegde commissie</w:t>
            </w:r>
          </w:p>
          <w:p w:rsidR="00DE204A" w:rsidRDefault="002A3A59">
            <w:pPr>
              <w:autoSpaceDE w:val="0"/>
              <w:autoSpaceDN w:val="0"/>
              <w:adjustRightInd w:val="0"/>
              <w:rPr>
                <w:color w:val="000000"/>
                <w:sz w:val="20"/>
                <w:szCs w:val="20"/>
              </w:rPr>
            </w:pPr>
            <w:r>
              <w:rPr>
                <w:color w:val="000000"/>
                <w:sz w:val="20"/>
              </w:rPr>
              <w:t>       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ECON</w:t>
            </w:r>
          </w:p>
          <w:p w:rsidR="00DE204A" w:rsidRDefault="002A3A59">
            <w:pPr>
              <w:autoSpaceDE w:val="0"/>
              <w:autoSpaceDN w:val="0"/>
              <w:adjustRightInd w:val="0"/>
              <w:rPr>
                <w:color w:val="000000"/>
                <w:sz w:val="20"/>
                <w:szCs w:val="20"/>
              </w:rPr>
            </w:pPr>
            <w:r>
              <w:rPr>
                <w:color w:val="000000"/>
                <w:sz w:val="20"/>
              </w:rPr>
              <w:t>14.2.2022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E204A" w:rsidRDefault="00DE204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E204A" w:rsidRDefault="00DE204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E204A" w:rsidRDefault="00DE204A">
            <w:pPr>
              <w:autoSpaceDE w:val="0"/>
              <w:autoSpaceDN w:val="0"/>
              <w:adjustRightInd w:val="0"/>
              <w:rPr>
                <w:rFonts w:ascii="sans-serif" w:hAnsi="sans-serif" w:cs="sans-serif"/>
                <w:color w:val="000000"/>
              </w:rPr>
            </w:pPr>
          </w:p>
        </w:tc>
      </w:tr>
      <w:tr w:rsidR="00BC3B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Advies uitgebracht door</w:t>
            </w:r>
          </w:p>
          <w:p w:rsidR="00DE204A" w:rsidRDefault="002A3A59">
            <w:pPr>
              <w:autoSpaceDE w:val="0"/>
              <w:autoSpaceDN w:val="0"/>
              <w:adjustRightInd w:val="0"/>
              <w:rPr>
                <w:color w:val="000000"/>
                <w:sz w:val="20"/>
                <w:szCs w:val="20"/>
              </w:rPr>
            </w:pPr>
            <w:r>
              <w:rPr>
                <w:color w:val="000000"/>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LIBE</w:t>
            </w:r>
          </w:p>
          <w:p w:rsidR="00DE204A" w:rsidRDefault="002A3A59">
            <w:pPr>
              <w:autoSpaceDE w:val="0"/>
              <w:autoSpaceDN w:val="0"/>
              <w:adjustRightInd w:val="0"/>
              <w:rPr>
                <w:color w:val="000000"/>
                <w:sz w:val="20"/>
                <w:szCs w:val="20"/>
              </w:rPr>
            </w:pPr>
            <w:r>
              <w:rPr>
                <w:color w:val="000000"/>
                <w:sz w:val="20"/>
              </w:rPr>
              <w:t>14.2.2022</w:t>
            </w:r>
          </w:p>
        </w:tc>
      </w:tr>
      <w:tr w:rsidR="00BC3B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Rapporteur voor advies</w:t>
            </w:r>
          </w:p>
          <w:p w:rsidR="00DE204A" w:rsidRDefault="002A3A59">
            <w:pPr>
              <w:autoSpaceDE w:val="0"/>
              <w:autoSpaceDN w:val="0"/>
              <w:adjustRightInd w:val="0"/>
              <w:rPr>
                <w:color w:val="000000"/>
                <w:sz w:val="20"/>
                <w:szCs w:val="20"/>
              </w:rPr>
            </w:pPr>
            <w:r>
              <w:rPr>
                <w:color w:val="000000"/>
                <w:sz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Emil Radev</w:t>
            </w:r>
          </w:p>
          <w:p w:rsidR="00DE204A" w:rsidRDefault="002A3A59">
            <w:pPr>
              <w:autoSpaceDE w:val="0"/>
              <w:autoSpaceDN w:val="0"/>
              <w:adjustRightInd w:val="0"/>
              <w:rPr>
                <w:color w:val="000000"/>
                <w:sz w:val="20"/>
                <w:szCs w:val="20"/>
              </w:rPr>
            </w:pPr>
            <w:r>
              <w:rPr>
                <w:color w:val="000000"/>
                <w:sz w:val="20"/>
              </w:rPr>
              <w:t>30.5.2022</w:t>
            </w:r>
          </w:p>
        </w:tc>
      </w:tr>
      <w:tr w:rsidR="00BC3B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Behandeling 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10.10.2022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E204A" w:rsidRDefault="00DE204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E204A" w:rsidRDefault="00DE204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E204A" w:rsidRDefault="00DE204A">
            <w:pPr>
              <w:autoSpaceDE w:val="0"/>
              <w:autoSpaceDN w:val="0"/>
              <w:adjustRightInd w:val="0"/>
              <w:rPr>
                <w:rFonts w:ascii="sans-serif" w:hAnsi="sans-serif" w:cs="sans-serif"/>
                <w:color w:val="000000"/>
              </w:rPr>
            </w:pPr>
          </w:p>
        </w:tc>
      </w:tr>
      <w:tr w:rsidR="00BC3B8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12.1.2023</w:t>
            </w:r>
          </w:p>
        </w:tc>
        <w:tc>
          <w:tcPr>
            <w:tcW w:w="1474" w:type="dxa"/>
            <w:tcBorders>
              <w:top w:val="nil"/>
              <w:left w:val="nil"/>
              <w:bottom w:val="single" w:sz="8" w:space="0" w:color="000000"/>
              <w:right w:val="nil"/>
            </w:tcBorders>
            <w:tcMar>
              <w:top w:w="79" w:type="dxa"/>
              <w:left w:w="79" w:type="dxa"/>
              <w:bottom w:w="79" w:type="dxa"/>
              <w:right w:w="79" w:type="dxa"/>
            </w:tcMar>
          </w:tcPr>
          <w:p w:rsidR="00DE204A" w:rsidRDefault="00DE204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E204A" w:rsidRDefault="00DE204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E204A" w:rsidRDefault="00DE204A">
            <w:pPr>
              <w:autoSpaceDE w:val="0"/>
              <w:autoSpaceDN w:val="0"/>
              <w:adjustRightInd w:val="0"/>
              <w:rPr>
                <w:rFonts w:ascii="sans-serif" w:hAnsi="sans-serif" w:cs="sans-serif"/>
                <w:color w:val="000000"/>
              </w:rPr>
            </w:pPr>
          </w:p>
        </w:tc>
      </w:tr>
      <w:tr w:rsidR="00BC3B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w:t>
            </w:r>
          </w:p>
          <w:p w:rsidR="00DE204A" w:rsidRDefault="002A3A59">
            <w:pPr>
              <w:autoSpaceDE w:val="0"/>
              <w:autoSpaceDN w:val="0"/>
              <w:adjustRightInd w:val="0"/>
              <w:rPr>
                <w:color w:val="000000"/>
                <w:sz w:val="20"/>
                <w:szCs w:val="20"/>
              </w:rPr>
            </w:pPr>
            <w:r>
              <w:rPr>
                <w:color w:val="000000"/>
                <w:sz w:val="20"/>
              </w:rPr>
              <w:t>–:</w:t>
            </w:r>
          </w:p>
          <w:p w:rsidR="00DE204A" w:rsidRDefault="002A3A59">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59</w:t>
            </w:r>
          </w:p>
          <w:p w:rsidR="00DE204A" w:rsidRDefault="002A3A59">
            <w:pPr>
              <w:autoSpaceDE w:val="0"/>
              <w:autoSpaceDN w:val="0"/>
              <w:adjustRightInd w:val="0"/>
              <w:rPr>
                <w:color w:val="000000"/>
                <w:sz w:val="20"/>
                <w:szCs w:val="20"/>
              </w:rPr>
            </w:pPr>
            <w:r>
              <w:rPr>
                <w:color w:val="000000"/>
                <w:sz w:val="20"/>
              </w:rPr>
              <w:t>0</w:t>
            </w:r>
          </w:p>
          <w:p w:rsidR="00DE204A" w:rsidRDefault="002A3A59">
            <w:pPr>
              <w:autoSpaceDE w:val="0"/>
              <w:autoSpaceDN w:val="0"/>
              <w:adjustRightInd w:val="0"/>
              <w:rPr>
                <w:color w:val="000000"/>
                <w:sz w:val="20"/>
                <w:szCs w:val="20"/>
              </w:rPr>
            </w:pPr>
            <w:r>
              <w:rPr>
                <w:color w:val="000000"/>
                <w:sz w:val="20"/>
              </w:rPr>
              <w:t>3</w:t>
            </w:r>
          </w:p>
        </w:tc>
      </w:tr>
      <w:tr w:rsidR="00BC3B8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 xml:space="preserve">Abir Al-Sahlani, Malik Azmani, Vladimír Bilčík, Malin Björk, Vasile Blaga, Patrick </w:t>
            </w:r>
            <w:r>
              <w:rPr>
                <w:color w:val="000000"/>
                <w:sz w:val="20"/>
              </w:rPr>
              <w:t>Breyer, Saskia Bricmont, Joachim Stanisław Brudziński, Jorge Buxadé Villalba, Patricia Chagnon, Clare Daly, Lena Düpont, Lucia Ďuriš Nicholsonová, Laura Ferrara, Andrzej Halicki, Evin Incir, Sophia in ‘t Veld, Patryk Jaki, Marina Kaljurand, Fabienne Keller</w:t>
            </w:r>
            <w:r>
              <w:rPr>
                <w:color w:val="000000"/>
                <w:sz w:val="20"/>
              </w:rPr>
              <w:t>, Łukasz Kohut, Moritz Körner, Alice Kuhnke, Jeroen Lenaers, Juan Fernando López Aguilar, Lukas Mandl, Erik Marquardt, Nadine Morano, Javier Moreno Sánchez, Theresa Muigg, Maite Pagazaurtundúa, Paulo Rangel, Karlo Ressler, Isabel Santos, Birgit Sippel, Sar</w:t>
            </w:r>
            <w:r>
              <w:rPr>
                <w:color w:val="000000"/>
                <w:sz w:val="20"/>
              </w:rPr>
              <w:t>a Skyttedal, Vincenzo Sofo, Tineke Strik, Ramona Strugariu, Yana Toom, Milan Uhrík, Tom Vandendriessche, Elena Yoncheva</w:t>
            </w:r>
          </w:p>
        </w:tc>
      </w:tr>
      <w:tr w:rsidR="00BC3B8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Loucas Fourlas, Beata Kempa, Ondřej Kovařík, Alessandra Mussolini, Matjaž Nemec, S</w:t>
            </w:r>
            <w:r>
              <w:rPr>
                <w:color w:val="000000"/>
                <w:sz w:val="20"/>
              </w:rPr>
              <w:t>ira Rego, Thijs Reuten, Domènec Ruiz Devesa, Loránt Vincze, Petar Vitanov, Tomáš Zdechovský</w:t>
            </w:r>
          </w:p>
        </w:tc>
      </w:tr>
      <w:tr w:rsidR="00BC3B8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b/>
                <w:bCs/>
                <w:color w:val="000000"/>
                <w:sz w:val="20"/>
                <w:szCs w:val="20"/>
              </w:rPr>
            </w:pPr>
            <w:r>
              <w:rPr>
                <w:b/>
                <w:color w:val="000000"/>
                <w:sz w:val="20"/>
              </w:rPr>
              <w:t>Bij de eindstemming aanwezige plaatsvervangers (art. 209, lid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E204A" w:rsidRDefault="002A3A59">
            <w:pPr>
              <w:autoSpaceDE w:val="0"/>
              <w:autoSpaceDN w:val="0"/>
              <w:adjustRightInd w:val="0"/>
              <w:rPr>
                <w:color w:val="000000"/>
                <w:sz w:val="20"/>
                <w:szCs w:val="20"/>
              </w:rPr>
            </w:pPr>
            <w:r>
              <w:rPr>
                <w:color w:val="000000"/>
                <w:sz w:val="20"/>
              </w:rPr>
              <w:t xml:space="preserve">Asim Ademov, Gunnar Beck, Isabel Benjumea Benjumea, Marian-Jean Marinescu, René Repasi, Antonio </w:t>
            </w:r>
            <w:r>
              <w:rPr>
                <w:color w:val="000000"/>
                <w:sz w:val="20"/>
              </w:rPr>
              <w:t>Maria Rinaldi, Mounir Satouri, Jörgen Warborn</w:t>
            </w:r>
          </w:p>
        </w:tc>
      </w:tr>
    </w:tbl>
    <w:p w:rsidR="00DE204A" w:rsidRDefault="00DE204A"/>
    <w:bookmarkEnd w:id="1"/>
    <w:p w:rsidR="00537F24" w:rsidRDefault="002A3A59">
      <w:pPr>
        <w:widowControl/>
      </w:pPr>
      <w:r>
        <w:br w:type="page"/>
      </w:r>
    </w:p>
    <w:p w:rsidR="00537F24" w:rsidRPr="006F3A74" w:rsidRDefault="002A3A59" w:rsidP="00537F24">
      <w:pPr>
        <w:pStyle w:val="PageHeadingNotTOC"/>
      </w:pPr>
      <w:bookmarkStart w:id="2" w:name="RollCallPageAD"/>
      <w:r>
        <w:lastRenderedPageBreak/>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C3B8B" w:rsidTr="00F8632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537F24" w:rsidRPr="006F3A74" w:rsidRDefault="002A3A59" w:rsidP="00F8632E">
            <w:pPr>
              <w:pStyle w:val="RollCallVotes"/>
              <w:spacing w:line="256" w:lineRule="auto"/>
            </w:pPr>
            <w:r>
              <w:t>59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537F24" w:rsidRPr="006F3A74" w:rsidRDefault="002A3A59" w:rsidP="00F8632E">
            <w:pPr>
              <w:pStyle w:val="RollCallSymbols14pt"/>
              <w:spacing w:line="256" w:lineRule="auto"/>
            </w:pPr>
            <w:r>
              <w:t>+</w:t>
            </w:r>
          </w:p>
        </w:tc>
      </w:tr>
      <w:tr w:rsidR="00BC3B8B" w:rsidTr="00F863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37F24" w:rsidRPr="006F3A74" w:rsidRDefault="002A3A59" w:rsidP="00F8632E">
            <w:pPr>
              <w:pStyle w:val="RollCallTable"/>
              <w:spacing w:line="256" w:lineRule="auto"/>
            </w:pPr>
            <w:r>
              <w:t>Joachim Stanisław Brudziński, Patryk Jaki, Beata Kempa, Vincenzo Sofo</w:t>
            </w:r>
          </w:p>
        </w:tc>
      </w:tr>
      <w:tr w:rsidR="00BC3B8B" w:rsidRPr="002A3A59" w:rsidTr="00F863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37F24" w:rsidRPr="002A3A59" w:rsidRDefault="002A3A59" w:rsidP="00F8632E">
            <w:pPr>
              <w:pStyle w:val="RollCallTable"/>
              <w:spacing w:line="256" w:lineRule="auto"/>
              <w:rPr>
                <w:lang w:val="it-IT"/>
              </w:rPr>
            </w:pPr>
            <w:r w:rsidRPr="002A3A59">
              <w:rPr>
                <w:lang w:val="it-IT"/>
              </w:rPr>
              <w:t>Patricia Chagnon, Antonio Maria Rinaldi, Tom Vandendriessche</w:t>
            </w:r>
          </w:p>
        </w:tc>
      </w:tr>
      <w:tr w:rsidR="00BC3B8B" w:rsidTr="00F863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37F24" w:rsidRPr="006F3A74" w:rsidRDefault="002A3A59" w:rsidP="00F8632E">
            <w:pPr>
              <w:pStyle w:val="RollCallTable"/>
              <w:spacing w:line="256" w:lineRule="auto"/>
            </w:pPr>
            <w:r>
              <w:t>Laura Ferrara</w:t>
            </w:r>
          </w:p>
        </w:tc>
      </w:tr>
      <w:tr w:rsidR="00BC3B8B" w:rsidTr="00F863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37F24" w:rsidRPr="006F3A74" w:rsidRDefault="002A3A59" w:rsidP="00F8632E">
            <w:pPr>
              <w:pStyle w:val="RollCallTable"/>
              <w:spacing w:line="256" w:lineRule="auto"/>
            </w:pPr>
            <w:r>
              <w:t>Asim Ademov, Isabel Benjumea Benjumea, Vladimír Bilčík, Vasile Blaga, Lena Düpont, Loucas Fourlas, Andrzej Halicki, Jeroen Lenaers, Lukas Mandl, Marian-Jean Marinescu, Nadine Morano, Alessandra Mussolini, Paulo Rangel, Karlo Ressler, Sar</w:t>
            </w:r>
            <w:r>
              <w:t>a Skyttedal, Loránt Vincze, Jörgen Warborn, Tomáš Zdechovský</w:t>
            </w:r>
          </w:p>
        </w:tc>
      </w:tr>
      <w:tr w:rsidR="00BC3B8B" w:rsidTr="00F863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37F24" w:rsidRPr="006F3A74" w:rsidRDefault="002A3A59" w:rsidP="00F8632E">
            <w:pPr>
              <w:pStyle w:val="RollCallTable"/>
              <w:spacing w:line="256" w:lineRule="auto"/>
            </w:pPr>
            <w:r>
              <w:t>Abir Al-Sahlani, Malik Azmani, Lucia Ďuriš Nicholsonová, Sophia in 't Veld, Fabienne Keller, Moritz Körner, Ondřej Kovařík, Maite Pagazaurtundúa, Ramona Strugariu, Yana Toom</w:t>
            </w:r>
          </w:p>
        </w:tc>
      </w:tr>
      <w:tr w:rsidR="00BC3B8B" w:rsidTr="00F863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37F24" w:rsidRPr="006F3A74" w:rsidRDefault="002A3A59" w:rsidP="00F8632E">
            <w:pPr>
              <w:pStyle w:val="RollCallTable"/>
              <w:spacing w:line="256" w:lineRule="auto"/>
            </w:pPr>
            <w:r>
              <w:t xml:space="preserve">Evin </w:t>
            </w:r>
            <w:r>
              <w:t>Incir, Marina Kaljurand, Łukasz Kohut, Juan Fernando López Aguilar, Javier Moreno Sánchez, Theresa Muigg, Matjaž Nemec, René Repasi, Thijs Reuten, Domènec Ruiz Devesa, Isabel Santos, Birgit Sippel, Petar Vitanov, Elena Yoncheva</w:t>
            </w:r>
          </w:p>
        </w:tc>
      </w:tr>
      <w:tr w:rsidR="00BC3B8B" w:rsidTr="00F863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37F24" w:rsidRPr="006F3A74" w:rsidRDefault="002A3A59" w:rsidP="00F8632E">
            <w:pPr>
              <w:pStyle w:val="RollCallTable"/>
              <w:spacing w:line="256" w:lineRule="auto"/>
            </w:pPr>
            <w:r>
              <w:t>Malin Björk, Clare</w:t>
            </w:r>
            <w:r>
              <w:t xml:space="preserve"> Daly, Sira Rego</w:t>
            </w:r>
          </w:p>
        </w:tc>
      </w:tr>
      <w:tr w:rsidR="00BC3B8B" w:rsidTr="00F8632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537F24" w:rsidRPr="006F3A74" w:rsidRDefault="002A3A59" w:rsidP="00F8632E">
            <w:pPr>
              <w:pStyle w:val="RollCallTable"/>
              <w:spacing w:line="256" w:lineRule="auto"/>
            </w:pPr>
            <w:r>
              <w:t>Patrick Breyer, Saskia Bricmont, Alice Kuhnke, Erik Marquardt, Mounir Satouri, Tineke Strik</w:t>
            </w:r>
          </w:p>
        </w:tc>
      </w:tr>
    </w:tbl>
    <w:p w:rsidR="00537F24" w:rsidRPr="006F3A74" w:rsidRDefault="00537F24" w:rsidP="00537F2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C3B8B" w:rsidTr="00F8632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537F24" w:rsidRPr="006F3A74" w:rsidRDefault="002A3A59" w:rsidP="00F8632E">
            <w:pPr>
              <w:pStyle w:val="RollCallVotes"/>
              <w:spacing w:line="256" w:lineRule="auto"/>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537F24" w:rsidRPr="006F3A74" w:rsidRDefault="002A3A59" w:rsidP="00F8632E">
            <w:pPr>
              <w:pStyle w:val="RollCallSymbols14pt"/>
              <w:spacing w:line="256" w:lineRule="auto"/>
            </w:pPr>
            <w:r>
              <w:t>-</w:t>
            </w:r>
          </w:p>
        </w:tc>
      </w:tr>
      <w:tr w:rsidR="00BC3B8B" w:rsidTr="00F8632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537F24" w:rsidRPr="006F3A74" w:rsidRDefault="00537F24" w:rsidP="00F8632E">
            <w:pPr>
              <w:pStyle w:val="RollCallTable"/>
              <w:spacing w:line="256" w:lineRule="auto"/>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537F24" w:rsidRPr="006F3A74" w:rsidRDefault="00537F24" w:rsidP="00F8632E">
            <w:pPr>
              <w:pStyle w:val="RollCallTable"/>
              <w:spacing w:line="256" w:lineRule="auto"/>
            </w:pPr>
          </w:p>
        </w:tc>
      </w:tr>
    </w:tbl>
    <w:p w:rsidR="00537F24" w:rsidRPr="006F3A74" w:rsidRDefault="00537F24" w:rsidP="00537F24"/>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C3B8B" w:rsidTr="00F8632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537F24" w:rsidRPr="006F3A74" w:rsidRDefault="002A3A59" w:rsidP="00F8632E">
            <w:pPr>
              <w:pStyle w:val="RollCallVotes"/>
              <w:spacing w:line="256" w:lineRule="auto"/>
            </w:pPr>
            <w: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537F24" w:rsidRPr="006F3A74" w:rsidRDefault="002A3A59" w:rsidP="00F8632E">
            <w:pPr>
              <w:pStyle w:val="RollCallSymbols14pt"/>
              <w:spacing w:line="256" w:lineRule="auto"/>
            </w:pPr>
            <w:r>
              <w:t>0</w:t>
            </w:r>
          </w:p>
        </w:tc>
      </w:tr>
      <w:tr w:rsidR="00BC3B8B" w:rsidTr="00F863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37F24" w:rsidRPr="006F3A74" w:rsidRDefault="002A3A59" w:rsidP="00F8632E">
            <w:pPr>
              <w:pStyle w:val="RollCallTable"/>
              <w:spacing w:line="256" w:lineRule="auto"/>
            </w:pPr>
            <w:r>
              <w:t>Jorge Buxadé Villalba</w:t>
            </w:r>
          </w:p>
        </w:tc>
      </w:tr>
      <w:tr w:rsidR="00BC3B8B" w:rsidTr="00F863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37F24" w:rsidRPr="006F3A74" w:rsidRDefault="002A3A59" w:rsidP="00F8632E">
            <w:pPr>
              <w:pStyle w:val="RollCallTable"/>
              <w:spacing w:line="256" w:lineRule="auto"/>
            </w:pPr>
            <w:r>
              <w:t>Gunnar Beck</w:t>
            </w:r>
          </w:p>
        </w:tc>
      </w:tr>
      <w:tr w:rsidR="00BC3B8B" w:rsidTr="00F8632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537F24" w:rsidRPr="006F3A74" w:rsidRDefault="002A3A59" w:rsidP="00F8632E">
            <w:pPr>
              <w:pStyle w:val="RollCallTable"/>
              <w:spacing w:line="256" w:lineRule="auto"/>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537F24" w:rsidRPr="006F3A74" w:rsidRDefault="002A3A59" w:rsidP="00F8632E">
            <w:pPr>
              <w:pStyle w:val="RollCallTable"/>
              <w:spacing w:line="256" w:lineRule="auto"/>
            </w:pPr>
            <w:r>
              <w:t>Milan Uhrík</w:t>
            </w:r>
          </w:p>
        </w:tc>
      </w:tr>
    </w:tbl>
    <w:p w:rsidR="00537F24" w:rsidRPr="006F3A74" w:rsidRDefault="00537F24" w:rsidP="00537F24">
      <w:pPr>
        <w:pStyle w:val="Normal12a"/>
      </w:pPr>
    </w:p>
    <w:p w:rsidR="00537F24" w:rsidRPr="006F3A74" w:rsidRDefault="002A3A59" w:rsidP="00537F24">
      <w:r>
        <w:t>Verklaring van de gebruikte tekens:</w:t>
      </w:r>
    </w:p>
    <w:p w:rsidR="00537F24" w:rsidRPr="006F3A74" w:rsidRDefault="002A3A59" w:rsidP="00537F24">
      <w:pPr>
        <w:pStyle w:val="RollCallTabs"/>
      </w:pPr>
      <w:r>
        <w:t>+</w:t>
      </w:r>
      <w:r>
        <w:tab/>
        <w:t>:</w:t>
      </w:r>
      <w:r>
        <w:tab/>
        <w:t>voor</w:t>
      </w:r>
    </w:p>
    <w:p w:rsidR="00537F24" w:rsidRPr="006F3A74" w:rsidRDefault="002A3A59" w:rsidP="00537F24">
      <w:pPr>
        <w:pStyle w:val="RollCallTabs"/>
      </w:pPr>
      <w:r>
        <w:t>-</w:t>
      </w:r>
      <w:r>
        <w:tab/>
        <w:t>:</w:t>
      </w:r>
      <w:r>
        <w:tab/>
        <w:t>tegen</w:t>
      </w:r>
    </w:p>
    <w:p w:rsidR="00537F24" w:rsidRPr="006F3A74" w:rsidRDefault="002A3A59" w:rsidP="00537F24">
      <w:pPr>
        <w:pStyle w:val="RollCallTabs"/>
      </w:pPr>
      <w:r>
        <w:t>0</w:t>
      </w:r>
      <w:r>
        <w:tab/>
        <w:t>:</w:t>
      </w:r>
      <w:r>
        <w:tab/>
      </w:r>
      <w:r>
        <w:t>onthouding</w:t>
      </w:r>
    </w:p>
    <w:p w:rsidR="00537F24" w:rsidRPr="006F3A74" w:rsidRDefault="00537F24" w:rsidP="00537F24"/>
    <w:p w:rsidR="00537F24" w:rsidRPr="006F3A74" w:rsidRDefault="00537F24" w:rsidP="00537F24">
      <w:bookmarkStart w:id="3" w:name="_GoBack"/>
      <w:bookmarkEnd w:id="2"/>
      <w:bookmarkEnd w:id="3"/>
    </w:p>
    <w:sectPr w:rsidR="00537F24" w:rsidRPr="006F3A74" w:rsidSect="005D512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A3A59">
      <w:r>
        <w:separator/>
      </w:r>
    </w:p>
  </w:endnote>
  <w:endnote w:type="continuationSeparator" w:id="0">
    <w:p w:rsidR="00000000" w:rsidRDefault="002A3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04A" w:rsidRPr="002A3A59" w:rsidRDefault="002A3A59" w:rsidP="00DE204A">
    <w:pPr>
      <w:pStyle w:val="EPFooter"/>
      <w:rPr>
        <w:lang w:val="it-IT"/>
      </w:rPr>
    </w:pPr>
    <w:r w:rsidRPr="002A3A59">
      <w:rPr>
        <w:lang w:val="it-IT"/>
      </w:rPr>
      <w:t>PE</w:t>
    </w:r>
    <w:r w:rsidRPr="002A3A59">
      <w:rPr>
        <w:rStyle w:val="HideTWBExt"/>
        <w:lang w:val="it-IT"/>
      </w:rPr>
      <w:t>&lt;NoPE&gt;</w:t>
    </w:r>
    <w:r w:rsidRPr="002A3A59">
      <w:rPr>
        <w:lang w:val="it-IT"/>
      </w:rPr>
      <w:t>736.586</w:t>
    </w:r>
    <w:r w:rsidRPr="002A3A59">
      <w:rPr>
        <w:rStyle w:val="HideTWBExt"/>
        <w:lang w:val="it-IT"/>
      </w:rPr>
      <w:t>&lt;/NoPE&gt;&lt;Version&gt;</w:t>
    </w:r>
    <w:r w:rsidRPr="002A3A59">
      <w:rPr>
        <w:lang w:val="it-IT"/>
      </w:rPr>
      <w:t>v02-00</w:t>
    </w:r>
    <w:r w:rsidRPr="002A3A59">
      <w:rPr>
        <w:rStyle w:val="HideTWBExt"/>
        <w:lang w:val="it-IT"/>
      </w:rPr>
      <w:t>&lt;/Version&gt;</w:t>
    </w:r>
    <w:r w:rsidRPr="002A3A59">
      <w:rPr>
        <w:lang w:val="it-IT"/>
      </w:rPr>
      <w:tab/>
    </w:r>
    <w:r>
      <w:fldChar w:fldCharType="begin"/>
    </w:r>
    <w:r w:rsidRPr="002A3A59">
      <w:rPr>
        <w:lang w:val="it-IT"/>
      </w:rPr>
      <w:instrText xml:space="preserve"> PAGE  \* MERGEFORMAT </w:instrText>
    </w:r>
    <w:r>
      <w:fldChar w:fldCharType="separate"/>
    </w:r>
    <w:r>
      <w:rPr>
        <w:noProof/>
        <w:lang w:val="it-IT"/>
      </w:rPr>
      <w:t>16</w:t>
    </w:r>
    <w:r>
      <w:fldChar w:fldCharType="end"/>
    </w:r>
    <w:r w:rsidRPr="002A3A59">
      <w:rPr>
        <w:lang w:val="it-IT"/>
      </w:rPr>
      <w:t>/</w:t>
    </w:r>
    <w:r w:rsidR="00537F24">
      <w:fldChar w:fldCharType="begin"/>
    </w:r>
    <w:r w:rsidRPr="002A3A59">
      <w:rPr>
        <w:lang w:val="it-IT"/>
      </w:rPr>
      <w:instrText xml:space="preserve"> NUMPAGES  \* MERGEFORMAT </w:instrText>
    </w:r>
    <w:r w:rsidR="00537F24">
      <w:fldChar w:fldCharType="separate"/>
    </w:r>
    <w:r>
      <w:rPr>
        <w:noProof/>
        <w:lang w:val="it-IT"/>
      </w:rPr>
      <w:t>21</w:t>
    </w:r>
    <w:r w:rsidR="00537F24">
      <w:rPr>
        <w:noProof/>
      </w:rPr>
      <w:fldChar w:fldCharType="end"/>
    </w:r>
    <w:r w:rsidRPr="002A3A59">
      <w:rPr>
        <w:lang w:val="it-IT"/>
      </w:rPr>
      <w:tab/>
    </w:r>
    <w:r w:rsidRPr="002A3A59">
      <w:rPr>
        <w:rStyle w:val="HideTWBExt"/>
        <w:lang w:val="it-IT"/>
      </w:rPr>
      <w:t>&lt;PathFdR&gt;</w:t>
    </w:r>
    <w:r w:rsidRPr="002A3A59">
      <w:rPr>
        <w:lang w:val="it-IT"/>
      </w:rPr>
      <w:t>AD\1270366NL.docx</w:t>
    </w:r>
    <w:r w:rsidRPr="002A3A59">
      <w:rPr>
        <w:rStyle w:val="HideTWBExt"/>
        <w:lang w:val="it-IT"/>
      </w:rPr>
      <w:t>&lt;/PathFdR&gt;</w:t>
    </w:r>
  </w:p>
  <w:p w:rsidR="007F187F" w:rsidRPr="005D512F" w:rsidRDefault="002A3A59" w:rsidP="00DE204A">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04A" w:rsidRPr="002A3A59" w:rsidRDefault="002A3A59" w:rsidP="00DE204A">
    <w:pPr>
      <w:pStyle w:val="EPFooter"/>
      <w:rPr>
        <w:lang w:val="it-IT"/>
      </w:rPr>
    </w:pPr>
    <w:r w:rsidRPr="002A3A59">
      <w:rPr>
        <w:rStyle w:val="HideTWBExt"/>
        <w:lang w:val="it-IT"/>
      </w:rPr>
      <w:t>&lt;PathFdR&gt;</w:t>
    </w:r>
    <w:r w:rsidRPr="002A3A59">
      <w:rPr>
        <w:lang w:val="it-IT"/>
      </w:rPr>
      <w:t>AD\1270366NL.docx</w:t>
    </w:r>
    <w:r w:rsidRPr="002A3A59">
      <w:rPr>
        <w:rStyle w:val="HideTWBExt"/>
        <w:lang w:val="it-IT"/>
      </w:rPr>
      <w:t>&lt;/PathFdR&gt;</w:t>
    </w:r>
    <w:r w:rsidRPr="002A3A59">
      <w:rPr>
        <w:lang w:val="it-IT"/>
      </w:rPr>
      <w:tab/>
    </w:r>
    <w:r>
      <w:fldChar w:fldCharType="begin"/>
    </w:r>
    <w:r w:rsidRPr="002A3A59">
      <w:rPr>
        <w:lang w:val="it-IT"/>
      </w:rPr>
      <w:instrText xml:space="preserve"> PAGE  \* MERGEFORMAT </w:instrText>
    </w:r>
    <w:r>
      <w:fldChar w:fldCharType="separate"/>
    </w:r>
    <w:r>
      <w:rPr>
        <w:noProof/>
        <w:lang w:val="it-IT"/>
      </w:rPr>
      <w:t>17</w:t>
    </w:r>
    <w:r>
      <w:fldChar w:fldCharType="end"/>
    </w:r>
    <w:r w:rsidRPr="002A3A59">
      <w:rPr>
        <w:lang w:val="it-IT"/>
      </w:rPr>
      <w:t>/</w:t>
    </w:r>
    <w:r w:rsidR="00537F24">
      <w:fldChar w:fldCharType="begin"/>
    </w:r>
    <w:r w:rsidRPr="002A3A59">
      <w:rPr>
        <w:lang w:val="it-IT"/>
      </w:rPr>
      <w:instrText xml:space="preserve"> NUMPAGES  \* MERGEFORMAT </w:instrText>
    </w:r>
    <w:r w:rsidR="00537F24">
      <w:fldChar w:fldCharType="separate"/>
    </w:r>
    <w:r>
      <w:rPr>
        <w:noProof/>
        <w:lang w:val="it-IT"/>
      </w:rPr>
      <w:t>21</w:t>
    </w:r>
    <w:r w:rsidR="00537F24">
      <w:rPr>
        <w:noProof/>
      </w:rPr>
      <w:fldChar w:fldCharType="end"/>
    </w:r>
    <w:r w:rsidRPr="002A3A59">
      <w:rPr>
        <w:lang w:val="it-IT"/>
      </w:rPr>
      <w:tab/>
      <w:t>PE</w:t>
    </w:r>
    <w:r w:rsidRPr="002A3A59">
      <w:rPr>
        <w:rStyle w:val="HideTWBExt"/>
        <w:lang w:val="it-IT"/>
      </w:rPr>
      <w:t>&lt;NoPE&gt;</w:t>
    </w:r>
    <w:r w:rsidRPr="002A3A59">
      <w:rPr>
        <w:lang w:val="it-IT"/>
      </w:rPr>
      <w:t>736.586</w:t>
    </w:r>
    <w:r w:rsidRPr="002A3A59">
      <w:rPr>
        <w:rStyle w:val="HideTWBExt"/>
        <w:lang w:val="it-IT"/>
      </w:rPr>
      <w:t>&lt;/NoPE&gt;&lt;Version&gt;</w:t>
    </w:r>
    <w:r w:rsidRPr="002A3A59">
      <w:rPr>
        <w:lang w:val="it-IT"/>
      </w:rPr>
      <w:t>v02-00</w:t>
    </w:r>
    <w:r w:rsidRPr="002A3A59">
      <w:rPr>
        <w:rStyle w:val="HideTWBExt"/>
        <w:lang w:val="it-IT"/>
      </w:rPr>
      <w:t>&lt;/Version&gt;</w:t>
    </w:r>
  </w:p>
  <w:p w:rsidR="007F187F" w:rsidRPr="005D512F" w:rsidRDefault="002A3A59" w:rsidP="00DE204A">
    <w:pPr>
      <w:pStyle w:val="EPFooter2"/>
    </w:pPr>
    <w:r w:rsidRPr="002A3A59">
      <w:rPr>
        <w:lang w:val="it-IT"/>
      </w:rPr>
      <w:tab/>
    </w:r>
    <w:r w:rsidRPr="002A3A59">
      <w:rPr>
        <w:lang w:val="it-IT"/>
      </w:rPr>
      <w:tab/>
    </w:r>
    <w: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04A" w:rsidRPr="002A3A59" w:rsidRDefault="002A3A59" w:rsidP="00DE204A">
    <w:pPr>
      <w:pStyle w:val="EPFooter"/>
      <w:rPr>
        <w:lang w:val="it-IT"/>
      </w:rPr>
    </w:pPr>
    <w:r w:rsidRPr="002A3A59">
      <w:rPr>
        <w:rStyle w:val="HideTWBExt"/>
        <w:lang w:val="it-IT"/>
      </w:rPr>
      <w:t>&lt;PathFdR&gt;</w:t>
    </w:r>
    <w:r w:rsidRPr="002A3A59">
      <w:rPr>
        <w:lang w:val="it-IT"/>
      </w:rPr>
      <w:t>AD\1270366NL.docx</w:t>
    </w:r>
    <w:r w:rsidRPr="002A3A59">
      <w:rPr>
        <w:rStyle w:val="HideTWBExt"/>
        <w:lang w:val="it-IT"/>
      </w:rPr>
      <w:t>&lt;/PathFdR&gt;</w:t>
    </w:r>
    <w:r w:rsidRPr="002A3A59">
      <w:rPr>
        <w:lang w:val="it-IT"/>
      </w:rPr>
      <w:tab/>
    </w:r>
    <w:r w:rsidRPr="002A3A59">
      <w:rPr>
        <w:lang w:val="it-IT"/>
      </w:rPr>
      <w:tab/>
      <w:t>PE</w:t>
    </w:r>
    <w:r w:rsidRPr="002A3A59">
      <w:rPr>
        <w:rStyle w:val="HideTWBExt"/>
        <w:lang w:val="it-IT"/>
      </w:rPr>
      <w:t>&lt;NoPE&gt;</w:t>
    </w:r>
    <w:r w:rsidRPr="002A3A59">
      <w:rPr>
        <w:lang w:val="it-IT"/>
      </w:rPr>
      <w:t>736.586</w:t>
    </w:r>
    <w:r w:rsidRPr="002A3A59">
      <w:rPr>
        <w:rStyle w:val="HideTWBExt"/>
        <w:lang w:val="it-IT"/>
      </w:rPr>
      <w:t>&lt;/NoPE&gt;&lt;Version&gt;</w:t>
    </w:r>
    <w:r w:rsidRPr="002A3A59">
      <w:rPr>
        <w:lang w:val="it-IT"/>
      </w:rPr>
      <w:t>v02-00</w:t>
    </w:r>
    <w:r w:rsidRPr="002A3A59">
      <w:rPr>
        <w:rStyle w:val="HideTWBExt"/>
        <w:lang w:val="it-IT"/>
      </w:rPr>
      <w:t>&lt;/Version&gt;</w:t>
    </w:r>
  </w:p>
  <w:p w:rsidR="007F187F" w:rsidRPr="005D512F" w:rsidRDefault="002A3A59" w:rsidP="00DE204A">
    <w:pPr>
      <w:pStyle w:val="EPFooter2"/>
    </w:pPr>
    <w:r>
      <w:t>NL</w:t>
    </w:r>
    <w:r>
      <w:tab/>
    </w:r>
    <w:r w:rsidRPr="00DE204A">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A3A59">
      <w:r>
        <w:separator/>
      </w:r>
    </w:p>
  </w:footnote>
  <w:footnote w:type="continuationSeparator" w:id="0">
    <w:p w:rsidR="00000000" w:rsidRDefault="002A3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4F3" w:rsidRDefault="008474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4F3" w:rsidRDefault="008474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4F3" w:rsidRDefault="008474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ECON"/>
    <w:docVar w:name="COMKEY" w:val="LIBE"/>
    <w:docVar w:name="CopyToNetwork"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89883 HideTWBExt;}{_x000d__x000a_\s18\ql \li0\ri0\sa120\nowidctlpar\wrapdefault\aspalpha\aspnum\faauto\adjustright\rin0\lin0\itap0 \rtlch\fcs1 \af0\afs20\alang1025 \ltrch\fcs0 \fs24\lang2057\langfe2057\cgrid\langnp2057\langfenp2057 \sbasedon0 \snext18 \spriority0 \styrsid13989883 _x000d__x000a_Normal6a;}{\s19\ql \li0\ri0\nowidctlpar\wrapdefault\aspalpha\aspnum\faauto\adjustright\rin0\lin0\itap0 \rtlch\fcs1 \af0\afs20\alang1025 \ltrch\fcs0 \b\fs24\lang2057\langfe2057\cgrid\langnp2057\langfenp2057 \sbasedon0 \snext19 \spriority0 \styrsid13989883 _x000d__x000a_NormalBold;}{\*\cs20 \additive \v\f1\fs20\cf15 \spriority0 \styrsid13989883 HideTWBInt;}{\s21\qc \li0\ri0\sa240\nowidctlpar\wrapdefault\aspalpha\aspnum\faauto\adjustright\rin0\lin0\itap0 \rtlch\fcs1 \af0\afs20\alang1025 \ltrch\fcs0 _x000d__x000a_\i\fs24\lang2057\langfe2057\cgrid\langnp2057\langfenp2057 \sbasedon0 \snext21 \spriority0 \styrsid1398988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3989883 AmNumberTabs;}{\s23\ql \li0\ri0\sb240\nowidctlpar\wrapdefault\aspalpha\aspnum\faauto\adjustright\rin0\lin0\itap0 \rtlch\fcs1 _x000d__x000a_\af0\afs20\alang1025 \ltrch\fcs0 \b\fs24\lang2057\langfe2057\cgrid\langnp2057\langfenp2057 \sbasedon0 \snext23 \spriority0 \styrsid13989883 NormalBold12b;}}{\*\rsidtbl \rsid24658\rsid223860\rsid735077\rsid796492\rsid1718133\rsid2892074\rsid3565327_x000d__x000a_\rsid4666813\rsid6641733\rsid7823322\rsid9636012\rsid10377208\rsid11215221\rsid11549030\rsid12154954\rsid13989883\rsid14382809\rsid14424199\rsid15204470\rsid15285974\rsid15950462\rsid16324206\rsid16662270}{\mmathPr\mmathFont34\mbrkBin0\mbrkBinSub0_x000d__x000a_\msmallFrac0\mdispDef1\mlMargin0\mrMargin0\mdefJc1\mwrapIndent1440\mintLim0\mnaryLim1}{\info{\author ROVERS Rosette}{\operator ROVERS Rosette}{\creatim\yr2023\mo1\dy16\hr13\min29}{\revtim\yr2023\mo1\dy16\hr13\min29}{\version1}{\edmins0}{\nofpages1}_x000d__x000a_{\nofwords28}{\nofchars178}{\nofcharsws20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89883\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796492 \chftnsep _x000d__x000a_\par }}{\*\ftnsepc \ltrpar \pard\plain \ltrpar\ql \li0\ri0\widctlpar\wrapdefault\aspalpha\aspnum\faauto\adjustright\rin0\lin0\itap0 \rtlch\fcs1 \af0\afs20\alang1025 \ltrch\fcs0 \fs24\lang2057\langfe2057\cgrid\langnp2057\langfenp2057 {\rtlch\fcs1 \af0 _x000d__x000a_\ltrch\fcs0 \insrsid796492 \chftnsepc _x000d__x000a_\par }}{\*\aftnsep \ltrpar \pard\plain \ltrpar\ql \li0\ri0\widctlpar\wrapdefault\aspalpha\aspnum\faauto\adjustright\rin0\lin0\itap0 \rtlch\fcs1 \af0\afs20\alang1025 \ltrch\fcs0 \fs24\lang2057\langfe2057\cgrid\langnp2057\langfenp2057 {\rtlch\fcs1 \af0 _x000d__x000a_\ltrch\fcs0 \insrsid796492 \chftnsep _x000d__x000a_\par }}{\*\aftnsepc \ltrpar \pard\plain \ltrpar\ql \li0\ri0\widctlpar\wrapdefault\aspalpha\aspnum\faauto\adjustright\rin0\lin0\itap0 \rtlch\fcs1 \af0\afs20\alang1025 \ltrch\fcs0 \fs24\lang2057\langfe2057\cgrid\langnp2057\langfenp2057 {\rtlch\fcs1 \af0 _x000d__x000a_\ltrch\fcs0 \insrsid79649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3989883 \rtlch\fcs1 _x000d__x000a_\af0\afs20\alang1025 \ltrch\fcs0 \b\fs24\lang2057\langfe2057\cgrid\langnp2057\langfenp2057 {\rtlch\fcs1 \af0 \ltrch\fcs0 \cs17\b0\v\fs20\cf9\loch\af1\hich\af1\dbch\af31501\insrsid13989883\charrsid9057188 {\*\bkmkstart restartA}_x000d__x000a_\hich\af1\dbch\af31501\loch\f1 &lt;AmendA&gt;}{\rtlch\fcs1 \af0 \ltrch\fcs0 \insrsid13989883\charrsid9057188 Amendment\tab \tab }{\rtlch\fcs1 \af0 \ltrch\fcs0 \cs17\b0\v\fs20\cf9\loch\af1\hich\af1\dbch\af31501\insrsid13989883\charrsid9057188 _x000d__x000a_\hich\af1\dbch\af31501\loch\f1 &lt;NumAmA&gt;}{\rtlch\fcs1 \af0 \ltrch\fcs0 \insrsid13989883\charrsid9057188 #}{\rtlch\fcs1 \af1 \ltrch\fcs0 \cs20\v\f1\fs20\cf15\insrsid13989883\charrsid9057188 ENMIENDA@NRAM@}{\rtlch\fcs1 \af0 \ltrch\fcs0 _x000d__x000a_\insrsid13989883\charrsid9057188 #}{\rtlch\fcs1 \af0 \ltrch\fcs0 \cs17\b0\v\fs20\cf9\loch\af1\hich\af1\dbch\af31501\insrsid13989883\charrsid9057188 \hich\af1\dbch\af31501\loch\f1 &lt;/NumAmA&gt;}{\rtlch\fcs1 \af0 \ltrch\fcs0 \insrsid13989883\charrsid9057188 _x000d__x000a__x000d__x000a_\par }\pard\plain \ltrpar\s23\ql \li0\ri0\sb240\keepn\nowidctlpar\wrapdefault\aspalpha\aspnum\faauto\adjustright\rin0\lin0\itap0\pararsid13989883 \rtlch\fcs1 \af0\afs20\alang1025 \ltrch\fcs0 \b\fs24\lang2057\langfe2057\cgrid\langnp2057\langfenp2057 {_x000d__x000a_\rtlch\fcs1 \af0 \ltrch\fcs0 \cs17\b0\v\fs20\cf9\loch\af1\hich\af1\dbch\af31501\insrsid13989883\charrsid9057188 \hich\af1\dbch\af31501\loch\f1 &lt;DocAmend&gt;}{\rtlch\fcs1 \af0 \ltrch\fcs0 \insrsid13989883\charrsid9057188 Draft legislative resolution}{_x000d__x000a_\rtlch\fcs1 \af0 \ltrch\fcs0 \cs17\b0\v\fs20\cf9\loch\af1\hich\af1\dbch\af31501\insrsid13989883\charrsid9057188 \hich\af1\dbch\af31501\loch\f1 &lt;/DocAmend&gt;}{\rtlch\fcs1 \af0 \ltrch\fcs0 \insrsid13989883\charrsid9057188 _x000d__x000a_\par }\pard\plain \ltrpar\s19\ql \li0\ri0\nowidctlpar\wrapdefault\aspalpha\aspnum\faauto\adjustright\rin0\lin0\itap0\pararsid13989883 \rtlch\fcs1 \af0\afs20\alang1025 \ltrch\fcs0 \b\fs24\lang2057\langfe2057\cgrid\langnp2057\langfenp2057 {\rtlch\fcs1 \af0 _x000d__x000a_\ltrch\fcs0 \cs17\b0\v\fs20\cf9\loch\af1\hich\af1\dbch\af31501\insrsid13989883\charrsid9057188 \hich\af1\dbch\af31501\loch\f1 &lt;Article&gt;}{\rtlch\fcs1 \af0 \ltrch\fcs0 \cf10\insrsid13989883\charrsid11016673 \u9668\'3f}{\rtlch\fcs1 \af0 \ltrch\fcs0 _x000d__x000a_\insrsid13989883\charrsid9057188 #}{\rtlch\fcs1 \af1 \ltrch\fcs0 \cs20\v\f1\fs20\cf15\insrsid13989883\charrsid9057188 TVTRESPART@RESPART@}{\rtlch\fcs1 \af0 \ltrch\fcs0 \insrsid13989883\charrsid9057188 #}{\rtlch\fcs1 \af0 \ltrch\fcs0 _x000d__x000a_\cf10\insrsid13989883\charrsid11016673 \u9658\'3f}{\rtlch\fcs1 \af0 \ltrch\fcs0 \cs17\b0\v\fs20\cf9\loch\af1\hich\af1\dbch\af31501\insrsid13989883\charrsid9057188 \hich\af1\dbch\af31501\loch\f1 &lt;/Article&gt;}{\rtlch\fcs1 \af0 \ltrch\fcs0 _x000d__x000a_\insrsid13989883\charrsid9057188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3989883\charrsid9057188 \cell }\pard \ltrpar\ql \li0\ri0\widctlpar\intbl\wrapdefault\aspalpha\aspnum\faauto\adjustright\rin0\lin0 {\rtlch\fcs1 \af0 \ltrch\fcs0 _x000d__x000a_\insrsid13989883\charrsid9057188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13989883\charrsid9057188 Draft legislative resolution\cell Amendment\cell }\pard\plain \ltrpar\ql \li0\ri0\widctlpar\intbl\wrapdefault\aspalpha\aspnum\faauto\adjustright\rin0\lin0 \rtlch\fcs1 \af0\afs20\alang1025 \ltrch\fcs0 _x000d__x000a_\fs24\lang2057\langfe2057\cgrid\langnp2057\langfenp2057 {\rtlch\fcs1 \af0 \ltrch\fcs0 \insrsid13989883\charrsid90571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989883\charrsid9057188 ##\cell ##}{\rtlch\fcs1 \af0\afs24 \ltrch\fcs0 \insrsid13989883\charrsid9057188 \cell }\pard\plain \ltrpar\ql \li0\ri0\widctlpar\intbl\wrapdefault\aspalpha\aspnum\faauto\adjustright\rin0\lin0 \rtlch\fcs1 _x000d__x000a_\af0\afs20\alang1025 \ltrch\fcs0 \fs24\lang2057\langfe2057\cgrid\langnp2057\langfenp2057 {\rtlch\fcs1 \af0 \ltrch\fcs0 \insrsid13989883\charrsid90571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989883 {\rtlch\fcs1 \af0 \ltrch\fcs0 \cs17\v\fs20\cf9\loch\af1\hich\af1\dbch\af31501\insrsid13989883\charrsid9057188 \hich\af1\dbch\af31501\loch\f1 &lt;/AmendA&gt;}{_x000d__x000a_\rtlch\fcs1 \af0 \ltrch\fcs0 \insrsid1398988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5_x000d__x000a_0b2da6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03766 HideTWBExt;}{_x000d__x000a_\s18\ql \li0\ri0\sa120\nowidctlpar\wrapdefault\aspalpha\aspnum\faauto\adjustright\rin0\lin0\itap0 \rtlch\fcs1 \af0\afs20\alang1025 \ltrch\fcs0 \fs24\lang2057\langfe2057\cgrid\langnp2057\langfenp2057 \sbasedon0 \snext18 \spriority0 \styrsid10703766 _x000d__x000a_Normal6a;}{\s19\ql \li0\ri0\nowidctlpar\wrapdefault\aspalpha\aspnum\faauto\adjustright\rin0\lin0\itap0 \rtlch\fcs1 \af0\afs20\alang1025 \ltrch\fcs0 \b\fs24\lang2057\langfe2057\cgrid\langnp2057\langfenp2057 \sbasedon0 \snext19 \spriority0 \styrsid10703766 _x000d__x000a_NormalBold;}{\s20\ql \li0\ri0\sa240\nowidctlpar\wrapdefault\aspalpha\aspnum\faauto\adjustright\rin0\lin0\itap0 \rtlch\fcs1 \af0\afs20\alang1025 \ltrch\fcs0 \i\fs24\lang2057\langfe2057\cgrid\langnp2057\langfenp2057 _x000d__x000a_\sbasedon0 \snext20 \spriority0 \styrsid10703766 AmJustText;}{\s21\qc \li0\ri0\sb240\sa240\nowidctlpar\wrapdefault\aspalpha\aspnum\faauto\adjustright\rin0\lin0\itap0 \rtlch\fcs1 \af0\afs20\alang1025 \ltrch\fcs0 _x000d__x000a_\i\fs24\lang2057\langfe2057\cgrid\langnp2057\langfenp2057 \sbasedon0 \snext21 \spriority0 \styrsid10703766 AmCrossRef;}{\*\cs22 \additive \v\f1\fs20\cf15 \spriority0 \styrsid10703766 HideTWBInt;}{_x000d__x000a_\s23\qc \li0\ri0\sb240\sa240\keepn\nowidctlpar\wrapdefault\aspalpha\aspnum\faauto\adjustright\rin0\lin0\itap0 \rtlch\fcs1 \af0\afs20\alang1025 \ltrch\fcs0 \i\fs24\lang2057\langfe2057\cgrid\langnp2057\langfenp2057 _x000d__x000a_\sbasedon0 \snext20 \spriority0 \styrsid10703766 AmJustTitle;}{\s24\qc \li0\ri0\sa240\nowidctlpar\wrapdefault\aspalpha\aspnum\faauto\adjustright\rin0\lin0\itap0 \rtlch\fcs1 \af0\afs20\alang1025 \ltrch\fcs0 _x000d__x000a_\i\fs24\lang2057\langfe2057\cgrid\langnp2057\langfenp2057 \sbasedon0 \snext24 \spriority0 \styrsid107037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703766 AmNumberTabs;}{\s26\ql \li0\ri0\sb240\nowidctlpar\wrapdefault\aspalpha\aspnum\faauto\adjustright\rin0\lin0\itap0 \rtlch\fcs1 _x000d__x000a_\af0\afs20\alang1025 \ltrch\fcs0 \b\fs24\lang2057\langfe2057\cgrid\langnp2057\langfenp2057 \sbasedon0 \snext26 \spriority0 \styrsid10703766 NormalBold12b;}}{\*\rsidtbl \rsid24658\rsid223860\rsid735077\rsid1718133\rsid2892074\rsid3565327\rsid4666813_x000d__x000a_\rsid6095502\rsid6641733\rsid7823322\rsid9636012\rsid10377208\rsid10703766\rsid11215221\rsid11549030\rsid12154954\rsid14382809\rsid14424199\rsid15204470\rsid15285974\rsid15950462\rsid16324206\rsid16662270}{\mmathPr\mmathFont34\mbrkBin0\mbrkBinSub0_x000d__x000a_\msmallFrac0\mdispDef1\mlMargin0\mrMargin0\mdefJc1\mwrapIndent1440\mintLim0\mnaryLim1}{\info{\author ROVERS Rosette}{\operator ROVERS Rosette}{\creatim\yr2023\mo1\dy16\hr13\min29}{\revtim\yr2023\mo1\dy16\hr13\min29}{\version1}{\edmins0}{\nofpages1}_x000d__x000a_{\nofwords89}{\nofchars561}{\nofcharsws64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03766\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6095502 \chftnsep _x000d__x000a_\par }}{\*\ftnsepc \ltrpar \pard\plain \ltrpar\ql \li0\ri0\widctlpar\wrapdefault\aspalpha\aspnum\faauto\adjustright\rin0\lin0\itap0 \rtlch\fcs1 \af0\afs20\alang1025 \ltrch\fcs0 \fs24\lang2057\langfe2057\cgrid\langnp2057\langfenp2057 {\rtlch\fcs1 \af0 _x000d__x000a_\ltrch\fcs0 \insrsid6095502 \chftnsepc _x000d__x000a_\par }}{\*\aftnsep \ltrpar \pard\plain \ltrpar\ql \li0\ri0\widctlpar\wrapdefault\aspalpha\aspnum\faauto\adjustright\rin0\lin0\itap0 \rtlch\fcs1 \af0\afs20\alang1025 \ltrch\fcs0 \fs24\lang2057\langfe2057\cgrid\langnp2057\langfenp2057 {\rtlch\fcs1 \af0 _x000d__x000a_\ltrch\fcs0 \insrsid6095502 \chftnsep _x000d__x000a_\par }}{\*\aftnsepc \ltrpar \pard\plain \ltrpar\ql \li0\ri0\widctlpar\wrapdefault\aspalpha\aspnum\faauto\adjustright\rin0\lin0\itap0 \rtlch\fcs1 \af0\afs20\alang1025 \ltrch\fcs0 \fs24\lang2057\langfe2057\cgrid\langnp2057\langfenp2057 {\rtlch\fcs1 \af0 _x000d__x000a_\ltrch\fcs0 \insrsid6095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0703766 \rtlch\fcs1 _x000d__x000a_\af0\afs20\alang1025 \ltrch\fcs0 \b\fs24\lang2057\langfe2057\cgrid\langnp2057\langfenp2057 {\rtlch\fcs1 \af0 \ltrch\fcs0 \cs17\b0\v\fs20\cf9\loch\af1\hich\af1\dbch\af31501\insrsid10703766\charrsid9057188 {\*\bkmkstart restartB}_x000d__x000a_\hich\af1\dbch\af31501\loch\f1 &lt;AmendB&gt;}{\rtlch\fcs1 \af0 \ltrch\fcs0 \insrsid10703766\charrsid9057188 Amendment\tab \tab }{\rtlch\fcs1 \af0 \ltrch\fcs0 \cs17\b0\v\fs20\cf9\loch\af1\hich\af1\dbch\af31501\insrsid10703766\charrsid9057188 _x000d__x000a_\hich\af1\dbch\af31501\loch\f1 &lt;NumAmB&gt;}{\rtlch\fcs1 \af0 \ltrch\fcs0 \insrsid10703766\charrsid9057188 #}{\rtlch\fcs1 \af1 \ltrch\fcs0 \cs22\v\f1\fs20\cf15\insrsid10703766\charrsid9057188 ENMIENDA@NRAM@}{\rtlch\fcs1 \af0 \ltrch\fcs0 _x000d__x000a_\insrsid10703766\charrsid9057188 #}{\rtlch\fcs1 \af0 \ltrch\fcs0 \cs17\b0\v\fs20\cf9\loch\af1\hich\af1\dbch\af31501\insrsid10703766\charrsid9057188 \hich\af1\dbch\af31501\loch\f1 &lt;/NumAmB&gt;}{\rtlch\fcs1 \af0 \ltrch\fcs0 \insrsid10703766\charrsid9057188 _x000d__x000a__x000d__x000a_\par }\pard\plain \ltrpar\s26\ql \li0\ri0\sb240\keepn\nowidctlpar\wrapdefault\aspalpha\aspnum\faauto\adjustright\rin0\lin0\itap0\pararsid10703766 \rtlch\fcs1 \af0\afs20\alang1025 \ltrch\fcs0 \b\fs24\lang2057\langfe2057\cgrid\langnp2057\langfenp2057 {_x000d__x000a_\rtlch\fcs1 \af0 \ltrch\fcs0 \cs17\b0\v\fs20\cf9\loch\af1\hich\af1\dbch\af31501\insrsid10703766\charrsid9057188 \hich\af1\dbch\af31501\loch\f1 &lt;DocAmend&gt;}{\rtlch\fcs1 \af0 \ltrch\fcs0 \insrsid10703766\charrsid9057188 #}{\rtlch\fcs1 \af1 \ltrch\fcs0 _x000d__x000a_\cs22\v\f1\fs20\cf15\insrsid10703766\charrsid9057188 MNU[OPTPROPOSALCOD][OPTPROPOSALCNS][OPTPROPOSALNLE]@CHOICE@CODEMNU}{\rtlch\fcs1 \af0 \ltrch\fcs0 \insrsid10703766\charrsid9057188 ##}{\rtlch\fcs1 \af1 \ltrch\fcs0 _x000d__x000a_\cs22\v\f1\fs20\cf15\insrsid10703766\charrsid9057188 MNU[AMACTYES][NOTAPP]@CHOICE@AMACTMNU}{\rtlch\fcs1 \af0 \ltrch\fcs0 \insrsid10703766\charrsid9057188 #}{\rtlch\fcs1 \af0 \ltrch\fcs0 _x000d__x000a_\cs17\b0\v\fs20\cf9\loch\af1\hich\af1\dbch\af31501\insrsid10703766\charrsid9057188 \hich\af1\dbch\af31501\loch\f1 &lt;/DocAmend&gt;}{\rtlch\fcs1 \af0 \ltrch\fcs0 \insrsid10703766\charrsid9057188 _x000d__x000a_\par }\pard\plain \ltrpar\s19\ql \li0\ri0\keepn\nowidctlpar\wrapdefault\aspalpha\aspnum\faauto\adjustright\rin0\lin0\itap0\pararsid10703766 \rtlch\fcs1 \af0\afs20\alang1025 \ltrch\fcs0 \b\fs24\lang2057\langfe2057\cgrid\langnp2057\langfenp2057 {\rtlch\fcs1 _x000d__x000a_\af0 \ltrch\fcs0 \cs17\b0\v\fs20\cf9\loch\af1\hich\af1\dbch\af31501\insrsid10703766\charrsid9057188 \hich\af1\dbch\af31501\loch\f1 &lt;Article&gt;}{\rtlch\fcs1 \af0 \ltrch\fcs0 \insrsid10703766\charrsid9057188 #}{\rtlch\fcs1 \af1 \ltrch\fcs0 _x000d__x000a_\cs22\v\f1\fs20\cf15\insrsid10703766\charrsid9057188 MNU[AMACTPARTYES][AMACTPARTNO]@CHOICE@AMACTMNU}{\rtlch\fcs1 \af0 \ltrch\fcs0 \insrsid10703766\charrsid9057188 #}{\rtlch\fcs1 \af0 \ltrch\fcs0 _x000d__x000a_\cs17\b0\v\fs20\cf9\loch\af1\hich\af1\dbch\af31501\insrsid10703766\charrsid9057188 \hich\af1\dbch\af31501\loch\f1 &lt;/Article&gt;}{\rtlch\fcs1 \af0 \ltrch\fcs0 \insrsid10703766\charrsid9057188 _x000d__x000a_\par }\pard\plain \ltrpar\ql \li0\ri0\keepn\widctlpar\wrapdefault\aspalpha\aspnum\faauto\adjustright\rin0\lin0\itap0\pararsid10703766 \rtlch\fcs1 \af0\afs20\alang1025 \ltrch\fcs0 \fs24\lang2057\langfe2057\cgrid\langnp2057\langfenp2057 {\rtlch\fcs1 \af0 _x000d__x000a_\ltrch\fcs0 \cs17\v\fs20\cf9\loch\af1\hich\af1\dbch\af31501\insrsid10703766\charrsid9057188 \hich\af1\dbch\af31501\loch\f1 &lt;DocAmend2&gt;&lt;OptDel&gt;}{\rtlch\fcs1 \af0 \ltrch\fcs0 \insrsid10703766\charrsid9057188 #}{\rtlch\fcs1 \af1 \ltrch\fcs0 _x000d__x000a_\cs22\v\f1\fs20\cf15\insrsid10703766\charrsid9057188 MNU[OPTNRACTYES][NOTAPP]@CHOICE@AMACTMNU}{\rtlch\fcs1 \af0 \ltrch\fcs0 \insrsid10703766\charrsid9057188 #}{\rtlch\fcs1 \af0 \ltrch\fcs0 _x000d__x000a_\cs17\v\fs20\cf9\loch\af1\hich\af1\dbch\af31501\insrsid10703766\charrsid9057188 \hich\af1\dbch\af31501\loch\f1 &lt;/OptDel&gt;&lt;/DocAmend2&gt;}{\rtlch\fcs1 \af0 \ltrch\fcs0 \insrsid10703766\charrsid9057188 _x000d__x000a_\par }\pard \ltrpar\ql \li0\ri0\widctlpar\wrapdefault\aspalpha\aspnum\faauto\adjustright\rin0\lin0\itap0\pararsid10703766 {\rtlch\fcs1 \af0 \ltrch\fcs0 \cs17\v\fs20\cf9\loch\af1\hich\af1\dbch\af31501\insrsid10703766\charrsid9057188 _x000d__x000a_\hich\af1\dbch\af31501\loch\f1 &lt;Article2&gt;&lt;OptDel&gt;}{\rtlch\fcs1 \af0 \ltrch\fcs0 \insrsid10703766\charrsid9057188 #}{\rtlch\fcs1 \af1 \ltrch\fcs0 \cs22\v\f1\fs20\cf15\insrsid10703766\charrsid9057188 MNU[OPTACTPARTYES][NOTAPP]@CHOICE@AMACTMNU}{\rtlch\fcs1 _x000d__x000a_\af0 \ltrch\fcs0 \insrsid10703766\charrsid9057188 #}{\rtlch\fcs1 \af0 \ltrch\fcs0 \cs17\v\fs20\cf9\loch\af1\hich\af1\dbch\af31501\insrsid10703766\charrsid9057188 \hich\af1\dbch\af31501\loch\f1 &lt;/OptDel&gt;&lt;/Article2&gt;}{\rtlch\fcs1 \af0 \ltrch\fcs0 _x000d__x000a_\insrsid10703766\charrsid905718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0703766\charrsid9057188 \cell }\pard \ltrpar\ql \li0\ri0\widctlpar\intbl\wrapdefault\aspalpha\aspnum\faauto\adjustright\rin0\lin0 {\rtlch\fcs1 \af0 \ltrch\fcs0 \insrsid10703766\charrsid905718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0703766\charrsid9057188 #}{\rtlch\fcs1 \af1 \ltrch\fcs0 \cs22\v\f1\fs20\cf15\insrsid10703766\charrsid9057188 MNU[OPTLEFTAMACT][LEFTPROP]@CHOICE@AMACTMNU}{\rtlch\fcs1 \af0 \ltrch\fcs0 \insrsid10703766\charrsid9057188 #\cell Amendment\cell _x000d__x000a_}\pard\plain \ltrpar\ql \li0\ri0\widctlpar\intbl\wrapdefault\aspalpha\aspnum\faauto\adjustright\rin0\lin0 \rtlch\fcs1 \af0\afs20\alang1025 \ltrch\fcs0 \fs24\lang2057\langfe2057\cgrid\langnp2057\langfenp2057 {\rtlch\fcs1 \af0 \ltrch\fcs0 _x000d__x000a_\insrsid10703766\charrsid905718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703766\charrsid9057188 ##\cell ##}{\rtlch\fcs1 \af0\afs24 \ltrch\fcs0 \insrsid10703766\charrsid9057188 \cell }\pard\plain \ltrpar\ql \li0\ri0\widctlpar\intbl\wrapdefault\aspalpha\aspnum\faauto\adjustright\rin0\lin0 _x000d__x000a_\rtlch\fcs1 \af0\afs20\alang1025 \ltrch\fcs0 \fs24\lang2057\langfe2057\cgrid\langnp2057\langfenp2057 {\rtlch\fcs1 \af0 \ltrch\fcs0 \insrsid10703766\charrsid90571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703766 \rtlch\fcs1 \af0\afs20\alang1025 \ltrch\fcs0 \i\fs24\lang2057\langfe2057\cgrid\langnp2057\langfenp2057 {\rtlch\fcs1 \af0 \ltrch\fcs0 _x000d__x000a_\cs17\i0\v\fs20\cf9\loch\af1\hich\af1\dbch\af31501\insrsid10703766\charrsid9057188 \hich\af1\dbch\af31501\loch\f1 &lt;OptDel&gt;}{\rtlch\fcs1 \af0 \ltrch\fcs0 \insrsid10703766\charrsid9057188 #}{\rtlch\fcs1 \af1 \ltrch\fcs0 _x000d__x000a_\cs22\v\f1\fs20\cf15\insrsid10703766\charrsid9057188 MNU[CROSSREFNO][CROSSREFYES]@CHOICE@}{\rtlch\fcs1 \af0 \ltrch\fcs0 \insrsid10703766\charrsid9057188 #}{\rtlch\fcs1 \af0 \ltrch\fcs0 _x000d__x000a_\cs17\i0\v\fs20\cf9\loch\af1\hich\af1\dbch\af31501\insrsid10703766\charrsid9057188 \hich\af1\dbch\af31501\loch\f1 &lt;/OptDel&gt;}{\rtlch\fcs1 \af0 \ltrch\fcs0 \insrsid10703766\charrsid9057188 _x000d__x000a_\par }\pard\plain \ltrpar\s23\qc \li0\ri0\sb240\sa240\keepn\nowidctlpar\wrapdefault\aspalpha\aspnum\faauto\adjustright\rin0\lin0\itap0\pararsid10703766 \rtlch\fcs1 \af0\afs20\alang1025 \ltrch\fcs0 \i\fs24\lang2057\langfe2057\cgrid\langnp2057\langfenp2057 {_x000d__x000a_\rtlch\fcs1 \af0 \ltrch\fcs0 \cs17\i0\v\fs20\cf9\loch\af1\hich\af1\dbch\af31501\insrsid10703766\charrsid9057188 \hich\af1\dbch\af31501\loch\f1 &lt;TitreJust&gt;}{\rtlch\fcs1 \af0 \ltrch\fcs0 \insrsid10703766\charrsid9057188 Justification}{\rtlch\fcs1 \af0 _x000d__x000a_\ltrch\fcs0 \cs17\i0\v\fs20\cf9\loch\af1\hich\af1\dbch\af31501\insrsid10703766\charrsid9057188 \hich\af1\dbch\af31501\loch\f1 &lt;/TitreJust&gt;}{\rtlch\fcs1 \af0 \ltrch\fcs0 \insrsid10703766\charrsid9057188 _x000d__x000a_\par }\pard\plain \ltrpar\s20\ql \li0\ri0\sa240\nowidctlpar\wrapdefault\aspalpha\aspnum\faauto\adjustright\rin0\lin0\itap0\pararsid10703766 \rtlch\fcs1 \af0\afs20\alang1025 \ltrch\fcs0 \i\fs24\lang2057\langfe2057\cgrid\langnp2057\langfenp2057 {\rtlch\fcs1 _x000d__x000a_\af0 \ltrch\fcs0 \cs17\i0\v\fs20\cf9\loch\af1\hich\af1\dbch\af31501\insrsid10703766\charrsid9057188 \hich\af1\dbch\af31501\loch\f1 &lt;OptDelPrev&gt;}{\rtlch\fcs1 \af0 \ltrch\fcs0 \insrsid10703766\charrsid9057188 #}{\rtlch\fcs1 \af1 \ltrch\fcs0 _x000d__x000a_\cs22\v\f1\fs20\cf15\insrsid10703766\charrsid9057188 MNU[TEXTJUSTYES][TEXTJUSTNO]@CHOICE@}{\rtlch\fcs1 \af0 \ltrch\fcs0 \insrsid10703766\charrsid9057188 #}{\rtlch\fcs1 \af0 \ltrch\fcs0 _x000d__x000a_\cs17\i0\v\fs20\cf9\loch\af1\hich\af1\dbch\af31501\insrsid10703766\charrsid9057188 \hich\af1\dbch\af31501\loch\f1 &lt;/OptDelPrev&gt;}{\rtlch\fcs1 \af0 \ltrch\fcs0 \insrsid10703766\charrsid9057188 _x000d__x000a_\par }\pard\plain \ltrpar\ql \li0\ri0\widctlpar\wrapdefault\aspalpha\aspnum\faauto\adjustright\rin0\lin0\itap0\pararsid10703766 \rtlch\fcs1 \af0\afs20\alang1025 \ltrch\fcs0 \fs24\lang2057\langfe2057\cgrid\langnp2057\langfenp2057 {\rtlch\fcs1 \af0 \ltrch\fcs0 _x000d__x000a_\cs17\v\fs20\cf9\loch\af1\hich\af1\dbch\af31501\insrsid10703766\charrsid9057188 \hich\af1\dbch\af31501\loch\f1 &lt;/AmendB&gt;}{\rtlch\fcs1 \af0 \ltrch\fcs0 \insrsid1070376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1_x000d__x000a_8c2ea6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32292 HideTWBExt;}{_x000d__x000a_\s18\ql \li0\ri0\sa120\nowidctlpar\wrapdefault\aspalpha\aspnum\faauto\adjustright\rin0\lin0\itap0 \rtlch\fcs1 \af0\afs20\alang1025 \ltrch\fcs0 \fs24\lang2057\langfe2057\cgrid\langnp2057\langfenp2057 \sbasedon0 \snext18 \spriority0 \styrsid11432292 _x000d__x000a_Normal6a;}{\s19\ql \li0\ri0\nowidctlpar\wrapdefault\aspalpha\aspnum\faauto\adjustright\rin0\lin0\itap0 \rtlch\fcs1 \af0\afs20\alang1025 \ltrch\fcs0 \b\fs24\lang2057\langfe2057\cgrid\langnp2057\langfenp2057 \sbasedon0 \snext19 \spriority0 \styrsid11432292 _x000d__x000a_NormalBold;}{\s20\qc \li0\ri0\sa240\nowidctlpar\wrapdefault\aspalpha\aspnum\faauto\adjustright\rin0\lin0\itap0 \rtlch\fcs1 \af0\afs20\alang1025 \ltrch\fcs0 \i\fs24\lang2057\langfe2057\cgrid\langnp2057\langfenp2057 _x000d__x000a_\sbasedon0 \snext20 \spriority0 \styrsid1143229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432292 AmNumberTabs;}{\s22\ql \li0\ri0\sb240\nowidctlpar\wrapdefault\aspalpha\aspnum\faauto\adjustright\rin0\lin0\itap0 \rtlch\fcs1 _x000d__x000a_\af0\afs20\alang1025 \ltrch\fcs0 \b\fs24\lang2057\langfe2057\cgrid\langnp2057\langfenp2057 \sbasedon0 \snext22 \spriority0 \styrsid11432292 NormalBold12b;}}{\*\rsidtbl \rsid24658\rsid223860\rsid735077\rsid1718133\rsid2892074\rsid3565327\rsid4274659_x000d__x000a_\rsid4666813\rsid6641733\rsid7823322\rsid9636012\rsid10377208\rsid11215221\rsid11432292\rsid11549030\rsid12154954\rsid14382809\rsid14424199\rsid15204470\rsid15285974\rsid15950462\rsid16324206\rsid16662270}{\mmathPr\mmathFont34\mbrkBin0\mbrkBinSub0_x000d__x000a_\msmallFrac0\mdispDef1\mlMargin0\mrMargin0\mdefJc1\mwrapIndent1440\mintLim0\mnaryLim1}{\info{\author ROVERS Rosette}{\operator ROVERS Rosette}{\creatim\yr2023\mo1\dy16\hr13\min29}{\revtim\yr2023\mo1\dy16\hr13\min29}{\version1}{\edmins0}{\nofpages1}_x000d__x000a_{\nofwords22}{\nofchars141}{\nofcharsws16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32292\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4274659 \chftnsep _x000d__x000a_\par }}{\*\ftnsepc \ltrpar \pard\plain \ltrpar\ql \li0\ri0\widctlpar\wrapdefault\aspalpha\aspnum\faauto\adjustright\rin0\lin0\itap0 \rtlch\fcs1 \af0\afs20\alang1025 \ltrch\fcs0 \fs24\lang2057\langfe2057\cgrid\langnp2057\langfenp2057 {\rtlch\fcs1 \af0 _x000d__x000a_\ltrch\fcs0 \insrsid4274659 \chftnsepc _x000d__x000a_\par }}{\*\aftnsep \ltrpar \pard\plain \ltrpar\ql \li0\ri0\widctlpar\wrapdefault\aspalpha\aspnum\faauto\adjustright\rin0\lin0\itap0 \rtlch\fcs1 \af0\afs20\alang1025 \ltrch\fcs0 \fs24\lang2057\langfe2057\cgrid\langnp2057\langfenp2057 {\rtlch\fcs1 \af0 _x000d__x000a_\ltrch\fcs0 \insrsid4274659 \chftnsep _x000d__x000a_\par }}{\*\aftnsepc \ltrpar \pard\plain \ltrpar\ql \li0\ri0\widctlpar\wrapdefault\aspalpha\aspnum\faauto\adjustright\rin0\lin0\itap0 \rtlch\fcs1 \af0\afs20\alang1025 \ltrch\fcs0 \fs24\lang2057\langfe2057\cgrid\langnp2057\langfenp2057 {\rtlch\fcs1 \af0 _x000d__x000a_\ltrch\fcs0 \insrsid42746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432292 \rtlch\fcs1 _x000d__x000a_\af0\afs20\alang1025 \ltrch\fcs0 \b\fs24\lang2057\langfe2057\cgrid\langnp2057\langfenp2057 {\rtlch\fcs1 \af0 \ltrch\fcs0 \cs17\b0\v\fs20\cf9\lang1024\langfe1024\loch\af1\hich\af1\dbch\af31501\noproof\insrsid11432292\charrsid15879488 {\*\bkmkstart restartA_x000d__x000a_}\hich\af1\dbch\af31501\loch\f1 &lt;AmendA&gt;}{\rtlch\fcs1 \af0 \ltrch\fcs0 \insrsid11432292\charrsid15879488 [ZAMENDMENT]\tab \tab }{\rtlch\fcs1 \af0 \ltrch\fcs0 _x000d__x000a_\cs17\b0\v\fs20\cf9\lang1024\langfe1024\loch\af1\hich\af1\dbch\af31501\noproof\insrsid11432292\charrsid15879488 \hich\af1\dbch\af31501\loch\f1 &lt;NumAmA&gt;}{\rtlch\fcs1 \af0 \ltrch\fcs0 \insrsid11432292\charrsid15879488 [ZNRAM]}{\rtlch\fcs1 \af0 \ltrch\fcs0 _x000d__x000a_\cs17\b0\v\fs20\cf9\lang1024\langfe1024\loch\af1\hich\af1\dbch\af31501\noproof\insrsid11432292\charrsid15879488 \hich\af1\dbch\af31501\loch\f1 &lt;/NumAmA&gt;}{\rtlch\fcs1 \af0 \ltrch\fcs0 \insrsid11432292\charrsid15879488 _x000d__x000a_\par }\pard\plain \ltrpar\s22\ql \li0\ri0\sb240\keepn\nowidctlpar\wrapdefault\aspalpha\aspnum\faauto\adjustright\rin0\lin0\itap0\pararsid11432292 \rtlch\fcs1 \af0\afs20\alang1025 \ltrch\fcs0 \b\fs24\lang2057\langfe2057\cgrid\langnp2057\langfenp2057 {_x000d__x000a_\rtlch\fcs1 \af0 \ltrch\fcs0 \cs17\b0\v\fs20\cf9\lang1024\langfe1024\loch\af1\hich\af1\dbch\af31501\noproof\langnp1036\insrsid11432292\charrsid11356624 \hich\af1\dbch\af31501\loch\f1 &lt;DocAmend&gt;}{\rtlch\fcs1 \af0 \ltrch\fcs0 _x000d__x000a_\lang1036\langfe2057\langnp1036\insrsid11432292\charrsid11356624 [ZRESOLUTION]}{\rtlch\fcs1 \af0 \ltrch\fcs0 \cs17\b0\v\fs20\cf9\lang1024\langfe1024\loch\af1\hich\af1\dbch\af31501\noproof\langnp1036\insrsid11432292\charrsid11356624 _x000d__x000a_\hich\af1\dbch\af31501\loch\f1 &lt;/DocAmend&gt;}{\rtlch\fcs1 \af0 \ltrch\fcs0 \lang1036\langfe2057\langnp1036\insrsid11432292\charrsid11356624 _x000d__x000a_\par }\pard\plain \ltrpar\s19\ql \li0\ri0\nowidctlpar\wrapdefault\aspalpha\aspnum\faauto\adjustright\rin0\lin0\itap0\pararsid11432292 \rtlch\fcs1 \af0\afs20\alang1025 \ltrch\fcs0 \b\fs24\lang2057\langfe2057\cgrid\langnp2057\langfenp2057 {\rtlch\fcs1 \af0 _x000d__x000a_\ltrch\fcs0 \cs17\b0\v\fs20\cf9\lang1024\langfe1024\loch\af1\hich\af1\dbch\af31501\noproof\langnp1036\insrsid11432292\charrsid11356624 \hich\af1\dbch\af31501\loch\f1 &lt;Article&gt;}{\rtlch\fcs1 \af0 \ltrch\fcs0 _x000d__x000a_\lang1036\langfe2057\langnp1036\insrsid11432292\charrsid11356624 [ZRESPART]}{\rtlch\fcs1 \af0 \ltrch\fcs0 \cs17\b0\v\fs20\cf9\lang1024\langfe1024\loch\af1\hich\af1\dbch\af31501\noproof\langnp1036\insrsid11432292\charrsid11356624 _x000d__x000a_\hich\af1\dbch\af31501\loch\f1 &lt;/Article&gt;}{\rtlch\fcs1 \af0 \ltrch\fcs0 \lang1036\langfe2057\langnp1036\insrsid1143229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1432292\charrsid11356624 \cell }\pard \ltrpar_x000d__x000a_\ql \li0\ri0\widctlpar\intbl\wrapdefault\aspalpha\aspnum\faauto\adjustright\rin0\lin0 {\rtlch\fcs1 \af0 \ltrch\fcs0 \insrsid1143229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1432292\charrsid15879488 [ZLEFTA]\cell [ZRIGHT]\cell }\pard\plain \ltrpar_x000d__x000a_\ql \li0\ri0\widctlpar\intbl\wrapdefault\aspalpha\aspnum\faauto\adjustright\rin0\lin0 \rtlch\fcs1 \af0\afs20\alang1025 \ltrch\fcs0 \fs24\lang2057\langfe2057\cgrid\langnp2057\langfenp2057 {\rtlch\fcs1 \af0 \ltrch\fcs0 \insrsid11432292\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432292\charrsid15879488 [ZTEXTL]\cell [ZTEXTR]}{\rtlch\fcs1 \af0\afs24 \ltrch\fcs0 \insrsid11432292\charrsid15879488 \cell }\pard\plain \ltrpar\ql \li0\ri0\widctlpar\intbl\wrapdefault\aspalpha\aspnum\faauto\adjustright\rin0\lin0 \rtlch\fcs1 _x000d__x000a_\af0\afs20\alang1025 \ltrch\fcs0 \fs24\lang2057\langfe2057\cgrid\langnp2057\langfenp2057 {\rtlch\fcs1 \af0 \ltrch\fcs0 \insrsid1143229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432292 {\rtlch\fcs1 \af0 \ltrch\fcs0 \cs17\v\fs20\cf9\lang1024\langfe1024\loch\af1\hich\af1\dbch\af31501\noproof\insrsid11432292\charrsid15879488 _x000d__x000a_\hich\af1\dbch\af31501\loch\f1 &lt;/AmendA&gt;}{\rtlch\fcs1 \af0 \ltrch\fcs0 \insrsid1143229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80_x000d__x000a_1d30a6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3823 HideTWBExt;}{_x000d__x000a_\s18\ql \li0\ri0\sa120\nowidctlpar\wrapdefault\aspalpha\aspnum\faauto\adjustright\rin0\lin0\itap0 \rtlch\fcs1 \af0\afs20\alang1025 \ltrch\fcs0 \fs24\lang2057\langfe2057\cgrid\langnp2057\langfenp2057 \sbasedon0 \snext18 \spriority0 \styrsid16653823 _x000d__x000a_Normal6a;}{\s19\ql \li0\ri0\nowidctlpar\wrapdefault\aspalpha\aspnum\faauto\adjustright\rin0\lin0\itap0 \rtlch\fcs1 \af0\afs20\alang1025 \ltrch\fcs0 \b\fs24\lang2057\langfe2057\cgrid\langnp2057\langfenp2057 \sbasedon0 \snext19 \spriority0 \styrsid16653823 _x000d__x000a_NormalBold;}{\s20\ql \li0\ri0\sa240\nowidctlpar\wrapdefault\aspalpha\aspnum\faauto\adjustright\rin0\lin0\itap0 \rtlch\fcs1 \af0\afs20\alang1025 \ltrch\fcs0 \i\fs24\lang2057\langfe2057\cgrid\langnp2057\langfenp2057 _x000d__x000a_\sbasedon0 \snext20 \spriority0 \styrsid16653823 AmJustText;}{\s21\qc \li0\ri0\sb240\sa240\nowidctlpar\wrapdefault\aspalpha\aspnum\faauto\adjustright\rin0\lin0\itap0 \rtlch\fcs1 \af0\afs20\alang1025 \ltrch\fcs0 _x000d__x000a_\i\fs24\lang2057\langfe2057\cgrid\langnp2057\langfenp2057 \sbasedon0 \snext21 \spriority0 \styrsid16653823 AmCrossRef;}{\s22\qc \li0\ri0\sb240\sa240\keepn\nowidctlpar\wrapdefault\aspalpha\aspnum\faauto\adjustright\rin0\lin0\itap0 \rtlch\fcs1 _x000d__x000a_\af0\afs20\alang1025 \ltrch\fcs0 \i\fs24\lang2057\langfe2057\cgrid\langnp2057\langfenp2057 \sbasedon0 \snext20 \spriority0 \styrsid16653823 AmJustTitle;}{\s23\qc \li0\ri0\sa240\nowidctlpar\wrapdefault\aspalpha\aspnum\faauto\adjustright\rin0\lin0\itap0 _x000d__x000a_\rtlch\fcs1 \af0\afs20\alang1025 \ltrch\fcs0 \i\fs24\lang2057\langfe2057\cgrid\langnp2057\langfenp2057 \sbasedon0 \snext23 \spriority0 \styrsid1665382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6653823 AmNumberTabs;}{\s25\ql \li0\ri0\sb240\nowidctlpar\wrapdefault\aspalpha\aspnum\faauto\adjustright\rin0\lin0\itap0 \rtlch\fcs1 _x000d__x000a_\af0\afs20\alang1025 \ltrch\fcs0 \b\fs24\lang2057\langfe2057\cgrid\langnp2057\langfenp2057 \sbasedon0 \snext25 \spriority0 \styrsid16653823 NormalBold12b;}}{\*\rsidtbl \rsid24658\rsid223860\rsid735077\rsid1718133\rsid2892074\rsid3565327\rsid4666813_x000d__x000a_\rsid6641733\rsid7823322\rsid9636012\rsid10377208\rsid10383364\rsid11215221\rsid11549030\rsid12154954\rsid14382809\rsid14424199\rsid15204470\rsid15285974\rsid15950462\rsid16324206\rsid16653823\rsid16662270}{\mmathPr\mmathFont34\mbrkBin0\mbrkBinSub0_x000d__x000a_\msmallFrac0\mdispDef1\mlMargin0\mrMargin0\mdefJc1\mwrapIndent1440\mintLim0\mnaryLim1}{\info{\author ROVERS Rosette}{\operator ROVERS Rosette}{\creatim\yr2023\mo1\dy16\hr13\min29}{\revtim\yr2023\mo1\dy16\hr13\min29}{\version1}{\edmins0}{\nofpages1}_x000d__x000a_{\nofwords51}{\nofchars321}{\nofcharsws36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3823\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10383364 \chftnsep _x000d__x000a_\par }}{\*\ftnsepc \ltrpar \pard\plain \ltrpar\ql \li0\ri0\widctlpar\wrapdefault\aspalpha\aspnum\faauto\adjustright\rin0\lin0\itap0 \rtlch\fcs1 \af0\afs20\alang1025 \ltrch\fcs0 \fs24\lang2057\langfe2057\cgrid\langnp2057\langfenp2057 {\rtlch\fcs1 \af0 _x000d__x000a_\ltrch\fcs0 \insrsid10383364 \chftnsepc _x000d__x000a_\par }}{\*\aftnsep \ltrpar \pard\plain \ltrpar\ql \li0\ri0\widctlpar\wrapdefault\aspalpha\aspnum\faauto\adjustright\rin0\lin0\itap0 \rtlch\fcs1 \af0\afs20\alang1025 \ltrch\fcs0 \fs24\lang2057\langfe2057\cgrid\langnp2057\langfenp2057 {\rtlch\fcs1 \af0 _x000d__x000a_\ltrch\fcs0 \insrsid10383364 \chftnsep _x000d__x000a_\par }}{\*\aftnsepc \ltrpar \pard\plain \ltrpar\ql \li0\ri0\widctlpar\wrapdefault\aspalpha\aspnum\faauto\adjustright\rin0\lin0\itap0 \rtlch\fcs1 \af0\afs20\alang1025 \ltrch\fcs0 \fs24\lang2057\langfe2057\cgrid\langnp2057\langfenp2057 {\rtlch\fcs1 \af0 _x000d__x000a_\ltrch\fcs0 \insrsid1038336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6653823 \rtlch\fcs1 _x000d__x000a_\af0\afs20\alang1025 \ltrch\fcs0 \b\fs24\lang2057\langfe2057\cgrid\langnp2057\langfenp2057 {\rtlch\fcs1 \af0 \ltrch\fcs0 \cs17\b0\v\fs20\cf9\lang1024\langfe1024\loch\af1\hich\af1\dbch\af31501\noproof\insrsid16653823\charrsid15879488 {\*\bkmkstart restartB_x000d__x000a_}\hich\af1\dbch\af31501\loch\f1 &lt;AmendB&gt;}{\rtlch\fcs1 \af0 \ltrch\fcs0 \insrsid16653823\charrsid15879488 [ZAMENDMENT]\tab \tab }{\rtlch\fcs1 \af0 \ltrch\fcs0 _x000d__x000a_\cs17\b0\v\fs20\cf9\lang1024\langfe1024\loch\af1\hich\af1\dbch\af31501\noproof\insrsid16653823\charrsid15879488 \hich\af1\dbch\af31501\loch\f1 &lt;NumAmB&gt;}{\rtlch\fcs1 \af0 \ltrch\fcs0 \insrsid16653823\charrsid15879488 [ZNRAM]}{\rtlch\fcs1 \af0 \ltrch\fcs0 _x000d__x000a_\cs17\b0\v\fs20\cf9\lang1024\langfe1024\loch\af1\hich\af1\dbch\af31501\noproof\insrsid16653823\charrsid15879488 \hich\af1\dbch\af31501\loch\f1 &lt;/NumAmB&gt;}{\rtlch\fcs1 \af0 \ltrch\fcs0 \insrsid16653823\charrsid15879488 _x000d__x000a_\par }\pard\plain \ltrpar\s25\ql \li0\ri0\sb240\keepn\nowidctlpar\wrapdefault\aspalpha\aspnum\faauto\adjustright\rin0\lin0\itap0\pararsid16653823 \rtlch\fcs1 \af0\afs20\alang1025 \ltrch\fcs0 \b\fs24\lang2057\langfe2057\cgrid\langnp2057\langfenp2057 {_x000d__x000a_\rtlch\fcs1 \af0 \ltrch\fcs0 \cs17\b0\v\fs20\cf9\lang1024\langfe1024\loch\af1\hich\af1\dbch\af31501\noproof\insrsid16653823\charrsid15879488 \hich\af1\dbch\af31501\loch\f1 &lt;DocAmend&gt;}{\rtlch\fcs1 \af0 \ltrch\fcs0 \insrsid16653823\charrsid15879488 _x000d__x000a_[ZPROPOSAL][ZAMACT]}{\rtlch\fcs1 \af0 \ltrch\fcs0 \cs17\b0\v\fs20\cf9\lang1024\langfe1024\loch\af1\hich\af1\dbch\af31501\noproof\insrsid16653823\charrsid15879488 \hich\af1\dbch\af31501\loch\f1 &lt;/DocAmend&gt;}{\rtlch\fcs1 \af0 \ltrch\fcs0 _x000d__x000a_\insrsid16653823\charrsid15879488 _x000d__x000a_\par }\pard\plain \ltrpar\s19\ql \li0\ri0\keepn\nowidctlpar\wrapdefault\aspalpha\aspnum\faauto\adjustright\rin0\lin0\itap0\pararsid16653823 \rtlch\fcs1 \af0\afs20\alang1025 \ltrch\fcs0 \b\fs24\lang2057\langfe2057\cgrid\langnp2057\langfenp2057 {\rtlch\fcs1 _x000d__x000a_\af0 \ltrch\fcs0 \cs17\b0\v\fs20\cf9\lang1024\langfe1024\loch\af1\hich\af1\dbch\af31501\noproof\insrsid16653823\charrsid15879488 \hich\af1\dbch\af31501\loch\f1 &lt;Article&gt;}{\rtlch\fcs1 \af0 \ltrch\fcs0 \insrsid16653823\charrsid15879488 [ZAMPART]}{_x000d__x000a_\rtlch\fcs1 \af0 \ltrch\fcs0 \cs17\b0\v\fs20\cf9\lang1024\langfe1024\loch\af1\hich\af1\dbch\af31501\noproof\insrsid16653823\charrsid15879488 \hich\af1\dbch\af31501\loch\f1 &lt;/Article&gt;}{\rtlch\fcs1 \af0 \ltrch\fcs0 \insrsid16653823\charrsid15879488 _x000d__x000a_\par }\pard\plain \ltrpar\ql \li0\ri0\keepn\widctlpar\wrapdefault\aspalpha\aspnum\faauto\adjustright\rin0\lin0\itap0\pararsid16653823 \rtlch\fcs1 \af0\afs20\alang1025 \ltrch\fcs0 \fs24\lang2057\langfe2057\cgrid\langnp2057\langfenp2057 {\rtlch\fcs1 \af0 _x000d__x000a_\ltrch\fcs0 \cs17\v\fs20\cf9\lang1024\langfe1024\loch\af1\hich\af1\dbch\af31501\noproof\insrsid16653823\charrsid15879488 \hich\af1\dbch\af31501\loch\f1 &lt;DocAmend2&gt;&lt;OptDel&gt;}{\rtlch\fcs1 \af0 \ltrch\fcs0 \insrsid16653823\charrsid15879488 [ZNRACT]}{_x000d__x000a_\rtlch\fcs1 \af0 \ltrch\fcs0 \cs17\v\fs20\cf9\lang1024\langfe1024\loch\af1\hich\af1\dbch\af31501\noproof\insrsid16653823\charrsid15879488 \hich\af1\dbch\af31501\loch\f1 &lt;/OptDel&gt;&lt;/DocAmend2&gt;}{\rtlch\fcs1 \af0 \ltrch\fcs0 \insrsid16653823\charrsid15879488 _x000d__x000a__x000d__x000a_\par }\pard \ltrpar\ql \li0\ri0\widctlpar\wrapdefault\aspalpha\aspnum\faauto\adjustright\rin0\lin0\itap0\pararsid16653823 {\rtlch\fcs1 \af0 \ltrch\fcs0 _x000d__x000a_\cs17\v\fs20\cf9\lang1024\langfe1024\loch\af1\hich\af1\dbch\af31501\noproof\langnp1036\insrsid16653823\charrsid11356624 \hich\af1\dbch\af31501\loch\f1 &lt;Article2&gt;&lt;OptDel&gt;}{\rtlch\fcs1 \af0 \ltrch\fcs0 _x000d__x000a_\lang1036\langfe2057\langnp1036\insrsid16653823\charrsid11356624 [ZACTPART]}{\rtlch\fcs1 \af0 \ltrch\fcs0 \cs17\v\fs20\cf9\lang1024\langfe1024\loch\af1\hich\af1\dbch\af31501\noproof\langnp1036\insrsid16653823\charrsid11356624 _x000d__x000a_\hich\af1\dbch\af31501\loch\f1 &lt;/OptDel&gt;&lt;/Article2&gt;}{\rtlch\fcs1 \af0 \ltrch\fcs0 \lang1036\langfe2057\langnp1036\insrsid1665382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6653823\charrsid11356624 \cell }\pard \ltrpar\ql \li0\ri0\widctlpar\intbl\wrapdefault\aspalpha\aspnum\faauto\adjustright\rin0\lin0 {\rtlch\fcs1 \af0 \ltrch\fcs0 \insrsid1665382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6653823\charrsid15879488 [ZLEFTB]\cell [ZRIGHT]\cell }\pard\plain \ltrpar\ql \li0\ri0\widctlpar\intbl\wrapdefault\aspalpha\aspnum\faauto\adjustright\rin0\lin0 \rtlch\fcs1 \af0\afs20\alang1025 \ltrch\fcs0 _x000d__x000a_\fs24\lang2057\langfe2057\cgrid\langnp2057\langfenp2057 {\rtlch\fcs1 \af0 \ltrch\fcs0 \insrsid1665382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653823\charrsid15879488 [ZTEXTL]\cell [ZTEXTR]}{\rtlch\fcs1 \af0\afs24 \ltrch\fcs0 \insrsid16653823\charrsid15879488 \cell }\pard\plain \ltrpar\ql \li0\ri0\widctlpar\intbl\wrapdefault\aspalpha\aspnum\faauto\adjustright\rin0\lin0 \rtlch\fcs1 _x000d__x000a_\af0\afs20\alang1025 \ltrch\fcs0 \fs24\lang2057\langfe2057\cgrid\langnp2057\langfenp2057 {\rtlch\fcs1 \af0 \ltrch\fcs0 \insrsid1665382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653823 \rtlch\fcs1 \af0\afs20\alang1025 \ltrch\fcs0 \i\fs24\lang2057\langfe2057\cgrid\langnp2057\langfenp2057 {\rtlch\fcs1 \af0 \ltrch\fcs0 _x000d__x000a_\cs17\i0\v\fs20\cf9\lang1024\langfe1024\loch\af1\hich\af1\dbch\af31501\noproof\insrsid16653823\charrsid15879488 \hich\af1\dbch\af31501\loch\f1 &lt;OptDel&gt;}{\rtlch\fcs1 \af0 \ltrch\fcs0 \insrsid16653823\charrsid15879488 [ZCROSSREF]}{\rtlch\fcs1 \af0 _x000d__x000a_\ltrch\fcs0 \cs17\i0\v\fs20\cf9\lang1024\langfe1024\loch\af1\hich\af1\dbch\af31501\noproof\insrsid16653823\charrsid15879488 \hich\af1\dbch\af31501\loch\f1 &lt;/OptDel&gt;}{\rtlch\fcs1 \af0 \ltrch\fcs0 \insrsid16653823\charrsid15879488 _x000d__x000a_\par }\pard\plain \ltrpar\s22\qc \li0\ri0\sb240\sa240\keepn\nowidctlpar\wrapdefault\aspalpha\aspnum\faauto\adjustright\rin0\lin0\itap0\pararsid16653823 \rtlch\fcs1 \af0\afs20\alang1025 \ltrch\fcs0 \i\fs24\lang2057\langfe2057\cgrid\langnp2057\langfenp2057 {_x000d__x000a_\rtlch\fcs1 \af0 \ltrch\fcs0 \cs17\i0\v\fs20\cf9\lang1024\langfe1024\loch\af1\hich\af1\dbch\af31501\noproof\insrsid16653823\charrsid15879488 \hich\af1\dbch\af31501\loch\f1 &lt;TitreJust&gt;}{\rtlch\fcs1 \af0 \ltrch\fcs0 \insrsid16653823\charrsid15879488 _x000d__x000a_[ZJUSTIFICATION]}{\rtlch\fcs1 \af0 \ltrch\fcs0 \cs17\i0\v\fs20\cf9\lang1024\langfe1024\loch\af1\hich\af1\dbch\af31501\noproof\insrsid16653823\charrsid15879488 \hich\af1\dbch\af31501\loch\f1 &lt;/TitreJust&gt;}{\rtlch\fcs1 \af0 \ltrch\fcs0 _x000d__x000a_\insrsid16653823\charrsid15879488 _x000d__x000a_\par }\pard\plain \ltrpar\s20\ql \li0\ri0\sa240\nowidctlpar\wrapdefault\aspalpha\aspnum\faauto\adjustright\rin0\lin0\itap0\pararsid16653823 \rtlch\fcs1 \af0\afs20\alang1025 \ltrch\fcs0 \i\fs24\lang2057\langfe2057\cgrid\langnp2057\langfenp2057 {\rtlch\fcs1 _x000d__x000a_\af0 \ltrch\fcs0 \cs17\i0\v\fs20\cf9\lang1024\langfe1024\loch\af1\hich\af1\dbch\af31501\noproof\insrsid16653823\charrsid15879488 \hich\af1\dbch\af31501\loch\f1 &lt;OptDelPrev&gt;}{\rtlch\fcs1 \af0 \ltrch\fcs0 \insrsid16653823\charrsid15879488 [ZTEXTJUST]}{_x000d__x000a_\rtlch\fcs1 \af0 \ltrch\fcs0 \cs17\i0\v\fs20\cf9\lang1024\langfe1024\loch\af1\hich\af1\dbch\af31501\noproof\insrsid16653823\charrsid15879488 \hich\af1\dbch\af31501\loch\f1 &lt;/OptDelPrev&gt;}{\rtlch\fcs1 \af0 \ltrch\fcs0 \insrsid16653823\charrsid15879488 _x000d__x000a__x000d__x000a_\par }\pard\plain \ltrpar\ql \li0\ri0\widctlpar\wrapdefault\aspalpha\aspnum\faauto\adjustright\rin0\lin0\itap0\pararsid16653823 \rtlch\fcs1 \af0\afs20\alang1025 \ltrch\fcs0 \fs24\lang2057\langfe2057\cgrid\langnp2057\langfenp2057 {\rtlch\fcs1 \af0 \ltrch\fcs0 _x000d__x000a_\cs17\v\fs20\cf9\lang1024\langfe1024\loch\af1\hich\af1\dbch\af31501\noproof\insrsid16653823\charrsid15879488 \hich\af1\dbch\af31501\loch\f1 &lt;/AmendB&gt;}{\rtlch\fcs1 \af0 \ltrch\fcs0 \insrsid1665382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d_x000d__x000a_a831a6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70"/>
    <w:docVar w:name="TITLECODMNU" w:val=" 1"/>
    <w:docVar w:name="TVTRESPART" w:val="xxx"/>
    <w:docVar w:name="TXTLANGUE" w:val="NL"/>
    <w:docVar w:name="TXTLANGUEMIN" w:val="nl"/>
    <w:docVar w:name="TXTNRC" w:val="0434/2021"/>
    <w:docVar w:name="TXTNRCOM" w:val="(2021)0723"/>
    <w:docVar w:name="TXTNRPE" w:val="736.586"/>
    <w:docVar w:name="TXTNRPROC" w:val="2021/0378"/>
    <w:docVar w:name="TXTPEorAP" w:val="PE"/>
    <w:docVar w:name="TXTROUTE" w:val="AD\1270366NL.docx"/>
    <w:docVar w:name="TXTVERSION" w:val="02-00"/>
  </w:docVars>
  <w:rsids>
    <w:rsidRoot w:val="00180906"/>
    <w:rsid w:val="00026559"/>
    <w:rsid w:val="00027FA8"/>
    <w:rsid w:val="0004474F"/>
    <w:rsid w:val="00082EC4"/>
    <w:rsid w:val="00092BBA"/>
    <w:rsid w:val="000C1918"/>
    <w:rsid w:val="000D44A6"/>
    <w:rsid w:val="000E5842"/>
    <w:rsid w:val="00122C05"/>
    <w:rsid w:val="00134974"/>
    <w:rsid w:val="00141CD7"/>
    <w:rsid w:val="001616BD"/>
    <w:rsid w:val="00180906"/>
    <w:rsid w:val="001820A9"/>
    <w:rsid w:val="001A0556"/>
    <w:rsid w:val="001B0A1E"/>
    <w:rsid w:val="001C0886"/>
    <w:rsid w:val="001D5154"/>
    <w:rsid w:val="001D70D2"/>
    <w:rsid w:val="001E3AC4"/>
    <w:rsid w:val="0020077A"/>
    <w:rsid w:val="00223387"/>
    <w:rsid w:val="0023131B"/>
    <w:rsid w:val="00245ABA"/>
    <w:rsid w:val="002A3A59"/>
    <w:rsid w:val="002A45D9"/>
    <w:rsid w:val="002A67EE"/>
    <w:rsid w:val="00304EA8"/>
    <w:rsid w:val="00341A99"/>
    <w:rsid w:val="00360FAA"/>
    <w:rsid w:val="0038294E"/>
    <w:rsid w:val="003A2F84"/>
    <w:rsid w:val="003C7390"/>
    <w:rsid w:val="003E1280"/>
    <w:rsid w:val="003F128E"/>
    <w:rsid w:val="003F71D7"/>
    <w:rsid w:val="0040055C"/>
    <w:rsid w:val="00443FA1"/>
    <w:rsid w:val="00470BF2"/>
    <w:rsid w:val="00487596"/>
    <w:rsid w:val="004B3A53"/>
    <w:rsid w:val="004B7938"/>
    <w:rsid w:val="004C2A0D"/>
    <w:rsid w:val="004F1D2F"/>
    <w:rsid w:val="004F737B"/>
    <w:rsid w:val="00502B76"/>
    <w:rsid w:val="00513F6F"/>
    <w:rsid w:val="00522B51"/>
    <w:rsid w:val="00524707"/>
    <w:rsid w:val="00537F24"/>
    <w:rsid w:val="005445FE"/>
    <w:rsid w:val="005539B7"/>
    <w:rsid w:val="00556B59"/>
    <w:rsid w:val="00571233"/>
    <w:rsid w:val="005D512F"/>
    <w:rsid w:val="005E27F8"/>
    <w:rsid w:val="00613134"/>
    <w:rsid w:val="00626D52"/>
    <w:rsid w:val="00643DA8"/>
    <w:rsid w:val="00657D5C"/>
    <w:rsid w:val="00683DD1"/>
    <w:rsid w:val="00691B1C"/>
    <w:rsid w:val="006A0F0A"/>
    <w:rsid w:val="006A48AA"/>
    <w:rsid w:val="006B1267"/>
    <w:rsid w:val="006D292E"/>
    <w:rsid w:val="006F3A74"/>
    <w:rsid w:val="00712462"/>
    <w:rsid w:val="00716BAA"/>
    <w:rsid w:val="0078548A"/>
    <w:rsid w:val="007B7CE3"/>
    <w:rsid w:val="007D356E"/>
    <w:rsid w:val="007F187F"/>
    <w:rsid w:val="008065D1"/>
    <w:rsid w:val="00817D13"/>
    <w:rsid w:val="00820C7D"/>
    <w:rsid w:val="00833D11"/>
    <w:rsid w:val="00836FD3"/>
    <w:rsid w:val="008375A8"/>
    <w:rsid w:val="00840F3E"/>
    <w:rsid w:val="008474F3"/>
    <w:rsid w:val="00872A52"/>
    <w:rsid w:val="00876A73"/>
    <w:rsid w:val="0089388A"/>
    <w:rsid w:val="008F3DB0"/>
    <w:rsid w:val="00902602"/>
    <w:rsid w:val="00904864"/>
    <w:rsid w:val="009052FE"/>
    <w:rsid w:val="009215FC"/>
    <w:rsid w:val="00924555"/>
    <w:rsid w:val="009368B3"/>
    <w:rsid w:val="00982B83"/>
    <w:rsid w:val="009857B4"/>
    <w:rsid w:val="009E7319"/>
    <w:rsid w:val="00A71228"/>
    <w:rsid w:val="00A74E25"/>
    <w:rsid w:val="00A815F2"/>
    <w:rsid w:val="00AC2A60"/>
    <w:rsid w:val="00AD49D0"/>
    <w:rsid w:val="00AE155A"/>
    <w:rsid w:val="00B00EE6"/>
    <w:rsid w:val="00B06FA8"/>
    <w:rsid w:val="00B36378"/>
    <w:rsid w:val="00B476DC"/>
    <w:rsid w:val="00B556CD"/>
    <w:rsid w:val="00B62D4B"/>
    <w:rsid w:val="00B904FA"/>
    <w:rsid w:val="00BA3E40"/>
    <w:rsid w:val="00BC3B8B"/>
    <w:rsid w:val="00BD1F76"/>
    <w:rsid w:val="00BE20CF"/>
    <w:rsid w:val="00C22327"/>
    <w:rsid w:val="00C335C6"/>
    <w:rsid w:val="00C4219C"/>
    <w:rsid w:val="00C52A28"/>
    <w:rsid w:val="00C709B7"/>
    <w:rsid w:val="00C75E98"/>
    <w:rsid w:val="00C81C5B"/>
    <w:rsid w:val="00C83B35"/>
    <w:rsid w:val="00C85D0F"/>
    <w:rsid w:val="00D215D3"/>
    <w:rsid w:val="00D25CF2"/>
    <w:rsid w:val="00D56CE0"/>
    <w:rsid w:val="00D6254D"/>
    <w:rsid w:val="00D67D0A"/>
    <w:rsid w:val="00D74FD1"/>
    <w:rsid w:val="00D943A5"/>
    <w:rsid w:val="00D9581F"/>
    <w:rsid w:val="00DB56E4"/>
    <w:rsid w:val="00DE204A"/>
    <w:rsid w:val="00E005E8"/>
    <w:rsid w:val="00E06FDD"/>
    <w:rsid w:val="00E27F01"/>
    <w:rsid w:val="00E47FD7"/>
    <w:rsid w:val="00E77FF5"/>
    <w:rsid w:val="00E94D64"/>
    <w:rsid w:val="00EA3802"/>
    <w:rsid w:val="00EF1432"/>
    <w:rsid w:val="00EF33D5"/>
    <w:rsid w:val="00F15744"/>
    <w:rsid w:val="00F24D40"/>
    <w:rsid w:val="00F5627A"/>
    <w:rsid w:val="00F8632E"/>
    <w:rsid w:val="00FA41E2"/>
    <w:rsid w:val="00FD5D1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C47B08-1B89-43C9-849A-66C62239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F5627A"/>
    <w:pPr>
      <w:tabs>
        <w:tab w:val="center" w:pos="4513"/>
        <w:tab w:val="right" w:pos="9026"/>
      </w:tabs>
    </w:pPr>
  </w:style>
  <w:style w:type="character" w:customStyle="1" w:styleId="FooterChar">
    <w:name w:val="Footer Char"/>
    <w:basedOn w:val="DefaultParagraphFont"/>
    <w:link w:val="Footer"/>
    <w:rsid w:val="00F5627A"/>
    <w:rPr>
      <w:sz w:val="24"/>
      <w:szCs w:val="24"/>
    </w:rPr>
  </w:style>
  <w:style w:type="character" w:customStyle="1" w:styleId="Normal6Char">
    <w:name w:val="Normal6 Char"/>
    <w:basedOn w:val="DefaultParagraphFont"/>
    <w:link w:val="Normal6"/>
    <w:locked/>
    <w:rsid w:val="000C1918"/>
    <w:rPr>
      <w:sz w:val="24"/>
      <w:lang w:val="nl-NL"/>
    </w:rPr>
  </w:style>
  <w:style w:type="paragraph" w:customStyle="1" w:styleId="Normal6">
    <w:name w:val="Normal6"/>
    <w:basedOn w:val="Normal"/>
    <w:link w:val="Normal6Char"/>
    <w:rsid w:val="000C1918"/>
    <w:pPr>
      <w:spacing w:after="120"/>
    </w:pPr>
    <w:rPr>
      <w:szCs w:val="20"/>
    </w:rPr>
  </w:style>
  <w:style w:type="character" w:customStyle="1" w:styleId="NormalBoldChar">
    <w:name w:val="NormalBold Char"/>
    <w:basedOn w:val="DefaultParagraphFont"/>
    <w:link w:val="NormalBold"/>
    <w:locked/>
    <w:rsid w:val="000C1918"/>
    <w:rPr>
      <w:b/>
      <w:sz w:val="24"/>
    </w:rPr>
  </w:style>
  <w:style w:type="paragraph" w:customStyle="1" w:styleId="Normal12Italic">
    <w:name w:val="Normal12Italic"/>
    <w:basedOn w:val="Normal"/>
    <w:rsid w:val="000C1918"/>
    <w:pPr>
      <w:spacing w:after="240"/>
    </w:pPr>
    <w:rPr>
      <w:i/>
      <w:noProof/>
      <w:szCs w:val="20"/>
    </w:rPr>
  </w:style>
  <w:style w:type="paragraph" w:customStyle="1" w:styleId="JustificationTitle">
    <w:name w:val="JustificationTitle"/>
    <w:basedOn w:val="Normal"/>
    <w:next w:val="Normal"/>
    <w:rsid w:val="000C1918"/>
    <w:pPr>
      <w:keepNext/>
      <w:spacing w:before="240" w:after="240"/>
      <w:jc w:val="center"/>
    </w:pPr>
    <w:rPr>
      <w:i/>
      <w:noProof/>
      <w:szCs w:val="20"/>
    </w:rPr>
  </w:style>
  <w:style w:type="paragraph" w:customStyle="1" w:styleId="ColumnHeading">
    <w:name w:val="ColumnHeading"/>
    <w:basedOn w:val="Normal"/>
    <w:rsid w:val="000C1918"/>
    <w:pPr>
      <w:spacing w:after="240"/>
      <w:jc w:val="center"/>
    </w:pPr>
    <w:rPr>
      <w:i/>
      <w:szCs w:val="20"/>
    </w:rPr>
  </w:style>
  <w:style w:type="paragraph" w:customStyle="1" w:styleId="AMNumberTabs0">
    <w:name w:val="AMNumberTabs"/>
    <w:basedOn w:val="Normal"/>
    <w:rsid w:val="000C19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0C1918"/>
    <w:pPr>
      <w:jc w:val="right"/>
    </w:pPr>
  </w:style>
  <w:style w:type="paragraph" w:styleId="BalloonText">
    <w:name w:val="Balloon Text"/>
    <w:basedOn w:val="Normal"/>
    <w:link w:val="BalloonTextChar"/>
    <w:semiHidden/>
    <w:unhideWhenUsed/>
    <w:rsid w:val="00E06FDD"/>
    <w:rPr>
      <w:rFonts w:ascii="Segoe UI" w:hAnsi="Segoe UI" w:cs="Segoe UI"/>
      <w:sz w:val="18"/>
      <w:szCs w:val="18"/>
    </w:rPr>
  </w:style>
  <w:style w:type="character" w:customStyle="1" w:styleId="BalloonTextChar">
    <w:name w:val="Balloon Text Char"/>
    <w:basedOn w:val="DefaultParagraphFont"/>
    <w:link w:val="BalloonText"/>
    <w:semiHidden/>
    <w:rsid w:val="00E06FDD"/>
    <w:rPr>
      <w:rFonts w:ascii="Segoe UI" w:hAnsi="Segoe UI" w:cs="Segoe UI"/>
      <w:sz w:val="18"/>
      <w:szCs w:val="18"/>
    </w:rPr>
  </w:style>
  <w:style w:type="character" w:styleId="CommentReference">
    <w:name w:val="annotation reference"/>
    <w:basedOn w:val="DefaultParagraphFont"/>
    <w:rsid w:val="00B36378"/>
    <w:rPr>
      <w:sz w:val="16"/>
      <w:szCs w:val="16"/>
    </w:rPr>
  </w:style>
  <w:style w:type="paragraph" w:styleId="CommentText">
    <w:name w:val="annotation text"/>
    <w:basedOn w:val="Normal"/>
    <w:link w:val="CommentTextChar"/>
    <w:rsid w:val="00B36378"/>
    <w:rPr>
      <w:sz w:val="20"/>
      <w:szCs w:val="20"/>
    </w:rPr>
  </w:style>
  <w:style w:type="character" w:customStyle="1" w:styleId="CommentTextChar">
    <w:name w:val="Comment Text Char"/>
    <w:basedOn w:val="DefaultParagraphFont"/>
    <w:link w:val="CommentText"/>
    <w:rsid w:val="00B36378"/>
  </w:style>
  <w:style w:type="paragraph" w:styleId="CommentSubject">
    <w:name w:val="annotation subject"/>
    <w:basedOn w:val="CommentText"/>
    <w:next w:val="CommentText"/>
    <w:link w:val="CommentSubjectChar"/>
    <w:semiHidden/>
    <w:unhideWhenUsed/>
    <w:rsid w:val="00B36378"/>
    <w:rPr>
      <w:b/>
      <w:bCs/>
    </w:rPr>
  </w:style>
  <w:style w:type="character" w:customStyle="1" w:styleId="CommentSubjectChar">
    <w:name w:val="Comment Subject Char"/>
    <w:basedOn w:val="CommentTextChar"/>
    <w:link w:val="CommentSubject"/>
    <w:semiHidden/>
    <w:rsid w:val="00B36378"/>
    <w:rPr>
      <w:b/>
      <w:bCs/>
    </w:rPr>
  </w:style>
  <w:style w:type="paragraph" w:customStyle="1" w:styleId="RollCallSymbols14pt">
    <w:name w:val="RollCallSymbols14pt"/>
    <w:basedOn w:val="Normal"/>
    <w:rsid w:val="00537F24"/>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37F24"/>
    <w:pPr>
      <w:tabs>
        <w:tab w:val="center" w:pos="284"/>
        <w:tab w:val="left" w:pos="426"/>
      </w:tabs>
    </w:pPr>
    <w:rPr>
      <w:snapToGrid w:val="0"/>
      <w:szCs w:val="20"/>
      <w:lang w:eastAsia="en-US"/>
    </w:rPr>
  </w:style>
  <w:style w:type="paragraph" w:customStyle="1" w:styleId="RollCallVotes">
    <w:name w:val="RollCallVotes"/>
    <w:basedOn w:val="Normal"/>
    <w:rsid w:val="00537F24"/>
    <w:pPr>
      <w:spacing w:before="120" w:after="120"/>
      <w:jc w:val="center"/>
    </w:pPr>
    <w:rPr>
      <w:b/>
      <w:bCs/>
      <w:snapToGrid w:val="0"/>
      <w:sz w:val="16"/>
      <w:szCs w:val="20"/>
      <w:lang w:eastAsia="en-US"/>
    </w:rPr>
  </w:style>
  <w:style w:type="paragraph" w:customStyle="1" w:styleId="RollCallTable">
    <w:name w:val="RollCallTable"/>
    <w:basedOn w:val="Normal"/>
    <w:rsid w:val="00537F24"/>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B99E6-A739-42AD-A8EB-C3FF50D3A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5093</Words>
  <Characters>30555</Characters>
  <Application>Microsoft Office Word</Application>
  <DocSecurity>0</DocSecurity>
  <Lines>1193</Lines>
  <Paragraphs>332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2023-01-25T10:31:00Z</dcterms:created>
  <dcterms:modified xsi:type="dcterms:W3CDTF">2023-01-25T10:31:00Z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1270366</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- 2023/01/25 11:31</vt:lpwstr>
  </property>
  <property fmtid="{D5CDD505-2E9C-101B-9397-08002B2CF9AE}" pid="9" name="Created with">
    <vt:lpwstr>9.13.0 Build [20220701]</vt:lpwstr>
  </property>
  <property fmtid="{D5CDD505-2E9C-101B-9397-08002B2CF9AE}" pid="10" name="FooterPath">
    <vt:lpwstr>AD\1270366NL.docx</vt:lpwstr>
  </property>
  <property fmtid="{D5CDD505-2E9C-101B-9397-08002B2CF9AE}" pid="11" name="LastEdited with">
    <vt:lpwstr>9.14.0 Build [20221101]</vt:lpwstr>
  </property>
  <property fmtid="{D5CDD505-2E9C-101B-9397-08002B2CF9AE}" pid="12" name="PE number">
    <vt:lpwstr>736.586</vt:lpwstr>
  </property>
  <property fmtid="{D5CDD505-2E9C-101B-9397-08002B2CF9AE}" pid="13" name="SDLStudio">
    <vt:lpwstr/>
  </property>
  <property fmtid="{D5CDD505-2E9C-101B-9397-08002B2CF9AE}" pid="14" name="SendToEpades">
    <vt:lpwstr>OK - 2022/09/20 16:22</vt:lpwstr>
  </property>
</Properties>
</file>