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78E1" w:rsidTr="00C85D0F">
        <w:trPr>
          <w:trHeight w:hRule="exact" w:val="1418"/>
        </w:trPr>
        <w:tc>
          <w:tcPr>
            <w:tcW w:w="6804" w:type="dxa"/>
            <w:shd w:val="clear" w:color="auto" w:fill="auto"/>
            <w:vAlign w:val="center"/>
          </w:tcPr>
          <w:p w:rsidR="00BA3E40" w:rsidRPr="00A25B1C" w:rsidRDefault="00BA6F57" w:rsidP="00C85D0F">
            <w:pPr>
              <w:pStyle w:val="EPName"/>
            </w:pPr>
            <w:r>
              <w:t>Parlamento Europeu</w:t>
            </w:r>
          </w:p>
          <w:p w:rsidR="00BA3E40" w:rsidRPr="00A25B1C" w:rsidRDefault="00BA6F57" w:rsidP="00B06FA8">
            <w:pPr>
              <w:pStyle w:val="EPTerm"/>
            </w:pPr>
            <w:r>
              <w:t>2019</w:t>
            </w:r>
            <w:r>
              <w:noBreakHyphen/>
            </w:r>
            <w:r>
              <w:t>2024</w:t>
            </w:r>
          </w:p>
        </w:tc>
        <w:tc>
          <w:tcPr>
            <w:tcW w:w="2268" w:type="dxa"/>
            <w:shd w:val="clear" w:color="auto" w:fill="auto"/>
          </w:tcPr>
          <w:p w:rsidR="00BA3E40" w:rsidRPr="00A25B1C" w:rsidRDefault="00BA6F57" w:rsidP="00C85D0F">
            <w:pPr>
              <w:pStyle w:val="EPLogo"/>
            </w:pPr>
            <w:r w:rsidRPr="00A25B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0422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25B1C" w:rsidRDefault="00F24D40" w:rsidP="00F24D40">
      <w:pPr>
        <w:pStyle w:val="LineTop"/>
      </w:pPr>
    </w:p>
    <w:p w:rsidR="00F24D40" w:rsidRPr="00A25B1C" w:rsidRDefault="00BA6F57" w:rsidP="00F24D40">
      <w:pPr>
        <w:pStyle w:val="EPBody"/>
      </w:pPr>
      <w:r>
        <w:rPr>
          <w:rStyle w:val="HideTWBExt"/>
        </w:rPr>
        <w:t>&lt;</w:t>
      </w:r>
      <w:r>
        <w:rPr>
          <w:rStyle w:val="HideTWBExt"/>
          <w:i w:val="0"/>
        </w:rPr>
        <w:t>Commission</w:t>
      </w:r>
      <w:r>
        <w:rPr>
          <w:rStyle w:val="HideTWBExt"/>
        </w:rPr>
        <w:t>&gt;</w:t>
      </w:r>
      <w:r>
        <w:rPr>
          <w:rStyle w:val="HideTWBInt"/>
          <w:color w:val="auto"/>
        </w:rPr>
        <w:t>{LIBE}</w:t>
      </w:r>
      <w:r>
        <w:t>Comissão das Liberdades Cívicas, da Justiça e dos Assuntos Internos</w:t>
      </w:r>
      <w:r>
        <w:rPr>
          <w:rStyle w:val="HideTWBExt"/>
        </w:rPr>
        <w:t>&lt;/</w:t>
      </w:r>
      <w:r>
        <w:rPr>
          <w:rStyle w:val="HideTWBExt"/>
          <w:i w:val="0"/>
        </w:rPr>
        <w:t>Commission</w:t>
      </w:r>
      <w:r>
        <w:rPr>
          <w:rStyle w:val="HideTWBExt"/>
        </w:rPr>
        <w:t>&gt;</w:t>
      </w:r>
    </w:p>
    <w:p w:rsidR="00F24D40" w:rsidRPr="00A25B1C" w:rsidRDefault="00F24D40" w:rsidP="00F24D40">
      <w:pPr>
        <w:pStyle w:val="LineBottom"/>
      </w:pPr>
    </w:p>
    <w:p w:rsidR="00DB56E4" w:rsidRPr="00A25B1C" w:rsidRDefault="00BA6F57" w:rsidP="00DB56E4">
      <w:pPr>
        <w:pStyle w:val="CoverReference"/>
      </w:pPr>
      <w:r>
        <w:rPr>
          <w:rStyle w:val="HideTWBExt"/>
          <w:b w:val="0"/>
        </w:rPr>
        <w:t>&lt;RefProc&gt;</w:t>
      </w:r>
      <w:r>
        <w:t>2021/0378</w:t>
      </w:r>
      <w:r>
        <w:rPr>
          <w:rStyle w:val="HideTWBExt"/>
          <w:b w:val="0"/>
        </w:rPr>
        <w:t>&lt;/RefProc&gt;&lt;RefTypeProc&gt;</w:t>
      </w:r>
      <w:r>
        <w:t>(COD)</w:t>
      </w:r>
      <w:r>
        <w:rPr>
          <w:rStyle w:val="HideTWBExt"/>
          <w:b w:val="0"/>
        </w:rPr>
        <w:t>&lt;/RefTypeProc&gt;</w:t>
      </w:r>
    </w:p>
    <w:p w:rsidR="00DB56E4" w:rsidRPr="00A25B1C" w:rsidRDefault="00BA6F57" w:rsidP="00DB56E4">
      <w:pPr>
        <w:pStyle w:val="CoverDate"/>
      </w:pPr>
      <w:r>
        <w:rPr>
          <w:rStyle w:val="HideTWBExt"/>
        </w:rPr>
        <w:t>&lt;Date&gt;</w:t>
      </w:r>
      <w:r>
        <w:rPr>
          <w:rStyle w:val="HideTWBInt"/>
          <w:color w:val="auto"/>
        </w:rPr>
        <w:t>{12/01/2023}</w:t>
      </w:r>
      <w:r>
        <w:t>12.1.2023</w:t>
      </w:r>
      <w:r>
        <w:rPr>
          <w:rStyle w:val="HideTWBExt"/>
        </w:rPr>
        <w:t>&lt;/Date&gt;</w:t>
      </w:r>
    </w:p>
    <w:p w:rsidR="00DB56E4" w:rsidRPr="00A25B1C" w:rsidRDefault="00BA6F57" w:rsidP="00DB56E4">
      <w:pPr>
        <w:pStyle w:val="CoverDocType24a"/>
      </w:pPr>
      <w:r>
        <w:rPr>
          <w:rStyle w:val="HideTWBExt"/>
          <w:b w:val="0"/>
        </w:rPr>
        <w:t>&lt;TitreType&gt;</w:t>
      </w:r>
      <w:r>
        <w:t>PARECER</w:t>
      </w:r>
      <w:r>
        <w:rPr>
          <w:rStyle w:val="HideTWBExt"/>
          <w:b w:val="0"/>
        </w:rPr>
        <w:t>&lt;/TitreType&gt;</w:t>
      </w:r>
    </w:p>
    <w:p w:rsidR="00DB56E4" w:rsidRPr="00A25B1C" w:rsidRDefault="00BA6F57" w:rsidP="00DB56E4">
      <w:pPr>
        <w:pStyle w:val="CoverNormal24a"/>
      </w:pPr>
      <w:r>
        <w:rPr>
          <w:rStyle w:val="HideTWBExt"/>
        </w:rPr>
        <w:t>&lt;CommissionResp&gt;</w:t>
      </w:r>
      <w:r>
        <w:t>da Comissão das Liberdades Cívicas, da Justiça e dos Assuntos Internos</w:t>
      </w:r>
      <w:r>
        <w:rPr>
          <w:rStyle w:val="HideTWBExt"/>
        </w:rPr>
        <w:t>&lt;/CommissionResp&gt;</w:t>
      </w:r>
    </w:p>
    <w:p w:rsidR="00DB56E4" w:rsidRPr="00A25B1C" w:rsidRDefault="00BA6F57" w:rsidP="00DB56E4">
      <w:pPr>
        <w:pStyle w:val="CoverNormal24a"/>
      </w:pPr>
      <w:r>
        <w:rPr>
          <w:rStyle w:val="HideTWBExt"/>
        </w:rPr>
        <w:t>&lt;CommissionInt&gt;</w:t>
      </w:r>
      <w:r>
        <w:t>dirigido à Comissão dos Assuntos Económicos e Monetários</w:t>
      </w:r>
      <w:r>
        <w:rPr>
          <w:rStyle w:val="HideTWBExt"/>
        </w:rPr>
        <w:t>&lt;/CommissionInt&gt;</w:t>
      </w:r>
    </w:p>
    <w:p w:rsidR="00DB56E4" w:rsidRPr="00A25B1C" w:rsidRDefault="00BA6F57" w:rsidP="00DB56E4">
      <w:pPr>
        <w:pStyle w:val="CoverNormal"/>
      </w:pPr>
      <w:r>
        <w:rPr>
          <w:rStyle w:val="HideTWBExt"/>
        </w:rPr>
        <w:t>&lt;Titre&gt;</w:t>
      </w:r>
      <w:r>
        <w:t>sobre a proposta de Regulamento do Parlament</w:t>
      </w:r>
      <w:r>
        <w:t>o Europeu e do Conselho que estabelece um ponto de acesso único europeu destinado a permitir um acesso centralizado a informações publicamente disponíveis com relevância para os serviços financeiros, os mercados de capitais e a sustentabilidade</w:t>
      </w:r>
      <w:r>
        <w:rPr>
          <w:rStyle w:val="HideTWBExt"/>
        </w:rPr>
        <w:t>&lt;/Titre&gt;</w:t>
      </w:r>
    </w:p>
    <w:p w:rsidR="00DB56E4" w:rsidRPr="00A25B1C" w:rsidRDefault="00BA6F57" w:rsidP="00DB56E4">
      <w:pPr>
        <w:pStyle w:val="CoverNormal24a"/>
      </w:pPr>
      <w:r>
        <w:rPr>
          <w:rStyle w:val="HideTWBExt"/>
        </w:rPr>
        <w:t>&lt;DocRef&gt;</w:t>
      </w:r>
      <w:r>
        <w:t>(COM(2021)0723 – C9</w:t>
      </w:r>
      <w:r>
        <w:noBreakHyphen/>
      </w:r>
      <w:r>
        <w:t>0434/2021 – 2021/0378(COD))</w:t>
      </w:r>
      <w:r>
        <w:rPr>
          <w:rStyle w:val="HideTWBExt"/>
        </w:rPr>
        <w:t>&lt;/DocRef&gt;</w:t>
      </w:r>
    </w:p>
    <w:p w:rsidR="00DB56E4" w:rsidRPr="00A25B1C" w:rsidRDefault="00BA6F57" w:rsidP="00DB56E4">
      <w:pPr>
        <w:pStyle w:val="CoverNormal24a"/>
      </w:pPr>
      <w:r>
        <w:t xml:space="preserve">Relator de parecer: </w:t>
      </w:r>
      <w:r>
        <w:rPr>
          <w:rStyle w:val="HideTWBExt"/>
        </w:rPr>
        <w:t>&lt;Depute&gt;</w:t>
      </w:r>
      <w:r>
        <w:t>Emil Radev</w:t>
      </w:r>
      <w:r>
        <w:rPr>
          <w:rStyle w:val="HideTWBExt"/>
        </w:rPr>
        <w:t>&lt;/Depute&gt;</w:t>
      </w:r>
    </w:p>
    <w:p w:rsidR="00487596" w:rsidRPr="00A25B1C" w:rsidRDefault="00487596" w:rsidP="00487596">
      <w:pPr>
        <w:pStyle w:val="CoverNormal"/>
      </w:pPr>
    </w:p>
    <w:p w:rsidR="00DB56E4" w:rsidRPr="00A25B1C" w:rsidRDefault="00BA6F57" w:rsidP="0004474F">
      <w:pPr>
        <w:tabs>
          <w:tab w:val="center" w:pos="4677"/>
        </w:tabs>
      </w:pPr>
      <w:r>
        <w:br w:type="page"/>
      </w:r>
      <w:r>
        <w:lastRenderedPageBreak/>
        <w:t>PA_Legam</w:t>
      </w:r>
    </w:p>
    <w:p w:rsidR="00470BF2" w:rsidRPr="00A25B1C" w:rsidRDefault="00BA6F57" w:rsidP="002A45D9">
      <w:pPr>
        <w:pStyle w:val="PageHeadingNotTOC"/>
      </w:pPr>
      <w:r>
        <w:br w:type="page"/>
      </w:r>
    </w:p>
    <w:p w:rsidR="00DB56E4" w:rsidRPr="00A25B1C" w:rsidRDefault="00BA6F57" w:rsidP="00DB56E4">
      <w:pPr>
        <w:pStyle w:val="AmHeadingPA"/>
      </w:pPr>
      <w:r>
        <w:lastRenderedPageBreak/>
        <w:t>ALTERAÇÕES</w:t>
      </w:r>
    </w:p>
    <w:p w:rsidR="00C148A1" w:rsidRPr="006F3A74" w:rsidRDefault="00BA6F57" w:rsidP="00C148A1">
      <w:pPr>
        <w:pStyle w:val="Normal12a"/>
      </w:pPr>
      <w:bookmarkStart w:id="0" w:name="IntroA"/>
      <w:r>
        <w:t>A Comissão das Liberdades Cívicas, da Justiça e dos Assuntos Internos insta a Comissão dos Assuntos Económicos e Monetá</w:t>
      </w:r>
      <w:r>
        <w:t>rios, competente quanto à matéria de fundo, a ter em conta as seguintes alterações:</w:t>
      </w:r>
      <w:bookmarkEnd w:id="0"/>
      <w:r>
        <w:t xml:space="preserve"> </w:t>
      </w:r>
      <w:r>
        <w:rPr>
          <w:rStyle w:val="HideTWBExt"/>
        </w:rPr>
        <w:t>&lt;RepeatBlock-Amend&gt;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(2)</w:t>
            </w:r>
            <w:r>
              <w:tab/>
              <w:t>Um</w:t>
            </w:r>
            <w:r>
              <w:t xml:space="preserve"> acesso fácil aos dados é importante para que os decisores na economia e na sociedade possam tomar decisões fundamentadas que promovam o funcionamento eficiente do mercado. A implantação de espaços europeus comuns de dados em setores cruciais, nomeadamente</w:t>
            </w:r>
            <w:r>
              <w:t xml:space="preserve"> o setor financeiro, servirá esse propósito. O setor financeiro está a passar por uma transformação digital que, previsivelmente, se prolongará nos próximos anos, a qual deve ser apoiada pela União, mais concretamente, através de uma promoção do financiame</w:t>
            </w:r>
            <w:r>
              <w:t>nto baseado em dados. Além disso, colocar o financiamento sustentável no cerne do sistema financeiro é um meio fundamental para concretizar uma transição ecológica da economia da União. Para que a transição ecológica seja bem</w:t>
            </w:r>
            <w:r>
              <w:noBreakHyphen/>
            </w:r>
            <w:r>
              <w:t>sucedida através do financiame</w:t>
            </w:r>
            <w:r>
              <w:t>nto sustentável, é essencial que as informações relacionadas com a sustentabilidade das empresas sejam facilmente acessíveis aos investidores, permitindo que estes estejam mais bem informados quando tomam decisões de investimento. Neste sentido, é necessár</w:t>
            </w:r>
            <w:r>
              <w:t>io melhorar o acesso do público às informações das entidades, como as informações financeiras e não financeiras de empresas, sociedades e instituições financeiras. Uma forma eficaz de proceder a essa melhoria a nível da União é criar uma plataforma central</w:t>
            </w:r>
            <w:r>
              <w:t xml:space="preserve">izada, um ponto de acesso único europeu (ESAP), que permita </w:t>
            </w:r>
            <w:r>
              <w:lastRenderedPageBreak/>
              <w:t>o acesso eletrónico a todas as informações pertinentes.</w:t>
            </w:r>
          </w:p>
        </w:tc>
        <w:tc>
          <w:tcPr>
            <w:tcW w:w="4876" w:type="dxa"/>
            <w:hideMark/>
          </w:tcPr>
          <w:p w:rsidR="00C148A1" w:rsidRPr="006F3A74" w:rsidRDefault="00BA6F57" w:rsidP="0018252A">
            <w:pPr>
              <w:pStyle w:val="Normal6"/>
              <w:rPr>
                <w:szCs w:val="24"/>
              </w:rPr>
            </w:pPr>
            <w:r>
              <w:lastRenderedPageBreak/>
              <w:t>(2)</w:t>
            </w:r>
            <w:r>
              <w:tab/>
              <w:t xml:space="preserve">Um acesso fácil </w:t>
            </w:r>
            <w:r>
              <w:rPr>
                <w:b/>
                <w:i/>
              </w:rPr>
              <w:t>e estruturado</w:t>
            </w:r>
            <w:r>
              <w:t xml:space="preserve"> aos dados é importante para que os decisores na economia e na sociedade possam tomar decisões </w:t>
            </w:r>
            <w:r>
              <w:rPr>
                <w:b/>
                <w:i/>
              </w:rPr>
              <w:t>de investime</w:t>
            </w:r>
            <w:r>
              <w:rPr>
                <w:b/>
                <w:i/>
              </w:rPr>
              <w:t>nto</w:t>
            </w:r>
            <w:r>
              <w:t xml:space="preserve"> fundamentadas</w:t>
            </w:r>
            <w:r>
              <w:rPr>
                <w:b/>
                <w:i/>
              </w:rPr>
              <w:t>, informadas e ambiental e socialmente responsáveis</w:t>
            </w:r>
            <w:r>
              <w:t xml:space="preserve"> que promovam o funcionamento eficiente do mercado. A implantação de espaços europeus comuns de dados em setores cruciais, nomeadamente o setor financeiro, servirá esse propósito. O setor </w:t>
            </w:r>
            <w:r>
              <w:t>financeiro está a passar por uma transformação digital que, previsivelmente, se prolongará nos próximos anos, a qual deve ser apoiada pela União, mais concretamente, através de uma promoção do financiamento baseado em dados. Além disso, colocar o financiam</w:t>
            </w:r>
            <w:r>
              <w:t>ento sustentável no cerne do sistema financeiro é um meio fundamental para concretizar uma transição ecológica da economia da União. Para que a transição ecológica seja bem</w:t>
            </w:r>
            <w:r>
              <w:noBreakHyphen/>
            </w:r>
            <w:r>
              <w:t>sucedida através do financiamento sustentável, é essencial que as informações relac</w:t>
            </w:r>
            <w:r>
              <w:t>ionadas com a sustentabilidade das empresas sejam facilmente acessíveis aos investidores, permitindo que estes estejam mais bem informados quando tomam decisões de investimento. Neste sentido, é necessário melhorar o acesso do público às informações das en</w:t>
            </w:r>
            <w:r>
              <w:t xml:space="preserve">tidades, como as informações financeiras e não financeiras de empresas, sociedades e instituições financeiras. Uma forma eficaz de proceder a essa melhoria a nível da União é criar </w:t>
            </w:r>
            <w:r>
              <w:lastRenderedPageBreak/>
              <w:t>uma plataforma centralizada, um ponto de acesso único europeu (ESAP), que p</w:t>
            </w:r>
            <w:r>
              <w:t>ermita o acesso eletrónico a todas as informações pertinentes.</w:t>
            </w:r>
          </w:p>
        </w:tc>
      </w:tr>
    </w:tbl>
    <w:p w:rsidR="00C148A1" w:rsidRPr="006F3A74" w:rsidRDefault="00BA6F57" w:rsidP="00C148A1">
      <w:r>
        <w:rPr>
          <w:rStyle w:val="HideTWBExt"/>
        </w:rPr>
        <w:lastRenderedPageBreak/>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2</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(2</w:t>
            </w:r>
            <w:r>
              <w:rPr>
                <w:b/>
                <w:i/>
              </w:rPr>
              <w:noBreakHyphen/>
            </w:r>
            <w:r>
              <w:rPr>
                <w:b/>
                <w:i/>
              </w:rPr>
              <w:t>A)</w:t>
            </w:r>
            <w:r>
              <w:rPr>
                <w:b/>
                <w:i/>
              </w:rPr>
              <w:tab/>
              <w:t xml:space="preserve">Visto que estão </w:t>
            </w:r>
            <w:r>
              <w:rPr>
                <w:b/>
                <w:i/>
              </w:rPr>
              <w:t xml:space="preserve">atualmente em fase de negociação, ou de finalização, novos atos legislativos – nomeadamente, o Regulamento XXX relativo às obrigações verdes europeias – mas que não figuram no Anexo do presente regulamento, a Comissão deve dispor de poderes para atualizar </w:t>
            </w:r>
            <w:r>
              <w:rPr>
                <w:b/>
                <w:i/>
              </w:rPr>
              <w:t>o Anexo, a fim de adicionar legislação adotada recentemente relativa à prestação de serviços financeiros, aos mercados de capitais e à sustentabilidade.</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w:t>
      </w:r>
      <w:r>
        <w:t>siderando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(4)</w:t>
            </w:r>
            <w:r>
              <w:tab/>
              <w:t xml:space="preserve">As informações a disponibilizar ao público no ESAP devem ser recolhidas pelos organismos de recolha designados para efeitos de recolha das informações que as entidades estão obrigadas a tornar </w:t>
            </w:r>
            <w:r>
              <w:t>públicas. A fim de assegurar o funcionamento eficiente do ESAP, os organismos de recolha devem disponibilizar as informações no ESAP de forma automatizada, através de uma interface única de programação de aplicações. Para que as informações possam ser digi</w:t>
            </w:r>
            <w:r>
              <w:t>talmente utilizáveis, as entidades deverão disponibilizá</w:t>
            </w:r>
            <w:r>
              <w:noBreakHyphen/>
            </w:r>
            <w:r>
              <w:t xml:space="preserve">las num formato que permite a extração de dados </w:t>
            </w:r>
            <w:r>
              <w:lastRenderedPageBreak/>
              <w:t>ou, quando tal for exigido pelo direito da União, num formato legível por máquina. Comparativamente aos formatos que permitem a extração de dados, os f</w:t>
            </w:r>
            <w:r>
              <w:t>ormatos legíveis por máquina são formatos de ficheiro estruturados de modo a facilitar, por meio de aplicações de software, a identificação, o reconhecimento e a extração de dados específicos, incluindo o enunciado de um facto e a sua estrutura interna. Co</w:t>
            </w:r>
            <w:r>
              <w:t>m vista a garantir que as entidades forneçam as informações no formato correto e a resolver os problemas técnicos que possam encontrar, os organismos de recolha devem prestar assistência às entidades.</w:t>
            </w:r>
          </w:p>
        </w:tc>
        <w:tc>
          <w:tcPr>
            <w:tcW w:w="4876" w:type="dxa"/>
            <w:hideMark/>
          </w:tcPr>
          <w:p w:rsidR="00C148A1" w:rsidRPr="006F3A74" w:rsidRDefault="00BA6F57" w:rsidP="0018252A">
            <w:pPr>
              <w:pStyle w:val="Normal6"/>
              <w:rPr>
                <w:szCs w:val="24"/>
              </w:rPr>
            </w:pPr>
            <w:r>
              <w:lastRenderedPageBreak/>
              <w:t>(4)</w:t>
            </w:r>
            <w:r>
              <w:tab/>
              <w:t xml:space="preserve">As informações a disponibilizar ao público no ESAP </w:t>
            </w:r>
            <w:r>
              <w:t>devem ser recolhidas pelos organismos de recolha designados para efeitos de recolha das informações que as entidades estão obrigadas a tornar públicas. A fim de assegurar o funcionamento eficiente do ESAP, os organismos de recolha devem disponibilizar as i</w:t>
            </w:r>
            <w:r>
              <w:t>nformações no ESAP de forma automatizada, através de uma interface única de programação de aplicações.</w:t>
            </w:r>
            <w:r>
              <w:rPr>
                <w:b/>
                <w:i/>
              </w:rPr>
              <w:t xml:space="preserve"> Sempre que possível, e sob reserva da decisão do Estado</w:t>
            </w:r>
            <w:r>
              <w:rPr>
                <w:b/>
                <w:i/>
              </w:rPr>
              <w:noBreakHyphen/>
            </w:r>
            <w:r>
              <w:rPr>
                <w:b/>
                <w:i/>
              </w:rPr>
              <w:t xml:space="preserve">Membro em causa, os organismos de recolha designados para efeitos de recolha de </w:t>
            </w:r>
            <w:r>
              <w:rPr>
                <w:b/>
                <w:i/>
              </w:rPr>
              <w:lastRenderedPageBreak/>
              <w:t>informações que a</w:t>
            </w:r>
            <w:r>
              <w:rPr>
                <w:b/>
                <w:i/>
              </w:rPr>
              <w:t>s entidades estão obrigadas a divulgar publicamente devem também ser incumbidos de recolher informações apresentadas voluntariamente.</w:t>
            </w:r>
            <w:r>
              <w:t xml:space="preserve"> Para que as informações possam ser digitalmente utilizáveis, as entidades deverão disponibilizá</w:t>
            </w:r>
            <w:r>
              <w:noBreakHyphen/>
            </w:r>
            <w:r>
              <w:t>las num formato que permit</w:t>
            </w:r>
            <w:r>
              <w:t>e a extração de dados ou, quando tal for exigido pelo direito da União, num formato legível por máquina. Comparativamente aos formatos que permitem a extração de dados, os formatos legíveis por máquina são formatos de ficheiro estruturados de modo a facili</w:t>
            </w:r>
            <w:r>
              <w:t xml:space="preserve">tar, por meio de aplicações de software, a identificação, o reconhecimento e a extração de dados específicos, incluindo o enunciado de um facto e a sua estrutura interna. Com vista a garantir que as entidades forneçam as informações no formato correto e a </w:t>
            </w:r>
            <w:r>
              <w:t>resolver os problemas técnicos que possam encontrar, os organismos de recolha devem prestar assistência às entidades.</w:t>
            </w:r>
          </w:p>
        </w:tc>
      </w:tr>
    </w:tbl>
    <w:p w:rsidR="00C148A1" w:rsidRPr="006F3A74" w:rsidRDefault="00BA6F57" w:rsidP="00C148A1">
      <w:r>
        <w:rPr>
          <w:rStyle w:val="HideTWBExt"/>
        </w:rPr>
        <w:lastRenderedPageBreak/>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4</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 xml:space="preserve">Texto da </w:t>
            </w:r>
            <w:r>
              <w:t>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(5)</w:t>
            </w:r>
            <w:r>
              <w:tab/>
              <w:t>Além das informações relativas aos serviços financeiros, aos mercados de capitais e à sustentabilidade que devem ser tornadas públicas ao abrigo do direito da União, os investidores, os participantes no mercado, os consultores e o p</w:t>
            </w:r>
            <w:r>
              <w:t>úblico em geral poderão ter interesse em obter outras informações que uma entidade pretenda disponibilizar. As pequenas e médias empresas poderão querer disponibilizar mais informações ao público, a fim de reforçar a sua visibilidade junto dos potenciais i</w:t>
            </w:r>
            <w:r>
              <w:t xml:space="preserve">nvestidores e, assim, aumentar o financiamento e diversificar as oportunidades de financiamento. Além </w:t>
            </w:r>
            <w:r>
              <w:lastRenderedPageBreak/>
              <w:t xml:space="preserve">disso, os participantes no mercado poderão querer facultar mais informações do que as exigidas por lei ou tornar públicas informações que, sendo exigidas </w:t>
            </w:r>
            <w:r>
              <w:t>pelo direito nacional, não estão disponíveis a nível da União, a fim de complementar as informações disponibilizadas ao público a nível da União. Qualquer entidade deve, por conseguinte, ser autorizada a disponibilizar no ESAP informações financeiras ou re</w:t>
            </w:r>
            <w:r>
              <w:t xml:space="preserve">lacionadas com a sustentabilidade, bem como outras informações pertinentes. Em conformidade com o princípio da minimização dos dados, as entidades devem assegurar que não são incluídos dados pessoais, salvo se estes constituírem um elemento necessário das </w:t>
            </w:r>
            <w:r>
              <w:t xml:space="preserve">informações sobre as suas atividades económicas, incluindo quando o nome da entidade coincide com o nome do proprietário. Caso as referidas informações contenham dados pessoais, as entidades devem assegurar que a divulgação das mesmas possa ser sustentada </w:t>
            </w:r>
            <w:r>
              <w:t>por um dos motivos de tratamento lícito previstos no artigo 6.º do Regulamento (UE) 2016/679 do Parlamento Europeu e do Conselho</w:t>
            </w:r>
            <w:r>
              <w:rPr>
                <w:vertAlign w:val="superscript"/>
              </w:rPr>
              <w:t>26</w:t>
            </w:r>
            <w:r>
              <w:t>.</w:t>
            </w:r>
          </w:p>
        </w:tc>
        <w:tc>
          <w:tcPr>
            <w:tcW w:w="4876" w:type="dxa"/>
            <w:hideMark/>
          </w:tcPr>
          <w:p w:rsidR="00C148A1" w:rsidRPr="006F3A74" w:rsidRDefault="00BA6F57" w:rsidP="0018252A">
            <w:pPr>
              <w:pStyle w:val="Normal6"/>
              <w:rPr>
                <w:szCs w:val="24"/>
              </w:rPr>
            </w:pPr>
            <w:r>
              <w:lastRenderedPageBreak/>
              <w:t>(5)</w:t>
            </w:r>
            <w:r>
              <w:tab/>
              <w:t>Além das informações relativas aos serviços financeiros, aos mercados de capitais e à sustentabilidade que devem ser tor</w:t>
            </w:r>
            <w:r>
              <w:t xml:space="preserve">nadas públicas ao abrigo do direito da União, os investidores, os participantes no mercado, os consultores e o público em geral poderão ter interesse em obter outras informações que uma entidade pretenda disponibilizar. As </w:t>
            </w:r>
            <w:r>
              <w:rPr>
                <w:b/>
                <w:i/>
              </w:rPr>
              <w:t>micro,</w:t>
            </w:r>
            <w:r>
              <w:t xml:space="preserve"> pequenas e médias empresas</w:t>
            </w:r>
            <w:r>
              <w:t xml:space="preserve"> poderão querer disponibilizar mais informações ao público, a fim de reforçar a sua visibilidade junto dos potenciais investidores e, assim, aumentar o financiamento e diversificar as oportunidades de financiamento. Além </w:t>
            </w:r>
            <w:r>
              <w:lastRenderedPageBreak/>
              <w:t xml:space="preserve">disso, os participantes no mercado </w:t>
            </w:r>
            <w:r>
              <w:t>poderão querer facultar mais informações do que as exigidas por lei ou tornar públicas informações que, sendo exigidas pelo direito nacional, não estão disponíveis a nível da União, a fim de complementar as informações disponibilizadas ao público a nível d</w:t>
            </w:r>
            <w:r>
              <w:t xml:space="preserve">a União. Qualquer entidade deve, por conseguinte, ser autorizada a disponibilizar no ESAP informações financeiras ou relacionadas com a sustentabilidade, bem como outras informações pertinentes. </w:t>
            </w:r>
            <w:r>
              <w:rPr>
                <w:b/>
                <w:i/>
              </w:rPr>
              <w:t xml:space="preserve">As entidades que apresentem voluntariamente informações para </w:t>
            </w:r>
            <w:r>
              <w:rPr>
                <w:b/>
                <w:i/>
              </w:rPr>
              <w:t>fins de acessibilidade no ESAP devem ser responsáveis pela sua qualidade, exaustividade e exatidão. As informações devem ser apresentadas de boa</w:t>
            </w:r>
            <w:r>
              <w:rPr>
                <w:b/>
                <w:i/>
              </w:rPr>
              <w:noBreakHyphen/>
            </w:r>
            <w:r>
              <w:rPr>
                <w:b/>
                <w:i/>
              </w:rPr>
              <w:t>fé e refletir a verdadeira situação.</w:t>
            </w:r>
            <w:r>
              <w:t xml:space="preserve"> Em conformidade com o princípio da minimização dos dados, as entidades dev</w:t>
            </w:r>
            <w:r>
              <w:t>em assegurar que não são incluídos dados pessoais, salvo se estes constituírem um elemento necessário das informações sobre as suas atividades económicas, incluindo quando o nome da entidade coincide com o nome do proprietário. Caso as referidas informaçõe</w:t>
            </w:r>
            <w:r>
              <w:t>s contenham dados pessoais, as entidades devem assegurar que a divulgação das mesmas possa ser sustentada por um dos motivos de tratamento lícito previstos no artigo 6.º do Regulamento (UE) 2016/679 do Parlamento Europeu e do Conselho</w:t>
            </w:r>
            <w:r>
              <w:rPr>
                <w:vertAlign w:val="superscript"/>
              </w:rPr>
              <w:t>26</w:t>
            </w:r>
            <w:r>
              <w:t>.</w:t>
            </w:r>
          </w:p>
        </w:tc>
      </w:tr>
      <w:tr w:rsidR="00FC78E1" w:rsidTr="0018252A">
        <w:trPr>
          <w:jc w:val="center"/>
        </w:trPr>
        <w:tc>
          <w:tcPr>
            <w:tcW w:w="4876" w:type="dxa"/>
            <w:hideMark/>
          </w:tcPr>
          <w:p w:rsidR="00C148A1" w:rsidRPr="006F3A74" w:rsidRDefault="00BA6F57" w:rsidP="0018252A">
            <w:pPr>
              <w:pStyle w:val="Normal6"/>
            </w:pPr>
            <w:r>
              <w:lastRenderedPageBreak/>
              <w:t>_________________</w:t>
            </w:r>
            <w:r>
              <w:t>_</w:t>
            </w:r>
          </w:p>
        </w:tc>
        <w:tc>
          <w:tcPr>
            <w:tcW w:w="4876" w:type="dxa"/>
            <w:hideMark/>
          </w:tcPr>
          <w:p w:rsidR="00C148A1" w:rsidRPr="006F3A74" w:rsidRDefault="00BA6F57" w:rsidP="0018252A">
            <w:pPr>
              <w:pStyle w:val="Normal6"/>
              <w:rPr>
                <w:szCs w:val="24"/>
              </w:rPr>
            </w:pPr>
            <w:r>
              <w:t>__________________</w:t>
            </w:r>
          </w:p>
        </w:tc>
      </w:tr>
      <w:tr w:rsidR="00FC78E1" w:rsidTr="0018252A">
        <w:trPr>
          <w:jc w:val="center"/>
        </w:trPr>
        <w:tc>
          <w:tcPr>
            <w:tcW w:w="4876" w:type="dxa"/>
            <w:hideMark/>
          </w:tcPr>
          <w:p w:rsidR="00C148A1" w:rsidRPr="006F3A74" w:rsidRDefault="00BA6F57" w:rsidP="0018252A">
            <w:pPr>
              <w:pStyle w:val="Normal6"/>
            </w:pPr>
            <w:r>
              <w:rPr>
                <w:vertAlign w:val="superscript"/>
              </w:rPr>
              <w:t>26</w:t>
            </w:r>
            <w:r>
              <w:t xml:space="preserve"> Regulamento (UE) 2016/679 do Parlamento Europeu e do Conselho, de 27 de abril de 2016, relativo à proteção das pessoas singulares no que diz respeito ao tratamento de dados pessoais e à livre circulação desses dados e que revoga a </w:t>
            </w:r>
            <w:r>
              <w:t>Diretiva 95/46/CE (Regulamento Geral sobre a Proteção de Dados) (JO L 119 de 4.5.2016, p. 1).</w:t>
            </w:r>
          </w:p>
        </w:tc>
        <w:tc>
          <w:tcPr>
            <w:tcW w:w="4876" w:type="dxa"/>
            <w:hideMark/>
          </w:tcPr>
          <w:p w:rsidR="00C148A1" w:rsidRPr="006F3A74" w:rsidRDefault="00BA6F57" w:rsidP="0018252A">
            <w:pPr>
              <w:pStyle w:val="Normal6"/>
              <w:rPr>
                <w:szCs w:val="24"/>
              </w:rPr>
            </w:pPr>
            <w:r>
              <w:rPr>
                <w:vertAlign w:val="superscript"/>
              </w:rPr>
              <w:t>26</w:t>
            </w:r>
            <w:r>
              <w:t xml:space="preserve"> Regulamento (UE) 2016/679 do Parlamento Europeu e do Conselho, de 27 de abril de 2016, relativo à proteção das pessoas singulares no que diz respeito ao tratam</w:t>
            </w:r>
            <w:r>
              <w:t>ento de dados pessoais e à livre circulação desses dados e que revoga a Diretiva 95/46/CE (Regulamento Geral sobre a Proteção de Dados) (JO L 119 de 4.5.2016, p. 1).</w:t>
            </w:r>
          </w:p>
        </w:tc>
      </w:tr>
    </w:tbl>
    <w:p w:rsidR="00C148A1" w:rsidRPr="006F3A74" w:rsidRDefault="00BA6F57" w:rsidP="00C148A1">
      <w:r>
        <w:rPr>
          <w:rStyle w:val="HideTWBExt"/>
        </w:rPr>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5</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(12)</w:t>
            </w:r>
            <w:r>
              <w:tab/>
              <w:t xml:space="preserve">O ESAP deve proporcionar </w:t>
            </w:r>
            <w:r>
              <w:rPr>
                <w:b/>
                <w:i/>
              </w:rPr>
              <w:t>aos utilizadores um</w:t>
            </w:r>
            <w:r>
              <w:t xml:space="preserve"> acesso gratuito e não discriminatório às informações e </w:t>
            </w:r>
            <w:r>
              <w:rPr>
                <w:b/>
                <w:i/>
              </w:rPr>
              <w:t>dar</w:t>
            </w:r>
            <w:r>
              <w:rPr>
                <w:b/>
                <w:i/>
              </w:rPr>
              <w:noBreakHyphen/>
            </w:r>
            <w:r>
              <w:rPr>
                <w:b/>
                <w:i/>
              </w:rPr>
              <w:t>lhes</w:t>
            </w:r>
            <w:r>
              <w:t xml:space="preserve"> a possibilidade de pesquisar, aceder e descarregar as informações através d</w:t>
            </w:r>
            <w:r>
              <w:t>o ESAP. Contudo, atendendo à necessidade de proteger a ESMA de encargos financeiros excessivos em relação aos custos incorridos para satisfazer as necessidades dos utilizadores intensivos, se os houver, a ESMA deverá ter capacidade para gerar receitas. Por</w:t>
            </w:r>
            <w:r>
              <w:t xml:space="preserve"> conseguinte, em derrogação do princípio segundo o qual as informações devem ser acessíveis gratuitamente, a ESMA deve poder impor taxas pelos correspondentes serviços específicos, incluindo por serviços com elevados custos de manutenção devido a pesquisas</w:t>
            </w:r>
            <w:r>
              <w:t xml:space="preserve"> de grandes volumes de informação ou a acessos frequentes ao ESAP. As eventuais taxas aplicadas não devem, contudo, exceder o custo do serviço prestado.</w:t>
            </w:r>
          </w:p>
        </w:tc>
        <w:tc>
          <w:tcPr>
            <w:tcW w:w="4876" w:type="dxa"/>
            <w:hideMark/>
          </w:tcPr>
          <w:p w:rsidR="00C148A1" w:rsidRPr="006F3A74" w:rsidRDefault="00BA6F57" w:rsidP="0018252A">
            <w:pPr>
              <w:pStyle w:val="Normal6"/>
              <w:rPr>
                <w:szCs w:val="24"/>
              </w:rPr>
            </w:pPr>
            <w:r>
              <w:t>(12)</w:t>
            </w:r>
            <w:r>
              <w:tab/>
              <w:t xml:space="preserve">O ESAP deve proporcionar </w:t>
            </w:r>
            <w:r>
              <w:rPr>
                <w:b/>
                <w:i/>
              </w:rPr>
              <w:t xml:space="preserve">a todos os participantes ativos no mercado único europeu – nomeadamente, </w:t>
            </w:r>
            <w:r>
              <w:rPr>
                <w:b/>
                <w:i/>
              </w:rPr>
              <w:t>mas não exclusivamente, investidores, consumidores, organizações da sociedade civil, universidades e representantes dos meios de comunicação social – o mesmo</w:t>
            </w:r>
            <w:r>
              <w:t xml:space="preserve"> acesso gratuito e não discriminatório às informações </w:t>
            </w:r>
            <w:r>
              <w:rPr>
                <w:b/>
                <w:i/>
              </w:rPr>
              <w:t>para que possam efetuar o seu trabalho</w:t>
            </w:r>
            <w:r>
              <w:t xml:space="preserve"> e </w:t>
            </w:r>
            <w:r>
              <w:rPr>
                <w:b/>
                <w:i/>
              </w:rPr>
              <w:t>conc</w:t>
            </w:r>
            <w:r>
              <w:rPr>
                <w:b/>
                <w:i/>
              </w:rPr>
              <w:t>retizar os seus interesses.</w:t>
            </w:r>
            <w:r>
              <w:t xml:space="preserve"> </w:t>
            </w:r>
            <w:r>
              <w:rPr>
                <w:b/>
                <w:i/>
              </w:rPr>
              <w:t>Esses utilizadores devem ter</w:t>
            </w:r>
            <w:r>
              <w:t xml:space="preserve"> a possibilidade de pesquisar, aceder e descarregar as informações através do ESAP. Contudo, atendendo à necessidade de proteger a ESMA de encargos financeiros excessivos em relação aos custos incorri</w:t>
            </w:r>
            <w:r>
              <w:t>dos para satisfazer as necessidades dos utilizadores intensivos, se os houver, a ESMA deverá ter capacidade para gerar receitas. Por conseguinte, em derrogação do princípio segundo o qual as informações devem ser acessíveis gratuitamente, a ESMA deve poder</w:t>
            </w:r>
            <w:r>
              <w:t xml:space="preserve"> impor taxas pelos correspondentes serviços específicos, incluindo por serviços com elevados custos de manutenção devido a pesquisas de grandes volumes de informação ou a acessos frequentes ao ESAP. As eventuais taxas aplicadas não devem, contudo, exceder </w:t>
            </w:r>
            <w:r>
              <w:t>o custo do serviço prestado.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6</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(13)</w:t>
            </w:r>
            <w:r>
              <w:tab/>
              <w:t xml:space="preserve">A fim de promover a inovação baseada em dados no setor </w:t>
            </w:r>
            <w:r>
              <w:t>financeiro, ajudar a integrar os mercados de capitais na União Europeia, canalizar os investimentos para atividades sustentáveis e proporcionar ganhos de eficiência para os consumidores e as empresas, o ESAP deve melhorar o acesso às informações que inclue</w:t>
            </w:r>
            <w:r>
              <w:t>m dados pessoais. No entanto, o ESAP deverá melhorar o acesso apenas aos dados pessoais que tenham de ser tratados em conformidade com o direito da União ou que sejam tratados voluntariamente, desde que existam motivos de tratamento lícito, nos termos do R</w:t>
            </w:r>
            <w:r>
              <w:t>egulamento (UE) 2016/679 do Parlamento Europeu e do Conselho. Em qualquer tratamento de dados pessoais no contexto da prestação de informações através do ESAP, os organismos de recolha</w:t>
            </w:r>
            <w:r>
              <w:rPr>
                <w:b/>
                <w:i/>
              </w:rPr>
              <w:t>,</w:t>
            </w:r>
            <w:r>
              <w:t xml:space="preserve"> assim como a ESMA, enquanto gestora do ESAP, devem zelar pelo cumprime</w:t>
            </w:r>
            <w:r>
              <w:t>nto do Regulamento (UE) 2016/679 e do Regulamento (UE) 2018/1725 do Parlamento Europeu e do Conselho</w:t>
            </w:r>
            <w:r>
              <w:rPr>
                <w:vertAlign w:val="superscript"/>
              </w:rPr>
              <w:t>28</w:t>
            </w:r>
            <w:r>
              <w:t>.</w:t>
            </w:r>
          </w:p>
        </w:tc>
        <w:tc>
          <w:tcPr>
            <w:tcW w:w="4876" w:type="dxa"/>
            <w:hideMark/>
          </w:tcPr>
          <w:p w:rsidR="00C148A1" w:rsidRPr="006F3A74" w:rsidRDefault="00BA6F57" w:rsidP="0018252A">
            <w:pPr>
              <w:pStyle w:val="Normal6"/>
              <w:rPr>
                <w:szCs w:val="24"/>
              </w:rPr>
            </w:pPr>
            <w:r>
              <w:t>(13)</w:t>
            </w:r>
            <w:r>
              <w:tab/>
              <w:t xml:space="preserve">A fim de promover a inovação baseada em dados no setor financeiro, ajudar a integrar os mercados de capitais na União Europeia, canalizar os </w:t>
            </w:r>
            <w:r>
              <w:t>investimentos para atividades sustentáveis e proporcionar ganhos de eficiência para os consumidores e as empresas, o ESAP deve melhorar o acesso às informações que incluem dados pessoais. No entanto, o ESAP deverá melhorar o acesso apenas aos dados pessoai</w:t>
            </w:r>
            <w:r>
              <w:t>s que tenham de ser tratados em conformidade com o direito da União ou que sejam tratados voluntariamente, desde que existam motivos de tratamento lícito, nos termos do Regulamento (UE) 2016/679 do Parlamento Europeu e do Conselho. Em qualquer tratamento d</w:t>
            </w:r>
            <w:r>
              <w:t xml:space="preserve">e dados pessoais no contexto da prestação de informações através do ESAP, os organismos de recolha </w:t>
            </w:r>
            <w:r>
              <w:rPr>
                <w:b/>
                <w:i/>
              </w:rPr>
              <w:t>–</w:t>
            </w:r>
            <w:r>
              <w:t xml:space="preserve"> assim como a ESMA, enquanto gestora do ESAP, </w:t>
            </w:r>
            <w:r>
              <w:rPr>
                <w:b/>
                <w:i/>
              </w:rPr>
              <w:t>independentemente de atuar como responsável pelo tratamento, responsável conjunto pelo tratamento ou subcontra</w:t>
            </w:r>
            <w:r>
              <w:rPr>
                <w:b/>
                <w:i/>
              </w:rPr>
              <w:t>tante –</w:t>
            </w:r>
            <w:r>
              <w:t xml:space="preserve"> devem zelar pelo cumprimento do Regulamento (UE) 2016/679 e do Regulamento (UE) 2018/1725 do Parlamento Europeu e do Conselho</w:t>
            </w:r>
            <w:r>
              <w:rPr>
                <w:vertAlign w:val="superscript"/>
              </w:rPr>
              <w:t>28</w:t>
            </w:r>
            <w:r>
              <w:t>.</w:t>
            </w:r>
            <w:r>
              <w:rPr>
                <w:b/>
                <w:i/>
              </w:rPr>
              <w:t xml:space="preserve"> Em particular, a ESMA deve ter em consideração o princípio da proteção de dados desde a conceção e por defeito.</w:t>
            </w:r>
          </w:p>
        </w:tc>
      </w:tr>
      <w:tr w:rsidR="00FC78E1" w:rsidTr="0018252A">
        <w:trPr>
          <w:jc w:val="center"/>
        </w:trPr>
        <w:tc>
          <w:tcPr>
            <w:tcW w:w="4876" w:type="dxa"/>
            <w:hideMark/>
          </w:tcPr>
          <w:p w:rsidR="00C148A1" w:rsidRPr="006F3A74" w:rsidRDefault="00BA6F57" w:rsidP="0018252A">
            <w:pPr>
              <w:pStyle w:val="Normal6"/>
            </w:pPr>
            <w:r>
              <w:t>______</w:t>
            </w:r>
            <w:r>
              <w:t>____________</w:t>
            </w:r>
          </w:p>
        </w:tc>
        <w:tc>
          <w:tcPr>
            <w:tcW w:w="4876" w:type="dxa"/>
            <w:hideMark/>
          </w:tcPr>
          <w:p w:rsidR="00C148A1" w:rsidRPr="006F3A74" w:rsidRDefault="00BA6F57" w:rsidP="0018252A">
            <w:pPr>
              <w:pStyle w:val="Normal6"/>
              <w:rPr>
                <w:szCs w:val="24"/>
              </w:rPr>
            </w:pPr>
            <w:r>
              <w:t>__________________</w:t>
            </w:r>
          </w:p>
        </w:tc>
      </w:tr>
      <w:tr w:rsidR="00FC78E1" w:rsidTr="0018252A">
        <w:trPr>
          <w:jc w:val="center"/>
        </w:trPr>
        <w:tc>
          <w:tcPr>
            <w:tcW w:w="4876" w:type="dxa"/>
            <w:hideMark/>
          </w:tcPr>
          <w:p w:rsidR="00C148A1" w:rsidRPr="006F3A74" w:rsidRDefault="00BA6F57" w:rsidP="0018252A">
            <w:pPr>
              <w:pStyle w:val="Normal6"/>
            </w:pPr>
            <w:r>
              <w:rPr>
                <w:vertAlign w:val="superscript"/>
              </w:rPr>
              <w:t>28</w:t>
            </w:r>
            <w:r>
              <w:t xml:space="preserve"> Regulamento (UE) 2018/1725 do Parlamento Europeu e do Conselho, de 23 de outubro de 2018, relativo à proteção das pessoas singulares no que diz respeito ao tratamento de dados pessoais pelas instituições e pelos órgãos e</w:t>
            </w:r>
            <w:r>
              <w:t xml:space="preserve"> organismos da União e à livre circulação desses dados, e que revoga o Regulamento (CE) n.º 45/2001 e a Decisão n.º 1247/2002/CE (JO L 295 de 21.11.2018, p. 39).</w:t>
            </w:r>
          </w:p>
        </w:tc>
        <w:tc>
          <w:tcPr>
            <w:tcW w:w="4876" w:type="dxa"/>
            <w:hideMark/>
          </w:tcPr>
          <w:p w:rsidR="00C148A1" w:rsidRPr="006F3A74" w:rsidRDefault="00BA6F57" w:rsidP="0018252A">
            <w:pPr>
              <w:pStyle w:val="Normal6"/>
              <w:rPr>
                <w:szCs w:val="24"/>
              </w:rPr>
            </w:pPr>
            <w:r>
              <w:rPr>
                <w:vertAlign w:val="superscript"/>
              </w:rPr>
              <w:t>28</w:t>
            </w:r>
            <w:r>
              <w:t xml:space="preserve"> Regulamento (UE) 2018/1725 do Parlamento Europeu e do Conselho, de 23 de outubro de 2018, r</w:t>
            </w:r>
            <w:r>
              <w:t>elativo à proteção das pessoas singulares no que diz respeito ao tratamento de dados pessoais pelas instituições e pelos órgãos e organismos da União e à livre circulação desses dados, e que revoga o Regulamento (CE) n.º 45/2001 e a Decisão n.º 1247/2002/C</w:t>
            </w:r>
            <w:r>
              <w:t>E (JO L 295 de 21.11.2018, p. 39).</w:t>
            </w:r>
          </w:p>
        </w:tc>
      </w:tr>
    </w:tbl>
    <w:p w:rsidR="00C148A1" w:rsidRPr="006F3A74" w:rsidRDefault="00BA6F57" w:rsidP="00C148A1">
      <w:r>
        <w:rPr>
          <w:rStyle w:val="HideTWBExt"/>
        </w:rPr>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7</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(14)</w:t>
            </w:r>
            <w:r>
              <w:tab/>
            </w:r>
            <w:r>
              <w:t xml:space="preserve">A Autoridade Europeia para a Proteção de Dados foi consultada em conformidade com o artigo 42.º, n.º 1, do Regulamento (UE) 2018/1725 e emitiu </w:t>
            </w:r>
            <w:r>
              <w:rPr>
                <w:b/>
                <w:i/>
              </w:rPr>
              <w:t>um parecer</w:t>
            </w:r>
            <w:r>
              <w:t xml:space="preserve"> em </w:t>
            </w:r>
            <w:r>
              <w:rPr>
                <w:b/>
                <w:i/>
              </w:rPr>
              <w:t>[inserir data]</w:t>
            </w:r>
            <w:r>
              <w:t>.</w:t>
            </w:r>
          </w:p>
        </w:tc>
        <w:tc>
          <w:tcPr>
            <w:tcW w:w="4876" w:type="dxa"/>
            <w:hideMark/>
          </w:tcPr>
          <w:p w:rsidR="00C148A1" w:rsidRPr="006F3A74" w:rsidRDefault="00BA6F57" w:rsidP="0018252A">
            <w:pPr>
              <w:pStyle w:val="Normal6"/>
              <w:rPr>
                <w:szCs w:val="24"/>
              </w:rPr>
            </w:pPr>
            <w:r>
              <w:t>(14)</w:t>
            </w:r>
            <w:r>
              <w:tab/>
              <w:t xml:space="preserve">A Autoridade Europeia para a Proteção de Dados foi consultada em conformidade </w:t>
            </w:r>
            <w:r>
              <w:t xml:space="preserve">com o artigo 42.º, n.º 1, do Regulamento (UE) 2018/1725 e emitiu </w:t>
            </w:r>
            <w:r>
              <w:rPr>
                <w:b/>
                <w:i/>
              </w:rPr>
              <w:t>observações formais</w:t>
            </w:r>
            <w:r>
              <w:t xml:space="preserve"> em </w:t>
            </w:r>
            <w:r>
              <w:rPr>
                <w:b/>
                <w:i/>
              </w:rPr>
              <w:t>19 de janeiro de 2022</w:t>
            </w:r>
            <w:r>
              <w:t>.</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8</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Considerando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(16)</w:t>
            </w:r>
            <w:r>
              <w:tab/>
              <w:t>Para que as informações sejam comparáveis ao longo do tempo, os utilizadores devem ter acesso a informações passadas. Afigura</w:t>
            </w:r>
            <w:r>
              <w:noBreakHyphen/>
            </w:r>
            <w:r>
              <w:t xml:space="preserve">se, portanto, necessário exigir que o ESAP permita o acesso às informações durante um período razoável, contanto </w:t>
            </w:r>
            <w:r>
              <w:t>que este seja compatível com outras disposições aplicáveis do direito da União. Para o efeito, a ESMA deverá assegurar que não sejam disponibilizados dados pessoais durante mais tempo do que o necessário, tal como previsto no direito da União. A fim de per</w:t>
            </w:r>
            <w:r>
              <w:t xml:space="preserve">mitir à ESMA e aos organismos de recolha preparar a gestão do ESAP, este só deverá permitir o acesso a informações </w:t>
            </w:r>
            <w:r>
              <w:rPr>
                <w:b/>
                <w:i/>
              </w:rPr>
              <w:t>transmitidas</w:t>
            </w:r>
            <w:r>
              <w:t xml:space="preserve"> a partir de 1 de janeiro de 2024.</w:t>
            </w:r>
          </w:p>
        </w:tc>
        <w:tc>
          <w:tcPr>
            <w:tcW w:w="4876" w:type="dxa"/>
            <w:hideMark/>
          </w:tcPr>
          <w:p w:rsidR="00C148A1" w:rsidRPr="006F3A74" w:rsidRDefault="00BA6F57" w:rsidP="0018252A">
            <w:pPr>
              <w:pStyle w:val="Normal6"/>
              <w:rPr>
                <w:szCs w:val="24"/>
              </w:rPr>
            </w:pPr>
            <w:r>
              <w:t>(16)</w:t>
            </w:r>
            <w:r>
              <w:tab/>
              <w:t>Para que as informações sejam comparáveis ao longo do tempo, os utilizadores devem ter ac</w:t>
            </w:r>
            <w:r>
              <w:t>esso a informações passadas. Afigura</w:t>
            </w:r>
            <w:r>
              <w:noBreakHyphen/>
            </w:r>
            <w:r>
              <w:t>se, portanto, necessário exigir que o ESAP permita o acesso às informações durante um período razoável, contanto que este seja compatível com outras disposições aplicáveis do direito da União. Para o efeito, a ESMA deve</w:t>
            </w:r>
            <w:r>
              <w:t>rá assegurar que não sejam disponibilizados dados pessoais durante mais tempo do que o necessário, tal como previsto no direito da União. A fim de permitir à ESMA e aos organismos de recolha preparar a gestão do ESAP, este só deverá permitir o acesso a inf</w:t>
            </w:r>
            <w:r>
              <w:t xml:space="preserve">ormações </w:t>
            </w:r>
            <w:r>
              <w:rPr>
                <w:b/>
                <w:i/>
              </w:rPr>
              <w:t>atualmente disponíveis</w:t>
            </w:r>
            <w:r>
              <w:t xml:space="preserve"> a partir de 1 de janeiro de 2024.</w:t>
            </w:r>
          </w:p>
        </w:tc>
      </w:tr>
    </w:tbl>
    <w:p w:rsidR="00C148A1" w:rsidRPr="006F3A74" w:rsidRDefault="00BA6F57" w:rsidP="00C148A1">
      <w:r>
        <w:rPr>
          <w:rStyle w:val="HideTWBExt"/>
        </w:rPr>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9</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 – n.º 1 – alínea a</w:t>
      </w:r>
      <w:r>
        <w:noBreakHyphen/>
      </w:r>
      <w:r>
        <w:t>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(a</w:t>
            </w:r>
            <w:r>
              <w:rPr>
                <w:b/>
                <w:i/>
              </w:rPr>
              <w:noBreakHyphen/>
            </w:r>
            <w:r>
              <w:rPr>
                <w:b/>
                <w:i/>
              </w:rPr>
              <w:t>A)</w:t>
            </w:r>
            <w:r>
              <w:rPr>
                <w:b/>
                <w:i/>
              </w:rPr>
              <w:tab/>
              <w:t xml:space="preserve">A </w:t>
            </w:r>
            <w:r>
              <w:rPr>
                <w:b/>
                <w:i/>
              </w:rPr>
              <w:t>Comissão fica habilitada a adotar atos delegados que alterem os Anexos, de modo a atualizar a lista de atos legislativos no momento em que entre em vigor qualquer nova legislação relativa à prestação de serviços financeiros, aos mercados de capitais e à su</w:t>
            </w:r>
            <w:r>
              <w:rPr>
                <w:b/>
                <w:i/>
              </w:rPr>
              <w:t>stentabilidade.</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10</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 – n.º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rPr>
                <w:b/>
                <w:i/>
              </w:rPr>
              <w:t>2.</w:t>
            </w:r>
            <w:r>
              <w:rPr>
                <w:b/>
                <w:i/>
              </w:rPr>
              <w:tab/>
              <w:t xml:space="preserve">O ESAP não faculta acesso a informações transmitidas antes de 1 de janeiro de </w:t>
            </w:r>
            <w:r>
              <w:rPr>
                <w:b/>
                <w:i/>
              </w:rPr>
              <w:t>2024.</w:t>
            </w:r>
          </w:p>
        </w:tc>
        <w:tc>
          <w:tcPr>
            <w:tcW w:w="4876" w:type="dxa"/>
            <w:hideMark/>
          </w:tcPr>
          <w:p w:rsidR="00C148A1" w:rsidRPr="006F3A74" w:rsidRDefault="00BA6F57" w:rsidP="0018252A">
            <w:pPr>
              <w:pStyle w:val="Normal6"/>
              <w:rPr>
                <w:szCs w:val="24"/>
              </w:rPr>
            </w:pPr>
            <w:r>
              <w:rPr>
                <w:b/>
                <w:i/>
              </w:rPr>
              <w:t>Suprimido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11</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2 – parágrafo 1 – ponto 7</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(7</w:t>
            </w:r>
            <w:r>
              <w:rPr>
                <w:b/>
                <w:i/>
              </w:rPr>
              <w:noBreakHyphen/>
            </w:r>
            <w:r>
              <w:rPr>
                <w:b/>
                <w:i/>
              </w:rPr>
              <w:t>A)</w:t>
            </w:r>
            <w:r>
              <w:rPr>
                <w:b/>
                <w:i/>
              </w:rPr>
              <w:tab/>
              <w:t xml:space="preserve">As definições constantes do Regulamento (UE) </w:t>
            </w:r>
            <w:r>
              <w:rPr>
                <w:b/>
                <w:i/>
              </w:rPr>
              <w:t>2016/679;</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12</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lastRenderedPageBreak/>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3 – n.º 1 – parte introdutória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w:t>
            </w:r>
            <w:r>
              <w:tab/>
              <w:t xml:space="preserve">Qualquer pessoa singular ou coletiva pode transmitir a um </w:t>
            </w:r>
            <w:r>
              <w:t>organismo de recolha as informações previstas no artigo 1.º, n.º 1, alínea b), para fins de disponibilização das mesmas no ESAP. Ao transmitir essas informações, a pessoa singular ou coletiva deve:</w:t>
            </w:r>
          </w:p>
        </w:tc>
        <w:tc>
          <w:tcPr>
            <w:tcW w:w="4876" w:type="dxa"/>
            <w:hideMark/>
          </w:tcPr>
          <w:p w:rsidR="00C148A1" w:rsidRPr="006F3A74" w:rsidRDefault="00BA6F57" w:rsidP="0018252A">
            <w:pPr>
              <w:pStyle w:val="Normal6"/>
              <w:rPr>
                <w:szCs w:val="24"/>
              </w:rPr>
            </w:pPr>
            <w:r>
              <w:t>1.</w:t>
            </w:r>
            <w:r>
              <w:tab/>
              <w:t xml:space="preserve">Qualquer pessoa singular ou coletiva </w:t>
            </w:r>
            <w:r>
              <w:rPr>
                <w:b/>
                <w:i/>
              </w:rPr>
              <w:t>que atue como part</w:t>
            </w:r>
            <w:r>
              <w:rPr>
                <w:b/>
                <w:i/>
              </w:rPr>
              <w:t>icipante no mercado da UE</w:t>
            </w:r>
            <w:r>
              <w:t xml:space="preserve"> pode transmitir a um organismo de recolha as informações previstas no artigo 1.º, n.º 1, alínea b), para fins de disponibilização das mesmas no ESAP. Ao transmitir essas informações, a pessoa singular ou coletiva deve:</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13</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3 – n.º 1 – alínea c</w:t>
      </w:r>
      <w:r>
        <w:noBreakHyphen/>
      </w:r>
      <w:r>
        <w:t>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(c</w:t>
            </w:r>
            <w:r>
              <w:rPr>
                <w:b/>
                <w:i/>
              </w:rPr>
              <w:noBreakHyphen/>
            </w:r>
            <w:r>
              <w:rPr>
                <w:b/>
                <w:i/>
              </w:rPr>
              <w:t>A)</w:t>
            </w:r>
            <w:r>
              <w:rPr>
                <w:b/>
                <w:i/>
              </w:rPr>
              <w:tab/>
              <w:t xml:space="preserve">Garantir, sempre que possível, que quaisquer informações transmitidas </w:t>
            </w:r>
            <w:r>
              <w:rPr>
                <w:b/>
                <w:i/>
              </w:rPr>
              <w:t>voluntariamente são enviadas no formato previsto nos modelos existentes relacionados com o ato legislativo pertinente;</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14</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3 – n.º 1 – alínea d)</w:t>
      </w:r>
      <w:r>
        <w:rPr>
          <w:rStyle w:val="HideTWBExt"/>
          <w:b w:val="0"/>
        </w:rPr>
        <w:t>&lt;/Articl</w:t>
      </w:r>
      <w:r>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(d)</w:t>
            </w:r>
            <w:r>
              <w:tab/>
              <w:t>Assegurar que não são incluídos dados pessoais, salvo se os dados pessoais constituírem um elemento necessário das informações sobre as suas atividades económicas.</w:t>
            </w:r>
          </w:p>
        </w:tc>
        <w:tc>
          <w:tcPr>
            <w:tcW w:w="4876" w:type="dxa"/>
            <w:hideMark/>
          </w:tcPr>
          <w:p w:rsidR="00C148A1" w:rsidRPr="006F3A74" w:rsidRDefault="00BA6F57" w:rsidP="0018252A">
            <w:pPr>
              <w:pStyle w:val="Normal6"/>
              <w:rPr>
                <w:szCs w:val="24"/>
              </w:rPr>
            </w:pPr>
            <w:r>
              <w:t>(d)</w:t>
            </w:r>
            <w:r>
              <w:tab/>
              <w:t xml:space="preserve">Assegurar que não são incluídos dados pessoais, </w:t>
            </w:r>
            <w:r>
              <w:t>salvo se os dados pessoais constituírem um elemento necessário das informações sobre as suas atividades económicas</w:t>
            </w:r>
            <w:r>
              <w:rPr>
                <w:b/>
                <w:i/>
              </w:rPr>
              <w:t>, em conformidade com o princípio da minimização dos dados</w:t>
            </w:r>
            <w:r>
              <w:t>.</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15</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lastRenderedPageBreak/>
        <w:t>&lt;DocAmend&gt;</w:t>
      </w:r>
      <w:r>
        <w:t>Proposta de regulamento</w:t>
      </w:r>
      <w:r>
        <w:rPr>
          <w:rStyle w:val="HideTWBExt"/>
          <w:b w:val="0"/>
        </w:rPr>
        <w:t>&lt;/</w:t>
      </w:r>
      <w:r>
        <w:rPr>
          <w:rStyle w:val="HideTWBExt"/>
          <w:b w:val="0"/>
        </w:rPr>
        <w:t>DocAmend&gt;</w:t>
      </w:r>
    </w:p>
    <w:p w:rsidR="00C148A1" w:rsidRPr="006F3A74" w:rsidRDefault="00BA6F57" w:rsidP="00C148A1">
      <w:pPr>
        <w:pStyle w:val="NormalBold"/>
      </w:pPr>
      <w:r>
        <w:rPr>
          <w:rStyle w:val="HideTWBExt"/>
          <w:b w:val="0"/>
        </w:rPr>
        <w:t>&lt;Article&gt;</w:t>
      </w:r>
      <w:r>
        <w:t>Artigo 3 – n.º 2 – alínea c</w:t>
      </w:r>
      <w:r>
        <w:noBreakHyphen/>
      </w:r>
      <w:r>
        <w:t>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(c</w:t>
            </w:r>
            <w:r>
              <w:rPr>
                <w:b/>
                <w:i/>
              </w:rPr>
              <w:noBreakHyphen/>
            </w:r>
            <w:r>
              <w:rPr>
                <w:b/>
                <w:i/>
              </w:rPr>
              <w:t>A)</w:t>
            </w:r>
            <w:r>
              <w:rPr>
                <w:b/>
                <w:i/>
              </w:rPr>
              <w:tab/>
              <w:t>As normas que permitem aos organismos de recolha cumprir as obrigações que lhes incumbem por força do artigo 5.º, n.º 2, alíneas b) e b</w:t>
            </w:r>
            <w:r>
              <w:rPr>
                <w:b/>
                <w:i/>
              </w:rPr>
              <w:noBreakHyphen/>
            </w:r>
            <w:r>
              <w:rPr>
                <w:b/>
                <w:i/>
              </w:rPr>
              <w:t>A).</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16</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3 – n.º 2 – parágrafo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O Comité Conjunto das Autoridades Europeias de Supervisão apresenta à Comissão os referidos p</w:t>
            </w:r>
            <w:r>
              <w:t xml:space="preserve">rojetos de normas técnicas de execução até [SP: inserir </w:t>
            </w:r>
            <w:r>
              <w:rPr>
                <w:b/>
                <w:i/>
              </w:rPr>
              <w:t>três</w:t>
            </w:r>
            <w:r>
              <w:t xml:space="preserve"> anos após a entrada em vigor].</w:t>
            </w:r>
          </w:p>
        </w:tc>
        <w:tc>
          <w:tcPr>
            <w:tcW w:w="4876" w:type="dxa"/>
            <w:hideMark/>
          </w:tcPr>
          <w:p w:rsidR="00C148A1" w:rsidRPr="006F3A74" w:rsidRDefault="00BA6F57" w:rsidP="0018252A">
            <w:pPr>
              <w:pStyle w:val="Normal6"/>
              <w:rPr>
                <w:szCs w:val="24"/>
              </w:rPr>
            </w:pPr>
            <w:r>
              <w:t xml:space="preserve">O Comité Conjunto das Autoridades Europeias de Supervisão apresenta à Comissão os referidos projetos de normas técnicas de execução até [SP: inserir </w:t>
            </w:r>
            <w:r>
              <w:rPr>
                <w:b/>
                <w:i/>
              </w:rPr>
              <w:t>dois</w:t>
            </w:r>
            <w:r>
              <w:t xml:space="preserve"> anos após </w:t>
            </w:r>
            <w:r>
              <w:t>a entrada em vigor].</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17</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3 – n.º 3</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3</w:t>
            </w:r>
            <w:r>
              <w:rPr>
                <w:b/>
                <w:i/>
              </w:rPr>
              <w:noBreakHyphen/>
            </w:r>
            <w:r>
              <w:rPr>
                <w:b/>
                <w:i/>
              </w:rPr>
              <w:t>A.</w:t>
            </w:r>
            <w:r>
              <w:rPr>
                <w:b/>
                <w:i/>
              </w:rPr>
              <w:tab/>
              <w:t xml:space="preserve">As entidades que apresentam informações a um organismo de </w:t>
            </w:r>
            <w:r>
              <w:rPr>
                <w:b/>
                <w:i/>
              </w:rPr>
              <w:t>recolha a título voluntário agem de boa</w:t>
            </w:r>
            <w:r>
              <w:rPr>
                <w:b/>
                <w:i/>
              </w:rPr>
              <w:noBreakHyphen/>
            </w:r>
            <w:r>
              <w:rPr>
                <w:b/>
                <w:i/>
              </w:rPr>
              <w:t>fé e asseguram que as informações são fiéis e exatas e que são divulgadas de modo claro e não enganoso.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18</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 xml:space="preserve">Artigo 3 – </w:t>
      </w:r>
      <w:r>
        <w:t>n.º 3</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3</w:t>
            </w:r>
            <w:r>
              <w:rPr>
                <w:b/>
                <w:i/>
              </w:rPr>
              <w:noBreakHyphen/>
            </w:r>
            <w:r>
              <w:rPr>
                <w:b/>
                <w:i/>
              </w:rPr>
              <w:t>B.</w:t>
            </w:r>
            <w:r>
              <w:rPr>
                <w:b/>
                <w:i/>
              </w:rPr>
              <w:tab/>
              <w:t>As informações disponibilizadas a um organismo de recolha a título voluntário são apresentadas de modo a permitir aos utilizadores distingui</w:t>
            </w:r>
            <w:r>
              <w:rPr>
                <w:b/>
                <w:i/>
              </w:rPr>
              <w:noBreakHyphen/>
            </w:r>
            <w:r>
              <w:rPr>
                <w:b/>
                <w:i/>
              </w:rPr>
              <w:t>las das informações recolhidas a título obrigatório.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19</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4 – parágrafo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 xml:space="preserve">A ESMA publica uma lista dos organismos de recolha no portal Web referido no artigo 7.º, </w:t>
            </w:r>
            <w:r>
              <w:t>n.º 1, alínea a), com informações sobre o Localizador Uniforme de Recursos (URL) de cada organismo de recolha.</w:t>
            </w:r>
          </w:p>
        </w:tc>
        <w:tc>
          <w:tcPr>
            <w:tcW w:w="4876" w:type="dxa"/>
            <w:hideMark/>
          </w:tcPr>
          <w:p w:rsidR="00C148A1" w:rsidRPr="006F3A74" w:rsidRDefault="00BA6F57" w:rsidP="0018252A">
            <w:pPr>
              <w:pStyle w:val="Normal6"/>
              <w:rPr>
                <w:szCs w:val="24"/>
              </w:rPr>
            </w:pPr>
            <w:r>
              <w:t xml:space="preserve">A ESMA publica uma lista dos organismos de recolha no portal Web referido no artigo 7.º, n.º 1, alínea a), com informações sobre </w:t>
            </w:r>
            <w:r>
              <w:rPr>
                <w:b/>
                <w:i/>
              </w:rPr>
              <w:t>o nome, o endere</w:t>
            </w:r>
            <w:r>
              <w:rPr>
                <w:b/>
                <w:i/>
              </w:rPr>
              <w:t>ço, o Estado</w:t>
            </w:r>
            <w:r>
              <w:rPr>
                <w:b/>
                <w:i/>
              </w:rPr>
              <w:noBreakHyphen/>
            </w:r>
            <w:r>
              <w:rPr>
                <w:b/>
                <w:i/>
              </w:rPr>
              <w:t>Membro de origem e</w:t>
            </w:r>
            <w:r>
              <w:t xml:space="preserve"> o Localizador Uniforme de Recursos (URL) de cada organismo de recolha.</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20</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1 – alínea b) – subalínea ii)</w:t>
      </w:r>
      <w:r>
        <w:rPr>
          <w:rStyle w:val="HideTWBExt"/>
          <w:b w:val="0"/>
        </w:rPr>
        <w:t>&lt;/Articl</w:t>
      </w:r>
      <w:r>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ii)</w:t>
            </w:r>
            <w:r>
              <w:tab/>
              <w:t xml:space="preserve">os metadados especificados de acordo com o n.º 6, alínea d), estão disponíveis </w:t>
            </w:r>
            <w:r>
              <w:rPr>
                <w:b/>
                <w:i/>
              </w:rPr>
              <w:t>e</w:t>
            </w:r>
            <w:r>
              <w:t xml:space="preserve"> são completos,</w:t>
            </w:r>
          </w:p>
        </w:tc>
        <w:tc>
          <w:tcPr>
            <w:tcW w:w="4876" w:type="dxa"/>
            <w:hideMark/>
          </w:tcPr>
          <w:p w:rsidR="00C148A1" w:rsidRPr="006F3A74" w:rsidRDefault="00BA6F57" w:rsidP="0018252A">
            <w:pPr>
              <w:pStyle w:val="Normal6"/>
              <w:rPr>
                <w:szCs w:val="24"/>
              </w:rPr>
            </w:pPr>
            <w:r>
              <w:t>ii)</w:t>
            </w:r>
            <w:r>
              <w:tab/>
              <w:t>os metadados especificados de acordo com o n.º 6, alínea d), estão disponíveis</w:t>
            </w:r>
            <w:r>
              <w:rPr>
                <w:b/>
                <w:i/>
              </w:rPr>
              <w:t>,</w:t>
            </w:r>
            <w:r>
              <w:t xml:space="preserve"> são completos </w:t>
            </w:r>
            <w:r>
              <w:rPr>
                <w:b/>
                <w:i/>
              </w:rPr>
              <w:t>e são conservados apenas</w:t>
            </w:r>
            <w:r>
              <w:rPr>
                <w:b/>
                <w:i/>
              </w:rPr>
              <w:t xml:space="preserve"> enquanto as informações a que se referem são armazenadas</w:t>
            </w:r>
            <w:r>
              <w:t>,</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21</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1 – alínea f) – parte introdutória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f)</w:t>
            </w:r>
            <w:r>
              <w:tab/>
            </w:r>
            <w:r>
              <w:t>Assegurar que as informações previstas no artigo 1.º, n.º 1, fiquem disponíveis para o ESAP durante pelo menos 10 anos, salvo disposição em contrário nos atos jurídicos a que se refere o artigo 1.º, n.º 1, alínea a). Os dados pessoais contidos nas informaç</w:t>
            </w:r>
            <w:r>
              <w:t>ões transmitidas nos termos do artigo 1.º, n.º 1, não podem ser conservados e disponibilizados por um período superior a cinco anos, salvo disposição em contrário nos atos jurídicos a que se refere o artigo 1.º, n.º 1, alínea a).</w:t>
            </w:r>
          </w:p>
        </w:tc>
        <w:tc>
          <w:tcPr>
            <w:tcW w:w="4876" w:type="dxa"/>
            <w:hideMark/>
          </w:tcPr>
          <w:p w:rsidR="00C148A1" w:rsidRPr="006F3A74" w:rsidRDefault="00BA6F57" w:rsidP="0018252A">
            <w:pPr>
              <w:pStyle w:val="Normal6"/>
              <w:rPr>
                <w:szCs w:val="24"/>
              </w:rPr>
            </w:pPr>
            <w:r>
              <w:t>f)</w:t>
            </w:r>
            <w:r>
              <w:tab/>
              <w:t>Assegurar que as inform</w:t>
            </w:r>
            <w:r>
              <w:t>ações previstas no artigo 1.º, n.º 1, fiquem disponíveis para o ESAP durante pelo menos 10 anos, salvo disposição em contrário nos atos jurídicos a que se refere o artigo 1.º, n.º 1, alínea a). Os dados pessoais contidos nas informações transmitidas nos te</w:t>
            </w:r>
            <w:r>
              <w:t xml:space="preserve">rmos do artigo 1.º, n.º 1, não podem ser conservados </w:t>
            </w:r>
            <w:r>
              <w:rPr>
                <w:b/>
                <w:i/>
              </w:rPr>
              <w:t>durante mais tempo do que o necessário</w:t>
            </w:r>
            <w:r>
              <w:t xml:space="preserve"> e</w:t>
            </w:r>
            <w:r>
              <w:rPr>
                <w:b/>
                <w:i/>
              </w:rPr>
              <w:t>, em todo o caso, não podem ser</w:t>
            </w:r>
            <w:r>
              <w:t xml:space="preserve"> disponibilizados por um período superior a cinco anos, salvo disposição em contrário nos atos jurídicos a que se refere o artigo 1.</w:t>
            </w:r>
            <w:r>
              <w:t>º, n.º 1, alínea a).</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22</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2 – parte introdutória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2.</w:t>
            </w:r>
            <w:r>
              <w:tab/>
              <w:t xml:space="preserve">Os organismos de recolha devem rejeitar as </w:t>
            </w:r>
            <w:r>
              <w:t>informações transmitidas pelas entidades em cada um dos seguintes casos:</w:t>
            </w:r>
          </w:p>
        </w:tc>
        <w:tc>
          <w:tcPr>
            <w:tcW w:w="4876" w:type="dxa"/>
            <w:hideMark/>
          </w:tcPr>
          <w:p w:rsidR="00C148A1" w:rsidRPr="006F3A74" w:rsidRDefault="00BA6F57" w:rsidP="0018252A">
            <w:pPr>
              <w:pStyle w:val="Normal6"/>
              <w:rPr>
                <w:szCs w:val="24"/>
              </w:rPr>
            </w:pPr>
            <w:r>
              <w:t>2.</w:t>
            </w:r>
            <w:r>
              <w:tab/>
              <w:t xml:space="preserve">Os organismos de recolha devem </w:t>
            </w:r>
            <w:r>
              <w:rPr>
                <w:b/>
                <w:i/>
              </w:rPr>
              <w:t>ficar habilitados a examinar e</w:t>
            </w:r>
            <w:r>
              <w:t xml:space="preserve"> rejeitar as informações transmitidas pelas entidades em cada um dos seguintes casos:</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w:t>
      </w:r>
      <w:r>
        <w:rPr>
          <w:rStyle w:val="HideTWBExt"/>
          <w:b w:val="0"/>
        </w:rPr>
        <w:t>m&gt;</w:t>
      </w:r>
      <w:r>
        <w:t>23</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2 – alínea b</w:t>
      </w:r>
      <w:r>
        <w:noBreakHyphen/>
      </w:r>
      <w:r>
        <w:t>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b</w:t>
            </w:r>
            <w:r>
              <w:rPr>
                <w:b/>
                <w:i/>
              </w:rPr>
              <w:noBreakHyphen/>
            </w:r>
            <w:r>
              <w:rPr>
                <w:b/>
                <w:i/>
              </w:rPr>
              <w:t>A)</w:t>
            </w:r>
            <w:r>
              <w:rPr>
                <w:b/>
                <w:i/>
              </w:rPr>
              <w:tab/>
              <w:t xml:space="preserve">Se for evidente que as entidades não cumprem os requisitos para a apresentação de dados pessoais </w:t>
            </w:r>
            <w:r>
              <w:rPr>
                <w:b/>
                <w:i/>
              </w:rPr>
              <w:t>definidos no artigo 3.º, n.º 1, alínea d), e no artigo 3.º, n.º 3.</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24</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lastRenderedPageBreak/>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4.</w:t>
            </w:r>
            <w:r>
              <w:tab/>
              <w:t>As entidades devem garantir</w:t>
            </w:r>
            <w:r>
              <w:t xml:space="preserve"> a exatidão das informações que transmitem aos organismos de recolha.</w:t>
            </w:r>
          </w:p>
        </w:tc>
        <w:tc>
          <w:tcPr>
            <w:tcW w:w="4876" w:type="dxa"/>
            <w:hideMark/>
          </w:tcPr>
          <w:p w:rsidR="00C148A1" w:rsidRPr="006F3A74" w:rsidRDefault="00BA6F57" w:rsidP="0018252A">
            <w:pPr>
              <w:pStyle w:val="Normal6"/>
              <w:rPr>
                <w:szCs w:val="24"/>
              </w:rPr>
            </w:pPr>
            <w:r>
              <w:t>4.</w:t>
            </w:r>
            <w:r>
              <w:tab/>
              <w:t xml:space="preserve">As entidades devem garantir a </w:t>
            </w:r>
            <w:r>
              <w:rPr>
                <w:b/>
                <w:i/>
              </w:rPr>
              <w:t>qualidade, exaustividade e</w:t>
            </w:r>
            <w:r>
              <w:t xml:space="preserve"> exatidão das informações que transmitem aos organismos de recolha.</w:t>
            </w:r>
          </w:p>
        </w:tc>
      </w:tr>
    </w:tbl>
    <w:p w:rsidR="00C148A1" w:rsidRPr="006F3A74" w:rsidRDefault="00BA6F57" w:rsidP="00C148A1">
      <w:r>
        <w:rPr>
          <w:rStyle w:val="HideTWBExt"/>
        </w:rPr>
        <w:t>&lt;/Amend&gt;</w:t>
      </w: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25</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w:t>
      </w:r>
      <w:r>
        <w:t>oposta de regulamento</w:t>
      </w:r>
      <w:r>
        <w:rPr>
          <w:rStyle w:val="HideTWBExt"/>
          <w:b w:val="0"/>
        </w:rPr>
        <w:t>&lt;/DocAmend&gt;</w:t>
      </w:r>
    </w:p>
    <w:p w:rsidR="00C148A1" w:rsidRPr="006F3A74" w:rsidRDefault="00BA6F57" w:rsidP="00C148A1">
      <w:pPr>
        <w:pStyle w:val="NormalBold"/>
      </w:pPr>
      <w:r>
        <w:rPr>
          <w:rStyle w:val="HideTWBExt"/>
          <w:b w:val="0"/>
        </w:rPr>
        <w:t>&lt;Article&gt;</w:t>
      </w:r>
      <w:r>
        <w:t>Artigo 5 – n.º 6</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tcPr>
          <w:p w:rsidR="00C148A1" w:rsidRPr="006F3A74" w:rsidRDefault="00C148A1" w:rsidP="0018252A">
            <w:pPr>
              <w:pStyle w:val="Normal6"/>
              <w:rPr>
                <w:lang w:val="en-GB"/>
              </w:rPr>
            </w:pPr>
          </w:p>
        </w:tc>
        <w:tc>
          <w:tcPr>
            <w:tcW w:w="4876" w:type="dxa"/>
            <w:hideMark/>
          </w:tcPr>
          <w:p w:rsidR="00C148A1" w:rsidRPr="006F3A74" w:rsidRDefault="00BA6F57" w:rsidP="0018252A">
            <w:pPr>
              <w:pStyle w:val="Normal6"/>
              <w:rPr>
                <w:szCs w:val="24"/>
              </w:rPr>
            </w:pPr>
            <w:r>
              <w:rPr>
                <w:b/>
                <w:i/>
              </w:rPr>
              <w:t>6</w:t>
            </w:r>
            <w:r>
              <w:rPr>
                <w:b/>
                <w:i/>
              </w:rPr>
              <w:noBreakHyphen/>
            </w:r>
            <w:r>
              <w:rPr>
                <w:b/>
                <w:i/>
              </w:rPr>
              <w:t>A.</w:t>
            </w:r>
            <w:r>
              <w:rPr>
                <w:b/>
                <w:i/>
              </w:rPr>
              <w:tab/>
              <w:t xml:space="preserve">O Comité Conjunto das Autoridades Europeias de Supervisão elabora procedimentos destinados a facilitar a cooperação entre os organismos de </w:t>
            </w:r>
            <w:r>
              <w:rPr>
                <w:b/>
                <w:i/>
              </w:rPr>
              <w:t xml:space="preserve">recolha e as entidades, regulamentando, em especial, a apresentação e a retirada de informações voluntárias, e incluindo, se for caso disso, modelos pertinentes. Ao elaborar estes procedimentos, o Comité Conjunto tem em conta, em especial, as necessidades </w:t>
            </w:r>
            <w:r>
              <w:rPr>
                <w:b/>
                <w:i/>
              </w:rPr>
              <w:t>das pequenas e médias empresas.</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26</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6 – parágrafo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 xml:space="preserve">A ESMA estabelece uma política de segurança informática </w:t>
            </w:r>
            <w:r>
              <w:t>eficaz e proporcionada para o ESAP e assegura níveis adequados de autenticidade, disponibilidade, integridade e não rejeição das informações disponibilizadas no ESAP e da proteção dos dados pessoais.</w:t>
            </w:r>
          </w:p>
        </w:tc>
        <w:tc>
          <w:tcPr>
            <w:tcW w:w="4876" w:type="dxa"/>
            <w:hideMark/>
          </w:tcPr>
          <w:p w:rsidR="00C148A1" w:rsidRPr="006F3A74" w:rsidRDefault="00BA6F57" w:rsidP="0018252A">
            <w:pPr>
              <w:pStyle w:val="Normal6"/>
              <w:rPr>
                <w:szCs w:val="24"/>
              </w:rPr>
            </w:pPr>
            <w:r>
              <w:t xml:space="preserve">A ESMA estabelece uma política de segurança informática </w:t>
            </w:r>
            <w:r>
              <w:t xml:space="preserve">eficaz e proporcionada para o ESAP e assegura níveis adequados de autenticidade, disponibilidade, integridade e não rejeição das informações disponibilizadas no ESAP e da proteção dos dados pessoais. </w:t>
            </w:r>
            <w:r>
              <w:rPr>
                <w:b/>
                <w:i/>
              </w:rPr>
              <w:t xml:space="preserve">A ESMA </w:t>
            </w:r>
            <w:r>
              <w:rPr>
                <w:b/>
                <w:i/>
              </w:rPr>
              <w:lastRenderedPageBreak/>
              <w:t>procede a revisões periódicas da política de segu</w:t>
            </w:r>
            <w:r>
              <w:rPr>
                <w:b/>
                <w:i/>
              </w:rPr>
              <w:t>rança informática do ESAP e da sua situação em matéria de cibersegurança, tendo em conta a evolução das tendências e os desenvolvimentos mais recentes em matéria de cibersegurança a nível europeu e internacional.</w:t>
            </w:r>
          </w:p>
        </w:tc>
      </w:tr>
    </w:tbl>
    <w:p w:rsidR="00C148A1" w:rsidRPr="006F3A74" w:rsidRDefault="00BA6F57" w:rsidP="00C148A1">
      <w:r>
        <w:rPr>
          <w:rStyle w:val="HideTWBExt"/>
        </w:rPr>
        <w:lastRenderedPageBreak/>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27</w:t>
      </w:r>
      <w:r>
        <w:rPr>
          <w:rStyle w:val="HideTWBExt"/>
          <w:b w:val="0"/>
        </w:rPr>
        <w:t>&lt;/NumA</w:t>
      </w:r>
      <w:r>
        <w:rPr>
          <w:rStyle w:val="HideTWBExt"/>
          <w:b w:val="0"/>
        </w:rPr>
        <w:t>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7 – n.º 1 – alínea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a)</w:t>
            </w:r>
            <w:r>
              <w:tab/>
              <w:t xml:space="preserve">Um portal Web com uma interface intuitiva em todas as línguas oficiais da União para permitir o acesso às informações </w:t>
            </w:r>
            <w:r>
              <w:t>constantes do ESAP;</w:t>
            </w:r>
          </w:p>
        </w:tc>
        <w:tc>
          <w:tcPr>
            <w:tcW w:w="4876" w:type="dxa"/>
            <w:hideMark/>
          </w:tcPr>
          <w:p w:rsidR="00C148A1" w:rsidRPr="006F3A74" w:rsidRDefault="00BA6F57" w:rsidP="0018252A">
            <w:pPr>
              <w:pStyle w:val="Normal6"/>
              <w:rPr>
                <w:szCs w:val="24"/>
              </w:rPr>
            </w:pPr>
            <w:r>
              <w:t>a)</w:t>
            </w:r>
            <w:r>
              <w:tab/>
              <w:t>Um portal Web com uma interface intuitiva</w:t>
            </w:r>
            <w:r>
              <w:rPr>
                <w:b/>
                <w:i/>
              </w:rPr>
              <w:t>, que tenha em conta as necessidades especiais em termos de acesso de pessoas com deficiência,</w:t>
            </w:r>
            <w:r>
              <w:t xml:space="preserve"> em todas as línguas oficiais da União para permitir o acesso às informações constantes do ESAP;</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28</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7 – n.º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2.</w:t>
            </w:r>
            <w:r>
              <w:tab/>
              <w:t xml:space="preserve">A ESMA assegura que o ESAP disponha das funcionalidades referidas no n.º 1, alíneas e) e g), </w:t>
            </w:r>
            <w:r>
              <w:t>até 31 de dezembro de 2025.</w:t>
            </w:r>
          </w:p>
        </w:tc>
        <w:tc>
          <w:tcPr>
            <w:tcW w:w="4876" w:type="dxa"/>
            <w:hideMark/>
          </w:tcPr>
          <w:p w:rsidR="00C148A1" w:rsidRPr="006F3A74" w:rsidRDefault="00BA6F57" w:rsidP="0018252A">
            <w:pPr>
              <w:pStyle w:val="Normal6"/>
              <w:rPr>
                <w:szCs w:val="24"/>
              </w:rPr>
            </w:pPr>
            <w:r>
              <w:t>2.</w:t>
            </w:r>
            <w:r>
              <w:tab/>
              <w:t xml:space="preserve">A ESMA assegura que o ESAP disponha das funcionalidades referidas no n.º 1, alíneas e) e g), até 31 de dezembro de 2025. </w:t>
            </w:r>
            <w:r>
              <w:rPr>
                <w:b/>
                <w:i/>
              </w:rPr>
              <w:t>A ESMA introduz as medidas técnicas e organizativas adequadas para evitar a divulgação excessiva de dado</w:t>
            </w:r>
            <w:r>
              <w:rPr>
                <w:b/>
                <w:i/>
              </w:rPr>
              <w:t xml:space="preserve">s pessoais através do serviço de descarregamento e da IPA. A ESMA proporciona garantias adicionais quando a divulgação de dados pessoais através do serviço de descarregamento e da IPA se </w:t>
            </w:r>
            <w:r>
              <w:rPr>
                <w:b/>
                <w:i/>
              </w:rPr>
              <w:lastRenderedPageBreak/>
              <w:t>refira a dados pessoais de natureza particularmente sensível, designa</w:t>
            </w:r>
            <w:r>
              <w:rPr>
                <w:b/>
                <w:i/>
              </w:rPr>
              <w:t>damente informações relativas a medidas administrativas ou a outras sanções aplicáveis a pessoas singulares.</w:t>
            </w:r>
          </w:p>
        </w:tc>
      </w:tr>
    </w:tbl>
    <w:p w:rsidR="00C148A1" w:rsidRPr="006F3A74" w:rsidRDefault="00BA6F57" w:rsidP="00C148A1">
      <w:r>
        <w:rPr>
          <w:rStyle w:val="HideTWBExt"/>
        </w:rPr>
        <w:lastRenderedPageBreak/>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29</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7 – n.º 3 – parte introdutória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3.</w:t>
            </w:r>
            <w:r>
              <w:tab/>
              <w:t>A função de pesquisa referida no n.º 1, alínea c), deve permitir pesquisas com base nos seguintes metadados:</w:t>
            </w:r>
          </w:p>
        </w:tc>
        <w:tc>
          <w:tcPr>
            <w:tcW w:w="4876" w:type="dxa"/>
            <w:hideMark/>
          </w:tcPr>
          <w:p w:rsidR="00C148A1" w:rsidRPr="006F3A74" w:rsidRDefault="00BA6F57" w:rsidP="0018252A">
            <w:pPr>
              <w:pStyle w:val="Normal6"/>
              <w:rPr>
                <w:szCs w:val="24"/>
              </w:rPr>
            </w:pPr>
            <w:r>
              <w:t>3.</w:t>
            </w:r>
            <w:r>
              <w:tab/>
              <w:t>A função de pesquisa referida no n.º 1, alínea c), deve permitir pesquisas</w:t>
            </w:r>
            <w:r>
              <w:rPr>
                <w:b/>
                <w:i/>
              </w:rPr>
              <w:t>, pelo menos,</w:t>
            </w:r>
            <w:r>
              <w:t xml:space="preserve"> com base nos seguintes metadados:</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30</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8 – n.º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w:t>
            </w:r>
            <w:r>
              <w:tab/>
              <w:t xml:space="preserve">A ESMA assegura que o acesso ao ESAP é facultado sem </w:t>
            </w:r>
            <w:r>
              <w:t>discriminação.</w:t>
            </w:r>
          </w:p>
        </w:tc>
        <w:tc>
          <w:tcPr>
            <w:tcW w:w="4876" w:type="dxa"/>
            <w:hideMark/>
          </w:tcPr>
          <w:p w:rsidR="00C148A1" w:rsidRPr="006F3A74" w:rsidRDefault="00BA6F57" w:rsidP="0018252A">
            <w:pPr>
              <w:pStyle w:val="Normal6"/>
              <w:rPr>
                <w:szCs w:val="24"/>
              </w:rPr>
            </w:pPr>
            <w:r>
              <w:t>1.</w:t>
            </w:r>
            <w:r>
              <w:tab/>
            </w:r>
            <w:r>
              <w:rPr>
                <w:b/>
                <w:i/>
              </w:rPr>
              <w:t>Para promover a transparência e o bom funcionamento dos mercados de capitais europeus,</w:t>
            </w:r>
            <w:r>
              <w:t xml:space="preserve"> a ESMA assegura que o acesso ao ESAP é facultado sem discriminação.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31</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8 – n.º 4 – parte introdutória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4.</w:t>
            </w:r>
            <w:r>
              <w:tab/>
              <w:t xml:space="preserve">Para efeitos do n.º 2, segundo parágrafo, a ESMA </w:t>
            </w:r>
            <w:r>
              <w:rPr>
                <w:b/>
                <w:i/>
              </w:rPr>
              <w:t>pode elaborar</w:t>
            </w:r>
            <w:r>
              <w:t xml:space="preserve"> projetos de normas técnicas de execução para determinar a natureza e o âmbito dos serviços</w:t>
            </w:r>
            <w:r>
              <w:t xml:space="preserve"> específicos pelos quais poderão ser cobradas taxas e a correspondente estrutura de taxas.</w:t>
            </w:r>
          </w:p>
        </w:tc>
        <w:tc>
          <w:tcPr>
            <w:tcW w:w="4876" w:type="dxa"/>
            <w:hideMark/>
          </w:tcPr>
          <w:p w:rsidR="00C148A1" w:rsidRPr="006F3A74" w:rsidRDefault="00BA6F57" w:rsidP="0018252A">
            <w:pPr>
              <w:pStyle w:val="Normal6"/>
              <w:rPr>
                <w:szCs w:val="24"/>
              </w:rPr>
            </w:pPr>
            <w:r>
              <w:t>4.</w:t>
            </w:r>
            <w:r>
              <w:tab/>
              <w:t xml:space="preserve">Para efeitos do n.º 2, segundo parágrafo, a ESMA </w:t>
            </w:r>
            <w:r>
              <w:rPr>
                <w:b/>
                <w:i/>
              </w:rPr>
              <w:t>elabora</w:t>
            </w:r>
            <w:r>
              <w:t xml:space="preserve"> projetos de normas técnicas de execução para determinar a natureza e o âmbito dos serviços específicos pe</w:t>
            </w:r>
            <w:r>
              <w:t>los quais poderão ser cobradas taxas e a correspondente estrutura de taxas.</w:t>
            </w:r>
          </w:p>
        </w:tc>
      </w:tr>
    </w:tbl>
    <w:p w:rsidR="00C148A1" w:rsidRPr="006F3A74" w:rsidRDefault="00BA6F57" w:rsidP="00C148A1">
      <w:r>
        <w:rPr>
          <w:rStyle w:val="HideTWBExt"/>
        </w:rPr>
        <w:t>&lt;/Amend&gt;</w:t>
      </w: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BA6F57" w:rsidRDefault="00BA6F57" w:rsidP="00C148A1">
      <w:pPr>
        <w:pStyle w:val="AmNumberTabs"/>
        <w:rPr>
          <w:rStyle w:val="HideTWBExt"/>
          <w:b w:val="0"/>
          <w:vanish w:val="0"/>
        </w:rPr>
      </w:pP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32</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10 – n.º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1.</w:t>
            </w:r>
            <w:r>
              <w:tab/>
              <w:t xml:space="preserve">A ESMA efetua </w:t>
            </w:r>
            <w:r>
              <w:t>validações</w:t>
            </w:r>
            <w:r>
              <w:rPr>
                <w:b/>
                <w:i/>
              </w:rPr>
              <w:t xml:space="preserve"> automatizadas</w:t>
            </w:r>
            <w:r>
              <w:t xml:space="preserve"> para verificar a conformidade das informações transmitidas pelos organismos de recolha com os requisitos estabelecidos no artigo 5.º, n.º 1, alínea b).</w:t>
            </w:r>
          </w:p>
        </w:tc>
        <w:tc>
          <w:tcPr>
            <w:tcW w:w="4876" w:type="dxa"/>
            <w:hideMark/>
          </w:tcPr>
          <w:p w:rsidR="00C148A1" w:rsidRPr="006F3A74" w:rsidRDefault="00BA6F57" w:rsidP="0018252A">
            <w:pPr>
              <w:pStyle w:val="Normal6"/>
              <w:rPr>
                <w:szCs w:val="24"/>
              </w:rPr>
            </w:pPr>
            <w:r>
              <w:t>1.</w:t>
            </w:r>
            <w:r>
              <w:tab/>
              <w:t>A ESMA efetua validações</w:t>
            </w:r>
            <w:r>
              <w:rPr>
                <w:b/>
                <w:i/>
              </w:rPr>
              <w:t>, se possível de modo automatizado,</w:t>
            </w:r>
            <w:r>
              <w:t xml:space="preserve"> para verificar a</w:t>
            </w:r>
            <w:r>
              <w:t xml:space="preserve"> conformidade das informações transmitidas pelos organismos de recolha com os requisitos estabelecidos no artigo 5.º, n.º 1, alínea b).</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33</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11 – n.º 1 –</w:t>
      </w:r>
      <w:r>
        <w:t xml:space="preserve"> alínea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c)</w:t>
            </w:r>
            <w:r>
              <w:tab/>
              <w:t xml:space="preserve">Assegura que o ESAP está acessível </w:t>
            </w:r>
            <w:r>
              <w:rPr>
                <w:b/>
                <w:i/>
              </w:rPr>
              <w:t>pelo menos 95% do tempo mensalmente</w:t>
            </w:r>
            <w:r>
              <w:t>;</w:t>
            </w:r>
          </w:p>
        </w:tc>
        <w:tc>
          <w:tcPr>
            <w:tcW w:w="4876" w:type="dxa"/>
            <w:hideMark/>
          </w:tcPr>
          <w:p w:rsidR="00C148A1" w:rsidRPr="006F3A74" w:rsidRDefault="00BA6F57" w:rsidP="0018252A">
            <w:pPr>
              <w:pStyle w:val="Normal6"/>
              <w:rPr>
                <w:szCs w:val="24"/>
              </w:rPr>
            </w:pPr>
            <w:r>
              <w:t>c)</w:t>
            </w:r>
            <w:r>
              <w:tab/>
              <w:t xml:space="preserve">Assegura que o ESAP está acessível </w:t>
            </w:r>
            <w:r>
              <w:rPr>
                <w:b/>
                <w:i/>
              </w:rPr>
              <w:t>fora dos períodos de manutenção técnica necessária</w:t>
            </w:r>
            <w:r>
              <w:t>;</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34</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11 – n.º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3.</w:t>
            </w:r>
            <w:r>
              <w:tab/>
              <w:t>A ESMA não armazena informações que contenham dados pessoais, exceto para fins de tratamento automático, intermédio e transitório,</w:t>
            </w:r>
            <w:r>
              <w:t xml:space="preserve"> incluindo o armazenamento dessas informações, na medida do estritamente necessário para facultar acesso às informações entregues pelos organismos de recolha.</w:t>
            </w:r>
          </w:p>
        </w:tc>
        <w:tc>
          <w:tcPr>
            <w:tcW w:w="4876" w:type="dxa"/>
            <w:hideMark/>
          </w:tcPr>
          <w:p w:rsidR="00C148A1" w:rsidRPr="006F3A74" w:rsidRDefault="00BA6F57" w:rsidP="0018252A">
            <w:pPr>
              <w:pStyle w:val="Normal6"/>
              <w:rPr>
                <w:szCs w:val="24"/>
              </w:rPr>
            </w:pPr>
            <w:r>
              <w:t>3.</w:t>
            </w:r>
            <w:r>
              <w:tab/>
              <w:t>A ESMA não armazena informações que contenham dados pessoais, exc</w:t>
            </w:r>
            <w:bookmarkStart w:id="1" w:name="_GoBack"/>
            <w:bookmarkEnd w:id="1"/>
            <w:r>
              <w:t>eto para fins de tratamento a</w:t>
            </w:r>
            <w:r>
              <w:t xml:space="preserve">utomático, intermédio e transitório, incluindo o armazenamento dessas informações, na medida do estritamente necessário para facultar acesso às informações entregues pelos organismos de recolha. </w:t>
            </w:r>
            <w:r>
              <w:rPr>
                <w:b/>
                <w:i/>
              </w:rPr>
              <w:t>A ESMA toma as medidas técnicas e organizativas adequadas par</w:t>
            </w:r>
            <w:r>
              <w:rPr>
                <w:b/>
                <w:i/>
              </w:rPr>
              <w:t>a assegurar que as informações não sejam conservadas nem disponibilizadas durante um período de tempo superior ao previsto no artigo 5.º, n.º 1, alínea f) do presente regulamento.</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35</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 xml:space="preserve">Proposta de </w:t>
      </w:r>
      <w:r>
        <w:t>regulamento</w:t>
      </w:r>
      <w:r>
        <w:rPr>
          <w:rStyle w:val="HideTWBExt"/>
          <w:b w:val="0"/>
        </w:rPr>
        <w:t>&lt;/DocAmend&gt;</w:t>
      </w:r>
    </w:p>
    <w:p w:rsidR="00C148A1" w:rsidRPr="006F3A74" w:rsidRDefault="00BA6F57" w:rsidP="00C148A1">
      <w:pPr>
        <w:pStyle w:val="NormalBold"/>
      </w:pPr>
      <w:r>
        <w:rPr>
          <w:rStyle w:val="HideTWBExt"/>
          <w:b w:val="0"/>
        </w:rPr>
        <w:t>&lt;Article&gt;</w:t>
      </w:r>
      <w:r>
        <w:t>Artigo 12 – n.º 2 – alínea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a)</w:t>
            </w:r>
            <w:r>
              <w:tab/>
              <w:t>O número de visitantes e de pesquisas;</w:t>
            </w:r>
          </w:p>
        </w:tc>
        <w:tc>
          <w:tcPr>
            <w:tcW w:w="4876" w:type="dxa"/>
            <w:hideMark/>
          </w:tcPr>
          <w:p w:rsidR="00C148A1" w:rsidRPr="006F3A74" w:rsidRDefault="00BA6F57" w:rsidP="0018252A">
            <w:pPr>
              <w:pStyle w:val="Normal6"/>
              <w:rPr>
                <w:szCs w:val="24"/>
              </w:rPr>
            </w:pPr>
            <w:r>
              <w:t>a)</w:t>
            </w:r>
            <w:r>
              <w:tab/>
              <w:t>O número de visitantes</w:t>
            </w:r>
            <w:r>
              <w:rPr>
                <w:b/>
                <w:i/>
              </w:rPr>
              <w:t>, nomeadamente visitantes únicos,</w:t>
            </w:r>
            <w:r>
              <w:t xml:space="preserve"> e de pesquisas;</w:t>
            </w:r>
          </w:p>
        </w:tc>
      </w:tr>
    </w:tbl>
    <w:p w:rsidR="00C148A1" w:rsidRPr="006F3A74" w:rsidRDefault="00BA6F57" w:rsidP="00C148A1">
      <w:r>
        <w:rPr>
          <w:rStyle w:val="HideTWBExt"/>
        </w:rPr>
        <w:t>&lt;/Amend&gt;</w:t>
      </w:r>
    </w:p>
    <w:p w:rsidR="00C148A1" w:rsidRPr="006F3A74" w:rsidRDefault="00BA6F57" w:rsidP="00C148A1">
      <w:pPr>
        <w:pStyle w:val="AmNumberTabs"/>
      </w:pPr>
      <w:r>
        <w:rPr>
          <w:rStyle w:val="HideTWBExt"/>
          <w:b w:val="0"/>
        </w:rPr>
        <w:t>&lt;Amend&gt;</w:t>
      </w:r>
      <w:r>
        <w:t>Alteração</w:t>
      </w:r>
      <w:r>
        <w:tab/>
      </w:r>
      <w:r>
        <w:tab/>
      </w:r>
      <w:r>
        <w:rPr>
          <w:rStyle w:val="HideTWBExt"/>
          <w:b w:val="0"/>
        </w:rPr>
        <w:t>&lt;NumAm&gt;</w:t>
      </w:r>
      <w:r>
        <w:t>36</w:t>
      </w:r>
      <w:r>
        <w:rPr>
          <w:rStyle w:val="HideTWBExt"/>
          <w:b w:val="0"/>
        </w:rPr>
        <w:t>&lt;/NumAm&gt;</w:t>
      </w:r>
    </w:p>
    <w:p w:rsidR="00C148A1" w:rsidRPr="006F3A74" w:rsidRDefault="00C148A1" w:rsidP="00C148A1"/>
    <w:p w:rsidR="00C148A1" w:rsidRPr="006F3A74" w:rsidRDefault="00BA6F57" w:rsidP="00C148A1">
      <w:pPr>
        <w:pStyle w:val="NormalBold"/>
        <w:keepNext/>
      </w:pPr>
      <w:r>
        <w:rPr>
          <w:rStyle w:val="HideTWBExt"/>
          <w:b w:val="0"/>
        </w:rPr>
        <w:t>&lt;DocAmend&gt;</w:t>
      </w:r>
      <w:r>
        <w:t>Proposta de regulamento</w:t>
      </w:r>
      <w:r>
        <w:rPr>
          <w:rStyle w:val="HideTWBExt"/>
          <w:b w:val="0"/>
        </w:rPr>
        <w:t>&lt;/DocAmend&gt;</w:t>
      </w:r>
    </w:p>
    <w:p w:rsidR="00C148A1" w:rsidRPr="006F3A74" w:rsidRDefault="00BA6F57" w:rsidP="00C148A1">
      <w:pPr>
        <w:pStyle w:val="NormalBold"/>
      </w:pPr>
      <w:r>
        <w:rPr>
          <w:rStyle w:val="HideTWBExt"/>
          <w:b w:val="0"/>
        </w:rPr>
        <w:t>&lt;Article&gt;</w:t>
      </w:r>
      <w:r>
        <w:t>Artigo 13 – parágrafo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78E1" w:rsidTr="0018252A">
        <w:trPr>
          <w:jc w:val="center"/>
        </w:trPr>
        <w:tc>
          <w:tcPr>
            <w:tcW w:w="9752" w:type="dxa"/>
            <w:gridSpan w:val="2"/>
          </w:tcPr>
          <w:p w:rsidR="00C148A1" w:rsidRPr="006F3A74" w:rsidRDefault="00C148A1" w:rsidP="0018252A">
            <w:pPr>
              <w:keepNext/>
            </w:pPr>
          </w:p>
        </w:tc>
      </w:tr>
      <w:tr w:rsidR="00FC78E1" w:rsidTr="0018252A">
        <w:trPr>
          <w:jc w:val="center"/>
        </w:trPr>
        <w:tc>
          <w:tcPr>
            <w:tcW w:w="4876" w:type="dxa"/>
            <w:hideMark/>
          </w:tcPr>
          <w:p w:rsidR="00C148A1" w:rsidRPr="006F3A74" w:rsidRDefault="00BA6F57" w:rsidP="0018252A">
            <w:pPr>
              <w:pStyle w:val="ColumnHeading"/>
              <w:keepNext/>
            </w:pPr>
            <w:r>
              <w:t>Texto da Comissão</w:t>
            </w:r>
          </w:p>
        </w:tc>
        <w:tc>
          <w:tcPr>
            <w:tcW w:w="4876" w:type="dxa"/>
            <w:hideMark/>
          </w:tcPr>
          <w:p w:rsidR="00C148A1" w:rsidRPr="006F3A74" w:rsidRDefault="00BA6F57" w:rsidP="0018252A">
            <w:pPr>
              <w:pStyle w:val="ColumnHeading"/>
              <w:keepNext/>
            </w:pPr>
            <w:r>
              <w:t>Alteração</w:t>
            </w:r>
          </w:p>
        </w:tc>
      </w:tr>
      <w:tr w:rsidR="00FC78E1" w:rsidTr="0018252A">
        <w:trPr>
          <w:jc w:val="center"/>
        </w:trPr>
        <w:tc>
          <w:tcPr>
            <w:tcW w:w="4876" w:type="dxa"/>
            <w:hideMark/>
          </w:tcPr>
          <w:p w:rsidR="00C148A1" w:rsidRPr="006F3A74" w:rsidRDefault="00BA6F57" w:rsidP="0018252A">
            <w:pPr>
              <w:pStyle w:val="Normal6"/>
            </w:pPr>
            <w:r>
              <w:t xml:space="preserve">Até [SP, inserir data correspondente a cinco anos após a entrada em vigor do presente regulamento], a Comissão examina o </w:t>
            </w:r>
            <w:r>
              <w:t>funcionamento do ESAP e avalia a sua eficácia. A Comissão apresenta ao Parlamento Europeu e ao Conselho um relatório sobre os resultados desse reexame.</w:t>
            </w:r>
          </w:p>
        </w:tc>
        <w:tc>
          <w:tcPr>
            <w:tcW w:w="4876" w:type="dxa"/>
            <w:hideMark/>
          </w:tcPr>
          <w:p w:rsidR="00C148A1" w:rsidRPr="006F3A74" w:rsidRDefault="00BA6F57" w:rsidP="0018252A">
            <w:pPr>
              <w:pStyle w:val="Normal6"/>
              <w:rPr>
                <w:szCs w:val="24"/>
              </w:rPr>
            </w:pPr>
            <w:r>
              <w:t>Até [SP, inserir data correspondente a cinco anos após a entrada em vigor do presente regulamento], a Co</w:t>
            </w:r>
            <w:r>
              <w:t xml:space="preserve">missão examina o funcionamento do ESAP e avalia a sua eficácia. </w:t>
            </w:r>
            <w:r>
              <w:rPr>
                <w:b/>
                <w:i/>
              </w:rPr>
              <w:t xml:space="preserve">Este exame é acompanhado de uma panorâmica das lacunas existentes em matéria de dados no ESAP e de uma estratégia para as abordar. O exame pode incluir </w:t>
            </w:r>
            <w:r>
              <w:rPr>
                <w:b/>
                <w:i/>
              </w:rPr>
              <w:lastRenderedPageBreak/>
              <w:t>igualmente uma avaliação do impacto do p</w:t>
            </w:r>
            <w:r>
              <w:rPr>
                <w:b/>
                <w:i/>
              </w:rPr>
              <w:t xml:space="preserve">resente regulamento na posição de mercado das entidades. </w:t>
            </w:r>
            <w:r>
              <w:t>A Comissão apresenta ao Parlamento Europeu e ao Conselho um relatório sobre os resultados desse reexame.</w:t>
            </w:r>
          </w:p>
        </w:tc>
      </w:tr>
    </w:tbl>
    <w:p w:rsidR="00C148A1" w:rsidRPr="006F3A74" w:rsidRDefault="00BA6F57" w:rsidP="00C148A1">
      <w:r>
        <w:rPr>
          <w:rStyle w:val="HideTWBExt"/>
        </w:rPr>
        <w:lastRenderedPageBreak/>
        <w:t>&lt;/Amend&gt;</w:t>
      </w:r>
    </w:p>
    <w:p w:rsidR="00C148A1" w:rsidRPr="006F3A74" w:rsidRDefault="00C148A1" w:rsidP="00C148A1">
      <w:pPr>
        <w:rPr>
          <w:rStyle w:val="HideTWBExt"/>
          <w:noProof w:val="0"/>
          <w:szCs w:val="20"/>
        </w:rPr>
      </w:pPr>
    </w:p>
    <w:p w:rsidR="009C128A" w:rsidRPr="009C128A" w:rsidRDefault="00BA6F57" w:rsidP="009C128A">
      <w:r>
        <w:rPr>
          <w:rStyle w:val="HideTWBExt"/>
        </w:rPr>
        <w:t>&lt;/RepeatBlock-Amend&gt;</w:t>
      </w:r>
      <w:r>
        <w:br w:type="page"/>
      </w:r>
    </w:p>
    <w:p w:rsidR="009C128A" w:rsidRDefault="00BA6F57" w:rsidP="009C128A">
      <w:pPr>
        <w:pStyle w:val="PageHeadingNotTOC"/>
      </w:pPr>
      <w:bookmarkStart w:id="2" w:name="ProcPageAD"/>
      <w:r>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Estabelecimento de um ponto de acesso único europeu destinado a permitir um acesso centralizado a informações publicamente disponíveis com relevância para os serviços financeiros, os mercados de capitais e a sustentabilidade</w:t>
            </w:r>
          </w:p>
        </w:tc>
      </w:tr>
      <w:tr w:rsidR="00FC78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 xml:space="preserve">COM(2021)0723 – </w:t>
            </w:r>
            <w:r>
              <w:rPr>
                <w:color w:val="000000"/>
                <w:sz w:val="20"/>
              </w:rPr>
              <w:t>C9</w:t>
            </w:r>
            <w:r>
              <w:rPr>
                <w:color w:val="000000"/>
                <w:sz w:val="20"/>
              </w:rPr>
              <w:noBreakHyphen/>
            </w:r>
            <w:r>
              <w:rPr>
                <w:color w:val="000000"/>
                <w:sz w:val="20"/>
              </w:rPr>
              <w:t>0434/2021 – 2021/0378(COD)</w:t>
            </w: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Comissão competente quanto ao fundo</w:t>
            </w:r>
          </w:p>
          <w:p w:rsidR="009C128A" w:rsidRDefault="00BA6F57">
            <w:pPr>
              <w:autoSpaceDE w:val="0"/>
              <w:autoSpaceDN w:val="0"/>
              <w:adjustRightInd w:val="0"/>
              <w:rPr>
                <w:color w:val="000000"/>
                <w:sz w:val="20"/>
                <w:szCs w:val="20"/>
              </w:rPr>
            </w:pPr>
            <w:r>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ECON</w:t>
            </w:r>
          </w:p>
          <w:p w:rsidR="009C128A" w:rsidRDefault="00BA6F57">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Parecer emitido por</w:t>
            </w:r>
          </w:p>
          <w:p w:rsidR="009C128A" w:rsidRDefault="00BA6F57">
            <w:pPr>
              <w:autoSpaceDE w:val="0"/>
              <w:autoSpaceDN w:val="0"/>
              <w:adjustRightInd w:val="0"/>
              <w:rPr>
                <w:color w:val="000000"/>
                <w:sz w:val="20"/>
                <w:szCs w:val="20"/>
              </w:rPr>
            </w:pPr>
            <w:r>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LIBE</w:t>
            </w:r>
          </w:p>
          <w:p w:rsidR="009C128A" w:rsidRDefault="00BA6F57">
            <w:pPr>
              <w:autoSpaceDE w:val="0"/>
              <w:autoSpaceDN w:val="0"/>
              <w:adjustRightInd w:val="0"/>
              <w:rPr>
                <w:color w:val="000000"/>
                <w:sz w:val="20"/>
                <w:szCs w:val="20"/>
              </w:rPr>
            </w:pPr>
            <w:r>
              <w:rPr>
                <w:color w:val="000000"/>
                <w:sz w:val="20"/>
              </w:rPr>
              <w:t>14.2.2022</w:t>
            </w: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Relator(a) de parecer</w:t>
            </w:r>
          </w:p>
          <w:p w:rsidR="009C128A" w:rsidRDefault="00BA6F57">
            <w:pPr>
              <w:autoSpaceDE w:val="0"/>
              <w:autoSpaceDN w:val="0"/>
              <w:adjustRightInd w:val="0"/>
              <w:rPr>
                <w:color w:val="000000"/>
                <w:sz w:val="20"/>
                <w:szCs w:val="20"/>
              </w:rPr>
            </w:pPr>
            <w:r>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Emil Radev</w:t>
            </w:r>
          </w:p>
          <w:p w:rsidR="009C128A" w:rsidRDefault="00BA6F57">
            <w:pPr>
              <w:autoSpaceDE w:val="0"/>
              <w:autoSpaceDN w:val="0"/>
              <w:adjustRightInd w:val="0"/>
              <w:rPr>
                <w:color w:val="000000"/>
                <w:sz w:val="20"/>
                <w:szCs w:val="20"/>
              </w:rPr>
            </w:pPr>
            <w:r>
              <w:rPr>
                <w:color w:val="000000"/>
                <w:sz w:val="20"/>
              </w:rPr>
              <w:t>30.5.2022</w:t>
            </w: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r>
      <w:tr w:rsidR="00FC78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C128A" w:rsidRDefault="009C128A">
            <w:pPr>
              <w:autoSpaceDE w:val="0"/>
              <w:autoSpaceDN w:val="0"/>
              <w:adjustRightInd w:val="0"/>
              <w:rPr>
                <w:rFonts w:ascii="sans-serif" w:hAnsi="sans-serif" w:cs="sans-serif"/>
                <w:color w:val="000000"/>
              </w:rPr>
            </w:pP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w:t>
            </w:r>
          </w:p>
          <w:p w:rsidR="009C128A" w:rsidRDefault="00BA6F57">
            <w:pPr>
              <w:autoSpaceDE w:val="0"/>
              <w:autoSpaceDN w:val="0"/>
              <w:adjustRightInd w:val="0"/>
              <w:rPr>
                <w:color w:val="000000"/>
                <w:sz w:val="20"/>
                <w:szCs w:val="20"/>
              </w:rPr>
            </w:pPr>
            <w:r>
              <w:rPr>
                <w:color w:val="000000"/>
                <w:sz w:val="20"/>
              </w:rPr>
              <w:t>–:</w:t>
            </w:r>
          </w:p>
          <w:p w:rsidR="009C128A" w:rsidRDefault="00BA6F57">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59</w:t>
            </w:r>
          </w:p>
          <w:p w:rsidR="009C128A" w:rsidRDefault="00BA6F57">
            <w:pPr>
              <w:autoSpaceDE w:val="0"/>
              <w:autoSpaceDN w:val="0"/>
              <w:adjustRightInd w:val="0"/>
              <w:rPr>
                <w:color w:val="000000"/>
                <w:sz w:val="20"/>
                <w:szCs w:val="20"/>
              </w:rPr>
            </w:pPr>
            <w:r>
              <w:rPr>
                <w:color w:val="000000"/>
                <w:sz w:val="20"/>
              </w:rPr>
              <w:t>0</w:t>
            </w:r>
          </w:p>
          <w:p w:rsidR="009C128A" w:rsidRDefault="00BA6F57">
            <w:pPr>
              <w:autoSpaceDE w:val="0"/>
              <w:autoSpaceDN w:val="0"/>
              <w:adjustRightInd w:val="0"/>
              <w:rPr>
                <w:color w:val="000000"/>
                <w:sz w:val="20"/>
                <w:szCs w:val="20"/>
              </w:rPr>
            </w:pPr>
            <w:r>
              <w:rPr>
                <w:color w:val="000000"/>
                <w:sz w:val="20"/>
              </w:rPr>
              <w:t>3</w:t>
            </w:r>
          </w:p>
        </w:tc>
      </w:tr>
      <w:tr w:rsidR="00FC78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Abir Al</w:t>
            </w:r>
            <w:r>
              <w:rPr>
                <w:color w:val="000000"/>
                <w:sz w:val="20"/>
              </w:rPr>
              <w:noBreakHyphen/>
            </w:r>
            <w:r>
              <w:rPr>
                <w:color w:val="000000"/>
                <w:sz w:val="20"/>
              </w:rPr>
              <w:t xml:space="preserve">Sahlani, Malik Azmani, Vladimír Bilčík, Malin Björk, Vasile Blaga, Patrick </w:t>
            </w:r>
            <w:r>
              <w:rPr>
                <w:color w:val="000000"/>
                <w:sz w:val="20"/>
              </w:rPr>
              <w:t>Breyer, Saskia Bricmont, Joachim Stanisław Brudziński, Jorge Buxadé Villalba, Patricia Chagnon, Clare Daly, Lena Düpont, Lucia Ďuriš Nicholsonová, Laura Ferrara, Andrzej Halicki, Evin Incir, Sophia in ‘t Veld, Patryk Jaki, Marina Kaljurand, Fabienne Keller</w:t>
            </w:r>
            <w:r>
              <w:rPr>
                <w:color w:val="000000"/>
                <w:sz w:val="20"/>
              </w:rPr>
              <w:t>, Łukasz Kohut, Moritz Körner, Alice Kuhnke, Jeroen Lenaers, Juan Fernando López Aguilar, Lukas Mandl, Erik Marquardt, Nadine Morano, Javier Moreno Sánchez, Theresa Muigg, Maite Pagazaurtundúa, Paulo Rangel, Karlo Ressler, Isabel Santos, Birgit Sippel, Sar</w:t>
            </w:r>
            <w:r>
              <w:rPr>
                <w:color w:val="000000"/>
                <w:sz w:val="20"/>
              </w:rPr>
              <w:t>a Skyttedal, Vincenzo Sofo, Tineke Strik, Ramona Strugariu, Yana Toom, Milan Uhrík, Tom Vandendriessche, Elena Yoncheva</w:t>
            </w:r>
          </w:p>
        </w:tc>
      </w:tr>
      <w:tr w:rsidR="00FC78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Loucas Fourlas, Beata Kempa, Ondřej Kovařík, Alessandra Mussolini, Matjaž Nemec, Sira R</w:t>
            </w:r>
            <w:r>
              <w:rPr>
                <w:color w:val="000000"/>
                <w:sz w:val="20"/>
              </w:rPr>
              <w:t>ego, Thijs Reuten, Domènec Ruiz Devesa, Loránt Vincze, Petar Vitanov, Tomáš Zdechovský</w:t>
            </w:r>
          </w:p>
        </w:tc>
      </w:tr>
      <w:tr w:rsidR="00FC78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b/>
                <w:bCs/>
                <w:color w:val="000000"/>
                <w:sz w:val="20"/>
                <w:szCs w:val="20"/>
              </w:rPr>
            </w:pPr>
            <w:r>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128A" w:rsidRDefault="00BA6F57">
            <w:pPr>
              <w:autoSpaceDE w:val="0"/>
              <w:autoSpaceDN w:val="0"/>
              <w:adjustRightInd w:val="0"/>
              <w:rPr>
                <w:color w:val="000000"/>
                <w:sz w:val="20"/>
                <w:szCs w:val="20"/>
              </w:rPr>
            </w:pPr>
            <w:r>
              <w:rPr>
                <w:color w:val="000000"/>
                <w:sz w:val="20"/>
              </w:rPr>
              <w:t>Asim Ademov, Gunnar Beck, Isabel Benjumea Benjumea, Marian</w:t>
            </w:r>
            <w:r>
              <w:rPr>
                <w:color w:val="000000"/>
                <w:sz w:val="20"/>
              </w:rPr>
              <w:noBreakHyphen/>
            </w:r>
            <w:r>
              <w:rPr>
                <w:color w:val="000000"/>
                <w:sz w:val="20"/>
              </w:rPr>
              <w:t xml:space="preserve">Jean Marinescu, René Repasi, Antonio </w:t>
            </w:r>
            <w:r>
              <w:rPr>
                <w:color w:val="000000"/>
                <w:sz w:val="20"/>
              </w:rPr>
              <w:t>Maria Rinaldi, Mounir Satouri, Jörgen Warborn</w:t>
            </w:r>
          </w:p>
        </w:tc>
      </w:tr>
    </w:tbl>
    <w:p w:rsidR="009C128A" w:rsidRPr="00C148A1" w:rsidRDefault="009C128A" w:rsidP="00C148A1"/>
    <w:bookmarkEnd w:id="2"/>
    <w:p w:rsidR="00C148A1" w:rsidRDefault="00C148A1" w:rsidP="00C148A1">
      <w:pPr>
        <w:sectPr w:rsidR="00C148A1" w:rsidSect="00C148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48A1" w:rsidRPr="0099178F" w:rsidRDefault="00BA6F57" w:rsidP="00C36610">
      <w:pPr>
        <w:pStyle w:val="PageHeadingNotTOC"/>
      </w:pPr>
      <w:bookmarkStart w:id="3" w:name="RollCallPageAD"/>
      <w:r>
        <w:lastRenderedPageBreak/>
        <w:t>VOTAÇÃO NOMINAL FINAL</w:t>
      </w:r>
      <w:r>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78E1" w:rsidTr="0018252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148A1" w:rsidRPr="006F3A74" w:rsidRDefault="00BA6F57" w:rsidP="0018252A">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148A1" w:rsidRPr="006F3A74" w:rsidRDefault="00BA6F57" w:rsidP="0018252A">
            <w:pPr>
              <w:pStyle w:val="RollCallSymbols14pt"/>
              <w:spacing w:line="256" w:lineRule="auto"/>
            </w:pPr>
            <w:r>
              <w:t>+</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Joachim Stanisław Brudziński, Patryk Jaki, Beata Kempa, Vincenzo Sofo</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 xml:space="preserve">Patricia Chagnon, Antonio Maria Rinaldi, Tom </w:t>
            </w:r>
            <w:r>
              <w:t>Vandendriessche</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Laura Ferrara</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Asim Ademov, Isabel Benjumea Benjumea, Vladimír Bilčík, Vasile Blaga, Lena Düpont, Loucas Fourlas, Andrzej Halicki, Jeroen Lenaers, Lukas Mandl, Marian</w:t>
            </w:r>
            <w:r>
              <w:noBreakHyphen/>
            </w:r>
            <w:r>
              <w:t>Jean Marinescu, Nadine Morano, Alessandra Mussolini, Paulo Rangel</w:t>
            </w:r>
            <w:r>
              <w:t>, Karlo Ressler, Sara Skyttedal, Loránt Vincze, Jörgen Warborn, Tomáš Zdechovský</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Abir Al</w:t>
            </w:r>
            <w:r>
              <w:noBreakHyphen/>
            </w:r>
            <w:r>
              <w:t>Sahlani, Malik Azmani, Lucia Ďuriš Nicholsonová, Sophia in 't Veld, Fabienne Keller, Moritz Körner, Ondřej Kovařík, Maite Pagazaurtundúa, Ramona Strugariu, Yana</w:t>
            </w:r>
            <w:r>
              <w:t xml:space="preserve"> Toom</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Evin Incir, Marina Kaljurand, Łukasz Kohut, Juan Fernando López Aguilar, Javier Moreno Sánchez, Theresa Muigg, Matjaž Nemec, René Repasi, Thijs Reuten, Domènec Ruiz Devesa, Isabel Santos, Birgit Sippel, Petar Vitanov, Elena Yoncheva</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Malin Björk, Clare Daly, Sira Rego</w:t>
            </w:r>
          </w:p>
        </w:tc>
      </w:tr>
      <w:tr w:rsidR="00FC78E1" w:rsidTr="0018252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Patrick Breyer, Saskia Bricmont, Alice Kuhnke, Erik Marquardt, Mounir Satouri, Tineke Strik</w:t>
            </w:r>
          </w:p>
        </w:tc>
      </w:tr>
    </w:tbl>
    <w:p w:rsidR="00C148A1" w:rsidRPr="006F3A74" w:rsidRDefault="00C148A1" w:rsidP="00C148A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78E1" w:rsidTr="0018252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148A1" w:rsidRPr="006F3A74" w:rsidRDefault="00BA6F57" w:rsidP="0018252A">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148A1" w:rsidRPr="006F3A74" w:rsidRDefault="00BA6F57" w:rsidP="0018252A">
            <w:pPr>
              <w:pStyle w:val="RollCallSymbols14pt"/>
              <w:spacing w:line="256" w:lineRule="auto"/>
            </w:pPr>
            <w:r>
              <w:noBreakHyphen/>
            </w:r>
          </w:p>
        </w:tc>
      </w:tr>
      <w:tr w:rsidR="00FC78E1" w:rsidTr="0018252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148A1" w:rsidRPr="006F3A74" w:rsidRDefault="00C148A1" w:rsidP="0018252A">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148A1" w:rsidRPr="006F3A74" w:rsidRDefault="00C148A1" w:rsidP="0018252A">
            <w:pPr>
              <w:pStyle w:val="RollCallTable"/>
              <w:spacing w:line="256" w:lineRule="auto"/>
            </w:pPr>
          </w:p>
        </w:tc>
      </w:tr>
    </w:tbl>
    <w:p w:rsidR="00C148A1" w:rsidRPr="006F3A74" w:rsidRDefault="00C148A1" w:rsidP="00C148A1"/>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78E1" w:rsidTr="0018252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148A1" w:rsidRPr="006F3A74" w:rsidRDefault="00BA6F57" w:rsidP="0018252A">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148A1" w:rsidRPr="006F3A74" w:rsidRDefault="00BA6F57" w:rsidP="0018252A">
            <w:pPr>
              <w:pStyle w:val="RollCallSymbols14pt"/>
              <w:spacing w:line="256" w:lineRule="auto"/>
            </w:pPr>
            <w:r>
              <w:t>0</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Jorge Buxadé Villalba</w:t>
            </w:r>
          </w:p>
        </w:tc>
      </w:tr>
      <w:tr w:rsidR="00FC78E1" w:rsidTr="0018252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Gunnar Beck</w:t>
            </w:r>
          </w:p>
        </w:tc>
      </w:tr>
      <w:tr w:rsidR="00FC78E1" w:rsidTr="0018252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148A1" w:rsidRPr="006F3A74" w:rsidRDefault="00BA6F57" w:rsidP="0018252A">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148A1" w:rsidRPr="006F3A74" w:rsidRDefault="00BA6F57" w:rsidP="0018252A">
            <w:pPr>
              <w:pStyle w:val="RollCallTable"/>
              <w:spacing w:line="256" w:lineRule="auto"/>
            </w:pPr>
            <w:r>
              <w:t>Milan Uhrík</w:t>
            </w:r>
          </w:p>
        </w:tc>
      </w:tr>
    </w:tbl>
    <w:p w:rsidR="00C148A1" w:rsidRDefault="00C148A1" w:rsidP="00147FBF">
      <w:pPr>
        <w:pStyle w:val="Normal12a"/>
      </w:pPr>
    </w:p>
    <w:p w:rsidR="00C148A1" w:rsidRDefault="00BA6F57" w:rsidP="00B735E3">
      <w:r>
        <w:t>Legenda dos símbolos utilizados:</w:t>
      </w:r>
    </w:p>
    <w:p w:rsidR="00C148A1" w:rsidRDefault="00BA6F57" w:rsidP="003858C5">
      <w:pPr>
        <w:pStyle w:val="RollCallTabs"/>
      </w:pPr>
      <w:r>
        <w:t>+</w:t>
      </w:r>
      <w:r>
        <w:tab/>
        <w:t>:</w:t>
      </w:r>
      <w:r>
        <w:tab/>
        <w:t>votos</w:t>
      </w:r>
      <w:r>
        <w:t xml:space="preserve"> a favor</w:t>
      </w:r>
    </w:p>
    <w:p w:rsidR="00C148A1" w:rsidRDefault="00BA6F57" w:rsidP="003858C5">
      <w:pPr>
        <w:pStyle w:val="RollCallTabs"/>
      </w:pPr>
      <w:r>
        <w:noBreakHyphen/>
      </w:r>
      <w:r>
        <w:tab/>
        <w:t>:</w:t>
      </w:r>
      <w:r>
        <w:tab/>
        <w:t>votos contra</w:t>
      </w:r>
    </w:p>
    <w:p w:rsidR="00C148A1" w:rsidRDefault="00BA6F57" w:rsidP="003858C5">
      <w:pPr>
        <w:pStyle w:val="RollCallTabs"/>
      </w:pPr>
      <w:r>
        <w:t>0</w:t>
      </w:r>
      <w:r>
        <w:tab/>
        <w:t>:</w:t>
      </w:r>
      <w:r>
        <w:tab/>
        <w:t>abstenções</w:t>
      </w:r>
    </w:p>
    <w:p w:rsidR="00C148A1" w:rsidRDefault="00C148A1" w:rsidP="00207509"/>
    <w:bookmarkEnd w:id="3"/>
    <w:p w:rsidR="00DB56E4" w:rsidRPr="00C148A1" w:rsidRDefault="00DB56E4" w:rsidP="00C148A1"/>
    <w:sectPr w:rsidR="00DB56E4" w:rsidRPr="00C148A1" w:rsidSect="00C148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A6F57">
      <w:r>
        <w:separator/>
      </w:r>
    </w:p>
  </w:endnote>
  <w:endnote w:type="continuationSeparator" w:id="0">
    <w:p w:rsidR="00000000" w:rsidRDefault="00BA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8A" w:rsidRDefault="00BA6F57" w:rsidP="009C128A">
    <w:pPr>
      <w:pStyle w:val="EPFooter"/>
    </w:pPr>
    <w:r>
      <w:t>PE</w:t>
    </w:r>
    <w:r w:rsidRPr="009C128A">
      <w:rPr>
        <w:rStyle w:val="HideTWBExt"/>
      </w:rPr>
      <w:t>&lt;NoPE&gt;</w:t>
    </w:r>
    <w:r>
      <w:t>736.586</w:t>
    </w:r>
    <w:r w:rsidRPr="009C128A">
      <w:rPr>
        <w:rStyle w:val="HideTWBExt"/>
      </w:rPr>
      <w:t>&lt;/NoPE&gt;&lt;Version&gt;</w:t>
    </w:r>
    <w:r>
      <w:t>v02</w:t>
    </w:r>
    <w:r>
      <w:noBreakHyphen/>
    </w:r>
    <w:r>
      <w:t>00</w:t>
    </w:r>
    <w:r w:rsidRPr="009C128A">
      <w:rPr>
        <w:rStyle w:val="HideTWBExt"/>
      </w:rPr>
      <w:t>&lt;/Version&gt;</w:t>
    </w:r>
    <w:r>
      <w:tab/>
    </w:r>
    <w:r>
      <w:fldChar w:fldCharType="begin"/>
    </w:r>
    <w:r>
      <w:instrText xml:space="preserve"> PAGE  \* MERGEFORMAT </w:instrText>
    </w:r>
    <w:r>
      <w:fldChar w:fldCharType="separate"/>
    </w:r>
    <w:r>
      <w:rPr>
        <w:noProof/>
      </w:rPr>
      <w:t>18</w:t>
    </w:r>
    <w:r>
      <w:fldChar w:fldCharType="end"/>
    </w:r>
    <w:r>
      <w:t>/</w:t>
    </w:r>
    <w:r w:rsidR="00F432CA">
      <w:fldChar w:fldCharType="begin"/>
    </w:r>
    <w:r>
      <w:instrText xml:space="preserve"> NUMPAGES  \* MERGEFORMAT </w:instrText>
    </w:r>
    <w:r w:rsidR="00F432CA">
      <w:fldChar w:fldCharType="separate"/>
    </w:r>
    <w:r>
      <w:rPr>
        <w:noProof/>
      </w:rPr>
      <w:t>21</w:t>
    </w:r>
    <w:r w:rsidR="00F432CA">
      <w:rPr>
        <w:noProof/>
      </w:rPr>
      <w:fldChar w:fldCharType="end"/>
    </w:r>
    <w:r>
      <w:tab/>
    </w:r>
    <w:r w:rsidRPr="009C128A">
      <w:rPr>
        <w:rStyle w:val="HideTWBExt"/>
      </w:rPr>
      <w:t>&lt;PathFdR&gt;</w:t>
    </w:r>
    <w:r>
      <w:t>AD\1270366PT.docx</w:t>
    </w:r>
    <w:r w:rsidRPr="009C128A">
      <w:rPr>
        <w:rStyle w:val="HideTWBExt"/>
      </w:rPr>
      <w:t>&lt;/PathFdR&gt;</w:t>
    </w:r>
  </w:p>
  <w:p w:rsidR="007F187F" w:rsidRPr="00A25B1C" w:rsidRDefault="00BA6F57" w:rsidP="009C128A">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8A" w:rsidRDefault="00BA6F57" w:rsidP="009C128A">
    <w:pPr>
      <w:pStyle w:val="EPFooter"/>
    </w:pPr>
    <w:r w:rsidRPr="009C128A">
      <w:rPr>
        <w:rStyle w:val="HideTWBExt"/>
      </w:rPr>
      <w:t>&lt;PathFdR&gt;</w:t>
    </w:r>
    <w:r>
      <w:t>AD\1270366PT.docx</w:t>
    </w:r>
    <w:r w:rsidRPr="009C128A">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F432CA">
      <w:fldChar w:fldCharType="begin"/>
    </w:r>
    <w:r>
      <w:instrText xml:space="preserve"> NUMPAGES  \* MERGEFORMAT </w:instrText>
    </w:r>
    <w:r w:rsidR="00F432CA">
      <w:fldChar w:fldCharType="separate"/>
    </w:r>
    <w:r>
      <w:rPr>
        <w:noProof/>
      </w:rPr>
      <w:t>21</w:t>
    </w:r>
    <w:r w:rsidR="00F432CA">
      <w:rPr>
        <w:noProof/>
      </w:rPr>
      <w:fldChar w:fldCharType="end"/>
    </w:r>
    <w:r>
      <w:tab/>
      <w:t>PE</w:t>
    </w:r>
    <w:r w:rsidRPr="009C128A">
      <w:rPr>
        <w:rStyle w:val="HideTWBExt"/>
      </w:rPr>
      <w:t>&lt;NoPE&gt;</w:t>
    </w:r>
    <w:r>
      <w:t>736.586</w:t>
    </w:r>
    <w:r w:rsidRPr="009C128A">
      <w:rPr>
        <w:rStyle w:val="HideTWBExt"/>
      </w:rPr>
      <w:t>&lt;/NoPE&gt;&lt;Version&gt;</w:t>
    </w:r>
    <w:r>
      <w:t>v02</w:t>
    </w:r>
    <w:r>
      <w:noBreakHyphen/>
    </w:r>
    <w:r>
      <w:t>00</w:t>
    </w:r>
    <w:r w:rsidRPr="009C128A">
      <w:rPr>
        <w:rStyle w:val="HideTWBExt"/>
      </w:rPr>
      <w:t>&lt;/Version&gt;</w:t>
    </w:r>
  </w:p>
  <w:p w:rsidR="007F187F" w:rsidRPr="00A25B1C" w:rsidRDefault="00BA6F57" w:rsidP="009C128A">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8A" w:rsidRDefault="00BA6F57" w:rsidP="009C128A">
    <w:pPr>
      <w:pStyle w:val="EPFooter"/>
    </w:pPr>
    <w:r w:rsidRPr="009C128A">
      <w:rPr>
        <w:rStyle w:val="HideTWBExt"/>
      </w:rPr>
      <w:t>&lt;PathFdR&gt;</w:t>
    </w:r>
    <w:r>
      <w:t>AD\1270366PT.docx</w:t>
    </w:r>
    <w:r w:rsidRPr="009C128A">
      <w:rPr>
        <w:rStyle w:val="HideTWBExt"/>
      </w:rPr>
      <w:t>&lt;/PathFdR&gt;</w:t>
    </w:r>
    <w:r>
      <w:tab/>
    </w:r>
    <w:r>
      <w:tab/>
      <w:t>PE</w:t>
    </w:r>
    <w:r w:rsidRPr="009C128A">
      <w:rPr>
        <w:rStyle w:val="HideTWBExt"/>
      </w:rPr>
      <w:t>&lt;NoPE&gt;</w:t>
    </w:r>
    <w:r>
      <w:t>736.586</w:t>
    </w:r>
    <w:r w:rsidRPr="009C128A">
      <w:rPr>
        <w:rStyle w:val="HideTWBExt"/>
      </w:rPr>
      <w:t>&lt;/NoPE&gt;&lt;Version&gt;</w:t>
    </w:r>
    <w:r>
      <w:t>v02</w:t>
    </w:r>
    <w:r>
      <w:noBreakHyphen/>
    </w:r>
    <w:r>
      <w:t>00</w:t>
    </w:r>
    <w:r w:rsidRPr="009C128A">
      <w:rPr>
        <w:rStyle w:val="HideTWBExt"/>
      </w:rPr>
      <w:t>&lt;/Version&gt;</w:t>
    </w:r>
  </w:p>
  <w:p w:rsidR="007F187F" w:rsidRPr="00A25B1C" w:rsidRDefault="00BA6F57" w:rsidP="009C128A">
    <w:pPr>
      <w:pStyle w:val="EPFooter2"/>
    </w:pPr>
    <w:r>
      <w:t>PT</w:t>
    </w:r>
    <w:r>
      <w:tab/>
    </w:r>
    <w:r w:rsidRPr="009C128A">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A6F57">
      <w:r>
        <w:separator/>
      </w:r>
    </w:p>
  </w:footnote>
  <w:footnote w:type="continuationSeparator" w:id="0">
    <w:p w:rsidR="00000000" w:rsidRDefault="00BA6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A1" w:rsidRDefault="00C14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A1" w:rsidRDefault="00C148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A1" w:rsidRDefault="00C148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CopyToNetwork"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3784 HideTWBExt;}{_x000d__x000a_\s18\ql \li0\ri0\sa120\nowidctlpar\wrapdefault\aspalpha\aspnum\faauto\adjustright\rin0\lin0\itap0 \rtlch\fcs1 \af0\afs20\alang1025 \ltrch\fcs0 \fs24\lang2057\langfe2057\cgrid\langnp2057\langfenp2057 \sbasedon0 \snext18 \spriority0 \styrsid15343784 _x000d__x000a_Normal6a;}{\s19\ql \li0\ri0\nowidctlpar\wrapdefault\aspalpha\aspnum\faauto\adjustright\rin0\lin0\itap0 \rtlch\fcs1 \af0\afs20\alang1025 \ltrch\fcs0 \b\fs24\lang2057\langfe2057\cgrid\langnp2057\langfenp2057 \sbasedon0 \snext19 \spriority0 \styrsid15343784 _x000d__x000a_NormalBold;}{\*\cs20 \additive \v\f1\fs20\cf15 \spriority0 \styrsid15343784 HideTWBInt;}{\s21\qc \li0\ri0\sa240\nowidctlpar\wrapdefault\aspalpha\aspnum\faauto\adjustright\rin0\lin0\itap0 \rtlch\fcs1 \af0\afs20\alang1025 \ltrch\fcs0 _x000d__x000a_\i\fs24\lang2057\langfe2057\cgrid\langnp2057\langfenp2057 \sbasedon0 \snext21 \spriority0 \styrsid1534378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5343784 AmNumberTabs;}{\s23\ql \li0\ri0\sb240\nowidctlpar\wrapdefault\aspalpha\aspnum\faauto\adjustright\rin0\lin0\itap0 \rtlch\fcs1 _x000d__x000a_\af0\afs20\alang1025 \ltrch\fcs0 \b\fs24\lang2057\langfe2057\cgrid\langnp2057\langfenp2057 \sbasedon0 \snext23 \spriority0 \styrsid15343784 NormalBold12b;}}{\*\rsidtbl \rsid24658\rsid223860\rsid735077\rsid1718133\rsid2892074\rsid3565327\rsid4666813_x000d__x000a_\rsid6641733\rsid7823322\rsid9112220\rsid9636012\rsid10377208\rsid11215221\rsid11549030\rsid12154954\rsid14382809\rsid14424199\rsid15204470\rsid15285974\rsid15343784\rsid15950462\rsid16324206\rsid16662270}{\mmathPr\mmathFont34\mbrkBin0\mbrkBinSub0_x000d__x000a_\msmallFrac0\mdispDef1\mlMargin0\mrMargin0\mdefJc1\mwrapIndent1440\mintLim0\mnaryLim1}{\info{\author MATOS MARTINS Filipe}{\operator MATOS MARTINS Filipe}{\creatim\yr2023\mo1\dy17\hr16\min25}{\revtim\yr2023\mo1\dy17\hr16\min25}{\version1}{\edmins0}_x000d__x000a_{\nofpages1}{\nofwords32}{\nofchars174}{\nofcharsws20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43784\newtblstyruls\nogrowautofit\usenormstyforlist\noindnmbrts\felnbrelev\nocxsptable\indrlsweleven\noafcnsttbl\afelev\utinl\hwelev\spltpgpar\notcvasp\notbrkcnstfrctbl\notvatxbx\krnprsnet\cachedcolbal _x000d__x000a_\nouicompat \fet0{\*\wgrffmtfilter 013f}\nofeaturethrottle1\ilfomacatclnup0{\*\template C:\\Users\\FMATOS~1\\AppData\\Local\\Temp\\Blank1.dotx}{\*\ftnsep \ltrpar \pard\plain \ltrpar_x000d__x000a_\ql \li0\ri0\widctlpar\wrapdefault\aspalpha\aspnum\faauto\adjustright\rin0\lin0\itap0 \rtlch\fcs1 \af0\afs20\alang1025 \ltrch\fcs0 \fs24\lang2057\langfe2057\cgrid\langnp2057\langfenp2057 {\rtlch\fcs1 \af0 \ltrch\fcs0 \insrsid9112220 \chftnsep _x000d__x000a_\par }}{\*\ftnsepc \ltrpar \pard\plain \ltrpar\ql \li0\ri0\widctlpar\wrapdefault\aspalpha\aspnum\faauto\adjustright\rin0\lin0\itap0 \rtlch\fcs1 \af0\afs20\alang1025 \ltrch\fcs0 \fs24\lang2057\langfe2057\cgrid\langnp2057\langfenp2057 {\rtlch\fcs1 \af0 _x000d__x000a_\ltrch\fcs0 \insrsid9112220 \chftnsepc _x000d__x000a_\par }}{\*\aftnsep \ltrpar \pard\plain \ltrpar\ql \li0\ri0\widctlpar\wrapdefault\aspalpha\aspnum\faauto\adjustright\rin0\lin0\itap0 \rtlch\fcs1 \af0\afs20\alang1025 \ltrch\fcs0 \fs24\lang2057\langfe2057\cgrid\langnp2057\langfenp2057 {\rtlch\fcs1 \af0 _x000d__x000a_\ltrch\fcs0 \insrsid9112220 \chftnsep _x000d__x000a_\par }}{\*\aftnsepc \ltrpar \pard\plain \ltrpar\ql \li0\ri0\widctlpar\wrapdefault\aspalpha\aspnum\faauto\adjustright\rin0\lin0\itap0 \rtlch\fcs1 \af0\afs20\alang1025 \ltrch\fcs0 \fs24\lang2057\langfe2057\cgrid\langnp2057\langfenp2057 {\rtlch\fcs1 \af0 _x000d__x000a_\ltrch\fcs0 \insrsid9112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5343784 \rtlch\fcs1 _x000d__x000a_\af0\afs20\alang1025 \ltrch\fcs0 \b\fs24\lang2057\langfe2057\cgrid\langnp2057\langfenp2057 {\rtlch\fcs1 \af0 \ltrch\fcs0 \cs17\b0\v\fs20\cf9\loch\af1\hich\af1\dbch\af31501\insrsid15343784\charrsid9057188 {\*\bkmkstart restartA}_x000d__x000a_\hich\af1\dbch\af31501\loch\f1 &lt;AmendA&gt;}{\rtlch\fcs1 \af0 \ltrch\fcs0 \insrsid15343784\charrsid9057188 Amendment\tab \tab }{\rtlch\fcs1 \af0 \ltrch\fcs0 \cs17\b0\v\fs20\cf9\loch\af1\hich\af1\dbch\af31501\insrsid15343784\charrsid9057188 _x000d__x000a_\hich\af1\dbch\af31501\loch\f1 &lt;NumAmA&gt;}{\rtlch\fcs1 \af0 \ltrch\fcs0 \insrsid15343784\charrsid9057188 #}{\rtlch\fcs1 \af1 \ltrch\fcs0 \cs20\v\f1\fs20\cf15\insrsid15343784\charrsid9057188 ENMIENDA@NRAM@}{\rtlch\fcs1 \af0 \ltrch\fcs0 _x000d__x000a_\insrsid15343784\charrsid9057188 #}{\rtlch\fcs1 \af0 \ltrch\fcs0 \cs17\b0\v\fs20\cf9\loch\af1\hich\af1\dbch\af31501\insrsid15343784\charrsid9057188 \hich\af1\dbch\af31501\loch\f1 &lt;/NumAmA&gt;}{\rtlch\fcs1 \af0 \ltrch\fcs0 \insrsid15343784\charrsid9057188 _x000d__x000a__x000d__x000a_\par }\pard\plain \ltrpar\s23\ql \li0\ri0\sb240\keepn\nowidctlpar\wrapdefault\aspalpha\aspnum\faauto\adjustright\rin0\lin0\itap0\pararsid15343784 \rtlch\fcs1 \af0\afs20\alang1025 \ltrch\fcs0 \b\fs24\lang2057\langfe2057\cgrid\langnp2057\langfenp2057 {_x000d__x000a_\rtlch\fcs1 \af0 \ltrch\fcs0 \cs17\b0\v\fs20\cf9\loch\af1\hich\af1\dbch\af31501\insrsid15343784\charrsid9057188 \hich\af1\dbch\af31501\loch\f1 &lt;DocAmend&gt;}{\rtlch\fcs1 \af0 \ltrch\fcs0 \insrsid15343784\charrsid9057188 Draft legislative resolution}{_x000d__x000a_\rtlch\fcs1 \af0 \ltrch\fcs0 \cs17\b0\v\fs20\cf9\loch\af1\hich\af1\dbch\af31501\insrsid15343784\charrsid9057188 \hich\af1\dbch\af31501\loch\f1 &lt;/DocAmend&gt;}{\rtlch\fcs1 \af0 \ltrch\fcs0 \insrsid15343784\charrsid9057188 _x000d__x000a_\par }\pard\plain \ltrpar\s19\ql \li0\ri0\nowidctlpar\wrapdefault\aspalpha\aspnum\faauto\adjustright\rin0\lin0\itap0\pararsid15343784 \rtlch\fcs1 \af0\afs20\alang1025 \ltrch\fcs0 \b\fs24\lang2057\langfe2057\cgrid\langnp2057\langfenp2057 {\rtlch\fcs1 \af0 _x000d__x000a_\ltrch\fcs0 \cs17\b0\v\fs20\cf9\loch\af1\hich\af1\dbch\af31501\insrsid15343784\charrsid9057188 \hich\af1\dbch\af31501\loch\f1 &lt;Article&gt;}{\rtlch\fcs1 \af0 \ltrch\fcs0 \cf10\insrsid15343784\charrsid11681884 \u9668\'3f}{\rtlch\fcs1 \af0 \ltrch\fcs0 _x000d__x000a_\insrsid15343784\charrsid9057188 #}{\rtlch\fcs1 \af1 \ltrch\fcs0 \cs20\v\f1\fs20\cf15\insrsid15343784\charrsid9057188 TVTRESPART@RESPART@}{\rtlch\fcs1 \af0 \ltrch\fcs0 \insrsid15343784\charrsid9057188 #}{\rtlch\fcs1 \af0 \ltrch\fcs0 _x000d__x000a_\cf10\insrsid15343784\charrsid11681884 \u9658\'3f}{\rtlch\fcs1 \af0 \ltrch\fcs0 \cs17\b0\v\fs20\cf9\loch\af1\hich\af1\dbch\af31501\insrsid15343784\charrsid9057188 \hich\af1\dbch\af31501\loch\f1 &lt;/Article&gt;}{\rtlch\fcs1 \af0 \ltrch\fcs0 _x000d__x000a_\insrsid15343784\charrsid905718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5343784\charrsid9057188 \cell }\pard \ltrpar\ql \li0\ri0\widctlpar\intbl\wrapdefault\aspalpha\aspnum\faauto\adjustright\rin0\lin0 {\rtlch\fcs1 \af0 \ltrch\fcs0 _x000d__x000a_\insrsid15343784\charrsid9057188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5343784\charrsid9057188 Draft legislative resolution\cell Amendment\cell }\pard\plain \ltrpar\ql \li0\ri0\widctlpar\intbl\wrapdefault\aspalpha\aspnum\faauto\adjustright\rin0\lin0 \rtlch\fcs1 \af0\afs20\alang1025 \ltrch\fcs0 _x000d__x000a_\fs24\lang2057\langfe2057\cgrid\langnp2057\langfenp2057 {\rtlch\fcs1 \af0 \ltrch\fcs0 \insrsid15343784\charrsid90571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343784\charrsid9057188 ##\cell ##}{\rtlch\fcs1 \af0\afs24 \ltrch\fcs0 \insrsid15343784\charrsid9057188 \cell }\pard\plain \ltrpar\ql \li0\ri0\widctlpar\intbl\wrapdefault\aspalpha\aspnum\faauto\adjustright\rin0\lin0 \rtlch\fcs1 _x000d__x000a_\af0\afs20\alang1025 \ltrch\fcs0 \fs24\lang2057\langfe2057\cgrid\langnp2057\langfenp2057 {\rtlch\fcs1 \af0 \ltrch\fcs0 \insrsid15343784\charrsid90571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343784 {\rtlch\fcs1 \af0 \ltrch\fcs0 \cs17\v\fs20\cf9\loch\af1\hich\af1\dbch\af31501\insrsid15343784\charrsid9057188 \hich\af1\dbch\af31501\loch\f1 &lt;/AmendA&gt;}{_x000d__x000a_\rtlch\fcs1 \af0 \ltrch\fcs0 \insrsid1534378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5_x000d__x000a_7eff872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502275 HideTWBExt;}{_x000d__x000a_\s18\ql \li0\ri0\sa120\nowidctlpar\wrapdefault\aspalpha\aspnum\faauto\adjustright\rin0\lin0\itap0 \rtlch\fcs1 \af0\afs20\alang1025 \ltrch\fcs0 \fs24\lang2057\langfe2057\cgrid\langnp2057\langfenp2057 \sbasedon0 \snext18 \spriority0 \styrsid3502275 _x000d__x000a_Normal6a;}{\s19\ql \li0\ri0\nowidctlpar\wrapdefault\aspalpha\aspnum\faauto\adjustright\rin0\lin0\itap0 \rtlch\fcs1 \af0\afs20\alang1025 \ltrch\fcs0 \b\fs24\lang2057\langfe2057\cgrid\langnp2057\langfenp2057 \sbasedon0 \snext19 \spriority0 \styrsid3502275 _x000d__x000a_NormalBold;}{\s20\ql \li0\ri0\sa240\nowidctlpar\wrapdefault\aspalpha\aspnum\faauto\adjustright\rin0\lin0\itap0 \rtlch\fcs1 \af0\afs20\alang1025 \ltrch\fcs0 \i\fs24\lang2057\langfe2057\cgrid\langnp2057\langfenp2057 _x000d__x000a_\sbasedon0 \snext20 \spriority0 \styrsid3502275 AmJustText;}{\s21\qc \li0\ri0\sb240\sa240\nowidctlpar\wrapdefault\aspalpha\aspnum\faauto\adjustright\rin0\lin0\itap0 \rtlch\fcs1 \af0\afs20\alang1025 \ltrch\fcs0 _x000d__x000a_\i\fs24\lang2057\langfe2057\cgrid\langnp2057\langfenp2057 \sbasedon0 \snext21 \spriority0 \styrsid3502275 AmCrossRef;}{\*\cs22 \additive \v\f1\fs20\cf15 \spriority0 \styrsid3502275 HideTWBInt;}{_x000d__x000a_\s23\qc \li0\ri0\sb240\sa240\keepn\nowidctlpar\wrapdefault\aspalpha\aspnum\faauto\adjustright\rin0\lin0\itap0 \rtlch\fcs1 \af0\afs20\alang1025 \ltrch\fcs0 \i\fs24\lang2057\langfe2057\cgrid\langnp2057\langfenp2057 _x000d__x000a_\sbasedon0 \snext20 \spriority0 \styrsid3502275 AmJustTitle;}{\s24\qc \li0\ri0\sa240\nowidctlpar\wrapdefault\aspalpha\aspnum\faauto\adjustright\rin0\lin0\itap0 \rtlch\fcs1 \af0\afs20\alang1025 \ltrch\fcs0 _x000d__x000a_\i\fs24\lang2057\langfe2057\cgrid\langnp2057\langfenp2057 \sbasedon0 \snext24 \spriority0 \styrsid350227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02275 AmNumberTabs;}{\s26\ql \li0\ri0\sb240\nowidctlpar\wrapdefault\aspalpha\aspnum\faauto\adjustright\rin0\lin0\itap0 \rtlch\fcs1 _x000d__x000a_\af0\afs20\alang1025 \ltrch\fcs0 \b\fs24\lang2057\langfe2057\cgrid\langnp2057\langfenp2057 \sbasedon0 \snext26 \spriority0 \styrsid3502275 NormalBold12b;}}{\*\rsidtbl \rsid24658\rsid223860\rsid735077\rsid1718133\rsid2892074\rsid3502275\rsid3565327_x000d__x000a_\rsid4666813\rsid590167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TOS MARTINS Filipe}{\operator MATOS MARTINS Filipe}{\creatim\yr2023\mo1\dy17\hr16\min26}{\revtim\yr2023\mo1\dy17\hr16\min26}{\version1}{\edmins0}_x000d__x000a_{\nofpages1}{\nofwords102}{\nofchars548}{\nofcharsws64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02275\newtblstyruls\nogrowautofit\usenormstyforlist\noindnmbrts\felnbrelev\nocxsptable\indrlsweleven\noafcnsttbl\afelev\utinl\hwelev\spltpgpar\notcvasp\notbrkcnstfrctbl\notvatxbx\krnprsnet\cachedcolbal _x000d__x000a_\nouicompat \fet0{\*\wgrffmtfilter 013f}\nofeaturethrottle1\ilfomacatclnup0{\*\template C:\\Users\\FMATOS~1\\AppData\\Local\\Temp\\Blank1.dotx}{\*\ftnsep \ltrpar \pard\plain \ltrpar_x000d__x000a_\ql \li0\ri0\widctlpar\wrapdefault\aspalpha\aspnum\faauto\adjustright\rin0\lin0\itap0 \rtlch\fcs1 \af0\afs20\alang1025 \ltrch\fcs0 \fs24\lang2057\langfe2057\cgrid\langnp2057\langfenp2057 {\rtlch\fcs1 \af0 \ltrch\fcs0 \insrsid5901679 \chftnsep _x000d__x000a_\par }}{\*\ftnsepc \ltrpar \pard\plain \ltrpar\ql \li0\ri0\widctlpar\wrapdefault\aspalpha\aspnum\faauto\adjustright\rin0\lin0\itap0 \rtlch\fcs1 \af0\afs20\alang1025 \ltrch\fcs0 \fs24\lang2057\langfe2057\cgrid\langnp2057\langfenp2057 {\rtlch\fcs1 \af0 _x000d__x000a_\ltrch\fcs0 \insrsid5901679 \chftnsepc _x000d__x000a_\par }}{\*\aftnsep \ltrpar \pard\plain \ltrpar\ql \li0\ri0\widctlpar\wrapdefault\aspalpha\aspnum\faauto\adjustright\rin0\lin0\itap0 \rtlch\fcs1 \af0\afs20\alang1025 \ltrch\fcs0 \fs24\lang2057\langfe2057\cgrid\langnp2057\langfenp2057 {\rtlch\fcs1 \af0 _x000d__x000a_\ltrch\fcs0 \insrsid5901679 \chftnsep _x000d__x000a_\par }}{\*\aftnsepc \ltrpar \pard\plain \ltrpar\ql \li0\ri0\widctlpar\wrapdefault\aspalpha\aspnum\faauto\adjustright\rin0\lin0\itap0 \rtlch\fcs1 \af0\afs20\alang1025 \ltrch\fcs0 \fs24\lang2057\langfe2057\cgrid\langnp2057\langfenp2057 {\rtlch\fcs1 \af0 _x000d__x000a_\ltrch\fcs0 \insrsid59016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02275 \rtlch\fcs1 _x000d__x000a_\af0\afs20\alang1025 \ltrch\fcs0 \b\fs24\lang2057\langfe2057\cgrid\langnp2057\langfenp2057 {\rtlch\fcs1 \af0 \ltrch\fcs0 \cs17\b0\v\fs20\cf9\loch\af1\hich\af1\dbch\af31501\insrsid3502275\charrsid9057188 {\*\bkmkstart restartB}_x000d__x000a_\hich\af1\dbch\af31501\loch\f1 &lt;AmendB&gt;}{\rtlch\fcs1 \af0 \ltrch\fcs0 \insrsid3502275\charrsid9057188 Amendment\tab \tab }{\rtlch\fcs1 \af0 \ltrch\fcs0 \cs17\b0\v\fs20\cf9\loch\af1\hich\af1\dbch\af31501\insrsid3502275\charrsid9057188 _x000d__x000a_\hich\af1\dbch\af31501\loch\f1 &lt;NumAmB&gt;}{\rtlch\fcs1 \af0 \ltrch\fcs0 \insrsid3502275\charrsid9057188 #}{\rtlch\fcs1 \af1 \ltrch\fcs0 \cs22\v\f1\fs20\cf15\insrsid3502275\charrsid9057188 ENMIENDA@NRAM@}{\rtlch\fcs1 \af0 \ltrch\fcs0 _x000d__x000a_\insrsid3502275\charrsid9057188 #}{\rtlch\fcs1 \af0 \ltrch\fcs0 \cs17\b0\v\fs20\cf9\loch\af1\hich\af1\dbch\af31501\insrsid3502275\charrsid9057188 \hich\af1\dbch\af31501\loch\f1 &lt;/NumAmB&gt;}{\rtlch\fcs1 \af0 \ltrch\fcs0 \insrsid3502275\charrsid9057188 _x000d__x000a__x000d__x000a_\par }\pard\plain \ltrpar\s26\ql \li0\ri0\sb240\keepn\nowidctlpar\wrapdefault\aspalpha\aspnum\faauto\adjustright\rin0\lin0\itap0\pararsid3502275 \rtlch\fcs1 \af0\afs20\alang1025 \ltrch\fcs0 \b\fs24\lang2057\langfe2057\cgrid\langnp2057\langfenp2057 {_x000d__x000a_\rtlch\fcs1 \af0 \ltrch\fcs0 \cs17\b0\v\fs20\cf9\loch\af1\hich\af1\dbch\af31501\insrsid3502275\charrsid9057188 \hich\af1\dbch\af31501\loch\f1 &lt;DocAmend&gt;}{\rtlch\fcs1 \af0 \ltrch\fcs0 \insrsid3502275\charrsid9057188 #}{\rtlch\fcs1 \af1 \ltrch\fcs0 _x000d__x000a_\cs22\v\f1\fs20\cf15\insrsid3502275\charrsid9057188 MNU[OPTPROPOSALCOD][OPTPROPOSALCNS][OPTPROPOSALNLE]@CHOICE@CODEMNU}{\rtlch\fcs1 \af0 \ltrch\fcs0 \insrsid3502275\charrsid9057188 ##}{\rtlch\fcs1 \af1 \ltrch\fcs0 _x000d__x000a_\cs22\v\f1\fs20\cf15\insrsid3502275\charrsid9057188 MNU[AMACTYES][NOTAPP]@CHOICE@AMACTMNU}{\rtlch\fcs1 \af0 \ltrch\fcs0 \insrsid3502275\charrsid9057188 #}{\rtlch\fcs1 \af0 \ltrch\fcs0 _x000d__x000a_\cs17\b0\v\fs20\cf9\loch\af1\hich\af1\dbch\af31501\insrsid3502275\charrsid9057188 \hich\af1\dbch\af31501\loch\f1 &lt;/DocAmend&gt;}{\rtlch\fcs1 \af0 \ltrch\fcs0 \insrsid3502275\charrsid9057188 _x000d__x000a_\par }\pard\plain \ltrpar\s19\ql \li0\ri0\keepn\nowidctlpar\wrapdefault\aspalpha\aspnum\faauto\adjustright\rin0\lin0\itap0\pararsid3502275 \rtlch\fcs1 \af0\afs20\alang1025 \ltrch\fcs0 \b\fs24\lang2057\langfe2057\cgrid\langnp2057\langfenp2057 {\rtlch\fcs1 \af0 _x000d__x000a_\ltrch\fcs0 \cs17\b0\v\fs20\cf9\loch\af1\hich\af1\dbch\af31501\insrsid3502275\charrsid9057188 \hich\af1\dbch\af31501\loch\f1 &lt;Article&gt;}{\rtlch\fcs1 \af0 \ltrch\fcs0 \insrsid3502275\charrsid9057188 #}{\rtlch\fcs1 \af1 \ltrch\fcs0 _x000d__x000a_\cs22\v\f1\fs20\cf15\insrsid3502275\charrsid9057188 MNU[AMACTPARTYES][AMACTPARTNO]@CHOICE@AMACTMNU}{\rtlch\fcs1 \af0 \ltrch\fcs0 \insrsid3502275\charrsid9057188 #}{\rtlch\fcs1 \af0 \ltrch\fcs0 _x000d__x000a_\cs17\b0\v\fs20\cf9\loch\af1\hich\af1\dbch\af31501\insrsid3502275\charrsid9057188 \hich\af1\dbch\af31501\loch\f1 &lt;/Article&gt;}{\rtlch\fcs1 \af0 \ltrch\fcs0 \insrsid3502275\charrsid9057188 _x000d__x000a_\par }\pard\plain \ltrpar\ql \li0\ri0\keepn\widctlpar\wrapdefault\aspalpha\aspnum\faauto\adjustright\rin0\lin0\itap0\pararsid3502275 \rtlch\fcs1 \af0\afs20\alang1025 \ltrch\fcs0 \fs24\lang2057\langfe2057\cgrid\langnp2057\langfenp2057 {\rtlch\fcs1 \af0 _x000d__x000a_\ltrch\fcs0 \cs17\v\fs20\cf9\loch\af1\hich\af1\dbch\af31501\insrsid3502275\charrsid9057188 \hich\af1\dbch\af31501\loch\f1 &lt;DocAmend2&gt;&lt;OptDel&gt;}{\rtlch\fcs1 \af0 \ltrch\fcs0 \insrsid3502275\charrsid9057188 #}{\rtlch\fcs1 \af1 \ltrch\fcs0 _x000d__x000a_\cs22\v\f1\fs20\cf15\insrsid3502275\charrsid9057188 MNU[OPTNRACTYES][NOTAPP]@CHOICE@AMACTMNU}{\rtlch\fcs1 \af0 \ltrch\fcs0 \insrsid3502275\charrsid9057188 #}{\rtlch\fcs1 \af0 \ltrch\fcs0 _x000d__x000a_\cs17\v\fs20\cf9\loch\af1\hich\af1\dbch\af31501\insrsid3502275\charrsid9057188 \hich\af1\dbch\af31501\loch\f1 &lt;/OptDel&gt;&lt;/DocAmend2&gt;}{\rtlch\fcs1 \af0 \ltrch\fcs0 \insrsid3502275\charrsid9057188 _x000d__x000a_\par }\pard \ltrpar\ql \li0\ri0\widctlpar\wrapdefault\aspalpha\aspnum\faauto\adjustright\rin0\lin0\itap0\pararsid3502275 {\rtlch\fcs1 \af0 \ltrch\fcs0 \cs17\v\fs20\cf9\loch\af1\hich\af1\dbch\af31501\insrsid3502275\charrsid9057188 _x000d__x000a_\hich\af1\dbch\af31501\loch\f1 &lt;Article2&gt;&lt;OptDel&gt;}{\rtlch\fcs1 \af0 \ltrch\fcs0 \insrsid3502275\charrsid9057188 #}{\rtlch\fcs1 \af1 \ltrch\fcs0 \cs22\v\f1\fs20\cf15\insrsid3502275\charrsid9057188 MNU[OPTACTPARTYES][NOTAPP]@CHOICE@AMACTMNU}{\rtlch\fcs1 _x000d__x000a_\af0 \ltrch\fcs0 \insrsid3502275\charrsid9057188 #}{\rtlch\fcs1 \af0 \ltrch\fcs0 \cs17\v\fs20\cf9\loch\af1\hich\af1\dbch\af31501\insrsid3502275\charrsid9057188 \hich\af1\dbch\af31501\loch\f1 &lt;/OptDel&gt;&lt;/Article2&gt;}{\rtlch\fcs1 \af0 \ltrch\fcs0 _x000d__x000a_\insrsid3502275\charrsid905718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3502275\charrsid9057188 \cell }\pard \ltrpar\ql \li0\ri0\widctlpar\intbl\wrapdefault\aspalpha\aspnum\faauto\adjustright\rin0\lin0 {\rtlch\fcs1 \af0 \ltrch\fcs0 \insrsid3502275\charrsid905718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3502275\charrsid9057188 #}{\rtlch\fcs1 \af1 \ltrch\fcs0 \cs22\v\f1\fs20\cf15\insrsid3502275\charrsid9057188 MNU[OPTLEFTAMACT][LEFTPROP]@CHOICE@AMACTMNU}{\rtlch\fcs1 \af0 \ltrch\fcs0 \insrsid3502275\charrsid9057188 #\cell Amendment\cell _x000d__x000a_}\pard\plain \ltrpar\ql \li0\ri0\widctlpar\intbl\wrapdefault\aspalpha\aspnum\faauto\adjustright\rin0\lin0 \rtlch\fcs1 \af0\afs20\alang1025 \ltrch\fcs0 \fs24\lang2057\langfe2057\cgrid\langnp2057\langfenp2057 {\rtlch\fcs1 \af0 \ltrch\fcs0 _x000d__x000a_\insrsid3502275\charrsid905718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3502275\charrsid9057188 ##\cell ##}{\rtlch\fcs1 \af0\afs24 \ltrch\fcs0 \insrsid3502275\charrsid9057188 \cell }\pard\plain \ltrpar\ql \li0\ri0\widctlpar\intbl\wrapdefault\aspalpha\aspnum\faauto\adjustright\rin0\lin0 _x000d__x000a_\rtlch\fcs1 \af0\afs20\alang1025 \ltrch\fcs0 \fs24\lang2057\langfe2057\cgrid\langnp2057\langfenp2057 {\rtlch\fcs1 \af0 \ltrch\fcs0 \insrsid3502275\charrsid90571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502275 \rtlch\fcs1 \af0\afs20\alang1025 \ltrch\fcs0 \i\fs24\lang2057\langfe2057\cgrid\langnp2057\langfenp2057 {\rtlch\fcs1 \af0 \ltrch\fcs0 _x000d__x000a_\cs17\i0\v\fs20\cf9\loch\af1\hich\af1\dbch\af31501\insrsid3502275\charrsid9057188 \hich\af1\dbch\af31501\loch\f1 &lt;OptDel&gt;}{\rtlch\fcs1 \af0 \ltrch\fcs0 \insrsid3502275\charrsid9057188 #}{\rtlch\fcs1 \af1 \ltrch\fcs0 _x000d__x000a_\cs22\v\f1\fs20\cf15\insrsid3502275\charrsid9057188 MNU[CROSSREFNO][CROSSREFYES]@CHOICE@}{\rtlch\fcs1 \af0 \ltrch\fcs0 \insrsid3502275\charrsid9057188 #}{\rtlch\fcs1 \af0 \ltrch\fcs0 _x000d__x000a_\cs17\i0\v\fs20\cf9\loch\af1\hich\af1\dbch\af31501\insrsid3502275\charrsid9057188 \hich\af1\dbch\af31501\loch\f1 &lt;/OptDel&gt;}{\rtlch\fcs1 \af0 \ltrch\fcs0 \insrsid3502275\charrsid9057188 _x000d__x000a_\par }\pard\plain \ltrpar\s23\qc \li0\ri0\sb240\sa240\keepn\nowidctlpar\wrapdefault\aspalpha\aspnum\faauto\adjustright\rin0\lin0\itap0\pararsid3502275 \rtlch\fcs1 \af0\afs20\alang1025 \ltrch\fcs0 \i\fs24\lang2057\langfe2057\cgrid\langnp2057\langfenp2057 {_x000d__x000a_\rtlch\fcs1 \af0 \ltrch\fcs0 \cs17\i0\v\fs20\cf9\loch\af1\hich\af1\dbch\af31501\insrsid3502275\charrsid9057188 \hich\af1\dbch\af31501\loch\f1 &lt;TitreJust&gt;}{\rtlch\fcs1 \af0 \ltrch\fcs0 \insrsid3502275\charrsid9057188 Justification}{\rtlch\fcs1 \af0 _x000d__x000a_\ltrch\fcs0 \cs17\i0\v\fs20\cf9\loch\af1\hich\af1\dbch\af31501\insrsid3502275\charrsid9057188 \hich\af1\dbch\af31501\loch\f1 &lt;/TitreJust&gt;}{\rtlch\fcs1 \af0 \ltrch\fcs0 \insrsid3502275\charrsid9057188 _x000d__x000a_\par }\pard\plain \ltrpar\s20\ql \li0\ri0\sa240\nowidctlpar\wrapdefault\aspalpha\aspnum\faauto\adjustright\rin0\lin0\itap0\pararsid3502275 \rtlch\fcs1 \af0\afs20\alang1025 \ltrch\fcs0 \i\fs24\lang2057\langfe2057\cgrid\langnp2057\langfenp2057 {\rtlch\fcs1 \af0 _x000d__x000a_\ltrch\fcs0 \cs17\i0\v\fs20\cf9\loch\af1\hich\af1\dbch\af31501\insrsid3502275\charrsid9057188 \hich\af1\dbch\af31501\loch\f1 &lt;OptDelPrev&gt;}{\rtlch\fcs1 \af0 \ltrch\fcs0 \insrsid3502275\charrsid9057188 #}{\rtlch\fcs1 \af1 \ltrch\fcs0 _x000d__x000a_\cs22\v\f1\fs20\cf15\insrsid3502275\charrsid9057188 MNU[TEXTJUSTYES][TEXTJUSTNO]@CHOICE@}{\rtlch\fcs1 \af0 \ltrch\fcs0 \insrsid3502275\charrsid9057188 #}{\rtlch\fcs1 \af0 \ltrch\fcs0 _x000d__x000a_\cs17\i0\v\fs20\cf9\loch\af1\hich\af1\dbch\af31501\insrsid3502275\charrsid9057188 \hich\af1\dbch\af31501\loch\f1 &lt;/OptDelPrev&gt;}{\rtlch\fcs1 \af0 \ltrch\fcs0 \insrsid3502275\charrsid9057188 _x000d__x000a_\par }\pard\plain \ltrpar\ql \li0\ri0\widctlpar\wrapdefault\aspalpha\aspnum\faauto\adjustright\rin0\lin0\itap0\pararsid3502275 \rtlch\fcs1 \af0\afs20\alang1025 \ltrch\fcs0 \fs24\lang2057\langfe2057\cgrid\langnp2057\langfenp2057 {\rtlch\fcs1 \af0 \ltrch\fcs0 _x000d__x000a_\cs17\v\fs20\cf9\loch\af1\hich\af1\dbch\af31501\insrsid3502275\charrsid9057188 \hich\af1\dbch\af31501\loch\f1 &lt;/AmendB&gt;}{\rtlch\fcs1 \af0 \ltrch\fcs0 \insrsid350227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a_x000d__x000a_7c01882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6961 HideTWBExt;}{_x000d__x000a_\s18\ql \li0\ri0\sa120\nowidctlpar\wrapdefault\aspalpha\aspnum\faauto\adjustright\rin0\lin0\itap0 \rtlch\fcs1 \af0\afs20\alang1025 \ltrch\fcs0 \fs24\lang2057\langfe2057\cgrid\langnp2057\langfenp2057 \sbasedon0 \snext18 \spriority0 \styrsid10636961 _x000d__x000a_Normal6a;}{\s19\ql \li0\ri0\nowidctlpar\wrapdefault\aspalpha\aspnum\faauto\adjustright\rin0\lin0\itap0 \rtlch\fcs1 \af0\afs20\alang1025 \ltrch\fcs0 \b\fs24\lang2057\langfe2057\cgrid\langnp2057\langfenp2057 \sbasedon0 \snext19 \spriority0 \styrsid10636961 _x000d__x000a_NormalBold;}{\s20\qc \li0\ri0\sa240\nowidctlpar\wrapdefault\aspalpha\aspnum\faauto\adjustright\rin0\lin0\itap0 \rtlch\fcs1 \af0\afs20\alang1025 \ltrch\fcs0 \i\fs24\lang2057\langfe2057\cgrid\langnp2057\langfenp2057 _x000d__x000a_\sbasedon0 \snext20 \spriority0 \styrsid1063696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636961 AmNumberTabs;}{\s22\ql \li0\ri0\sb240\nowidctlpar\wrapdefault\aspalpha\aspnum\faauto\adjustright\rin0\lin0\itap0 \rtlch\fcs1 _x000d__x000a_\af0\afs20\alang1025 \ltrch\fcs0 \b\fs24\lang2057\langfe2057\cgrid\langnp2057\langfenp2057 \sbasedon0 \snext22 \spriority0 \styrsid10636961 NormalBold12b;}}{\*\rsidtbl \rsid24658\rsid223860\rsid735077\rsid1718133\rsid2388172\rsid2892074\rsid3565327_x000d__x000a_\rsid4666813\rsid6641733\rsid7823322\rsid9636012\rsid10377208\rsid10636961\rsid11215221\rsid11549030\rsid12154954\rsid14382809\rsid14424199\rsid15204470\rsid15285974\rsid15950462\rsid16324206\rsid16662270}{\mmathPr\mmathFont34\mbrkBin0\mbrkBinSub0_x000d__x000a_\msmallFrac0\mdispDef1\mlMargin0\mrMargin0\mdefJc1\mwrapIndent1440\mintLim0\mnaryLim1}{\info{\author MATOS MARTINS Filipe}{\operator MATOS MARTINS Filipe}{\creatim\yr2023\mo1\dy17\hr16\min26}{\revtim\yr2023\mo1\dy17\hr16\min26}{\version1}{\edmins0}_x000d__x000a_{\nofpages1}{\nofwords25}{\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36961\newtblstyruls\nogrowautofit\usenormstyforlist\noindnmbrts\felnbrelev\nocxsptable\indrlsweleven\noafcnsttbl\afelev\utinl\hwelev\spltpgpar\notcvasp\notbrkcnstfrctbl\notvatxbx\krnprsnet\cachedcolbal _x000d__x000a_\nouicompat \fet0{\*\wgrffmtfilter 013f}\nofeaturethrottle1\ilfomacatclnup0{\*\template C:\\Users\\FMATOS~1\\AppData\\Local\\Temp\\Blank1.dotx}{\*\ftnsep \ltrpar \pard\plain \ltrpar_x000d__x000a_\ql \li0\ri0\widctlpar\wrapdefault\aspalpha\aspnum\faauto\adjustright\rin0\lin0\itap0 \rtlch\fcs1 \af0\afs20\alang1025 \ltrch\fcs0 \fs24\lang2057\langfe2057\cgrid\langnp2057\langfenp2057 {\rtlch\fcs1 \af0 \ltrch\fcs0 \insrsid2388172 \chftnsep _x000d__x000a_\par }}{\*\ftnsepc \ltrpar \pard\plain \ltrpar\ql \li0\ri0\widctlpar\wrapdefault\aspalpha\aspnum\faauto\adjustright\rin0\lin0\itap0 \rtlch\fcs1 \af0\afs20\alang1025 \ltrch\fcs0 \fs24\lang2057\langfe2057\cgrid\langnp2057\langfenp2057 {\rtlch\fcs1 \af0 _x000d__x000a_\ltrch\fcs0 \insrsid2388172 \chftnsepc _x000d__x000a_\par }}{\*\aftnsep \ltrpar \pard\plain \ltrpar\ql \li0\ri0\widctlpar\wrapdefault\aspalpha\aspnum\faauto\adjustright\rin0\lin0\itap0 \rtlch\fcs1 \af0\afs20\alang1025 \ltrch\fcs0 \fs24\lang2057\langfe2057\cgrid\langnp2057\langfenp2057 {\rtlch\fcs1 \af0 _x000d__x000a_\ltrch\fcs0 \insrsid2388172 \chftnsep _x000d__x000a_\par }}{\*\aftnsepc \ltrpar \pard\plain \ltrpar\ql \li0\ri0\widctlpar\wrapdefault\aspalpha\aspnum\faauto\adjustright\rin0\lin0\itap0 \rtlch\fcs1 \af0\afs20\alang1025 \ltrch\fcs0 \fs24\lang2057\langfe2057\cgrid\langnp2057\langfenp2057 {\rtlch\fcs1 \af0 _x000d__x000a_\ltrch\fcs0 \insrsid23881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636961 \rtlch\fcs1 _x000d__x000a_\af0\afs20\alang1025 \ltrch\fcs0 \b\fs24\lang2057\langfe2057\cgrid\langnp2057\langfenp2057 {\rtlch\fcs1 \af0 \ltrch\fcs0 \cs17\b0\v\fs20\cf9\lang1024\langfe1024\loch\af1\hich\af1\dbch\af31501\noproof\insrsid10636961\charrsid15879488 {\*\bkmkstart restartA_x000d__x000a_}\hich\af1\dbch\af31501\loch\f1 &lt;AmendA&gt;}{\rtlch\fcs1 \af0 \ltrch\fcs0 \insrsid10636961\charrsid15879488 [ZAMENDMENT]\tab \tab }{\rtlch\fcs1 \af0 \ltrch\fcs0 _x000d__x000a_\cs17\b0\v\fs20\cf9\lang1024\langfe1024\loch\af1\hich\af1\dbch\af31501\noproof\insrsid10636961\charrsid15879488 \hich\af1\dbch\af31501\loch\f1 &lt;NumAmA&gt;}{\rtlch\fcs1 \af0 \ltrch\fcs0 \insrsid10636961\charrsid15879488 [ZNRAM]}{\rtlch\fcs1 \af0 \ltrch\fcs0 _x000d__x000a_\cs17\b0\v\fs20\cf9\lang1024\langfe1024\loch\af1\hich\af1\dbch\af31501\noproof\insrsid10636961\charrsid15879488 \hich\af1\dbch\af31501\loch\f1 &lt;/NumAmA&gt;}{\rtlch\fcs1 \af0 \ltrch\fcs0 \insrsid10636961\charrsid15879488 _x000d__x000a_\par }\pard\plain \ltrpar\s22\ql \li0\ri0\sb240\keepn\nowidctlpar\wrapdefault\aspalpha\aspnum\faauto\adjustright\rin0\lin0\itap0\pararsid10636961 \rtlch\fcs1 \af0\afs20\alang1025 \ltrch\fcs0 \b\fs24\lang2057\langfe2057\cgrid\langnp2057\langfenp2057 {_x000d__x000a_\rtlch\fcs1 \af0 \ltrch\fcs0 \cs17\b0\v\fs20\cf9\lang1024\langfe1024\loch\af1\hich\af1\dbch\af31501\noproof\langnp1036\insrsid10636961\charrsid11356624 \hich\af1\dbch\af31501\loch\f1 &lt;DocAmend&gt;}{\rtlch\fcs1 \af0 \ltrch\fcs0 _x000d__x000a_\lang1036\langfe2057\langnp1036\insrsid10636961\charrsid11356624 [ZRESOLUTION]}{\rtlch\fcs1 \af0 \ltrch\fcs0 \cs17\b0\v\fs20\cf9\lang1024\langfe1024\loch\af1\hich\af1\dbch\af31501\noproof\langnp1036\insrsid10636961\charrsid11356624 _x000d__x000a_\hich\af1\dbch\af31501\loch\f1 &lt;/DocAmend&gt;}{\rtlch\fcs1 \af0 \ltrch\fcs0 \lang1036\langfe2057\langnp1036\insrsid10636961\charrsid11356624 _x000d__x000a_\par }\pard\plain \ltrpar\s19\ql \li0\ri0\nowidctlpar\wrapdefault\aspalpha\aspnum\faauto\adjustright\rin0\lin0\itap0\pararsid10636961 \rtlch\fcs1 \af0\afs20\alang1025 \ltrch\fcs0 \b\fs24\lang2057\langfe2057\cgrid\langnp2057\langfenp2057 {\rtlch\fcs1 \af0 _x000d__x000a_\ltrch\fcs0 \cs17\b0\v\fs20\cf9\lang1024\langfe1024\loch\af1\hich\af1\dbch\af31501\noproof\langnp1036\insrsid10636961\charrsid11356624 \hich\af1\dbch\af31501\loch\f1 &lt;Article&gt;}{\rtlch\fcs1 \af0 \ltrch\fcs0 _x000d__x000a_\lang1036\langfe2057\langnp1036\insrsid10636961\charrsid11356624 [ZRESPART]}{\rtlch\fcs1 \af0 \ltrch\fcs0 \cs17\b0\v\fs20\cf9\lang1024\langfe1024\loch\af1\hich\af1\dbch\af31501\noproof\langnp1036\insrsid10636961\charrsid11356624 _x000d__x000a_\hich\af1\dbch\af31501\loch\f1 &lt;/Article&gt;}{\rtlch\fcs1 \af0 \ltrch\fcs0 \lang1036\langfe2057\langnp1036\insrsid1063696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636961\charrsid11356624 \cell }\pard \ltrpar_x000d__x000a_\ql \li0\ri0\widctlpar\intbl\wrapdefault\aspalpha\aspnum\faauto\adjustright\rin0\lin0 {\rtlch\fcs1 \af0 \ltrch\fcs0 \insrsid1063696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636961\charrsid15879488 [ZLEFTA]\cell [ZRIGHT]\cell }\pard\plain \ltrpar_x000d__x000a_\ql \li0\ri0\widctlpar\intbl\wrapdefault\aspalpha\aspnum\faauto\adjustright\rin0\lin0 \rtlch\fcs1 \af0\afs20\alang1025 \ltrch\fcs0 \fs24\lang2057\langfe2057\cgrid\langnp2057\langfenp2057 {\rtlch\fcs1 \af0 \ltrch\fcs0 \insrsid10636961\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6961\charrsid15879488 [ZTEXTL]\cell [ZTEXTR]}{\rtlch\fcs1 \af0\afs24 \ltrch\fcs0 \insrsid10636961\charrsid15879488 \cell }\pard\plain \ltrpar\ql \li0\ri0\widctlpar\intbl\wrapdefault\aspalpha\aspnum\faauto\adjustright\rin0\lin0 \rtlch\fcs1 _x000d__x000a_\af0\afs20\alang1025 \ltrch\fcs0 \fs24\lang2057\langfe2057\cgrid\langnp2057\langfenp2057 {\rtlch\fcs1 \af0 \ltrch\fcs0 \insrsid1063696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636961 {\rtlch\fcs1 \af0 \ltrch\fcs0 \cs17\v\fs20\cf9\lang1024\langfe1024\loch\af1\hich\af1\dbch\af31501\noproof\insrsid10636961\charrsid15879488 _x000d__x000a_\hich\af1\dbch\af31501\loch\f1 &lt;/AmendA&gt;}{\rtlch\fcs1 \af0 \ltrch\fcs0 \insrsid1063696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8_x000d__x000a_b403882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26435 HideTWBExt;}{_x000d__x000a_\s18\ql \li0\ri0\sa120\nowidctlpar\wrapdefault\aspalpha\aspnum\faauto\adjustright\rin0\lin0\itap0 \rtlch\fcs1 \af0\afs20\alang1025 \ltrch\fcs0 \fs24\lang2057\langfe2057\cgrid\langnp2057\langfenp2057 \sbasedon0 \snext18 \spriority0 \styrsid7426435 _x000d__x000a_Normal6a;}{\s19\ql \li0\ri0\nowidctlpar\wrapdefault\aspalpha\aspnum\faauto\adjustright\rin0\lin0\itap0 \rtlch\fcs1 \af0\afs20\alang1025 \ltrch\fcs0 \b\fs24\lang2057\langfe2057\cgrid\langnp2057\langfenp2057 \sbasedon0 \snext19 \spriority0 \styrsid7426435 _x000d__x000a_NormalBold;}{\s20\ql \li0\ri0\sa240\nowidctlpar\wrapdefault\aspalpha\aspnum\faauto\adjustright\rin0\lin0\itap0 \rtlch\fcs1 \af0\afs20\alang1025 \ltrch\fcs0 \i\fs24\lang2057\langfe2057\cgrid\langnp2057\langfenp2057 _x000d__x000a_\sbasedon0 \snext20 \spriority0 \styrsid7426435 AmJustText;}{\s21\qc \li0\ri0\sb240\sa240\nowidctlpar\wrapdefault\aspalpha\aspnum\faauto\adjustright\rin0\lin0\itap0 \rtlch\fcs1 \af0\afs20\alang1025 \ltrch\fcs0 _x000d__x000a_\i\fs24\lang2057\langfe2057\cgrid\langnp2057\langfenp2057 \sbasedon0 \snext21 \spriority0 \styrsid7426435 AmCrossRef;}{\s22\qc \li0\ri0\sb240\sa240\keepn\nowidctlpar\wrapdefault\aspalpha\aspnum\faauto\adjustright\rin0\lin0\itap0 \rtlch\fcs1 _x000d__x000a_\af0\afs20\alang1025 \ltrch\fcs0 \i\fs24\lang2057\langfe2057\cgrid\langnp2057\langfenp2057 \sbasedon0 \snext20 \spriority0 \styrsid7426435 AmJustTitle;}{\s23\qc \li0\ri0\sa240\nowidctlpar\wrapdefault\aspalpha\aspnum\faauto\adjustright\rin0\lin0\itap0 _x000d__x000a_\rtlch\fcs1 \af0\afs20\alang1025 \ltrch\fcs0 \i\fs24\lang2057\langfe2057\cgrid\langnp2057\langfenp2057 \sbasedon0 \snext23 \spriority0 \styrsid742643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426435 AmNumberTabs;}{\s25\ql \li0\ri0\sb240\nowidctlpar\wrapdefault\aspalpha\aspnum\faauto\adjustright\rin0\lin0\itap0 \rtlch\fcs1 _x000d__x000a_\af0\afs20\alang1025 \ltrch\fcs0 \b\fs24\lang2057\langfe2057\cgrid\langnp2057\langfenp2057 \sbasedon0 \snext25 \spriority0 \styrsid7426435 NormalBold12b;}}{\*\rsidtbl \rsid24658\rsid223860\rsid735077\rsid1718133\rsid2892074\rsid3565327\rsid4666813_x000d__x000a_\rsid6045487\rsid6641733\rsid7426435\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TOS MARTINS Filipe}{\operator MATOS MARTINS Filipe}{\creatim\yr2023\mo1\dy17\hr16\min26}{\revtim\yr2023\mo1\dy17\hr16\min26}{\version1}{\edmins0}_x000d__x000a_{\nofpages1}{\nofwords58}{\nofchars314}{\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26435\newtblstyruls\nogrowautofit\usenormstyforlist\noindnmbrts\felnbrelev\nocxsptable\indrlsweleven\noafcnsttbl\afelev\utinl\hwelev\spltpgpar\notcvasp\notbrkcnstfrctbl\notvatxbx\krnprsnet\cachedcolbal _x000d__x000a_\nouicompat \fet0{\*\wgrffmtfilter 013f}\nofeaturethrottle1\ilfomacatclnup0{\*\template C:\\Users\\FMATOS~1\\AppData\\Local\\Temp\\Blank1.dotx}{\*\ftnsep \ltrpar \pard\plain \ltrpar_x000d__x000a_\ql \li0\ri0\widctlpar\wrapdefault\aspalpha\aspnum\faauto\adjustright\rin0\lin0\itap0 \rtlch\fcs1 \af0\afs20\alang1025 \ltrch\fcs0 \fs24\lang2057\langfe2057\cgrid\langnp2057\langfenp2057 {\rtlch\fcs1 \af0 \ltrch\fcs0 \insrsid6045487 \chftnsep _x000d__x000a_\par }}{\*\ftnsepc \ltrpar \pard\plain \ltrpar\ql \li0\ri0\widctlpar\wrapdefault\aspalpha\aspnum\faauto\adjustright\rin0\lin0\itap0 \rtlch\fcs1 \af0\afs20\alang1025 \ltrch\fcs0 \fs24\lang2057\langfe2057\cgrid\langnp2057\langfenp2057 {\rtlch\fcs1 \af0 _x000d__x000a_\ltrch\fcs0 \insrsid6045487 \chftnsepc _x000d__x000a_\par }}{\*\aftnsep \ltrpar \pard\plain \ltrpar\ql \li0\ri0\widctlpar\wrapdefault\aspalpha\aspnum\faauto\adjustright\rin0\lin0\itap0 \rtlch\fcs1 \af0\afs20\alang1025 \ltrch\fcs0 \fs24\lang2057\langfe2057\cgrid\langnp2057\langfenp2057 {\rtlch\fcs1 \af0 _x000d__x000a_\ltrch\fcs0 \insrsid6045487 \chftnsep _x000d__x000a_\par }}{\*\aftnsepc \ltrpar \pard\plain \ltrpar\ql \li0\ri0\widctlpar\wrapdefault\aspalpha\aspnum\faauto\adjustright\rin0\lin0\itap0 \rtlch\fcs1 \af0\afs20\alang1025 \ltrch\fcs0 \fs24\lang2057\langfe2057\cgrid\langnp2057\langfenp2057 {\rtlch\fcs1 \af0 _x000d__x000a_\ltrch\fcs0 \insrsid60454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426435 \rtlch\fcs1 _x000d__x000a_\af0\afs20\alang1025 \ltrch\fcs0 \b\fs24\lang2057\langfe2057\cgrid\langnp2057\langfenp2057 {\rtlch\fcs1 \af0 \ltrch\fcs0 \cs17\b0\v\fs20\cf9\lang1024\langfe1024\loch\af1\hich\af1\dbch\af31501\noproof\insrsid7426435\charrsid15879488 {\*\bkmkstart restartB}_x000d__x000a_\hich\af1\dbch\af31501\loch\f1 &lt;AmendB&gt;}{\rtlch\fcs1 \af0 \ltrch\fcs0 \insrsid7426435\charrsid15879488 [ZAMENDMENT]\tab \tab }{\rtlch\fcs1 \af0 \ltrch\fcs0 _x000d__x000a_\cs17\b0\v\fs20\cf9\lang1024\langfe1024\loch\af1\hich\af1\dbch\af31501\noproof\insrsid7426435\charrsid15879488 \hich\af1\dbch\af31501\loch\f1 &lt;NumAmB&gt;}{\rtlch\fcs1 \af0 \ltrch\fcs0 \insrsid7426435\charrsid15879488 [ZNRAM]}{\rtlch\fcs1 \af0 \ltrch\fcs0 _x000d__x000a_\cs17\b0\v\fs20\cf9\lang1024\langfe1024\loch\af1\hich\af1\dbch\af31501\noproof\insrsid7426435\charrsid15879488 \hich\af1\dbch\af31501\loch\f1 &lt;/NumAmB&gt;}{\rtlch\fcs1 \af0 \ltrch\fcs0 \insrsid7426435\charrsid15879488 _x000d__x000a_\par }\pard\plain \ltrpar\s25\ql \li0\ri0\sb240\keepn\nowidctlpar\wrapdefault\aspalpha\aspnum\faauto\adjustright\rin0\lin0\itap0\pararsid7426435 \rtlch\fcs1 \af0\afs20\alang1025 \ltrch\fcs0 \b\fs24\lang2057\langfe2057\cgrid\langnp2057\langfenp2057 {_x000d__x000a_\rtlch\fcs1 \af0 \ltrch\fcs0 \cs17\b0\v\fs20\cf9\lang1024\langfe1024\loch\af1\hich\af1\dbch\af31501\noproof\insrsid7426435\charrsid15879488 \hich\af1\dbch\af31501\loch\f1 &lt;DocAmend&gt;}{\rtlch\fcs1 \af0 \ltrch\fcs0 \insrsid7426435\charrsid15879488 _x000d__x000a_[ZPROPOSAL][ZAMACT]}{\rtlch\fcs1 \af0 \ltrch\fcs0 \cs17\b0\v\fs20\cf9\lang1024\langfe1024\loch\af1\hich\af1\dbch\af31501\noproof\insrsid7426435\charrsid15879488 \hich\af1\dbch\af31501\loch\f1 &lt;/DocAmend&gt;}{\rtlch\fcs1 \af0 \ltrch\fcs0 _x000d__x000a_\insrsid7426435\charrsid15879488 _x000d__x000a_\par }\pard\plain \ltrpar\s19\ql \li0\ri0\keepn\nowidctlpar\wrapdefault\aspalpha\aspnum\faauto\adjustright\rin0\lin0\itap0\pararsid7426435 \rtlch\fcs1 \af0\afs20\alang1025 \ltrch\fcs0 \b\fs24\lang2057\langfe2057\cgrid\langnp2057\langfenp2057 {\rtlch\fcs1 \af0 _x000d__x000a_\ltrch\fcs0 \cs17\b0\v\fs20\cf9\lang1024\langfe1024\loch\af1\hich\af1\dbch\af31501\noproof\insrsid7426435\charrsid15879488 \hich\af1\dbch\af31501\loch\f1 &lt;Article&gt;}{\rtlch\fcs1 \af0 \ltrch\fcs0 \insrsid7426435\charrsid15879488 [ZAMPART]}{\rtlch\fcs1 \af0 _x000d__x000a_\ltrch\fcs0 \cs17\b0\v\fs20\cf9\lang1024\langfe1024\loch\af1\hich\af1\dbch\af31501\noproof\insrsid7426435\charrsid15879488 \hich\af1\dbch\af31501\loch\f1 &lt;/Article&gt;}{\rtlch\fcs1 \af0 \ltrch\fcs0 \insrsid7426435\charrsid15879488 _x000d__x000a_\par }\pard\plain \ltrpar\ql \li0\ri0\keepn\widctlpar\wrapdefault\aspalpha\aspnum\faauto\adjustright\rin0\lin0\itap0\pararsid7426435 \rtlch\fcs1 \af0\afs20\alang1025 \ltrch\fcs0 \fs24\lang2057\langfe2057\cgrid\langnp2057\langfenp2057 {\rtlch\fcs1 \af0 _x000d__x000a_\ltrch\fcs0 \cs17\v\fs20\cf9\lang1024\langfe1024\loch\af1\hich\af1\dbch\af31501\noproof\insrsid7426435\charrsid15879488 \hich\af1\dbch\af31501\loch\f1 &lt;DocAmend2&gt;&lt;OptDel&gt;}{\rtlch\fcs1 \af0 \ltrch\fcs0 \insrsid7426435\charrsid15879488 [ZNRACT]}{_x000d__x000a_\rtlch\fcs1 \af0 \ltrch\fcs0 \cs17\v\fs20\cf9\lang1024\langfe1024\loch\af1\hich\af1\dbch\af31501\noproof\insrsid7426435\charrsid15879488 \hich\af1\dbch\af31501\loch\f1 &lt;/OptDel&gt;&lt;/DocAmend2&gt;}{\rtlch\fcs1 \af0 \ltrch\fcs0 \insrsid7426435\charrsid15879488 _x000d__x000a__x000d__x000a_\par }\pard \ltrpar\ql \li0\ri0\widctlpar\wrapdefault\aspalpha\aspnum\faauto\adjustright\rin0\lin0\itap0\pararsid7426435 {\rtlch\fcs1 \af0 \ltrch\fcs0 _x000d__x000a_\cs17\v\fs20\cf9\lang1024\langfe1024\loch\af1\hich\af1\dbch\af31501\noproof\langnp1036\insrsid7426435\charrsid11356624 \hich\af1\dbch\af31501\loch\f1 &lt;Article2&gt;&lt;OptDel&gt;}{\rtlch\fcs1 \af0 \ltrch\fcs0 _x000d__x000a_\lang1036\langfe2057\langnp1036\insrsid7426435\charrsid11356624 [ZACTPART]}{\rtlch\fcs1 \af0 \ltrch\fcs0 \cs17\v\fs20\cf9\lang1024\langfe1024\loch\af1\hich\af1\dbch\af31501\noproof\langnp1036\insrsid7426435\charrsid11356624 \hich\af1\dbch\af31501\loch\f1 _x000d__x000a_&lt;/OptDel&gt;&lt;/Article2&gt;}{\rtlch\fcs1 \af0 \ltrch\fcs0 \lang1036\langfe2057\langnp1036\insrsid742643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426435\charrsid11356624 \cell }\pard \ltrpar\ql \li0\ri0\widctlpar\intbl\wrapdefault\aspalpha\aspnum\faauto\adjustright\rin0\lin0 {\rtlch\fcs1 \af0 \ltrch\fcs0 \insrsid742643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426435\charrsid15879488 [ZLEFTB]\cell [ZRIGHT]\cell }\pard\plain \ltrpar\ql \li0\ri0\widctlpar\intbl\wrapdefault\aspalpha\aspnum\faauto\adjustright\rin0\lin0 \rtlch\fcs1 \af0\afs20\alang1025 \ltrch\fcs0 _x000d__x000a_\fs24\lang2057\langfe2057\cgrid\langnp2057\langfenp2057 {\rtlch\fcs1 \af0 \ltrch\fcs0 \insrsid742643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426435\charrsid15879488 [ZTEXTL]\cell [ZTEXTR]}{\rtlch\fcs1 \af0\afs24 \ltrch\fcs0 \insrsid7426435\charrsid15879488 \cell }\pard\plain \ltrpar\ql \li0\ri0\widctlpar\intbl\wrapdefault\aspalpha\aspnum\faauto\adjustright\rin0\lin0 \rtlch\fcs1 _x000d__x000a_\af0\afs20\alang1025 \ltrch\fcs0 \fs24\lang2057\langfe2057\cgrid\langnp2057\langfenp2057 {\rtlch\fcs1 \af0 \ltrch\fcs0 \insrsid742643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426435 \rtlch\fcs1 \af0\afs20\alang1025 \ltrch\fcs0 \i\fs24\lang2057\langfe2057\cgrid\langnp2057\langfenp2057 {\rtlch\fcs1 \af0 \ltrch\fcs0 _x000d__x000a_\cs17\i0\v\fs20\cf9\lang1024\langfe1024\loch\af1\hich\af1\dbch\af31501\noproof\insrsid7426435\charrsid15879488 \hich\af1\dbch\af31501\loch\f1 &lt;OptDel&gt;}{\rtlch\fcs1 \af0 \ltrch\fcs0 \insrsid7426435\charrsid15879488 [ZCROSSREF]}{\rtlch\fcs1 \af0 _x000d__x000a_\ltrch\fcs0 \cs17\i0\v\fs20\cf9\lang1024\langfe1024\loch\af1\hich\af1\dbch\af31501\noproof\insrsid7426435\charrsid15879488 \hich\af1\dbch\af31501\loch\f1 &lt;/OptDel&gt;}{\rtlch\fcs1 \af0 \ltrch\fcs0 \insrsid7426435\charrsid15879488 _x000d__x000a_\par }\pard\plain \ltrpar\s22\qc \li0\ri0\sb240\sa240\keepn\nowidctlpar\wrapdefault\aspalpha\aspnum\faauto\adjustright\rin0\lin0\itap0\pararsid7426435 \rtlch\fcs1 \af0\afs20\alang1025 \ltrch\fcs0 \i\fs24\lang2057\langfe2057\cgrid\langnp2057\langfenp2057 {_x000d__x000a_\rtlch\fcs1 \af0 \ltrch\fcs0 \cs17\i0\v\fs20\cf9\lang1024\langfe1024\loch\af1\hich\af1\dbch\af31501\noproof\insrsid7426435\charrsid15879488 \hich\af1\dbch\af31501\loch\f1 &lt;TitreJust&gt;}{\rtlch\fcs1 \af0 \ltrch\fcs0 \insrsid7426435\charrsid15879488 _x000d__x000a_[ZJUSTIFICATION]}{\rtlch\fcs1 \af0 \ltrch\fcs0 \cs17\i0\v\fs20\cf9\lang1024\langfe1024\loch\af1\hich\af1\dbch\af31501\noproof\insrsid7426435\charrsid15879488 \hich\af1\dbch\af31501\loch\f1 &lt;/TitreJust&gt;}{\rtlch\fcs1 \af0 \ltrch\fcs0 _x000d__x000a_\insrsid7426435\charrsid15879488 _x000d__x000a_\par }\pard\plain \ltrpar\s20\ql \li0\ri0\sa240\nowidctlpar\wrapdefault\aspalpha\aspnum\faauto\adjustright\rin0\lin0\itap0\pararsid7426435 \rtlch\fcs1 \af0\afs20\alang1025 \ltrch\fcs0 \i\fs24\lang2057\langfe2057\cgrid\langnp2057\langfenp2057 {\rtlch\fcs1 \af0 _x000d__x000a_\ltrch\fcs0 \cs17\i0\v\fs20\cf9\lang1024\langfe1024\loch\af1\hich\af1\dbch\af31501\noproof\insrsid7426435\charrsid15879488 \hich\af1\dbch\af31501\loch\f1 &lt;OptDelPrev&gt;}{\rtlch\fcs1 \af0 \ltrch\fcs0 \insrsid7426435\charrsid15879488 [ZTEXTJUST]}{\rtlch\fcs1 _x000d__x000a_\af0 \ltrch\fcs0 \cs17\i0\v\fs20\cf9\lang1024\langfe1024\loch\af1\hich\af1\dbch\af31501\noproof\insrsid7426435\charrsid15879488 \hich\af1\dbch\af31501\loch\f1 &lt;/OptDelPrev&gt;}{\rtlch\fcs1 \af0 \ltrch\fcs0 \insrsid7426435\charrsid15879488 _x000d__x000a_\par }\pard\plain \ltrpar\ql \li0\ri0\widctlpar\wrapdefault\aspalpha\aspnum\faauto\adjustright\rin0\lin0\itap0\pararsid7426435 \rtlch\fcs1 \af0\afs20\alang1025 \ltrch\fcs0 \fs24\lang2057\langfe2057\cgrid\langnp2057\langfenp2057 {\rtlch\fcs1 \af0 \ltrch\fcs0 _x000d__x000a_\cs17\v\fs20\cf9\lang1024\langfe1024\loch\af1\hich\af1\dbch\af31501\noproof\insrsid7426435\charrsid15879488 \hich\af1\dbch\af31501\loch\f1 &lt;/AmendB&gt;}{\rtlch\fcs1 \af0 \ltrch\fcs0 \insrsid74264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4_x000d__x000a_ef05882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RESPART" w:val="xxx"/>
    <w:docVar w:name="TXTLANGUE" w:val="PT"/>
    <w:docVar w:name="TXTLANGUEMIN" w:val="pt"/>
    <w:docVar w:name="TXTNRC" w:val="0434/2021"/>
    <w:docVar w:name="TXTNRCOM" w:val="(2021)0723"/>
    <w:docVar w:name="TXTNRPE" w:val="736.586"/>
    <w:docVar w:name="TXTNRPROC" w:val="2021/0378"/>
    <w:docVar w:name="TXTPEorAP" w:val="PE"/>
    <w:docVar w:name="TXTROUTE" w:val="AD\1270366PT.docx"/>
    <w:docVar w:name="TXTVERSION" w:val="02-00"/>
  </w:docVars>
  <w:rsids>
    <w:rsidRoot w:val="00180906"/>
    <w:rsid w:val="000171FC"/>
    <w:rsid w:val="00026559"/>
    <w:rsid w:val="00027FA8"/>
    <w:rsid w:val="0004474F"/>
    <w:rsid w:val="00082EC4"/>
    <w:rsid w:val="00092BBA"/>
    <w:rsid w:val="000C1918"/>
    <w:rsid w:val="000D44A6"/>
    <w:rsid w:val="000E5842"/>
    <w:rsid w:val="00122C05"/>
    <w:rsid w:val="00134974"/>
    <w:rsid w:val="00141CD7"/>
    <w:rsid w:val="00147FBF"/>
    <w:rsid w:val="001616BD"/>
    <w:rsid w:val="00180906"/>
    <w:rsid w:val="001820A9"/>
    <w:rsid w:val="0018252A"/>
    <w:rsid w:val="001A0556"/>
    <w:rsid w:val="001B0A1E"/>
    <w:rsid w:val="001C0886"/>
    <w:rsid w:val="001D5154"/>
    <w:rsid w:val="001D70D2"/>
    <w:rsid w:val="001E3AC4"/>
    <w:rsid w:val="0020077A"/>
    <w:rsid w:val="00207509"/>
    <w:rsid w:val="00223387"/>
    <w:rsid w:val="0023131B"/>
    <w:rsid w:val="00245ABA"/>
    <w:rsid w:val="002A45D9"/>
    <w:rsid w:val="002A67EE"/>
    <w:rsid w:val="00304EA8"/>
    <w:rsid w:val="00341A99"/>
    <w:rsid w:val="00360FAA"/>
    <w:rsid w:val="0038294E"/>
    <w:rsid w:val="003858C5"/>
    <w:rsid w:val="003A2F84"/>
    <w:rsid w:val="003C7390"/>
    <w:rsid w:val="003E1280"/>
    <w:rsid w:val="003F128E"/>
    <w:rsid w:val="0040055C"/>
    <w:rsid w:val="00443FA1"/>
    <w:rsid w:val="00470BF2"/>
    <w:rsid w:val="00487596"/>
    <w:rsid w:val="004B3A53"/>
    <w:rsid w:val="004B7938"/>
    <w:rsid w:val="004C2A0D"/>
    <w:rsid w:val="004F1D2F"/>
    <w:rsid w:val="004F737B"/>
    <w:rsid w:val="00502B76"/>
    <w:rsid w:val="00513F6F"/>
    <w:rsid w:val="00522B51"/>
    <w:rsid w:val="00524707"/>
    <w:rsid w:val="005445FE"/>
    <w:rsid w:val="005539B7"/>
    <w:rsid w:val="00556B59"/>
    <w:rsid w:val="00571233"/>
    <w:rsid w:val="00613134"/>
    <w:rsid w:val="00626D52"/>
    <w:rsid w:val="00643DA8"/>
    <w:rsid w:val="00657D5C"/>
    <w:rsid w:val="00683DD1"/>
    <w:rsid w:val="00691B1C"/>
    <w:rsid w:val="006A0F0A"/>
    <w:rsid w:val="006A48AA"/>
    <w:rsid w:val="006B1267"/>
    <w:rsid w:val="006D292E"/>
    <w:rsid w:val="006F3A74"/>
    <w:rsid w:val="00712462"/>
    <w:rsid w:val="00716BAA"/>
    <w:rsid w:val="0078548A"/>
    <w:rsid w:val="007B7CE3"/>
    <w:rsid w:val="007F187F"/>
    <w:rsid w:val="008065D1"/>
    <w:rsid w:val="00817D13"/>
    <w:rsid w:val="00820C7D"/>
    <w:rsid w:val="00833D11"/>
    <w:rsid w:val="00836FD3"/>
    <w:rsid w:val="008375A8"/>
    <w:rsid w:val="00840F3E"/>
    <w:rsid w:val="00872A52"/>
    <w:rsid w:val="00876A73"/>
    <w:rsid w:val="0089388A"/>
    <w:rsid w:val="008F3DB0"/>
    <w:rsid w:val="00902602"/>
    <w:rsid w:val="00904864"/>
    <w:rsid w:val="009052FE"/>
    <w:rsid w:val="009215FC"/>
    <w:rsid w:val="00924555"/>
    <w:rsid w:val="00925DE2"/>
    <w:rsid w:val="009368B3"/>
    <w:rsid w:val="00982B83"/>
    <w:rsid w:val="009857B4"/>
    <w:rsid w:val="0099178F"/>
    <w:rsid w:val="009C128A"/>
    <w:rsid w:val="009E7319"/>
    <w:rsid w:val="009F6FF2"/>
    <w:rsid w:val="00A25B1C"/>
    <w:rsid w:val="00A71228"/>
    <w:rsid w:val="00A74E25"/>
    <w:rsid w:val="00A815F2"/>
    <w:rsid w:val="00AC2A60"/>
    <w:rsid w:val="00AD49D0"/>
    <w:rsid w:val="00AE155A"/>
    <w:rsid w:val="00B00EE6"/>
    <w:rsid w:val="00B06FA8"/>
    <w:rsid w:val="00B36378"/>
    <w:rsid w:val="00B476DC"/>
    <w:rsid w:val="00B556CD"/>
    <w:rsid w:val="00B62D4B"/>
    <w:rsid w:val="00B735E3"/>
    <w:rsid w:val="00B904FA"/>
    <w:rsid w:val="00BA3E40"/>
    <w:rsid w:val="00BA6F57"/>
    <w:rsid w:val="00BD1F76"/>
    <w:rsid w:val="00BE20CF"/>
    <w:rsid w:val="00C148A1"/>
    <w:rsid w:val="00C22327"/>
    <w:rsid w:val="00C335C6"/>
    <w:rsid w:val="00C36610"/>
    <w:rsid w:val="00C4219C"/>
    <w:rsid w:val="00C52A28"/>
    <w:rsid w:val="00C709B7"/>
    <w:rsid w:val="00C75E98"/>
    <w:rsid w:val="00C81C5B"/>
    <w:rsid w:val="00C83B35"/>
    <w:rsid w:val="00C85D0F"/>
    <w:rsid w:val="00D215D3"/>
    <w:rsid w:val="00D25CF2"/>
    <w:rsid w:val="00D56CE0"/>
    <w:rsid w:val="00D6254D"/>
    <w:rsid w:val="00D67D0A"/>
    <w:rsid w:val="00D74FD1"/>
    <w:rsid w:val="00D943A5"/>
    <w:rsid w:val="00D9581F"/>
    <w:rsid w:val="00DB56E4"/>
    <w:rsid w:val="00E005E8"/>
    <w:rsid w:val="00E06FDD"/>
    <w:rsid w:val="00E27F01"/>
    <w:rsid w:val="00E47FD7"/>
    <w:rsid w:val="00E77FF5"/>
    <w:rsid w:val="00E94D64"/>
    <w:rsid w:val="00EA3802"/>
    <w:rsid w:val="00EF1432"/>
    <w:rsid w:val="00EF33D5"/>
    <w:rsid w:val="00F15744"/>
    <w:rsid w:val="00F24D40"/>
    <w:rsid w:val="00F40202"/>
    <w:rsid w:val="00F432CA"/>
    <w:rsid w:val="00F5627A"/>
    <w:rsid w:val="00FA41E2"/>
    <w:rsid w:val="00FC78E1"/>
    <w:rsid w:val="00FD5D1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BFC1E"/>
  <w15:chartTrackingRefBased/>
  <w15:docId w15:val="{B9C47B08-1B89-43C9-849A-66C6223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F5627A"/>
    <w:pPr>
      <w:tabs>
        <w:tab w:val="center" w:pos="4513"/>
        <w:tab w:val="right" w:pos="9026"/>
      </w:tabs>
    </w:pPr>
  </w:style>
  <w:style w:type="character" w:customStyle="1" w:styleId="FooterChar">
    <w:name w:val="Footer Char"/>
    <w:basedOn w:val="DefaultParagraphFont"/>
    <w:link w:val="Footer"/>
    <w:rsid w:val="00F5627A"/>
    <w:rPr>
      <w:sz w:val="24"/>
      <w:szCs w:val="24"/>
    </w:rPr>
  </w:style>
  <w:style w:type="character" w:customStyle="1" w:styleId="Normal6Char">
    <w:name w:val="Normal6 Char"/>
    <w:basedOn w:val="DefaultParagraphFont"/>
    <w:link w:val="Normal6"/>
    <w:locked/>
    <w:rsid w:val="000C1918"/>
    <w:rPr>
      <w:sz w:val="24"/>
      <w:lang w:val="pt-PT"/>
    </w:rPr>
  </w:style>
  <w:style w:type="paragraph" w:customStyle="1" w:styleId="Normal6">
    <w:name w:val="Normal6"/>
    <w:basedOn w:val="Normal"/>
    <w:link w:val="Normal6Char"/>
    <w:rsid w:val="000C1918"/>
    <w:pPr>
      <w:spacing w:after="120"/>
    </w:pPr>
    <w:rPr>
      <w:szCs w:val="20"/>
    </w:rPr>
  </w:style>
  <w:style w:type="character" w:customStyle="1" w:styleId="NormalBoldChar">
    <w:name w:val="NormalBold Char"/>
    <w:basedOn w:val="DefaultParagraphFont"/>
    <w:link w:val="NormalBold"/>
    <w:locked/>
    <w:rsid w:val="000C1918"/>
    <w:rPr>
      <w:b/>
      <w:sz w:val="24"/>
    </w:rPr>
  </w:style>
  <w:style w:type="paragraph" w:customStyle="1" w:styleId="Normal12Italic">
    <w:name w:val="Normal12Italic"/>
    <w:basedOn w:val="Normal"/>
    <w:rsid w:val="000C1918"/>
    <w:pPr>
      <w:spacing w:after="240"/>
    </w:pPr>
    <w:rPr>
      <w:i/>
      <w:noProof/>
      <w:szCs w:val="20"/>
    </w:rPr>
  </w:style>
  <w:style w:type="paragraph" w:customStyle="1" w:styleId="JustificationTitle">
    <w:name w:val="JustificationTitle"/>
    <w:basedOn w:val="Normal"/>
    <w:next w:val="Normal"/>
    <w:rsid w:val="000C1918"/>
    <w:pPr>
      <w:keepNext/>
      <w:spacing w:before="240" w:after="240"/>
      <w:jc w:val="center"/>
    </w:pPr>
    <w:rPr>
      <w:i/>
      <w:noProof/>
      <w:szCs w:val="20"/>
    </w:rPr>
  </w:style>
  <w:style w:type="paragraph" w:customStyle="1" w:styleId="ColumnHeading">
    <w:name w:val="ColumnHeading"/>
    <w:basedOn w:val="Normal"/>
    <w:rsid w:val="000C1918"/>
    <w:pPr>
      <w:spacing w:after="240"/>
      <w:jc w:val="center"/>
    </w:pPr>
    <w:rPr>
      <w:i/>
      <w:szCs w:val="20"/>
    </w:rPr>
  </w:style>
  <w:style w:type="paragraph" w:customStyle="1" w:styleId="AMNumberTabs0">
    <w:name w:val="AMNumberTabs"/>
    <w:basedOn w:val="Normal"/>
    <w:rsid w:val="000C19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C1918"/>
    <w:pPr>
      <w:jc w:val="right"/>
    </w:pPr>
  </w:style>
  <w:style w:type="paragraph" w:styleId="BalloonText">
    <w:name w:val="Balloon Text"/>
    <w:basedOn w:val="Normal"/>
    <w:link w:val="BalloonTextChar"/>
    <w:semiHidden/>
    <w:unhideWhenUsed/>
    <w:rsid w:val="00E06FDD"/>
    <w:rPr>
      <w:rFonts w:ascii="Segoe UI" w:hAnsi="Segoe UI" w:cs="Segoe UI"/>
      <w:sz w:val="18"/>
      <w:szCs w:val="18"/>
    </w:rPr>
  </w:style>
  <w:style w:type="character" w:customStyle="1" w:styleId="BalloonTextChar">
    <w:name w:val="Balloon Text Char"/>
    <w:basedOn w:val="DefaultParagraphFont"/>
    <w:link w:val="BalloonText"/>
    <w:semiHidden/>
    <w:rsid w:val="00E06FDD"/>
    <w:rPr>
      <w:rFonts w:ascii="Segoe UI" w:hAnsi="Segoe UI" w:cs="Segoe UI"/>
      <w:sz w:val="18"/>
      <w:szCs w:val="18"/>
    </w:rPr>
  </w:style>
  <w:style w:type="character" w:styleId="CommentReference">
    <w:name w:val="annotation reference"/>
    <w:basedOn w:val="DefaultParagraphFont"/>
    <w:rsid w:val="00B36378"/>
    <w:rPr>
      <w:sz w:val="16"/>
      <w:szCs w:val="16"/>
    </w:rPr>
  </w:style>
  <w:style w:type="paragraph" w:styleId="CommentText">
    <w:name w:val="annotation text"/>
    <w:basedOn w:val="Normal"/>
    <w:link w:val="CommentTextChar"/>
    <w:rsid w:val="00B36378"/>
    <w:rPr>
      <w:sz w:val="20"/>
      <w:szCs w:val="20"/>
    </w:rPr>
  </w:style>
  <w:style w:type="character" w:customStyle="1" w:styleId="CommentTextChar">
    <w:name w:val="Comment Text Char"/>
    <w:basedOn w:val="DefaultParagraphFont"/>
    <w:link w:val="CommentText"/>
    <w:rsid w:val="00B36378"/>
  </w:style>
  <w:style w:type="paragraph" w:styleId="CommentSubject">
    <w:name w:val="annotation subject"/>
    <w:basedOn w:val="CommentText"/>
    <w:next w:val="CommentText"/>
    <w:link w:val="CommentSubjectChar"/>
    <w:semiHidden/>
    <w:unhideWhenUsed/>
    <w:rsid w:val="00B36378"/>
    <w:rPr>
      <w:b/>
      <w:bCs/>
    </w:rPr>
  </w:style>
  <w:style w:type="character" w:customStyle="1" w:styleId="CommentSubjectChar">
    <w:name w:val="Comment Subject Char"/>
    <w:basedOn w:val="CommentTextChar"/>
    <w:link w:val="CommentSubject"/>
    <w:semiHidden/>
    <w:rsid w:val="00B36378"/>
    <w:rPr>
      <w:b/>
      <w:bCs/>
    </w:rPr>
  </w:style>
  <w:style w:type="paragraph" w:customStyle="1" w:styleId="RollCallSymbols14pt">
    <w:name w:val="RollCallSymbols14pt"/>
    <w:basedOn w:val="Normal"/>
    <w:rsid w:val="00C148A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148A1"/>
    <w:pPr>
      <w:tabs>
        <w:tab w:val="center" w:pos="284"/>
        <w:tab w:val="left" w:pos="426"/>
      </w:tabs>
    </w:pPr>
    <w:rPr>
      <w:snapToGrid w:val="0"/>
      <w:szCs w:val="20"/>
      <w:lang w:eastAsia="en-US"/>
    </w:rPr>
  </w:style>
  <w:style w:type="paragraph" w:customStyle="1" w:styleId="RollCallVotes">
    <w:name w:val="RollCallVotes"/>
    <w:basedOn w:val="Normal"/>
    <w:rsid w:val="00C148A1"/>
    <w:pPr>
      <w:spacing w:before="120" w:after="120"/>
      <w:jc w:val="center"/>
    </w:pPr>
    <w:rPr>
      <w:b/>
      <w:bCs/>
      <w:snapToGrid w:val="0"/>
      <w:sz w:val="16"/>
      <w:szCs w:val="20"/>
      <w:lang w:eastAsia="en-US"/>
    </w:rPr>
  </w:style>
  <w:style w:type="paragraph" w:customStyle="1" w:styleId="RollCallTable">
    <w:name w:val="RollCallTable"/>
    <w:basedOn w:val="Normal"/>
    <w:rsid w:val="00C148A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B1E6-EC7D-44AC-8555-ADA89B0AB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5238</Words>
  <Characters>29259</Characters>
  <Application>Microsoft Office Word</Application>
  <DocSecurity>0</DocSecurity>
  <Lines>1202</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2023-01-26T14:52:00Z</dcterms:created>
  <dcterms:modified xsi:type="dcterms:W3CDTF">2023-01-26T14:52:00Z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- 2023/01/26 15:51</vt:lpwstr>
  </property>
  <property fmtid="{D5CDD505-2E9C-101B-9397-08002B2CF9AE}" pid="9" name="Created with">
    <vt:lpwstr>9.13.0 Build [20220701]</vt:lpwstr>
  </property>
  <property fmtid="{D5CDD505-2E9C-101B-9397-08002B2CF9AE}" pid="10" name="FooterPath">
    <vt:lpwstr>AD\1270366PT.docx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y fmtid="{D5CDD505-2E9C-101B-9397-08002B2CF9AE}" pid="14" name="SendToEpades">
    <vt:lpwstr>OK - 2022/09/20 16:22</vt:lpwstr>
  </property>
</Properties>
</file>