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40F9C" w:rsidTr="00C85D0F">
        <w:trPr>
          <w:trHeight w:hRule="exact" w:val="1418"/>
        </w:trPr>
        <w:tc>
          <w:tcPr>
            <w:tcW w:w="6804" w:type="dxa"/>
            <w:shd w:val="clear" w:color="auto" w:fill="auto"/>
            <w:vAlign w:val="center"/>
          </w:tcPr>
          <w:p w:rsidR="00BA3E40" w:rsidRPr="00357A78" w:rsidRDefault="004C0B22" w:rsidP="00C85D0F">
            <w:pPr>
              <w:pStyle w:val="EPName"/>
            </w:pPr>
            <w:bookmarkStart w:id="0" w:name="_GoBack"/>
            <w:bookmarkEnd w:id="0"/>
            <w:r>
              <w:t>Evropski parlament</w:t>
            </w:r>
          </w:p>
          <w:p w:rsidR="00BA3E40" w:rsidRPr="00357A78" w:rsidRDefault="004C0B22" w:rsidP="00B06FA8">
            <w:pPr>
              <w:pStyle w:val="EPTerm"/>
            </w:pPr>
            <w:r>
              <w:t>2019-2024</w:t>
            </w:r>
          </w:p>
        </w:tc>
        <w:tc>
          <w:tcPr>
            <w:tcW w:w="2268" w:type="dxa"/>
            <w:shd w:val="clear" w:color="auto" w:fill="auto"/>
          </w:tcPr>
          <w:p w:rsidR="00BA3E40" w:rsidRPr="00357A78" w:rsidRDefault="004C0B22" w:rsidP="00C85D0F">
            <w:pPr>
              <w:pStyle w:val="EPLogo"/>
            </w:pPr>
            <w:r w:rsidRPr="00357A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71068"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57A78" w:rsidRDefault="00F24D40" w:rsidP="00F24D40">
      <w:pPr>
        <w:pStyle w:val="LineTop"/>
      </w:pPr>
    </w:p>
    <w:p w:rsidR="00F24D40" w:rsidRPr="00357A78" w:rsidRDefault="004C0B22" w:rsidP="00F24D40">
      <w:pPr>
        <w:pStyle w:val="EPBody"/>
      </w:pPr>
      <w:r>
        <w:rPr>
          <w:rStyle w:val="HideTWBExt"/>
        </w:rPr>
        <w:t>&lt;</w:t>
      </w:r>
      <w:r>
        <w:rPr>
          <w:rStyle w:val="HideTWBExt"/>
          <w:i w:val="0"/>
        </w:rPr>
        <w:t>Commission</w:t>
      </w:r>
      <w:r>
        <w:rPr>
          <w:rStyle w:val="HideTWBExt"/>
        </w:rPr>
        <w:t>&gt;</w:t>
      </w:r>
      <w:r>
        <w:rPr>
          <w:rStyle w:val="HideTWBInt"/>
          <w:color w:val="auto"/>
        </w:rPr>
        <w:t>{LIBE}</w:t>
      </w:r>
      <w:r>
        <w:t>Odbor za državljanske svoboščine, pravosodje in notranje zadeve</w:t>
      </w:r>
      <w:r>
        <w:rPr>
          <w:rStyle w:val="HideTWBExt"/>
        </w:rPr>
        <w:t>&lt;/</w:t>
      </w:r>
      <w:r>
        <w:rPr>
          <w:rStyle w:val="HideTWBExt"/>
          <w:i w:val="0"/>
        </w:rPr>
        <w:t>Commission</w:t>
      </w:r>
      <w:r>
        <w:rPr>
          <w:rStyle w:val="HideTWBExt"/>
        </w:rPr>
        <w:t>&gt;</w:t>
      </w:r>
    </w:p>
    <w:p w:rsidR="00F24D40" w:rsidRPr="00357A78" w:rsidRDefault="00F24D40" w:rsidP="00F24D40">
      <w:pPr>
        <w:pStyle w:val="LineBottom"/>
      </w:pPr>
    </w:p>
    <w:p w:rsidR="00DB56E4" w:rsidRPr="00357A78" w:rsidRDefault="004C0B22" w:rsidP="00DB56E4">
      <w:pPr>
        <w:pStyle w:val="CoverReference"/>
      </w:pPr>
      <w:r>
        <w:rPr>
          <w:rStyle w:val="HideTWBExt"/>
          <w:b w:val="0"/>
        </w:rPr>
        <w:t>&lt;RefProc&gt;</w:t>
      </w:r>
      <w:r>
        <w:t>2021/0378</w:t>
      </w:r>
      <w:r>
        <w:rPr>
          <w:rStyle w:val="HideTWBExt"/>
          <w:b w:val="0"/>
        </w:rPr>
        <w:t>&lt;/RefProc&gt;&lt;RefTypeProc&gt;</w:t>
      </w:r>
      <w:r>
        <w:t>(COD)</w:t>
      </w:r>
      <w:r>
        <w:rPr>
          <w:rStyle w:val="HideTWBExt"/>
          <w:b w:val="0"/>
        </w:rPr>
        <w:t>&lt;/RefTypeProc&gt;</w:t>
      </w:r>
    </w:p>
    <w:p w:rsidR="00DB56E4" w:rsidRPr="00357A78" w:rsidRDefault="004C0B22" w:rsidP="00DB56E4">
      <w:pPr>
        <w:pStyle w:val="CoverDate"/>
      </w:pPr>
      <w:r>
        <w:rPr>
          <w:rStyle w:val="HideTWBExt"/>
        </w:rPr>
        <w:t>&lt;Date&gt;</w:t>
      </w:r>
      <w:r>
        <w:rPr>
          <w:rStyle w:val="HideTWBInt"/>
          <w:color w:val="auto"/>
        </w:rPr>
        <w:t>{12/01/2023}</w:t>
      </w:r>
      <w:r>
        <w:t>12.1.2023</w:t>
      </w:r>
      <w:r>
        <w:rPr>
          <w:rStyle w:val="HideTWBExt"/>
        </w:rPr>
        <w:t>&lt;/Date&gt;</w:t>
      </w:r>
    </w:p>
    <w:p w:rsidR="00DB56E4" w:rsidRPr="00357A78" w:rsidRDefault="004C0B22" w:rsidP="00DB56E4">
      <w:pPr>
        <w:pStyle w:val="CoverDocType24a"/>
      </w:pPr>
      <w:r>
        <w:rPr>
          <w:rStyle w:val="HideTWBExt"/>
          <w:b w:val="0"/>
        </w:rPr>
        <w:t>&lt;TitreType&gt;</w:t>
      </w:r>
      <w:r>
        <w:t>MNENJE</w:t>
      </w:r>
      <w:r>
        <w:rPr>
          <w:rStyle w:val="HideTWBExt"/>
          <w:b w:val="0"/>
        </w:rPr>
        <w:t>&lt;/TitreType&gt;</w:t>
      </w:r>
    </w:p>
    <w:p w:rsidR="00DB56E4" w:rsidRPr="00357A78" w:rsidRDefault="004C0B22" w:rsidP="00DB56E4">
      <w:pPr>
        <w:pStyle w:val="CoverNormal24a"/>
      </w:pPr>
      <w:r>
        <w:rPr>
          <w:rStyle w:val="HideTWBExt"/>
        </w:rPr>
        <w:t>&lt;CommissionResp&gt;</w:t>
      </w:r>
      <w:r>
        <w:t>Odbora za državljanske svoboščine, pravosodje in notranje zadeve</w:t>
      </w:r>
      <w:r>
        <w:rPr>
          <w:rStyle w:val="HideTWBExt"/>
        </w:rPr>
        <w:t>&lt;/CommissionResp&gt;</w:t>
      </w:r>
    </w:p>
    <w:p w:rsidR="00DB56E4" w:rsidRPr="00357A78" w:rsidRDefault="004C0B22" w:rsidP="00DB56E4">
      <w:pPr>
        <w:pStyle w:val="CoverNormal24a"/>
      </w:pPr>
      <w:r>
        <w:rPr>
          <w:rStyle w:val="HideTWBExt"/>
        </w:rPr>
        <w:t>&lt;CommissionInt&gt;</w:t>
      </w:r>
      <w:r>
        <w:t>za Odbor za ekonomske in monetarne zadeve</w:t>
      </w:r>
      <w:r>
        <w:rPr>
          <w:rStyle w:val="HideTWBExt"/>
        </w:rPr>
        <w:t>&lt;/CommissionInt&gt;</w:t>
      </w:r>
    </w:p>
    <w:p w:rsidR="00DB56E4" w:rsidRPr="00357A78" w:rsidRDefault="004C0B22" w:rsidP="00DB56E4">
      <w:pPr>
        <w:pStyle w:val="CoverNormal"/>
      </w:pPr>
      <w:r>
        <w:rPr>
          <w:rStyle w:val="HideTWBExt"/>
        </w:rPr>
        <w:t>&lt;Titre&gt;</w:t>
      </w:r>
      <w:r>
        <w:t>o predlogu uredbe Evropskega parlamenta in Sveta o vzpostavitvi evropske enotne točke dostopa, ki zagotavlja centraliziran dostop do javno dostopnih informacij, pomembnih za finančne storitve, kapitalske trge in trajnostnost</w:t>
      </w:r>
      <w:r>
        <w:rPr>
          <w:rStyle w:val="HideTWBExt"/>
        </w:rPr>
        <w:t>&lt;/Titre&gt;</w:t>
      </w:r>
    </w:p>
    <w:p w:rsidR="00DB56E4" w:rsidRPr="00357A78" w:rsidRDefault="004C0B22" w:rsidP="00DB56E4">
      <w:pPr>
        <w:pStyle w:val="CoverNormal24a"/>
      </w:pPr>
      <w:r>
        <w:rPr>
          <w:rStyle w:val="HideTWBExt"/>
        </w:rPr>
        <w:t>&lt;DocRef&gt;</w:t>
      </w:r>
      <w:r>
        <w:t>(COM(2021)0723 – C9</w:t>
      </w:r>
      <w:r>
        <w:noBreakHyphen/>
        <w:t>0434/2021 – 2021/0378(COD))</w:t>
      </w:r>
      <w:r>
        <w:rPr>
          <w:rStyle w:val="HideTWBExt"/>
        </w:rPr>
        <w:t>&lt;/DocRef&gt;</w:t>
      </w:r>
    </w:p>
    <w:p w:rsidR="00DB56E4" w:rsidRPr="00357A78" w:rsidRDefault="004C0B22" w:rsidP="00DB56E4">
      <w:pPr>
        <w:pStyle w:val="CoverNormal24a"/>
      </w:pPr>
      <w:r>
        <w:t xml:space="preserve">Pripravljavec mnenja: </w:t>
      </w:r>
      <w:r>
        <w:rPr>
          <w:rStyle w:val="HideTWBExt"/>
        </w:rPr>
        <w:t>&lt;Depute&gt;</w:t>
      </w:r>
      <w:r>
        <w:t>Emil Radev</w:t>
      </w:r>
      <w:r>
        <w:rPr>
          <w:rStyle w:val="HideTWBExt"/>
        </w:rPr>
        <w:t>&lt;/Depute&gt;</w:t>
      </w:r>
    </w:p>
    <w:p w:rsidR="00DB56E4" w:rsidRPr="00357A78" w:rsidRDefault="004C0B22" w:rsidP="0004474F">
      <w:pPr>
        <w:tabs>
          <w:tab w:val="center" w:pos="4677"/>
        </w:tabs>
      </w:pPr>
      <w:r>
        <w:br w:type="page"/>
      </w:r>
      <w:r>
        <w:lastRenderedPageBreak/>
        <w:t>PA_Legam</w:t>
      </w:r>
    </w:p>
    <w:p w:rsidR="00470BF2" w:rsidRPr="00357A78" w:rsidRDefault="004C0B22" w:rsidP="002A45D9">
      <w:pPr>
        <w:pStyle w:val="PageHeadingNotTOC"/>
      </w:pPr>
      <w:r>
        <w:br w:type="page"/>
      </w:r>
    </w:p>
    <w:p w:rsidR="00DB56E4" w:rsidRPr="00357A78" w:rsidRDefault="004C0B22" w:rsidP="00DB56E4">
      <w:pPr>
        <w:pStyle w:val="AmHeadingPA"/>
      </w:pPr>
      <w:r>
        <w:lastRenderedPageBreak/>
        <w:t>PREDLOGI SPREMEMB</w:t>
      </w:r>
    </w:p>
    <w:p w:rsidR="00DB56E4" w:rsidRPr="00357A78" w:rsidRDefault="004C0B22" w:rsidP="001E3AC4">
      <w:pPr>
        <w:pStyle w:val="Normal12a"/>
      </w:pPr>
      <w:bookmarkStart w:id="1" w:name="IntroA"/>
      <w:r>
        <w:t>Odbor za državljanske svoboščine, pravosodje in notranje zadeve poziva Odbor za ekonomske in monetarne zadeve kot pristojni odbor, da upošteva naslednje predloge sprememb:</w:t>
      </w:r>
    </w:p>
    <w:p w:rsidR="00D365CF" w:rsidRPr="00357A78" w:rsidRDefault="004C0B22" w:rsidP="00D365CF">
      <w:bookmarkStart w:id="2" w:name="PasteOldAMStart"/>
      <w:bookmarkStart w:id="3" w:name="PasteOldAMEnd"/>
      <w:bookmarkEnd w:id="1"/>
      <w:bookmarkEnd w:id="2"/>
      <w:bookmarkEnd w:id="3"/>
      <w:r>
        <w:rPr>
          <w:rStyle w:val="HideTWBExt"/>
        </w:rPr>
        <w:t>&lt;RepeatBlock-Amend&gt;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(2)</w:t>
            </w:r>
            <w:r>
              <w:tab/>
              <w:t>Enostaven dostop do podatkov je pomemben, da lahko tisti, ki sprejemajo odločitve</w:t>
            </w:r>
            <w:r>
              <w:rPr>
                <w:b/>
                <w:i/>
              </w:rPr>
              <w:t xml:space="preserve"> </w:t>
            </w:r>
            <w:r>
              <w:t>v gospodarstvu in družbi, sprejemajo premišljene odločitve, ki prispevajo k učinkovitemu delovanju trga. Vzpostavitev skupnih evropskih podatkovnih prostorov v ključnih sektorjih, vključno s finančnim sektorjem, bi služila temu namenu. V finančnem sektorju poteka digitalna preobrazba, ki naj bi se v prihodnjih letih nadaljevala, in Unija bi morala to preobrazbo podpreti, zlasti s spodbujanjem financ, ki temeljijo na podatkih. Poleg tega je umestitev trajnostnega financiranja v središče finančnega sistema ključna za doseganje zelenega prehoda gospodarstva Unije. Da bi bil zeleni prehod s trajnostnim financiranjem uspešen, je bistveno, da so informacije v zvezi s trajnostnostjo podjetij zlahka dostopne vlagateljem, tako da so bolje obveščeni, ko sprejemajo odločitve o naložbah. V ta namen je treba izboljšati javni dostop do informacij o subjektih, kot so finančne in nefinančne informacije o podjetjih, poslovanju, in finančnih institucijah. Na ravni Unije je to mogoče učinkovito doseči z vzpostavitvijo centralizirane platforme, tj. evropske enotne točke dostopa (ESAP), ki omogoča elektronski dostop do vseh relevantnih informacij.</w:t>
            </w:r>
          </w:p>
        </w:tc>
        <w:tc>
          <w:tcPr>
            <w:tcW w:w="4876" w:type="dxa"/>
            <w:hideMark/>
          </w:tcPr>
          <w:p w:rsidR="00D365CF" w:rsidRPr="00357A78" w:rsidRDefault="004C0B22" w:rsidP="0086232B">
            <w:pPr>
              <w:pStyle w:val="Normal6"/>
              <w:rPr>
                <w:szCs w:val="24"/>
              </w:rPr>
            </w:pPr>
            <w:r>
              <w:t>(2)</w:t>
            </w:r>
            <w:r>
              <w:tab/>
              <w:t xml:space="preserve">Enostaven </w:t>
            </w:r>
            <w:r>
              <w:rPr>
                <w:b/>
                <w:i/>
              </w:rPr>
              <w:t xml:space="preserve">in strukturiran </w:t>
            </w:r>
            <w:r>
              <w:t>dostop do podatkov je pomemben, da lahko tisti, ki sprejemajo odločitve</w:t>
            </w:r>
            <w:r>
              <w:rPr>
                <w:b/>
                <w:i/>
              </w:rPr>
              <w:t> </w:t>
            </w:r>
            <w:r>
              <w:t>v gospodarstvu in družbi, sprejemajo premišljene</w:t>
            </w:r>
            <w:r>
              <w:rPr>
                <w:b/>
                <w:i/>
              </w:rPr>
              <w:t>, informirane ter okoljsko in družbeno odgovorne naložbene</w:t>
            </w:r>
            <w:r>
              <w:t xml:space="preserve"> odločitve, ki prispevajo k učinkovitemu delovanju trga. Vzpostavitev skupnih evropskih podatkovnih prostorov v ključnih sektorjih, vključno s finančnim sektorjem, bi služila temu namenu. V finančnem sektorju poteka digitalna preobrazba, ki naj bi se v prihodnjih letih nadaljevala, in Unija bi morala to preobrazbo podpreti, zlasti s spodbujanjem financ, ki temeljijo na podatkih. Poleg tega je umestitev trajnostnega financiranja v središče finančnega sistema ključna za doseganje zelenega prehoda gospodarstva Unije. Da bi bil zeleni prehod s trajnostnim financiranjem uspešen, je bistveno, da so informacije v zvezi s trajnostnostjo podjetij zlahka dostopne vlagateljem, tako da so bolje obveščeni, ko sprejemajo odločitve o naložbah. V ta namen je treba izboljšati javni dostop do informacij o subjektih, kot so finančne in nefinančne informacije o podjetjih, poslovanju, in finančnih institucijah. Na ravni Unije je to mogoče učinkovito doseči z vzpostavitvijo centralizirane platforme, tj. evropske enotne točke dostopa (ESAP), ki omogoča elektronski dostop do vseh relevantnih informacij.</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2a.</w:t>
            </w:r>
            <w:r>
              <w:rPr>
                <w:b/>
                <w:i/>
              </w:rPr>
              <w:tab/>
              <w:t>Ker ravno potekajo pogajanja o novih zakonodajnih aktih, kot je uredba XXX o evropskih zelenih obveznicah, oziroma so v zaključni fazi, niso pa navedeni v Prilogi k tej uredbi, bi bilo treba na Komisijo prenesti pooblastilo za posodobitev Priloge, da jo dopolni z novosprejeto zakonodajo, povezano z zagotavljanjem finančnih storitev, kapitalskimi trgi in trajnostnostjo.</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(4)</w:t>
            </w:r>
            <w:r>
              <w:tab/>
              <w:t>Informacije, ki morajo biti javno dostopne na ESAP, bi morali zbirati organi za zbiranje podatkov, določeni za zbiranje informacij, ki jih morajo objaviti subjekti. Da bi zagotovili učinkovito delovanje ESAP, bi morali organi za zbiranje podatkov prek enotnega vmesnika za aplikacijsko programiranje informacije samodejno dati na voljo ESAP. Da bi bile informacije digitalno uporabne, bi morali subjekti</w:t>
            </w:r>
            <w:r>
              <w:rPr>
                <w:b/>
                <w:i/>
              </w:rPr>
              <w:t xml:space="preserve"> take</w:t>
            </w:r>
            <w:r>
              <w:t xml:space="preserve"> informacije dati na voljo v formatu, ki omogoča izvlečenje podatkov, ali, kadar to zahteva pravo Unije, v strojno berljivem formatu. V primerjavi s formati, ki omogočajo izvlečenje podatkov, so strojno berljivi formati datotečni formati, ki so strukturirani tako, da lahko programske aplikacije z lahkoto identificirajo, prepoznajo in izvlečejo določene podatke, vključno s posameznimi navedbami dejstev, in </w:t>
            </w:r>
            <w:r>
              <w:rPr>
                <w:b/>
                <w:i/>
              </w:rPr>
              <w:t>notranje strukture</w:t>
            </w:r>
            <w:r>
              <w:t xml:space="preserve"> teh podatkov. Za zagotovitev, da subjekti predložijo informacije v pravilnem formatu, in za odpravo morebitnih tehničnih težav, s katerimi se srečujejo subjekti, bi morali organi za zbiranje podatkov tem subjektom zagotoviti pomoč.</w:t>
            </w:r>
          </w:p>
        </w:tc>
        <w:tc>
          <w:tcPr>
            <w:tcW w:w="4876" w:type="dxa"/>
            <w:hideMark/>
          </w:tcPr>
          <w:p w:rsidR="00D365CF" w:rsidRPr="00357A78" w:rsidRDefault="004C0B22" w:rsidP="0086232B">
            <w:pPr>
              <w:pStyle w:val="Normal6"/>
              <w:rPr>
                <w:szCs w:val="24"/>
              </w:rPr>
            </w:pPr>
            <w:r>
              <w:t>(4)</w:t>
            </w:r>
            <w:r>
              <w:tab/>
              <w:t>Informacije, ki morajo biti javno dostopne na ESAP, bi morali zbirati organi za zbiranje podatkov, določeni za zbiranje informacij, ki jih morajo objaviti subjekti. Da bi zagotovili učinkovito delovanje ESAP, bi morali organi za zbiranje podatkov prek enotnega vmesnika za aplikacijsko programiranje informacije samodejno dati na voljo ESAP.</w:t>
            </w:r>
            <w:r>
              <w:rPr>
                <w:b/>
                <w:i/>
              </w:rPr>
              <w:t xml:space="preserve"> Kjer je to mogoče, in odvisno tudi od odločitve zadevne države članice, bi morali biti organi za zbiranje podatkov, določeni za zbiranje informacij, ki so jih subjekti dolžni objaviti, zadolženi tudi za zbiranje prostovoljno posredovanih informacij.</w:t>
            </w:r>
            <w:r>
              <w:t xml:space="preserve"> Da bi bile informacije digitalno uporabne, bi morali subjekti informacije dati na voljo v formatu, ki omogoča izvlečenje podatkov, ali, kadar to zahteva pravo Unije, v strojno berljivem formatu. V primerjavi s formati, ki omogočajo izvlečenje podatkov, so strojno berljivi formati datotečni formati, ki so strukturirani tako, da lahko programske aplikacije z lahkoto identificirajo, prepoznajo in izvlečejo določene podatke, vključno s posameznimi navedbami dejstev, in </w:t>
            </w:r>
            <w:r>
              <w:rPr>
                <w:b/>
                <w:i/>
              </w:rPr>
              <w:t>notranjo strukturo</w:t>
            </w:r>
            <w:r>
              <w:t xml:space="preserve"> teh podatkov. Za zagotovitev, da subjekti predložijo informacije v pravilnem formatu, in za odpravo morebitnih tehničnih težav, s katerimi se srečujejo subjekti, bi morali organi za zbiranje podatkov tem subjektom zagotoviti pomoč.</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(5)</w:t>
            </w:r>
            <w:r>
              <w:tab/>
              <w:t xml:space="preserve">Poleg informacij v zvezi s finančnimi storitvami, kapitalskimi trgi in trajnostnostjo, ki jih je treba objaviti v skladu s pravom Unije, imajo lahko vlagatelji, udeleženci na trgu, svetovalci in širša javnost interes pridobiti druge informacije, ki jih subjekt želi dati na voljo. Mala in srednja podjetja bodo morda želela zagotoviti večjo javno dostopnost informacij, da bi postala bolj vidna za potencialne vlagatelje, s čimer bi povečala financiranje in razpršila možnosti financiranja. Poleg tega udeleženci na trgu morda želijo zagotoviti več informacij, kot jih zahteva zakonodaja, ali objaviti informacije, ki jih zahteva nacionalno pravo, vendar niso na voljo na ravni Unije, da bi dopolnili informacije, zagotovljene javnosti na ravni Unije. Vsak subjekt bi zato moral imeti možnost, da na ESAP da na voljo </w:t>
            </w:r>
            <w:r>
              <w:rPr>
                <w:b/>
                <w:i/>
              </w:rPr>
              <w:t>finanče</w:t>
            </w:r>
            <w:r>
              <w:t xml:space="preserve"> informacije, informacije, povezane s trajnostnostjo, in druge ustrezne informacije. V skladu z načelom podatkovne minimizacije bi morali subjekti zagotoviti, da se osebni podatki ne vključijo, razen kadar so ti podatki nujni element informacij o njihovih gospodarskih dejavnostih, tudi kadar se ime subjekta ujema z imenom lastnika. Kadar take informacije vsebujejo osebne podatke, bi morali subjekti zagotoviti, da se lahko za tako razkritje sklicujejo na enega od zakonitih razlogov za obdelavo iz člena 6 Uredbe (EU) 2016/679 Evropskega parlamenta in Sveta</w:t>
            </w:r>
            <w:r>
              <w:rPr>
                <w:vertAlign w:val="superscript"/>
              </w:rPr>
              <w:t>26</w:t>
            </w:r>
            <w:r>
              <w:t>.</w:t>
            </w:r>
          </w:p>
        </w:tc>
        <w:tc>
          <w:tcPr>
            <w:tcW w:w="4876" w:type="dxa"/>
            <w:hideMark/>
          </w:tcPr>
          <w:p w:rsidR="00D365CF" w:rsidRPr="00357A78" w:rsidRDefault="004C0B22" w:rsidP="0086232B">
            <w:pPr>
              <w:pStyle w:val="Normal6"/>
              <w:rPr>
                <w:szCs w:val="24"/>
              </w:rPr>
            </w:pPr>
            <w:r>
              <w:t>(5)</w:t>
            </w:r>
            <w:r>
              <w:tab/>
              <w:t xml:space="preserve">Poleg informacij v zvezi s finančnimi storitvami, kapitalskimi trgi in trajnostnostjo, ki jih je treba objaviti v skladu s pravom Unije, imajo lahko vlagatelji, udeleženci na trgu, svetovalci in širša javnost interes pridobiti druge informacije, ki jih subjekt želi dati na voljo. </w:t>
            </w:r>
            <w:r>
              <w:rPr>
                <w:b/>
                <w:i/>
              </w:rPr>
              <w:t xml:space="preserve">Mikro, </w:t>
            </w:r>
            <w:r>
              <w:t xml:space="preserve">mala in srednja podjetja bodo morda želela zagotoviti večjo javno dostopnost informacij, da bi postala bolj vidna za potencialne vlagatelje, s čimer bi povečala financiranje in razpršila možnosti financiranja. Poleg tega udeleženci na trgu morda želijo zagotoviti več informacij, kot jih zahteva zakonodaja, ali objaviti informacije, ki jih zahteva nacionalno pravo, vendar niso na voljo na ravni Unije, da bi dopolnili informacije, zagotovljene javnosti na ravni Unije. Vsak subjekt bi zato moral imeti možnost, da na ESAP da na voljo </w:t>
            </w:r>
            <w:r>
              <w:rPr>
                <w:b/>
                <w:i/>
              </w:rPr>
              <w:t>finančne</w:t>
            </w:r>
            <w:r>
              <w:t xml:space="preserve"> informacije, informacije, povezane s trajnostnostjo, in druge ustrezne informacije</w:t>
            </w:r>
            <w:r>
              <w:rPr>
                <w:b/>
                <w:i/>
              </w:rPr>
              <w:t>.</w:t>
            </w:r>
            <w:r>
              <w:t xml:space="preserve"> </w:t>
            </w:r>
            <w:r>
              <w:rPr>
                <w:b/>
                <w:i/>
              </w:rPr>
              <w:t>Subjekti, ki prostovoljno predložijo informacije, ki bodo dostopne na ESAP, bi morali biti odgovorni za njihovo kakovost, popolnost in točnost. Informacije bi morale biti predložene v dobri veri in odražati dejansko stanje.</w:t>
            </w:r>
            <w:r>
              <w:t xml:space="preserve"> V skladu z načelom podatkovne minimizacije bi morali subjekti zagotoviti, da se osebni podatki ne vključijo, razen kadar so ti podatki nujni element informacij o njihovih gospodarskih dejavnostih, tudi kadar se ime subjekta ujema z imenom lastnika. Kadar take informacije vsebujejo osebne podatke, bi morali subjekti zagotoviti, da se lahko za tako razkritje sklicujejo na enega od zakonitih razlogov za obdelavo iz člena 6 Uredbe (EU) 2016/679 Evropskega parlamenta in Sveta</w:t>
            </w:r>
            <w:r>
              <w:rPr>
                <w:vertAlign w:val="superscript"/>
              </w:rPr>
              <w:t>26</w:t>
            </w:r>
            <w:r>
              <w:t>.</w:t>
            </w:r>
          </w:p>
        </w:tc>
      </w:tr>
      <w:tr w:rsidR="00940F9C" w:rsidTr="0086232B">
        <w:trPr>
          <w:jc w:val="center"/>
        </w:trPr>
        <w:tc>
          <w:tcPr>
            <w:tcW w:w="4876" w:type="dxa"/>
            <w:hideMark/>
          </w:tcPr>
          <w:p w:rsidR="00D365CF" w:rsidRPr="00357A78" w:rsidRDefault="004C0B22" w:rsidP="0086232B">
            <w:pPr>
              <w:pStyle w:val="Normal6"/>
            </w:pPr>
            <w:r>
              <w:t>__________________</w:t>
            </w:r>
          </w:p>
        </w:tc>
        <w:tc>
          <w:tcPr>
            <w:tcW w:w="4876" w:type="dxa"/>
            <w:hideMark/>
          </w:tcPr>
          <w:p w:rsidR="00D365CF" w:rsidRPr="00357A78" w:rsidRDefault="004C0B22" w:rsidP="0086232B">
            <w:pPr>
              <w:pStyle w:val="Normal6"/>
              <w:rPr>
                <w:szCs w:val="24"/>
              </w:rPr>
            </w:pPr>
            <w:r>
              <w:t>__________________</w:t>
            </w:r>
          </w:p>
        </w:tc>
      </w:tr>
      <w:tr w:rsidR="00940F9C" w:rsidTr="0086232B">
        <w:trPr>
          <w:jc w:val="center"/>
        </w:trPr>
        <w:tc>
          <w:tcPr>
            <w:tcW w:w="4876" w:type="dxa"/>
            <w:hideMark/>
          </w:tcPr>
          <w:p w:rsidR="00D365CF" w:rsidRPr="00357A78" w:rsidRDefault="004C0B22" w:rsidP="0086232B">
            <w:pPr>
              <w:pStyle w:val="Normal6"/>
            </w:pPr>
            <w:r>
              <w:rPr>
                <w:vertAlign w:val="superscript"/>
              </w:rPr>
              <w:t>26</w:t>
            </w:r>
            <w:r>
              <w:t>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D365CF" w:rsidRPr="00357A78" w:rsidRDefault="004C0B22" w:rsidP="0086232B">
            <w:pPr>
              <w:pStyle w:val="Normal6"/>
              <w:rPr>
                <w:szCs w:val="24"/>
              </w:rPr>
            </w:pPr>
            <w:r>
              <w:rPr>
                <w:vertAlign w:val="superscript"/>
              </w:rPr>
              <w:t>26</w:t>
            </w:r>
            <w:r>
              <w:t>Uredba (EU) 2016/679 Evropskega parlamenta in Sveta z dne 27. aprila 2016 o varstvu posameznikov pri obdelavi osebnih podatkov in o prostem pretoku takih podatkov ter o razveljavitvi Direktive 95/46/ES (Splošna uredba o varstvu podatkov) (UL L 119, 4.5.2016, str. 1).</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(12)</w:t>
            </w:r>
            <w:r>
              <w:tab/>
              <w:t xml:space="preserve">ESAP bi moral </w:t>
            </w:r>
            <w:r>
              <w:rPr>
                <w:b/>
                <w:i/>
              </w:rPr>
              <w:t>uporabnikom</w:t>
            </w:r>
            <w:r>
              <w:t xml:space="preserve"> omogočiti brezplačen in nediskriminatoren dostop do informacij</w:t>
            </w:r>
            <w:r>
              <w:rPr>
                <w:b/>
                <w:i/>
              </w:rPr>
              <w:t xml:space="preserve"> ter jim omogočiti</w:t>
            </w:r>
            <w:r>
              <w:t xml:space="preserve"> iskanje, dostop do informacij in njihov prenos prek ESAP. Vendar bi moral imeti ESMA ob upoštevanju potrebe, da se zaščiti pred prevelikim finančnim bremenom zaradi stroškov, ki nastanejo zaradi zadovoljevanja potreb morebitnih intenzivnih uporabnikov, možnost ustvarjanja prihodkov. Organu ESMA bi bilo zato treba z odstopanjem od načela brezplačnega dostopa do informacij omogočiti, da </w:t>
            </w:r>
            <w:r>
              <w:rPr>
                <w:b/>
                <w:i/>
              </w:rPr>
              <w:t>zaračunava</w:t>
            </w:r>
            <w:r>
              <w:t xml:space="preserve"> pristojbine za te specifične storitve, vključno s storitvami, ki imajo visoke stroške vzdrževanja zaradi iskanja zelo velike količine informacij ali zaradi pogostega dostopa do ESAP. Vendar morebitne pristojbine ne bi smele presegati stroškov opravljene storitve.</w:t>
            </w:r>
          </w:p>
        </w:tc>
        <w:tc>
          <w:tcPr>
            <w:tcW w:w="4876" w:type="dxa"/>
            <w:hideMark/>
          </w:tcPr>
          <w:p w:rsidR="00D365CF" w:rsidRPr="00357A78" w:rsidRDefault="004C0B22" w:rsidP="0086232B">
            <w:pPr>
              <w:pStyle w:val="Normal6"/>
              <w:rPr>
                <w:szCs w:val="24"/>
              </w:rPr>
            </w:pPr>
            <w:r>
              <w:t>(12)</w:t>
            </w:r>
            <w:r>
              <w:tab/>
              <w:t xml:space="preserve">ESAP bi moral </w:t>
            </w:r>
            <w:r>
              <w:rPr>
                <w:b/>
                <w:i/>
              </w:rPr>
              <w:t>vsem aktivnim udeležencem na evropskem enotnem trgu, tako vlagateljem, potrošnikom, civilnodružbenim organizacijam, akademskim krogom in predstavnikom medijev kot tudi drugim,</w:t>
            </w:r>
            <w:r>
              <w:t xml:space="preserve"> omogočiti</w:t>
            </w:r>
            <w:r>
              <w:rPr>
                <w:b/>
                <w:i/>
              </w:rPr>
              <w:t xml:space="preserve"> enak</w:t>
            </w:r>
            <w:r>
              <w:t xml:space="preserve"> brezplačen in nediskriminatoren dostop do informacij</w:t>
            </w:r>
            <w:r>
              <w:rPr>
                <w:b/>
                <w:i/>
              </w:rPr>
              <w:t>, ki jih potrebujejo za opravljanje svojega dela in uresničevanje interesov.</w:t>
            </w:r>
            <w:r>
              <w:t xml:space="preserve"> </w:t>
            </w:r>
            <w:r>
              <w:rPr>
                <w:b/>
                <w:i/>
              </w:rPr>
              <w:t>Tem uporabnikom bi moralo biti omogočeno</w:t>
            </w:r>
            <w:r>
              <w:t xml:space="preserve"> iskanje, dostop do informacij in njihov prenos prek ESAP. Vendar bi moral imeti ESMA ob upoštevanju potrebe, da se zaščiti pred prevelikim finančnim bremenom zaradi stroškov, ki nastanejo zaradi zadovoljevanja potreb morebitnih intenzivnih uporabnikov, možnost ustvarjanja prihodkov. Organu ESMA bi bilo zato treba z odstopanjem od načela brezplačnega dostopa do informacij omogočiti, da </w:t>
            </w:r>
            <w:r>
              <w:rPr>
                <w:b/>
                <w:i/>
              </w:rPr>
              <w:t>zaračuna</w:t>
            </w:r>
            <w:r>
              <w:t xml:space="preserve"> pristojbine za te specifične storitve, vključno s storitvami, ki imajo visoke stroške vzdrževanja zaradi iskanja zelo velike količine informacij ali zaradi pogostega dostopa do ESAP. Vendar morebitne pristojbine ne bi smele presegati stroškov opravljene storitve.</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6</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(13)</w:t>
            </w:r>
            <w:r>
              <w:tab/>
              <w:t>Za spodbujanje inovacij, ki temeljijo na podatkih, na področju financ, pomoč pri integraciji kapitalskih trgov v Evropski uniji, usmerjanje naložb v trajnostne dejavnosti ter povečanje učinkovitosti za potrošnike in podjetja bi moral ESAP izboljšati dostop do informacij, ki vključujejo osebne podatke. Vendar bi moral ESAP dostop do tistih osebnih podatkov, ki jih je treba obdelati v skladu s pravom Unije ali ki se obdelujejo prostovoljno, izboljšati le, če obstaja zakonita podlaga za tako obdelavo v skladu z Uredbo (EU) 2016/679 Evropskega parlamenta in Sveta. Pri vsaki obdelavi osebnih podatkov v okviru zagotavljanja informacij prek ESAP bi morali organi za zbiranje podatkov in ESMA v vlogi upravljavca ESAP zagotoviti, da se spoštujeta Uredba (EU) 2016/679 in Uredba (EU) 2018/1725 Evropskega parlamenta in Sveta</w:t>
            </w:r>
            <w:r>
              <w:rPr>
                <w:b/>
                <w:i/>
                <w:vertAlign w:val="superscript"/>
              </w:rPr>
              <w:t>28</w:t>
            </w:r>
            <w:r>
              <w:t>.</w:t>
            </w:r>
          </w:p>
        </w:tc>
        <w:tc>
          <w:tcPr>
            <w:tcW w:w="4876" w:type="dxa"/>
            <w:hideMark/>
          </w:tcPr>
          <w:p w:rsidR="00D365CF" w:rsidRPr="00357A78" w:rsidRDefault="004C0B22" w:rsidP="0086232B">
            <w:pPr>
              <w:pStyle w:val="Normal6"/>
              <w:rPr>
                <w:szCs w:val="24"/>
              </w:rPr>
            </w:pPr>
            <w:r>
              <w:t>(13)</w:t>
            </w:r>
            <w:r>
              <w:tab/>
              <w:t>Za spodbujanje inovacij, ki temeljijo na podatkih, na področju financ, pomoč pri integraciji kapitalskih trgov v Evropski uniji, usmerjanje naložb v trajnostne dejavnosti ter povečanje učinkovitosti za potrošnike in podjetja bi moral ESAP izboljšati dostop do informacij, ki vključujejo osebne podatke. Vendar bi moral ESAP dostop do tistih osebnih podatkov, ki jih je treba obdelati v skladu s pravom Unije ali ki se obdelujejo prostovoljno, izboljšati le, če obstaja zakonita podlaga za tako obdelavo v skladu z Uredbo (EU) 2016/679 Evropskega parlamenta in Sveta. Pri vsaki obdelavi osebnih podatkov v okviru zagotavljanja informacij prek ESAP bi morali organi za zbiranje podatkov in ESMA v vlogi upravljavca ESAP</w:t>
            </w:r>
            <w:r>
              <w:rPr>
                <w:b/>
                <w:i/>
              </w:rPr>
              <w:t>, in to ne glede na to, ali deluje kot nadzornik, sonadzornik ali obdelovalec,</w:t>
            </w:r>
            <w:r>
              <w:t xml:space="preserve"> zagotoviti, da se spoštujeta Uredba (EU) 2016/679 in Uredba (EU) 2018/1725 Evropskega parlamenta in Sveta</w:t>
            </w:r>
            <w:r>
              <w:rPr>
                <w:b/>
                <w:i/>
              </w:rPr>
              <w:t>. ESMA bi moral upoštevati načela vgrajenega in privzetega varstva podatkov.</w:t>
            </w:r>
          </w:p>
        </w:tc>
      </w:tr>
      <w:tr w:rsidR="00940F9C" w:rsidTr="0086232B">
        <w:trPr>
          <w:jc w:val="center"/>
        </w:trPr>
        <w:tc>
          <w:tcPr>
            <w:tcW w:w="4876" w:type="dxa"/>
            <w:hideMark/>
          </w:tcPr>
          <w:p w:rsidR="00D365CF" w:rsidRPr="00357A78" w:rsidRDefault="004C0B22" w:rsidP="0086232B">
            <w:pPr>
              <w:pStyle w:val="Normal6"/>
            </w:pPr>
            <w:r>
              <w:t>__________________</w:t>
            </w:r>
          </w:p>
        </w:tc>
        <w:tc>
          <w:tcPr>
            <w:tcW w:w="4876" w:type="dxa"/>
            <w:hideMark/>
          </w:tcPr>
          <w:p w:rsidR="00D365CF" w:rsidRPr="00357A78" w:rsidRDefault="004C0B22" w:rsidP="0086232B">
            <w:pPr>
              <w:pStyle w:val="Normal6"/>
              <w:rPr>
                <w:szCs w:val="24"/>
              </w:rPr>
            </w:pPr>
            <w:r>
              <w:t>__________________</w:t>
            </w:r>
          </w:p>
        </w:tc>
      </w:tr>
      <w:tr w:rsidR="00940F9C" w:rsidTr="0086232B">
        <w:trPr>
          <w:jc w:val="center"/>
        </w:trPr>
        <w:tc>
          <w:tcPr>
            <w:tcW w:w="4876" w:type="dxa"/>
            <w:hideMark/>
          </w:tcPr>
          <w:p w:rsidR="00D365CF" w:rsidRPr="00357A78" w:rsidRDefault="004C0B22" w:rsidP="0086232B">
            <w:pPr>
              <w:pStyle w:val="Normal6"/>
            </w:pPr>
            <w:r>
              <w:rPr>
                <w:vertAlign w:val="superscript"/>
              </w:rPr>
              <w:t>28</w:t>
            </w:r>
            <w: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c>
          <w:tcPr>
            <w:tcW w:w="4876" w:type="dxa"/>
            <w:hideMark/>
          </w:tcPr>
          <w:p w:rsidR="00D365CF" w:rsidRPr="00357A78" w:rsidRDefault="004C0B22" w:rsidP="0086232B">
            <w:pPr>
              <w:pStyle w:val="Normal6"/>
              <w:rPr>
                <w:szCs w:val="24"/>
              </w:rPr>
            </w:pPr>
            <w:r>
              <w:rPr>
                <w:vertAlign w:val="superscript"/>
              </w:rPr>
              <w:t>28</w:t>
            </w:r>
            <w: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7</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(14)</w:t>
            </w:r>
            <w:r>
              <w:tab/>
              <w:t xml:space="preserve">V skladu s členom 42(1) Uredbe (EU) 2018/1725 je bilo opravljeno posvetovanje z Evropskim nadzornikom za varstvo podatkov, ki je </w:t>
            </w:r>
            <w:r>
              <w:rPr>
                <w:b/>
                <w:i/>
              </w:rPr>
              <w:t>mnenje</w:t>
            </w:r>
            <w:r>
              <w:t xml:space="preserve"> podal</w:t>
            </w:r>
            <w:r>
              <w:rPr>
                <w:b/>
                <w:i/>
              </w:rPr>
              <w:t> [vstaviti datum]</w:t>
            </w:r>
            <w:r>
              <w:t>.</w:t>
            </w:r>
          </w:p>
        </w:tc>
        <w:tc>
          <w:tcPr>
            <w:tcW w:w="4876" w:type="dxa"/>
            <w:hideMark/>
          </w:tcPr>
          <w:p w:rsidR="00D365CF" w:rsidRPr="00357A78" w:rsidRDefault="004C0B22" w:rsidP="0086232B">
            <w:pPr>
              <w:pStyle w:val="Normal6"/>
              <w:rPr>
                <w:szCs w:val="24"/>
              </w:rPr>
            </w:pPr>
            <w:r>
              <w:t>(14)</w:t>
            </w:r>
            <w:r>
              <w:tab/>
              <w:t xml:space="preserve">V skladu s členom 42(1) Uredbe (EU) 2018/1725 je bilo opravljeno posvetovanje z Evropskim nadzornikom za varstvo podatkov, ki je </w:t>
            </w:r>
            <w:r>
              <w:rPr>
                <w:b/>
                <w:i/>
              </w:rPr>
              <w:t>19. januarja 2022</w:t>
            </w:r>
            <w:r>
              <w:t xml:space="preserve"> podal</w:t>
            </w:r>
            <w:r>
              <w:rPr>
                <w:b/>
                <w:i/>
              </w:rPr>
              <w:t xml:space="preserve"> uradne pripombe</w:t>
            </w:r>
            <w:r>
              <w:t>.</w:t>
            </w:r>
            <w:r>
              <w:rPr>
                <w:b/>
                <w:i/>
              </w:rPr>
              <w:t> </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Uvodna izjava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(16)</w:t>
            </w:r>
            <w:r>
              <w:tab/>
              <w:t>Da bi bila mogoča primerjava z informacijami iz preteklosti, bi morali imeti uporabniki dostop do preteklih informacij. Zato je treba od ESAP zahtevati, da zagotovi dostop do informacij za razumno obdobje, če je to združljivo z drugimi veljavnimi določbami prava Unije. V ta namen bi moral ESMA zagotoviti, da osebni podatki niso dostopni dlje, kot je potrebno, kakor je določeno v pravu Unije. Da bi ESMA in organi za zbiranje podatkov lahko pripravili delovanje ESAP, bi moral ESAP</w:t>
            </w:r>
            <w:r>
              <w:rPr>
                <w:b/>
                <w:i/>
              </w:rPr>
              <w:t xml:space="preserve"> zagotoviti</w:t>
            </w:r>
            <w:r>
              <w:t xml:space="preserve"> samo dostop do informacij, </w:t>
            </w:r>
            <w:r>
              <w:rPr>
                <w:b/>
                <w:i/>
              </w:rPr>
              <w:t>predloženih</w:t>
            </w:r>
            <w:r>
              <w:t xml:space="preserve"> od 1. januarja 2024.</w:t>
            </w:r>
          </w:p>
        </w:tc>
        <w:tc>
          <w:tcPr>
            <w:tcW w:w="4876" w:type="dxa"/>
            <w:hideMark/>
          </w:tcPr>
          <w:p w:rsidR="00D365CF" w:rsidRPr="00357A78" w:rsidRDefault="004C0B22" w:rsidP="0086232B">
            <w:pPr>
              <w:pStyle w:val="Normal6"/>
              <w:rPr>
                <w:szCs w:val="24"/>
              </w:rPr>
            </w:pPr>
            <w:r>
              <w:t>(16)</w:t>
            </w:r>
            <w:r>
              <w:tab/>
              <w:t>Da bi bila mogoča primerjava z informacijami iz preteklosti, bi morali imeti uporabniki dostop do preteklih informacij. Zato je treba od ESAP zahtevati, da zagotovi dostop do informacij za razumno obdobje, če je to združljivo z drugimi veljavnimi določbami prava Unije. V ta namen bi moral ESMA zagotoviti, da osebni podatki niso dostopni dlje, kot je potrebno, kakor je določeno v pravu Unije. Da bi ESMA in organi za zbiranje podatkov lahko pripravili delovanje ESAP, bi moral ESAP</w:t>
            </w:r>
            <w:r>
              <w:rPr>
                <w:b/>
                <w:i/>
              </w:rPr>
              <w:t> zagotavljati</w:t>
            </w:r>
            <w:r>
              <w:t xml:space="preserve"> samo dostop do informacij, </w:t>
            </w:r>
            <w:r>
              <w:rPr>
                <w:b/>
                <w:i/>
              </w:rPr>
              <w:t>ki bodo na voljo</w:t>
            </w:r>
            <w:r>
              <w:t xml:space="preserve"> od 1. januarja 2024.</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9</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 – odstavek 1 – točka a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(aa)</w:t>
            </w:r>
            <w:r>
              <w:rPr>
                <w:b/>
                <w:i/>
              </w:rPr>
              <w:tab/>
              <w:t>Komisija je pooblaščena za sprejemanje delegiranih aktov za spremembo prilog, da vsakokrat ob začetku veljavnosti novega zakonskega predpisa, povezanega z zagotavljanjem finančnih storitev, kapitalskimi trgi in trajnostnostjo, posodobi seznam zakonodajnih aktov.</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10</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rPr>
                <w:b/>
                <w:i/>
              </w:rPr>
              <w:t>2.</w:t>
            </w:r>
            <w:r>
              <w:rPr>
                <w:b/>
                <w:i/>
              </w:rPr>
              <w:tab/>
              <w:t>ESAP ne zagotavlja dostopa do informacij, predloženih pred 1. januarjem 2024.</w:t>
            </w:r>
          </w:p>
        </w:tc>
        <w:tc>
          <w:tcPr>
            <w:tcW w:w="4876" w:type="dxa"/>
            <w:hideMark/>
          </w:tcPr>
          <w:p w:rsidR="00D365CF" w:rsidRPr="00357A78" w:rsidRDefault="004C0B22" w:rsidP="0086232B">
            <w:pPr>
              <w:pStyle w:val="Normal6"/>
              <w:rPr>
                <w:szCs w:val="24"/>
              </w:rPr>
            </w:pPr>
            <w:r>
              <w:rPr>
                <w:b/>
                <w:i/>
              </w:rPr>
              <w:t>črtano</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11</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2 – odstavek 1 – točka 7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7a.</w:t>
            </w:r>
            <w:r>
              <w:rPr>
                <w:b/>
                <w:i/>
              </w:rPr>
              <w:tab/>
              <w:t>opredelitve pojmov iz Uredbe (EU) 2016/679.</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12</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1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w:t>
            </w:r>
            <w:r>
              <w:tab/>
              <w:t>Vsaka fizična ali pravna oseba lahko organu za zbiranje podatkov predloži informacije iz člena 1(1), točka (b), da so te informacije dostopne na ESAP. Ob predložitvi teh informacij fizična ali pravna oseba:</w:t>
            </w:r>
          </w:p>
        </w:tc>
        <w:tc>
          <w:tcPr>
            <w:tcW w:w="4876" w:type="dxa"/>
            <w:hideMark/>
          </w:tcPr>
          <w:p w:rsidR="00D365CF" w:rsidRPr="00357A78" w:rsidRDefault="004C0B22" w:rsidP="0086232B">
            <w:pPr>
              <w:pStyle w:val="Normal6"/>
              <w:rPr>
                <w:szCs w:val="24"/>
              </w:rPr>
            </w:pPr>
            <w:r>
              <w:t>1.</w:t>
            </w:r>
            <w:r>
              <w:tab/>
              <w:t>Vsaka fizična ali pravna oseba</w:t>
            </w:r>
            <w:r>
              <w:rPr>
                <w:b/>
                <w:i/>
              </w:rPr>
              <w:t>, ki deluje kot udeleženec na trgu EU,</w:t>
            </w:r>
            <w:r>
              <w:t xml:space="preserve"> lahko organu za zbiranje podatkov predloži informacije iz člena 1(1), točka (b), da so te informacije dostopne na ESAP. Ob predložitvi teh informacij fizična ali pravna oseba:</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13</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1 – točka a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(ca)</w:t>
            </w:r>
            <w:r>
              <w:rPr>
                <w:b/>
                <w:i/>
              </w:rPr>
              <w:tab/>
              <w:t>po možnosti zagotovi, da se vse prostovoljno predložene informacije predložijo v obliki, določeni v obstoječih predlogah za zadevni zakonodajni akt;</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14</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1 – točka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(d)</w:t>
            </w:r>
            <w:r>
              <w:tab/>
              <w:t>zagotovi, da osebni podatki niso vključeni, razen kadar so</w:t>
            </w:r>
            <w:r>
              <w:rPr>
                <w:b/>
                <w:i/>
              </w:rPr>
              <w:t xml:space="preserve"> osebni podatki</w:t>
            </w:r>
            <w:r>
              <w:t xml:space="preserve"> nujni element informacij o njenih gospodarskih dejavnostih.</w:t>
            </w:r>
          </w:p>
        </w:tc>
        <w:tc>
          <w:tcPr>
            <w:tcW w:w="4876" w:type="dxa"/>
            <w:hideMark/>
          </w:tcPr>
          <w:p w:rsidR="00D365CF" w:rsidRPr="00357A78" w:rsidRDefault="004C0B22" w:rsidP="0086232B">
            <w:pPr>
              <w:pStyle w:val="Normal6"/>
              <w:rPr>
                <w:szCs w:val="24"/>
              </w:rPr>
            </w:pPr>
            <w:r>
              <w:t>(d)</w:t>
            </w:r>
            <w:r>
              <w:tab/>
            </w:r>
            <w:r>
              <w:rPr>
                <w:b/>
                <w:i/>
              </w:rPr>
              <w:t>v skladu z načelom najmanjšega obsega podatkov</w:t>
            </w:r>
            <w:r>
              <w:t xml:space="preserve"> zagotovi, da osebni podatki niso vključeni, razen kadar so nujni element informacij o njenih gospodarskih dejavnostih.</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15</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2 – točka c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(ca)</w:t>
            </w:r>
            <w:r>
              <w:rPr>
                <w:b/>
                <w:i/>
              </w:rPr>
              <w:tab/>
              <w:t>standarde za organe za zbiranje podatkov, da lahko izpolnijo svoje obveznosti iz člena 5(2), točki (b) in (ba).</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16</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2 – pododstavek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 xml:space="preserve">Skupni odbor evropskih nadzornih organov predloži ta osnutek izvedbenih tehničnih standardov Komisiji do [UP: prosimo vstavite datum </w:t>
            </w:r>
            <w:r>
              <w:rPr>
                <w:b/>
                <w:i/>
              </w:rPr>
              <w:t>tri leta</w:t>
            </w:r>
            <w:r>
              <w:t xml:space="preserve"> po začetku veljavnosti].</w:t>
            </w:r>
          </w:p>
        </w:tc>
        <w:tc>
          <w:tcPr>
            <w:tcW w:w="4876" w:type="dxa"/>
            <w:hideMark/>
          </w:tcPr>
          <w:p w:rsidR="00D365CF" w:rsidRPr="00357A78" w:rsidRDefault="004C0B22" w:rsidP="0086232B">
            <w:pPr>
              <w:pStyle w:val="Normal6"/>
              <w:rPr>
                <w:szCs w:val="24"/>
              </w:rPr>
            </w:pPr>
            <w:r>
              <w:t>Skupni odbor evropskih nadzornih organov predloži ta osnutek izvedbenih tehničnih standardov Komisiji do [UP: prosimo</w:t>
            </w:r>
            <w:r>
              <w:rPr>
                <w:b/>
                <w:i/>
              </w:rPr>
              <w:t>,</w:t>
            </w:r>
            <w:r>
              <w:t xml:space="preserve"> vstavite datum </w:t>
            </w:r>
            <w:r>
              <w:rPr>
                <w:b/>
                <w:i/>
              </w:rPr>
              <w:t>dve leti</w:t>
            </w:r>
            <w:r>
              <w:t xml:space="preserve"> po začetku veljavnosti].</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3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3a.</w:t>
            </w:r>
            <w:r>
              <w:rPr>
                <w:b/>
                <w:i/>
              </w:rPr>
              <w:tab/>
              <w:t>Subjekti, ki organu za zbiranje podatkov prostovoljno predložijo informacije, ravnajo v dobri veri in poskrbijo, da so pravilne, točne ter da se razkrijejo na jasen in nezavajajoč način.</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3 – odstavek 3 b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3b.</w:t>
            </w:r>
            <w:r>
              <w:rPr>
                <w:b/>
                <w:i/>
              </w:rPr>
              <w:tab/>
              <w:t>Informacije, ki se prostovoljno predložijo organu za zbiranje podatkov, se predstavijo tako, da jih lahko uporabniki ločijo od informacij, ki se zbirajo obvezno.</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19</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4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ESMA na spletnem portalu iz člena 7(1), točka (a), objavi seznam organov za zbiranje podatkov z informacijami o enotnem naslovu vira (URL) vsakega organa za zbiranje podatkov.</w:t>
            </w:r>
          </w:p>
        </w:tc>
        <w:tc>
          <w:tcPr>
            <w:tcW w:w="4876" w:type="dxa"/>
            <w:hideMark/>
          </w:tcPr>
          <w:p w:rsidR="00D365CF" w:rsidRPr="00357A78" w:rsidRDefault="004C0B22" w:rsidP="0086232B">
            <w:pPr>
              <w:pStyle w:val="Normal6"/>
              <w:rPr>
                <w:szCs w:val="24"/>
              </w:rPr>
            </w:pPr>
            <w:r>
              <w:t xml:space="preserve">ESMA na spletnem portalu iz člena 7(1), točka (a), objavi seznam organov za zbiranje podatkov z informacijami o </w:t>
            </w:r>
            <w:r>
              <w:rPr>
                <w:b/>
                <w:i/>
              </w:rPr>
              <w:t xml:space="preserve">imenu, naslovu, matični državi članici in </w:t>
            </w:r>
            <w:r>
              <w:t>enotnem naslovu vira (URL) vsakega organa za zbiranje podatkov.</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20</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1 – točka b – točka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(ii)</w:t>
            </w:r>
            <w:r>
              <w:tab/>
              <w:t xml:space="preserve">metapodatki, kot so opredeljeni v skladu z odstavkom 6, točka (d), so na voljo in so </w:t>
            </w:r>
            <w:r>
              <w:rPr>
                <w:b/>
                <w:i/>
              </w:rPr>
              <w:t>popolni</w:t>
            </w:r>
            <w:r>
              <w:t>;</w:t>
            </w:r>
          </w:p>
        </w:tc>
        <w:tc>
          <w:tcPr>
            <w:tcW w:w="4876" w:type="dxa"/>
            <w:hideMark/>
          </w:tcPr>
          <w:p w:rsidR="00D365CF" w:rsidRPr="00357A78" w:rsidRDefault="004C0B22" w:rsidP="0086232B">
            <w:pPr>
              <w:pStyle w:val="Normal6"/>
              <w:rPr>
                <w:szCs w:val="24"/>
              </w:rPr>
            </w:pPr>
            <w:r>
              <w:t>(ii)</w:t>
            </w:r>
            <w:r>
              <w:tab/>
              <w:t>metapodatki, kot so opredeljeni v skladu z odstavkom 6, točka (d), so na voljo</w:t>
            </w:r>
            <w:r>
              <w:rPr>
                <w:b/>
                <w:i/>
              </w:rPr>
              <w:t>, so popolni</w:t>
            </w:r>
            <w:r>
              <w:t xml:space="preserve"> in </w:t>
            </w:r>
            <w:r>
              <w:rPr>
                <w:b/>
                <w:i/>
              </w:rPr>
              <w:t xml:space="preserve">se hranijo le toliko časa, dokler </w:t>
            </w:r>
            <w:r>
              <w:t xml:space="preserve">so </w:t>
            </w:r>
            <w:r>
              <w:rPr>
                <w:b/>
                <w:i/>
              </w:rPr>
              <w:t>shranjene informacije, na katere se nanašajo</w:t>
            </w:r>
            <w:r>
              <w:t>;</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1 – točka f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(f)</w:t>
            </w:r>
            <w:r>
              <w:tab/>
              <w:t xml:space="preserve">zagotavljajo, da so informacije iz člena 1(1) ESAP na voljo vsaj 10 let, razen če je v pravnih aktih iz člena 1(1), točka (a), določeno drugače. Osebni podatki v informacijah, predloženih v skladu s členom 1(1), se ne hranijo </w:t>
            </w:r>
            <w:r>
              <w:rPr>
                <w:b/>
                <w:i/>
              </w:rPr>
              <w:t>in</w:t>
            </w:r>
            <w:r>
              <w:t xml:space="preserve"> dajejo na voljo več kot pet let, razen če je v pravnih aktih iz člena 1(1), točka (a), določeno drugače.</w:t>
            </w:r>
          </w:p>
        </w:tc>
        <w:tc>
          <w:tcPr>
            <w:tcW w:w="4876" w:type="dxa"/>
            <w:hideMark/>
          </w:tcPr>
          <w:p w:rsidR="00D365CF" w:rsidRPr="00357A78" w:rsidRDefault="004C0B22" w:rsidP="0086232B">
            <w:pPr>
              <w:pStyle w:val="Normal6"/>
              <w:rPr>
                <w:szCs w:val="24"/>
              </w:rPr>
            </w:pPr>
            <w:r>
              <w:t>(f)</w:t>
            </w:r>
            <w:r>
              <w:tab/>
              <w:t xml:space="preserve">zagotavljajo, da so informacije iz člena 1(1) ESAP na voljo vsaj 10 let, razen če je v pravnih aktih iz člena 1(1), točka (a), določeno drugače. Osebni podatki v informacijah, predloženih v skladu s členom 1(1), se ne hranijo </w:t>
            </w:r>
            <w:r>
              <w:rPr>
                <w:b/>
                <w:i/>
              </w:rPr>
              <w:t>dlje, kot je potrebno, v nobenem primeru pa se ne</w:t>
            </w:r>
            <w:r>
              <w:t xml:space="preserve"> dajejo na voljo več kot pet let, razen če je v pravnih aktih iz člena 1(1), točka (a), določeno drugače.</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22</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2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2.</w:t>
            </w:r>
            <w:r>
              <w:tab/>
              <w:t>Organi za zbiranje podatkov zavrnejo informacije, ki jih predložijo subjekti, v vsakem od naslednjih primerov:</w:t>
            </w:r>
          </w:p>
        </w:tc>
        <w:tc>
          <w:tcPr>
            <w:tcW w:w="4876" w:type="dxa"/>
            <w:hideMark/>
          </w:tcPr>
          <w:p w:rsidR="00D365CF" w:rsidRPr="00357A78" w:rsidRDefault="004C0B22" w:rsidP="0086232B">
            <w:pPr>
              <w:pStyle w:val="Normal6"/>
              <w:rPr>
                <w:szCs w:val="24"/>
              </w:rPr>
            </w:pPr>
            <w:r>
              <w:t>2.</w:t>
            </w:r>
            <w:r>
              <w:tab/>
              <w:t xml:space="preserve">Organi za zbiranje podatkov </w:t>
            </w:r>
            <w:r>
              <w:rPr>
                <w:b/>
                <w:i/>
              </w:rPr>
              <w:t xml:space="preserve">so pooblaščeni, da lahko pregledajo in </w:t>
            </w:r>
            <w:r>
              <w:t>zavrnejo informacije, ki jih predložijo subjekti, v vsakem od naslednjih primerov:</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2 – točka b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(ba)</w:t>
            </w:r>
            <w:r>
              <w:rPr>
                <w:b/>
                <w:i/>
              </w:rPr>
              <w:tab/>
              <w:t>kadar je očitno, da subjekti ne izpolnjujejo svojih zahtev za predložitev osebnih podatkov, kot je določeno v členu 3(1)(d) in členu 3(3).</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4.</w:t>
            </w:r>
            <w:r>
              <w:tab/>
              <w:t>Subjekti zagotovijo točnost informacij, ki jih predložijo organom za zbiranje podatkov.</w:t>
            </w:r>
          </w:p>
        </w:tc>
        <w:tc>
          <w:tcPr>
            <w:tcW w:w="4876" w:type="dxa"/>
            <w:hideMark/>
          </w:tcPr>
          <w:p w:rsidR="00D365CF" w:rsidRPr="00357A78" w:rsidRDefault="004C0B22" w:rsidP="0086232B">
            <w:pPr>
              <w:pStyle w:val="Normal6"/>
              <w:rPr>
                <w:szCs w:val="24"/>
              </w:rPr>
            </w:pPr>
            <w:r>
              <w:t>4.</w:t>
            </w:r>
            <w:r>
              <w:tab/>
              <w:t xml:space="preserve">Subjekti zagotovijo </w:t>
            </w:r>
            <w:r>
              <w:rPr>
                <w:b/>
                <w:i/>
              </w:rPr>
              <w:t xml:space="preserve">kakovost, popolnost in </w:t>
            </w:r>
            <w:r>
              <w:t>točnost informacij, ki jih predložijo organom za zbiranje podatkov.</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5 – odstavek 6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tcPr>
          <w:p w:rsidR="00D365CF" w:rsidRPr="00357A78" w:rsidRDefault="00D365CF" w:rsidP="0086232B">
            <w:pPr>
              <w:pStyle w:val="Normal6"/>
            </w:pPr>
          </w:p>
        </w:tc>
        <w:tc>
          <w:tcPr>
            <w:tcW w:w="4876" w:type="dxa"/>
            <w:hideMark/>
          </w:tcPr>
          <w:p w:rsidR="00D365CF" w:rsidRPr="00357A78" w:rsidRDefault="004C0B22" w:rsidP="0086232B">
            <w:pPr>
              <w:pStyle w:val="Normal6"/>
              <w:rPr>
                <w:szCs w:val="24"/>
              </w:rPr>
            </w:pPr>
            <w:r>
              <w:rPr>
                <w:b/>
                <w:i/>
              </w:rPr>
              <w:t>6a.</w:t>
            </w:r>
            <w:r>
              <w:rPr>
                <w:b/>
                <w:i/>
              </w:rPr>
              <w:tab/>
              <w:t>Skupni odbor evropskih nadzornih organov zasnuje postopke, ki naj bi olajšali sodelovanje med organi za zbiranje podatkov in subjekti, zlasti v zvezi s predložitvijo in umikom prostovoljno predloženih informacij, po potrebi vključno z ustreznimi predlogami. Pri pripravi teh postopkov upošteva zlasti potrebe malih in srednjih podjetij.</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6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ESMA vzpostavi učinkovito in sorazmerno politiko za varnost IT za ESAP ter zagotovi ustrezne ravni avtentičnosti, razpoložljivosti, integritete in nezatajljivosti informacij, ki so dostopne na ESAP, in varstva osebnih podatkov.</w:t>
            </w:r>
          </w:p>
        </w:tc>
        <w:tc>
          <w:tcPr>
            <w:tcW w:w="4876" w:type="dxa"/>
            <w:hideMark/>
          </w:tcPr>
          <w:p w:rsidR="00D365CF" w:rsidRPr="00357A78" w:rsidRDefault="004C0B22" w:rsidP="0086232B">
            <w:pPr>
              <w:pStyle w:val="Normal6"/>
              <w:rPr>
                <w:szCs w:val="24"/>
              </w:rPr>
            </w:pPr>
            <w:r>
              <w:t xml:space="preserve">ESMA vzpostavi učinkovito in sorazmerno politiko za varnost IT za ESAP ter zagotovi ustrezne ravni avtentičnosti, razpoložljivosti, integritete in nezatajljivosti informacij, ki so dostopne na ESAP, in varstva osebnih podatkov. </w:t>
            </w:r>
            <w:r>
              <w:rPr>
                <w:b/>
                <w:i/>
              </w:rPr>
              <w:t>ESMA poleg tega izvaja redne preglede politike za varnost IT in stanja ESAP na področju kibernetske varnosti, pri tem pa upošteva razvijajoče se evropske in mednarodne trende in najnovejši razvoj dogodkov na področju kibernetske varnosti.</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7 – odstavek 1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(a)</w:t>
            </w:r>
            <w:r>
              <w:tab/>
              <w:t>spletni portal z uporabnikom prijaznim vmesnikom v vseh uradnih jezikih Unije, da se zagotovi dostop do informacij na ESAP;</w:t>
            </w:r>
          </w:p>
        </w:tc>
        <w:tc>
          <w:tcPr>
            <w:tcW w:w="4876" w:type="dxa"/>
            <w:hideMark/>
          </w:tcPr>
          <w:p w:rsidR="00D365CF" w:rsidRPr="00357A78" w:rsidRDefault="004C0B22" w:rsidP="0086232B">
            <w:pPr>
              <w:pStyle w:val="Normal6"/>
              <w:rPr>
                <w:szCs w:val="24"/>
              </w:rPr>
            </w:pPr>
            <w:r>
              <w:t>(a)</w:t>
            </w:r>
            <w:r>
              <w:tab/>
              <w:t>spletni portal z uporabnikom prijaznim vmesnikom</w:t>
            </w:r>
            <w:r>
              <w:rPr>
                <w:b/>
                <w:i/>
              </w:rPr>
              <w:t>, pri čemer morajo biti upoštevane posebne potrebe invalidov pri dostopu,</w:t>
            </w:r>
            <w:r>
              <w:t xml:space="preserve"> v vseh uradnih jezikih Unije, da se zagotovi dostop do informacij na ESAP;</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7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2.</w:t>
            </w:r>
            <w:r>
              <w:tab/>
              <w:t>ESMA zagotovi, da ESAP zagotavlja funkcionalnosti iz odstavka 1, točke (e) in (g), do 31. decembra 2025.</w:t>
            </w:r>
          </w:p>
        </w:tc>
        <w:tc>
          <w:tcPr>
            <w:tcW w:w="4876" w:type="dxa"/>
            <w:hideMark/>
          </w:tcPr>
          <w:p w:rsidR="00D365CF" w:rsidRPr="00357A78" w:rsidRDefault="004C0B22" w:rsidP="0086232B">
            <w:pPr>
              <w:pStyle w:val="Normal6"/>
              <w:rPr>
                <w:szCs w:val="24"/>
              </w:rPr>
            </w:pPr>
            <w:r>
              <w:t>2.</w:t>
            </w:r>
            <w:r>
              <w:tab/>
              <w:t xml:space="preserve">ESMA zagotovi, da ESAP zagotavlja funkcionalnosti iz odstavka 1, točke (e) in (g), do 31. decembra 2025. </w:t>
            </w:r>
            <w:r>
              <w:rPr>
                <w:b/>
                <w:i/>
              </w:rPr>
              <w:t>ESMA uvede ustrezne tehnične in organizacijske ukrepe, s katerimi prepreči, da bi se prek storitve prenosa in API pretirano razkrivali osebni podatki. ESMA poleg tega poskrbi za dodatne zaščitne ukrepe za primere, ko pri storitvah prenosa in API pride do razkritja posebej občutljivih osebnih podatkov, na primer informacij o upravnih ukrepih ali drugih kaznih fizičnih oseb.</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7 – odstavek 3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3.</w:t>
            </w:r>
            <w:r>
              <w:tab/>
              <w:t>Funkcija iskanja iz odstavka 1, točka (c), omogoča iskanje na podlagi naslednjih metapodatkov:</w:t>
            </w:r>
          </w:p>
        </w:tc>
        <w:tc>
          <w:tcPr>
            <w:tcW w:w="4876" w:type="dxa"/>
            <w:hideMark/>
          </w:tcPr>
          <w:p w:rsidR="00D365CF" w:rsidRPr="00357A78" w:rsidRDefault="004C0B22" w:rsidP="0086232B">
            <w:pPr>
              <w:pStyle w:val="Normal6"/>
              <w:rPr>
                <w:szCs w:val="24"/>
              </w:rPr>
            </w:pPr>
            <w:r>
              <w:t>3.</w:t>
            </w:r>
            <w:r>
              <w:tab/>
              <w:t xml:space="preserve">Funkcija iskanja iz odstavka 1, točka (c), omogoča iskanje na podlagi </w:t>
            </w:r>
            <w:r>
              <w:rPr>
                <w:b/>
                <w:i/>
              </w:rPr>
              <w:t xml:space="preserve">vsaj </w:t>
            </w:r>
            <w:r>
              <w:t>naslednjih metapodatkov:</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8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w:t>
            </w:r>
            <w:r>
              <w:tab/>
              <w:t>ESMA</w:t>
            </w:r>
            <w:r>
              <w:rPr>
                <w:b/>
                <w:i/>
              </w:rPr>
              <w:t xml:space="preserve"> zagotovi</w:t>
            </w:r>
            <w:r>
              <w:t xml:space="preserve">, da se dostop do ESAP </w:t>
            </w:r>
            <w:r>
              <w:rPr>
                <w:b/>
                <w:i/>
              </w:rPr>
              <w:t>zagotovi</w:t>
            </w:r>
            <w:r>
              <w:t xml:space="preserve"> brez diskriminacije.</w:t>
            </w:r>
          </w:p>
        </w:tc>
        <w:tc>
          <w:tcPr>
            <w:tcW w:w="4876" w:type="dxa"/>
            <w:hideMark/>
          </w:tcPr>
          <w:p w:rsidR="00D365CF" w:rsidRPr="00357A78" w:rsidRDefault="004C0B22" w:rsidP="0086232B">
            <w:pPr>
              <w:pStyle w:val="Normal6"/>
              <w:rPr>
                <w:szCs w:val="24"/>
              </w:rPr>
            </w:pPr>
            <w:r>
              <w:t>1.</w:t>
            </w:r>
            <w:r>
              <w:tab/>
              <w:t>ESMA</w:t>
            </w:r>
            <w:r>
              <w:rPr>
                <w:b/>
                <w:i/>
              </w:rPr>
              <w:t> poskrbi</w:t>
            </w:r>
            <w:r>
              <w:t xml:space="preserve">, da se </w:t>
            </w:r>
            <w:r>
              <w:rPr>
                <w:b/>
                <w:i/>
              </w:rPr>
              <w:t xml:space="preserve">za spodbujanje preglednosti in nemotenega delovanja evropskih kapitalskih trgov </w:t>
            </w:r>
            <w:r>
              <w:t xml:space="preserve">dostop do ESAP </w:t>
            </w:r>
            <w:r>
              <w:rPr>
                <w:b/>
                <w:i/>
              </w:rPr>
              <w:t>zagotavlja</w:t>
            </w:r>
            <w:r>
              <w:t xml:space="preserve"> brez diskriminacije.</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8 – odstavek 4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4.</w:t>
            </w:r>
            <w:r>
              <w:tab/>
              <w:t xml:space="preserve">Za namene odstavka 2, drugi pododstavek, </w:t>
            </w:r>
            <w:r>
              <w:rPr>
                <w:b/>
                <w:i/>
              </w:rPr>
              <w:t xml:space="preserve">lahko </w:t>
            </w:r>
            <w:r>
              <w:t>ESMA pripravi osnutek izvedbenih tehničnih standardov, da se določijo narava in obseg specifičnih storitev, za katere se lahko zaračunavajo pristojbine, ter s tem povezana struktura pristojbin.</w:t>
            </w:r>
          </w:p>
        </w:tc>
        <w:tc>
          <w:tcPr>
            <w:tcW w:w="4876" w:type="dxa"/>
            <w:hideMark/>
          </w:tcPr>
          <w:p w:rsidR="00D365CF" w:rsidRPr="00357A78" w:rsidRDefault="004C0B22" w:rsidP="0086232B">
            <w:pPr>
              <w:pStyle w:val="Normal6"/>
              <w:rPr>
                <w:szCs w:val="24"/>
              </w:rPr>
            </w:pPr>
            <w:r>
              <w:t>4.</w:t>
            </w:r>
            <w:r>
              <w:tab/>
              <w:t>Za namene odstavka 2, drugi pododstavek, ESMA pripravi osnutek izvedbenih tehničnih standardov, da se določijo narava in obseg specifičnih storitev, za katere se lahko zaračunavajo pristojbine, ter s tem povezana struktura pristojbin.</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10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1.</w:t>
            </w:r>
            <w:r>
              <w:tab/>
              <w:t>ESMA izvaja avtomatizirano preverjanje skladnosti informacij, ki jih predložijo organi za zbiranje podatkov, z zahtevami iz člena 5(1), točka (b).</w:t>
            </w:r>
          </w:p>
        </w:tc>
        <w:tc>
          <w:tcPr>
            <w:tcW w:w="4876" w:type="dxa"/>
            <w:hideMark/>
          </w:tcPr>
          <w:p w:rsidR="00D365CF" w:rsidRPr="00357A78" w:rsidRDefault="004C0B22" w:rsidP="0086232B">
            <w:pPr>
              <w:pStyle w:val="Normal6"/>
              <w:rPr>
                <w:szCs w:val="24"/>
              </w:rPr>
            </w:pPr>
            <w:r>
              <w:t>1.</w:t>
            </w:r>
            <w:r>
              <w:tab/>
              <w:t xml:space="preserve">ESMA izvaja </w:t>
            </w:r>
            <w:r>
              <w:rPr>
                <w:b/>
                <w:i/>
              </w:rPr>
              <w:t xml:space="preserve">(po možnosti </w:t>
            </w:r>
            <w:r>
              <w:t>avtomatizirano</w:t>
            </w:r>
            <w:r>
              <w:rPr>
                <w:b/>
                <w:i/>
              </w:rPr>
              <w:t>)</w:t>
            </w:r>
            <w:r>
              <w:t xml:space="preserve"> preverjanje skladnosti informacij, ki jih predložijo organi za zbiranje podatkov, z zahtevami iz člena 5(1), točka (b).</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11 – odstavek 1 – točka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(c)</w:t>
            </w:r>
            <w:r>
              <w:tab/>
              <w:t xml:space="preserve">zagotavlja, da je ESAP na voljo </w:t>
            </w:r>
            <w:r>
              <w:rPr>
                <w:b/>
                <w:i/>
              </w:rPr>
              <w:t>vsaj 95 % časa na mesec</w:t>
            </w:r>
            <w:r>
              <w:t>;</w:t>
            </w:r>
          </w:p>
        </w:tc>
        <w:tc>
          <w:tcPr>
            <w:tcW w:w="4876" w:type="dxa"/>
            <w:hideMark/>
          </w:tcPr>
          <w:p w:rsidR="00D365CF" w:rsidRPr="00357A78" w:rsidRDefault="004C0B22" w:rsidP="0086232B">
            <w:pPr>
              <w:pStyle w:val="Normal6"/>
              <w:rPr>
                <w:szCs w:val="24"/>
              </w:rPr>
            </w:pPr>
            <w:r>
              <w:t>(c)</w:t>
            </w:r>
            <w:r>
              <w:tab/>
              <w:t>zagotavlja, da je ESAP na voljo</w:t>
            </w:r>
            <w:r>
              <w:rPr>
                <w:b/>
                <w:i/>
              </w:rPr>
              <w:t>, razen med obdobji potrebnega tehničnega vzdrževanja</w:t>
            </w:r>
            <w:r>
              <w:t>;</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11 – odstavek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3.</w:t>
            </w:r>
            <w:r>
              <w:tab/>
              <w:t>ESMA ne sme hraniti informacij, ki vsebujejo osebne podatke, vendar jih lahko avtomatsko, v vmesni fazi in prehodno obdeluje ter shranjuje, če je to nujno potrebno za zagotovitev dostopa do informacij, ki jih zagotovijo organi za zbiranje podatkov.</w:t>
            </w:r>
          </w:p>
        </w:tc>
        <w:tc>
          <w:tcPr>
            <w:tcW w:w="4876" w:type="dxa"/>
            <w:hideMark/>
          </w:tcPr>
          <w:p w:rsidR="00D365CF" w:rsidRPr="00357A78" w:rsidRDefault="004C0B22" w:rsidP="0086232B">
            <w:pPr>
              <w:pStyle w:val="Normal6"/>
              <w:rPr>
                <w:szCs w:val="24"/>
              </w:rPr>
            </w:pPr>
            <w:r>
              <w:t>3.</w:t>
            </w:r>
            <w:r>
              <w:tab/>
              <w:t xml:space="preserve">ESMA ne sme hraniti informacij, ki vsebujejo osebne podatke, vendar jih lahko avtomatsko, v vmesni fazi in prehodno obdeluje ter shranjuje, če je to nujno potrebno za zagotovitev dostopa do informacij, ki jih zagotovijo organi za zbiranje podatkov. </w:t>
            </w:r>
            <w:r>
              <w:rPr>
                <w:b/>
                <w:i/>
              </w:rPr>
              <w:t>ESMA poleg tega sprejme ustrezne tehnične in organizacijske ukrepe, s katerimi poskrbi, da se informacije ne hranijo ali dajejo na voljo dlje časa, kot je določeno v členu 5(1), točka (f), predloga.</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12 – odstavek 2 – točka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(a)</w:t>
            </w:r>
            <w:r>
              <w:tab/>
              <w:t>število obiskovalcev in iskanj;</w:t>
            </w:r>
          </w:p>
        </w:tc>
        <w:tc>
          <w:tcPr>
            <w:tcW w:w="4876" w:type="dxa"/>
            <w:hideMark/>
          </w:tcPr>
          <w:p w:rsidR="00D365CF" w:rsidRPr="00357A78" w:rsidRDefault="004C0B22" w:rsidP="0086232B">
            <w:pPr>
              <w:pStyle w:val="Normal6"/>
              <w:rPr>
                <w:szCs w:val="24"/>
              </w:rPr>
            </w:pPr>
            <w:r>
              <w:t>(a)</w:t>
            </w:r>
            <w:r>
              <w:tab/>
              <w:t>število obiskovalcev</w:t>
            </w:r>
            <w:r>
              <w:rPr>
                <w:b/>
                <w:i/>
              </w:rPr>
              <w:t>, vključno s posameznimi obiskovalci,</w:t>
            </w:r>
            <w:r>
              <w:t xml:space="preserve"> in iskanj;</w:t>
            </w:r>
          </w:p>
        </w:tc>
      </w:tr>
    </w:tbl>
    <w:p w:rsidR="00D365CF" w:rsidRPr="00357A78" w:rsidRDefault="004C0B22" w:rsidP="00D365CF">
      <w:r>
        <w:rPr>
          <w:rStyle w:val="HideTWBExt"/>
        </w:rPr>
        <w:t>&lt;/Amend&gt;</w:t>
      </w:r>
    </w:p>
    <w:p w:rsidR="00D365CF" w:rsidRPr="00357A78" w:rsidRDefault="004C0B22" w:rsidP="00D365CF">
      <w:pPr>
        <w:pStyle w:val="AmNumberTabs"/>
      </w:pPr>
      <w:r>
        <w:rPr>
          <w:rStyle w:val="HideTWBExt"/>
          <w:b w:val="0"/>
        </w:rPr>
        <w:t>&lt;Amend&gt;</w:t>
      </w:r>
      <w:r>
        <w:t>Predlog spremembe</w:t>
      </w:r>
      <w:r>
        <w:tab/>
      </w:r>
      <w:r>
        <w:tab/>
      </w:r>
      <w:r>
        <w:rPr>
          <w:rStyle w:val="HideTWBExt"/>
          <w:b w:val="0"/>
        </w:rPr>
        <w:t>&lt;NumAm&gt;</w:t>
      </w:r>
      <w:r>
        <w:t>36</w:t>
      </w:r>
      <w:r>
        <w:rPr>
          <w:rStyle w:val="HideTWBExt"/>
          <w:b w:val="0"/>
        </w:rPr>
        <w:t>&lt;/NumAm&gt;</w:t>
      </w:r>
    </w:p>
    <w:p w:rsidR="00D365CF" w:rsidRPr="00357A78" w:rsidRDefault="00D365CF" w:rsidP="00D365CF"/>
    <w:p w:rsidR="00D365CF" w:rsidRPr="00357A78" w:rsidRDefault="004C0B22" w:rsidP="00D365CF">
      <w:pPr>
        <w:pStyle w:val="NormalBold"/>
        <w:keepNext/>
      </w:pPr>
      <w:r>
        <w:rPr>
          <w:rStyle w:val="HideTWBExt"/>
          <w:b w:val="0"/>
        </w:rPr>
        <w:t>&lt;DocAmend&gt;</w:t>
      </w:r>
      <w:r>
        <w:t>Predlog uredbe</w:t>
      </w:r>
      <w:r>
        <w:rPr>
          <w:rStyle w:val="HideTWBExt"/>
          <w:b w:val="0"/>
        </w:rPr>
        <w:t>&lt;/DocAmend&gt;</w:t>
      </w:r>
    </w:p>
    <w:p w:rsidR="00D365CF" w:rsidRPr="00357A78" w:rsidRDefault="004C0B22" w:rsidP="00D365CF">
      <w:pPr>
        <w:pStyle w:val="NormalBold"/>
      </w:pPr>
      <w:r>
        <w:rPr>
          <w:rStyle w:val="HideTWBExt"/>
          <w:b w:val="0"/>
        </w:rPr>
        <w:t>&lt;Article&gt;</w:t>
      </w:r>
      <w:r>
        <w:t>Člen 13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F9C" w:rsidTr="0086232B">
        <w:trPr>
          <w:jc w:val="center"/>
        </w:trPr>
        <w:tc>
          <w:tcPr>
            <w:tcW w:w="9752" w:type="dxa"/>
            <w:gridSpan w:val="2"/>
          </w:tcPr>
          <w:p w:rsidR="00D365CF" w:rsidRPr="00357A78" w:rsidRDefault="00D365CF" w:rsidP="0086232B">
            <w:pPr>
              <w:keepNext/>
            </w:pPr>
          </w:p>
        </w:tc>
      </w:tr>
      <w:tr w:rsidR="00940F9C" w:rsidTr="0086232B">
        <w:trPr>
          <w:jc w:val="center"/>
        </w:trPr>
        <w:tc>
          <w:tcPr>
            <w:tcW w:w="4876" w:type="dxa"/>
            <w:hideMark/>
          </w:tcPr>
          <w:p w:rsidR="00D365CF" w:rsidRPr="00357A78" w:rsidRDefault="004C0B22" w:rsidP="0086232B">
            <w:pPr>
              <w:pStyle w:val="ColumnHeading"/>
              <w:keepNext/>
            </w:pPr>
            <w:r>
              <w:t>Besedilo, ki ga predlaga Komisija</w:t>
            </w:r>
          </w:p>
        </w:tc>
        <w:tc>
          <w:tcPr>
            <w:tcW w:w="4876" w:type="dxa"/>
            <w:hideMark/>
          </w:tcPr>
          <w:p w:rsidR="00D365CF" w:rsidRPr="00357A78" w:rsidRDefault="004C0B22" w:rsidP="0086232B">
            <w:pPr>
              <w:pStyle w:val="ColumnHeading"/>
              <w:keepNext/>
            </w:pPr>
            <w:r>
              <w:t>Predlog spremembe</w:t>
            </w:r>
          </w:p>
        </w:tc>
      </w:tr>
      <w:tr w:rsidR="00940F9C" w:rsidTr="0086232B">
        <w:trPr>
          <w:jc w:val="center"/>
        </w:trPr>
        <w:tc>
          <w:tcPr>
            <w:tcW w:w="4876" w:type="dxa"/>
            <w:hideMark/>
          </w:tcPr>
          <w:p w:rsidR="00D365CF" w:rsidRPr="00357A78" w:rsidRDefault="004C0B22" w:rsidP="0086232B">
            <w:pPr>
              <w:pStyle w:val="Normal6"/>
            </w:pPr>
            <w:r>
              <w:t>Komisija do [Urad za publikacije: vstavite datum 5 let po začetku veljavnosti te uredbe] pregleda delovanje ESAP in oceni njegovo učinkovitost. Komisija Evropskemu parlamentu in Svetu poroča o rezultatih tega pregleda.</w:t>
            </w:r>
          </w:p>
        </w:tc>
        <w:tc>
          <w:tcPr>
            <w:tcW w:w="4876" w:type="dxa"/>
            <w:hideMark/>
          </w:tcPr>
          <w:p w:rsidR="00D365CF" w:rsidRPr="00357A78" w:rsidRDefault="004C0B22" w:rsidP="0086232B">
            <w:pPr>
              <w:pStyle w:val="Normal6"/>
              <w:rPr>
                <w:szCs w:val="24"/>
              </w:rPr>
            </w:pPr>
            <w:r>
              <w:t xml:space="preserve">Komisija do [Urad za publikacije: vstavite datum 5 let po začetku veljavnosti te uredbe] pregleda delovanje ESAP in oceni njegovo učinkovitost. </w:t>
            </w:r>
            <w:r>
              <w:rPr>
                <w:b/>
                <w:i/>
              </w:rPr>
              <w:t xml:space="preserve">Pregledu se priloži pregled obstoječih podatkovnih vrzeli v ESAP in strategija za njihovo odpravo. Vključuje lahko tudi oceno učinka te uredbe na tržni položaj subjektov. </w:t>
            </w:r>
            <w:r>
              <w:t>Komisija Evropskemu parlamentu in Svetu poroča o rezultatih tega pregleda.</w:t>
            </w:r>
          </w:p>
        </w:tc>
      </w:tr>
    </w:tbl>
    <w:p w:rsidR="00D365CF" w:rsidRPr="00357A78" w:rsidRDefault="004C0B22" w:rsidP="00D365CF">
      <w:r>
        <w:rPr>
          <w:rStyle w:val="HideTWBExt"/>
        </w:rPr>
        <w:t>&lt;/Amend&gt;</w:t>
      </w:r>
    </w:p>
    <w:p w:rsidR="00D365CF" w:rsidRPr="00357A78" w:rsidRDefault="00D365CF" w:rsidP="00D365CF">
      <w:pPr>
        <w:rPr>
          <w:rStyle w:val="HideTWBExt"/>
          <w:noProof w:val="0"/>
          <w:szCs w:val="20"/>
        </w:rPr>
      </w:pPr>
    </w:p>
    <w:p w:rsidR="000C1918" w:rsidRPr="00357A78" w:rsidRDefault="004C0B22" w:rsidP="000C1918">
      <w:r>
        <w:rPr>
          <w:rStyle w:val="HideTWBExt"/>
        </w:rPr>
        <w:t>&lt;/RepeatBlock-Amend&gt;</w:t>
      </w:r>
    </w:p>
    <w:p w:rsidR="000B3E58" w:rsidRPr="00357A78" w:rsidRDefault="004C0B22" w:rsidP="000B3E58">
      <w:r>
        <w:br w:type="page"/>
      </w:r>
    </w:p>
    <w:p w:rsidR="000B3E58" w:rsidRPr="00357A78" w:rsidRDefault="004C0B22" w:rsidP="000B3E58">
      <w:pPr>
        <w:pStyle w:val="PageHeadingNotTOC"/>
      </w:pPr>
      <w:bookmarkStart w:id="4" w:name="ProcPageAD"/>
      <w:r>
        <w:t xml:space="preserve">POSTOPEK V ODBORU, ZAPROŠENEM ZA MNENJE </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spacing w:before="20" w:after="40"/>
              <w:rPr>
                <w:b/>
                <w:sz w:val="20"/>
              </w:rPr>
            </w:pPr>
            <w:r>
              <w:rPr>
                <w:b/>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Vzpostavitev evropske enotne točke dostopa, ki zagotavlja centraliziran dostop do javno dostopnih informacij, pomembnih za finančne storitve, kapitalske trge in trajnostnost</w:t>
            </w:r>
          </w:p>
        </w:tc>
      </w:tr>
      <w:tr w:rsidR="00940F9C" w:rsidTr="00C56F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spacing w:before="20" w:after="40"/>
              <w:rPr>
                <w:b/>
                <w:sz w:val="20"/>
              </w:rPr>
            </w:pPr>
            <w:r>
              <w:rPr>
                <w:b/>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COM(2021)0723 – C9-0434/2021 – 2021/0378(COD)</w:t>
            </w:r>
          </w:p>
        </w:tc>
      </w:tr>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B3E58" w:rsidRPr="00C56F17" w:rsidRDefault="004C0B22">
            <w:pPr>
              <w:autoSpaceDE w:val="0"/>
              <w:autoSpaceDN w:val="0"/>
              <w:adjustRightInd w:val="0"/>
              <w:rPr>
                <w:b/>
                <w:bCs/>
                <w:color w:val="000000"/>
                <w:sz w:val="20"/>
                <w:szCs w:val="20"/>
              </w:rPr>
            </w:pPr>
            <w:r>
              <w:rPr>
                <w:b/>
                <w:sz w:val="20"/>
              </w:rPr>
              <w:t>Pristojni odbor</w:t>
            </w:r>
          </w:p>
          <w:p w:rsidR="000B3E58" w:rsidRPr="00C56F17" w:rsidRDefault="004C0B22">
            <w:pPr>
              <w:autoSpaceDE w:val="0"/>
              <w:autoSpaceDN w:val="0"/>
              <w:adjustRightInd w:val="0"/>
              <w:rPr>
                <w:color w:val="000000"/>
                <w:sz w:val="20"/>
                <w:szCs w:val="20"/>
              </w:rPr>
            </w:pPr>
            <w:r>
              <w:rPr>
                <w:color w:val="000000"/>
                <w:sz w:val="20"/>
              </w:rPr>
              <w:t xml:space="preserve"> </w:t>
            </w:r>
            <w:r>
              <w:rPr>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B3E58" w:rsidRPr="00357A78" w:rsidRDefault="004C0B22">
            <w:pPr>
              <w:autoSpaceDE w:val="0"/>
              <w:autoSpaceDN w:val="0"/>
              <w:adjustRightInd w:val="0"/>
              <w:rPr>
                <w:color w:val="000000"/>
                <w:sz w:val="20"/>
                <w:szCs w:val="20"/>
              </w:rPr>
            </w:pPr>
            <w:r>
              <w:rPr>
                <w:color w:val="000000"/>
                <w:sz w:val="20"/>
              </w:rPr>
              <w:t>ECON</w:t>
            </w:r>
          </w:p>
          <w:p w:rsidR="000B3E58" w:rsidRPr="00357A78" w:rsidRDefault="004C0B22">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357A78"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B3E58" w:rsidRPr="00357A78" w:rsidRDefault="000B3E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B3E58" w:rsidRPr="00357A78" w:rsidRDefault="000B3E58">
            <w:pPr>
              <w:autoSpaceDE w:val="0"/>
              <w:autoSpaceDN w:val="0"/>
              <w:adjustRightInd w:val="0"/>
              <w:rPr>
                <w:rFonts w:ascii="sans-serif" w:hAnsi="sans-serif" w:cs="sans-serif"/>
                <w:color w:val="000000"/>
              </w:rPr>
            </w:pPr>
          </w:p>
        </w:tc>
      </w:tr>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426"/>
              </w:tabs>
              <w:spacing w:before="20" w:after="40"/>
              <w:rPr>
                <w:sz w:val="20"/>
              </w:rPr>
            </w:pPr>
            <w:r>
              <w:rPr>
                <w:b/>
                <w:sz w:val="20"/>
              </w:rPr>
              <w:t>Mnenje pripravil</w:t>
            </w:r>
            <w:r>
              <w:rPr>
                <w:sz w:val="20"/>
              </w:rPr>
              <w:br/>
            </w:r>
            <w:r>
              <w:rPr>
                <w:sz w:val="20"/>
              </w:rPr>
              <w:tab/>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LIBE</w:t>
            </w:r>
          </w:p>
          <w:p w:rsidR="00C56F17" w:rsidRPr="00357A78" w:rsidRDefault="004C0B22" w:rsidP="00C56F17">
            <w:pPr>
              <w:autoSpaceDE w:val="0"/>
              <w:autoSpaceDN w:val="0"/>
              <w:adjustRightInd w:val="0"/>
              <w:rPr>
                <w:color w:val="000000"/>
                <w:sz w:val="20"/>
                <w:szCs w:val="20"/>
              </w:rPr>
            </w:pPr>
            <w:r>
              <w:rPr>
                <w:color w:val="000000"/>
                <w:sz w:val="20"/>
              </w:rPr>
              <w:t>14.2.2022</w:t>
            </w:r>
          </w:p>
        </w:tc>
      </w:tr>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426"/>
              </w:tabs>
              <w:spacing w:before="20" w:after="40"/>
              <w:rPr>
                <w:b/>
                <w:sz w:val="20"/>
              </w:rPr>
            </w:pPr>
            <w:r>
              <w:rPr>
                <w:b/>
                <w:sz w:val="20"/>
              </w:rPr>
              <w:t>Pripravljavec/-ka mnenja</w:t>
            </w:r>
            <w:r>
              <w:rPr>
                <w:b/>
                <w:sz w:val="20"/>
              </w:rPr>
              <w:br/>
            </w:r>
            <w:r>
              <w:rPr>
                <w:sz w:val="20"/>
              </w:rPr>
              <w:tab/>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Emil Radev</w:t>
            </w:r>
          </w:p>
          <w:p w:rsidR="00C56F17" w:rsidRPr="00357A78" w:rsidRDefault="004C0B22" w:rsidP="00C56F17">
            <w:pPr>
              <w:autoSpaceDE w:val="0"/>
              <w:autoSpaceDN w:val="0"/>
              <w:adjustRightInd w:val="0"/>
              <w:rPr>
                <w:color w:val="000000"/>
                <w:sz w:val="20"/>
                <w:szCs w:val="20"/>
              </w:rPr>
            </w:pPr>
            <w:r>
              <w:rPr>
                <w:color w:val="000000"/>
                <w:sz w:val="20"/>
              </w:rPr>
              <w:t>30.5.2022</w:t>
            </w:r>
          </w:p>
        </w:tc>
      </w:tr>
      <w:tr w:rsidR="00940F9C" w:rsidTr="00674CA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vAlign w:val="center"/>
          </w:tcPr>
          <w:p w:rsidR="00C56F17" w:rsidRPr="00C56F17" w:rsidRDefault="004C0B22" w:rsidP="00C56F17">
            <w:pPr>
              <w:tabs>
                <w:tab w:val="left" w:pos="426"/>
              </w:tabs>
              <w:spacing w:before="20" w:after="40"/>
              <w:rPr>
                <w:b/>
                <w:sz w:val="20"/>
              </w:rPr>
            </w:pPr>
            <w:r>
              <w:rPr>
                <w:b/>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r>
      <w:tr w:rsidR="00940F9C" w:rsidTr="00C56F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426"/>
              </w:tabs>
              <w:spacing w:before="20" w:after="40"/>
              <w:rPr>
                <w:b/>
                <w:sz w:val="20"/>
              </w:rPr>
            </w:pPr>
            <w:r>
              <w:rPr>
                <w:b/>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56F17" w:rsidRPr="00357A78" w:rsidRDefault="00C56F17" w:rsidP="00C56F17">
            <w:pPr>
              <w:autoSpaceDE w:val="0"/>
              <w:autoSpaceDN w:val="0"/>
              <w:adjustRightInd w:val="0"/>
              <w:rPr>
                <w:rFonts w:ascii="sans-serif" w:hAnsi="sans-serif" w:cs="sans-serif"/>
                <w:color w:val="000000"/>
              </w:rPr>
            </w:pPr>
          </w:p>
        </w:tc>
      </w:tr>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709"/>
              </w:tabs>
              <w:spacing w:before="20" w:after="40"/>
              <w:rPr>
                <w:b/>
                <w:sz w:val="20"/>
              </w:rPr>
            </w:pPr>
            <w:r>
              <w:rPr>
                <w:b/>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w:t>
            </w:r>
          </w:p>
          <w:p w:rsidR="00C56F17" w:rsidRPr="00357A78" w:rsidRDefault="004C0B22" w:rsidP="00C56F17">
            <w:pPr>
              <w:autoSpaceDE w:val="0"/>
              <w:autoSpaceDN w:val="0"/>
              <w:adjustRightInd w:val="0"/>
              <w:rPr>
                <w:color w:val="000000"/>
                <w:sz w:val="20"/>
                <w:szCs w:val="20"/>
              </w:rPr>
            </w:pPr>
            <w:r>
              <w:rPr>
                <w:color w:val="000000"/>
                <w:sz w:val="20"/>
              </w:rPr>
              <w:t>–:</w:t>
            </w:r>
          </w:p>
          <w:p w:rsidR="00C56F17" w:rsidRPr="00357A78" w:rsidRDefault="004C0B22" w:rsidP="00C56F17">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59</w:t>
            </w:r>
          </w:p>
          <w:p w:rsidR="00C56F17" w:rsidRPr="00357A78" w:rsidRDefault="004C0B22" w:rsidP="00C56F17">
            <w:pPr>
              <w:autoSpaceDE w:val="0"/>
              <w:autoSpaceDN w:val="0"/>
              <w:adjustRightInd w:val="0"/>
              <w:rPr>
                <w:color w:val="000000"/>
                <w:sz w:val="20"/>
                <w:szCs w:val="20"/>
              </w:rPr>
            </w:pPr>
            <w:r>
              <w:rPr>
                <w:color w:val="000000"/>
                <w:sz w:val="20"/>
              </w:rPr>
              <w:t>0</w:t>
            </w:r>
          </w:p>
          <w:p w:rsidR="00C56F17" w:rsidRPr="00357A78" w:rsidRDefault="004C0B22" w:rsidP="00C56F17">
            <w:pPr>
              <w:autoSpaceDE w:val="0"/>
              <w:autoSpaceDN w:val="0"/>
              <w:adjustRightInd w:val="0"/>
              <w:rPr>
                <w:color w:val="000000"/>
                <w:sz w:val="20"/>
                <w:szCs w:val="20"/>
              </w:rPr>
            </w:pPr>
            <w:r>
              <w:rPr>
                <w:color w:val="000000"/>
                <w:sz w:val="20"/>
              </w:rPr>
              <w:t>3</w:t>
            </w:r>
          </w:p>
        </w:tc>
      </w:tr>
      <w:tr w:rsidR="00940F9C" w:rsidTr="00C56F1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709"/>
              </w:tabs>
              <w:spacing w:before="20" w:after="40"/>
              <w:rPr>
                <w:b/>
                <w:sz w:val="20"/>
              </w:rPr>
            </w:pPr>
            <w:r>
              <w:rPr>
                <w:b/>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Abir Al-Sahlani, Malik Azmani, Vladimír Bilčík, Malin Björk, Vasile Blaga, Patrick Breyer, Saskia Bricmont, Joachim Stanisław Brudziński, Jorge Buxadé Villalba, Patricia Chagnon, Clare Daly, Lena Düpont, Lucia Ďuriš Nicholsonová, Laura Ferrara, Andrzej Halicki, Evin Incir, Sophia in ‘t Veld, Patryk Jaki, Marina Kaljurand, Fabienne Keller, Łukasz Kohut, Moritz Körner, Alice Kuhnke, Jeroen Lenaers, Juan Fernando López Aguilar, Lukas Mandl, Erik Marquardt, Nadine Morano, Javier Moreno Sánchez, Theresa Muigg, Maite Pagazaurtundúa, Paulo Rangel, Karlo Ressler, Isabel Santos, Birgit Sippel, Sara Skyttedal, Vincenzo Sofo, Tineke Strik, Ramona Strugariu, Yana Toom, Milan Uhrík, Tom Vandendriessche, Elena Jončeva (Elena Yoncheva)</w:t>
            </w:r>
          </w:p>
        </w:tc>
      </w:tr>
      <w:tr w:rsidR="00940F9C" w:rsidTr="00C56F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709"/>
              </w:tabs>
              <w:spacing w:before="20" w:after="40"/>
              <w:rPr>
                <w:b/>
                <w:sz w:val="20"/>
              </w:rPr>
            </w:pPr>
            <w:r>
              <w:rPr>
                <w:b/>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Lukas Furlas (Loucas Fourlas), Beata Kempa, Ondřej Kovařík, Alessandra Mussolini, Matjaž Nemec, Sira Rego, Thijs Reuten, Domènec Ruiz Devesa, Loránt Vincze, Peter Vitanov (Petar Vitanov), Tomáš Zdechovský</w:t>
            </w:r>
          </w:p>
        </w:tc>
      </w:tr>
      <w:tr w:rsidR="00940F9C" w:rsidTr="00C56F1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6F17" w:rsidRPr="00C56F17" w:rsidRDefault="004C0B22" w:rsidP="00C56F17">
            <w:pPr>
              <w:tabs>
                <w:tab w:val="left" w:pos="709"/>
              </w:tabs>
              <w:spacing w:before="20" w:after="40"/>
              <w:rPr>
                <w:b/>
                <w:sz w:val="20"/>
              </w:rPr>
            </w:pPr>
            <w:r>
              <w:rPr>
                <w:b/>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56F17" w:rsidRPr="00357A78" w:rsidRDefault="004C0B22" w:rsidP="00C56F17">
            <w:pPr>
              <w:autoSpaceDE w:val="0"/>
              <w:autoSpaceDN w:val="0"/>
              <w:adjustRightInd w:val="0"/>
              <w:rPr>
                <w:color w:val="000000"/>
                <w:sz w:val="20"/>
                <w:szCs w:val="20"/>
              </w:rPr>
            </w:pPr>
            <w:r>
              <w:rPr>
                <w:color w:val="000000"/>
                <w:sz w:val="20"/>
              </w:rPr>
              <w:t>Asim Ademov, Gunnar Beck, Isabel Benjumea Benjumea, Marian-Jean Marinescu, René Repasi, Antonio Maria Rinaldi, Mounir Satouri, Jörgen Warborn</w:t>
            </w:r>
          </w:p>
        </w:tc>
      </w:tr>
    </w:tbl>
    <w:p w:rsidR="000B3E58" w:rsidRPr="00357A78" w:rsidRDefault="000B3E58" w:rsidP="000B3E58"/>
    <w:bookmarkEnd w:id="4"/>
    <w:p w:rsidR="000B3E58" w:rsidRPr="00357A78" w:rsidRDefault="000B3E58" w:rsidP="000B3E58">
      <w:pPr>
        <w:sectPr w:rsidR="000B3E58" w:rsidRPr="00357A78" w:rsidSect="00357A7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56F17" w:rsidRPr="009F0FC9" w:rsidRDefault="004C0B22" w:rsidP="00C56F17">
      <w:pPr>
        <w:jc w:val="center"/>
        <w:outlineLvl w:val="0"/>
        <w:rPr>
          <w:rFonts w:ascii="Arial" w:hAnsi="Arial" w:cs="Arial"/>
          <w:b/>
        </w:rPr>
      </w:pPr>
      <w:bookmarkStart w:id="5" w:name="RollCallPageAD"/>
      <w:r>
        <w:rPr>
          <w:rFonts w:ascii="Arial" w:hAnsi="Arial"/>
          <w:b/>
        </w:rPr>
        <w:t>POIMENSKO GLASOVANJE PRI KONČNEM GLASOVANJU</w:t>
      </w:r>
    </w:p>
    <w:p w:rsidR="000B3E58" w:rsidRPr="00357A78" w:rsidRDefault="004C0B22" w:rsidP="00C56F17">
      <w:pPr>
        <w:pStyle w:val="PageHeadingNotTOC"/>
      </w:pPr>
      <w: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40F9C"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357A78" w:rsidRDefault="004C0B22">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357A78" w:rsidRDefault="004C0B22">
            <w:pPr>
              <w:pStyle w:val="RollCallSymbols14pt"/>
              <w:spacing w:line="256" w:lineRule="auto"/>
            </w:pPr>
            <w:r>
              <w:t>+</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Joachim Stanisław Brudziński, Patryk Jaki, Beata Kempa, Vincenzo Sofo</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Patricia Chagnon, Antonio Maria Rinaldi, Tom Vandendriessche</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Laura Ferrara</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Asim Ademov, Isabel Benjumea Benjumea, Vladimír Bilčík, Vasile Blaga, Lena Düpont, Lukas Furlas (Loucas Fourlas), Andrzej Halicki, Jeroen Lenaers, Lukas Mandl, Marian-Jean Marinescu, Nadine Morano, Alessandra Mussolini, Paulo Rangel, Karlo Ressler, Sara Skyttedal, Loránt Vincze, Jörgen Warborn, Tomáš Zdechovský</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Abir Al-Sahlani, Malik Azmani, Lucia Ďuriš Nicholsonová, Sophia in 't Veld, Fabienne Keller, Moritz Körner, Ondřej Kovařík, Maite Pagazaurtundúa, Ramona Strugariu, Yana Toom</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Evin Incir, Marina Kaljurand, Łukasz Kohut, Juan Fernando López Aguilar, Javier Moreno Sánchez, Theresa Muigg, Matjaž Nemec, René Repasi, Thijs Reuten, Domènec Ruiz Devesa, Isabel Santos, Birgit Sippel, Peter Vitanov (Petar Vitanov), Elena Jončeva (Elena Yoncheva)</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Malin Björk, Clare Daly, Sira Rego</w:t>
            </w:r>
          </w:p>
        </w:tc>
      </w:tr>
      <w:tr w:rsidR="00940F9C"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B3E58" w:rsidRPr="00357A78" w:rsidRDefault="004C0B22">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B3E58" w:rsidRPr="00357A78" w:rsidRDefault="004C0B22">
            <w:pPr>
              <w:pStyle w:val="RollCallTable"/>
              <w:spacing w:line="256" w:lineRule="auto"/>
            </w:pPr>
            <w:r>
              <w:t>Patrick Breyer, Saskia Bricmont, Alice Kuhnke, Erik Marquardt, Mounir Satouri, Tineke Strik</w:t>
            </w:r>
          </w:p>
        </w:tc>
      </w:tr>
    </w:tbl>
    <w:p w:rsidR="000B3E58" w:rsidRPr="00357A78" w:rsidRDefault="000B3E5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40F9C"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357A78" w:rsidRDefault="004C0B22">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357A78" w:rsidRDefault="004C0B22">
            <w:pPr>
              <w:pStyle w:val="RollCallSymbols14pt"/>
              <w:spacing w:line="256" w:lineRule="auto"/>
            </w:pPr>
            <w:r>
              <w:t>-</w:t>
            </w:r>
          </w:p>
        </w:tc>
      </w:tr>
      <w:tr w:rsidR="00940F9C"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0B3E58" w:rsidRPr="00357A78" w:rsidRDefault="000B3E58">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0B3E58" w:rsidRPr="00357A78" w:rsidRDefault="000B3E58">
            <w:pPr>
              <w:pStyle w:val="RollCallTable"/>
              <w:spacing w:line="256" w:lineRule="auto"/>
            </w:pPr>
          </w:p>
        </w:tc>
      </w:tr>
    </w:tbl>
    <w:p w:rsidR="000B3E58" w:rsidRPr="00357A78" w:rsidRDefault="000B3E58" w:rsidP="00147FBF"/>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940F9C" w:rsidTr="000B3E5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0B3E58" w:rsidRPr="00357A78" w:rsidRDefault="004C0B22">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0B3E58" w:rsidRPr="00357A78" w:rsidRDefault="004C0B22">
            <w:pPr>
              <w:pStyle w:val="RollCallSymbols14pt"/>
              <w:spacing w:line="256" w:lineRule="auto"/>
            </w:pPr>
            <w:r>
              <w:t>0</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Jorge Buxadé Villalba</w:t>
            </w:r>
          </w:p>
        </w:tc>
      </w:tr>
      <w:tr w:rsidR="00940F9C" w:rsidTr="000B3E5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0B3E58" w:rsidRPr="00357A78" w:rsidRDefault="004C0B2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0B3E58" w:rsidRPr="00357A78" w:rsidRDefault="004C0B22">
            <w:pPr>
              <w:pStyle w:val="RollCallTable"/>
              <w:spacing w:line="256" w:lineRule="auto"/>
            </w:pPr>
            <w:r>
              <w:t>Gunnar Beck</w:t>
            </w:r>
          </w:p>
        </w:tc>
      </w:tr>
      <w:tr w:rsidR="00940F9C" w:rsidTr="000B3E5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0B3E58" w:rsidRPr="00357A78" w:rsidRDefault="004C0B22">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0B3E58" w:rsidRPr="00357A78" w:rsidRDefault="004C0B22">
            <w:pPr>
              <w:pStyle w:val="RollCallTable"/>
              <w:spacing w:line="256" w:lineRule="auto"/>
            </w:pPr>
            <w:r>
              <w:t>Milan Uhrík</w:t>
            </w:r>
          </w:p>
        </w:tc>
      </w:tr>
    </w:tbl>
    <w:p w:rsidR="000B3E58" w:rsidRPr="00357A78" w:rsidRDefault="000B3E58" w:rsidP="00147FBF">
      <w:pPr>
        <w:pStyle w:val="Normal12a"/>
      </w:pPr>
    </w:p>
    <w:p w:rsidR="00C56F17" w:rsidRPr="00E74BBF" w:rsidRDefault="004C0B22" w:rsidP="00C56F17">
      <w:pPr>
        <w:pStyle w:val="Normal12"/>
        <w:spacing w:after="0"/>
        <w:rPr>
          <w:szCs w:val="24"/>
        </w:rPr>
      </w:pPr>
      <w:r>
        <w:t xml:space="preserve">Uporabljeni znaki: </w:t>
      </w:r>
    </w:p>
    <w:p w:rsidR="00C56F17" w:rsidRPr="00E74BBF" w:rsidRDefault="004C0B22" w:rsidP="00C56F17">
      <w:pPr>
        <w:pStyle w:val="Normal12"/>
        <w:tabs>
          <w:tab w:val="center" w:pos="284"/>
          <w:tab w:val="left" w:pos="426"/>
        </w:tabs>
        <w:spacing w:after="0"/>
        <w:rPr>
          <w:szCs w:val="24"/>
        </w:rPr>
      </w:pPr>
      <w:r>
        <w:t>+</w:t>
      </w:r>
      <w:r>
        <w:tab/>
        <w:t>:</w:t>
      </w:r>
      <w:r>
        <w:tab/>
        <w:t>za</w:t>
      </w:r>
    </w:p>
    <w:p w:rsidR="00C56F17" w:rsidRPr="00E74BBF" w:rsidRDefault="004C0B22" w:rsidP="00C56F17">
      <w:pPr>
        <w:pStyle w:val="Normal12"/>
        <w:tabs>
          <w:tab w:val="center" w:pos="284"/>
          <w:tab w:val="left" w:pos="426"/>
        </w:tabs>
        <w:spacing w:after="0"/>
        <w:rPr>
          <w:szCs w:val="24"/>
        </w:rPr>
      </w:pPr>
      <w:r>
        <w:t>-</w:t>
      </w:r>
      <w:r>
        <w:tab/>
        <w:t>:</w:t>
      </w:r>
      <w:r>
        <w:tab/>
        <w:t>proti</w:t>
      </w:r>
    </w:p>
    <w:p w:rsidR="00C56F17" w:rsidRPr="00E74BBF" w:rsidRDefault="004C0B22" w:rsidP="00C56F17">
      <w:pPr>
        <w:pStyle w:val="Normal12"/>
        <w:tabs>
          <w:tab w:val="center" w:pos="284"/>
          <w:tab w:val="left" w:pos="426"/>
        </w:tabs>
        <w:spacing w:after="0"/>
        <w:rPr>
          <w:szCs w:val="24"/>
        </w:rPr>
      </w:pPr>
      <w:r>
        <w:t>0</w:t>
      </w:r>
      <w:r>
        <w:tab/>
        <w:t>:</w:t>
      </w:r>
      <w:r>
        <w:tab/>
        <w:t>vzdržani</w:t>
      </w:r>
    </w:p>
    <w:p w:rsidR="000B3E58" w:rsidRPr="00357A78" w:rsidRDefault="000B3E58" w:rsidP="00207509"/>
    <w:bookmarkEnd w:id="5"/>
    <w:p w:rsidR="00DB56E4" w:rsidRPr="00357A78" w:rsidRDefault="00DB56E4" w:rsidP="000B3E58"/>
    <w:sectPr w:rsidR="00DB56E4" w:rsidRPr="00357A78" w:rsidSect="000B3E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1EB" w:rsidRDefault="004C0B22">
      <w:r>
        <w:separator/>
      </w:r>
    </w:p>
  </w:endnote>
  <w:endnote w:type="continuationSeparator" w:id="0">
    <w:p w:rsidR="003A71EB" w:rsidRDefault="004C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78" w:rsidRPr="00357A78" w:rsidRDefault="004C0B22" w:rsidP="00357A78">
    <w:pPr>
      <w:pStyle w:val="EPFooter"/>
    </w:pPr>
    <w:r w:rsidRPr="00357A78">
      <w:t>PE</w:t>
    </w:r>
    <w:r w:rsidRPr="00357A78">
      <w:rPr>
        <w:rStyle w:val="HideTWBExt"/>
      </w:rPr>
      <w:t>&lt;NoPE&gt;</w:t>
    </w:r>
    <w:r w:rsidRPr="00357A78">
      <w:t>736.586</w:t>
    </w:r>
    <w:r w:rsidRPr="00357A78">
      <w:rPr>
        <w:rStyle w:val="HideTWBExt"/>
      </w:rPr>
      <w:t>&lt;/NoPE&gt;&lt;Version&gt;</w:t>
    </w:r>
    <w:r w:rsidRPr="00357A78">
      <w:t>v02-00</w:t>
    </w:r>
    <w:r w:rsidRPr="00357A78">
      <w:rPr>
        <w:rStyle w:val="HideTWBExt"/>
      </w:rPr>
      <w:t>&lt;/Version&gt;</w:t>
    </w:r>
    <w:r w:rsidRPr="00357A78">
      <w:tab/>
    </w:r>
    <w:r w:rsidRPr="00357A78">
      <w:fldChar w:fldCharType="begin"/>
    </w:r>
    <w:r w:rsidRPr="00357A78">
      <w:instrText xml:space="preserve"> PAGE  \* MERGEFORMAT </w:instrText>
    </w:r>
    <w:r w:rsidRPr="00357A78">
      <w:fldChar w:fldCharType="separate"/>
    </w:r>
    <w:r w:rsidR="00B46298">
      <w:rPr>
        <w:noProof/>
      </w:rPr>
      <w:t>18</w:t>
    </w:r>
    <w:r w:rsidRPr="00357A78">
      <w:fldChar w:fldCharType="end"/>
    </w:r>
    <w:r w:rsidRPr="00357A78">
      <w:t>/</w:t>
    </w:r>
    <w:r w:rsidR="0044745F">
      <w:fldChar w:fldCharType="begin"/>
    </w:r>
    <w:r>
      <w:instrText xml:space="preserve"> NUMPAGES  \* MERGEFORMAT </w:instrText>
    </w:r>
    <w:r w:rsidR="0044745F">
      <w:fldChar w:fldCharType="separate"/>
    </w:r>
    <w:r w:rsidR="00B46298">
      <w:rPr>
        <w:noProof/>
      </w:rPr>
      <w:t>19</w:t>
    </w:r>
    <w:r w:rsidR="0044745F">
      <w:rPr>
        <w:noProof/>
      </w:rPr>
      <w:fldChar w:fldCharType="end"/>
    </w:r>
    <w:r w:rsidRPr="00357A78">
      <w:tab/>
    </w:r>
    <w:r w:rsidRPr="00357A78">
      <w:rPr>
        <w:rStyle w:val="HideTWBExt"/>
      </w:rPr>
      <w:t>&lt;PathFdR&gt;</w:t>
    </w:r>
    <w:r w:rsidRPr="00357A78">
      <w:t>AD\1270366SL.docx</w:t>
    </w:r>
    <w:r w:rsidRPr="00357A78">
      <w:rPr>
        <w:rStyle w:val="HideTWBExt"/>
      </w:rPr>
      <w:t>&lt;/PathFdR&gt;</w:t>
    </w:r>
  </w:p>
  <w:p w:rsidR="007F187F" w:rsidRPr="00357A78" w:rsidRDefault="004C0B22" w:rsidP="00357A78">
    <w:pPr>
      <w:pStyle w:val="EPFooter2"/>
    </w:pPr>
    <w:r w:rsidRPr="00357A7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78" w:rsidRPr="00357A78" w:rsidRDefault="004C0B22" w:rsidP="00357A78">
    <w:pPr>
      <w:pStyle w:val="EPFooter"/>
    </w:pPr>
    <w:r w:rsidRPr="00357A78">
      <w:rPr>
        <w:rStyle w:val="HideTWBExt"/>
      </w:rPr>
      <w:t>&lt;PathFdR&gt;</w:t>
    </w:r>
    <w:r w:rsidRPr="00357A78">
      <w:t>AD\1270366SL.docx</w:t>
    </w:r>
    <w:r w:rsidRPr="00357A78">
      <w:rPr>
        <w:rStyle w:val="HideTWBExt"/>
      </w:rPr>
      <w:t>&lt;/PathFdR&gt;</w:t>
    </w:r>
    <w:r w:rsidRPr="00357A78">
      <w:tab/>
    </w:r>
    <w:r w:rsidRPr="00357A78">
      <w:fldChar w:fldCharType="begin"/>
    </w:r>
    <w:r w:rsidRPr="00357A78">
      <w:instrText xml:space="preserve"> PAGE  \* MERGEFORMAT </w:instrText>
    </w:r>
    <w:r w:rsidRPr="00357A78">
      <w:fldChar w:fldCharType="separate"/>
    </w:r>
    <w:r w:rsidR="00B46298">
      <w:rPr>
        <w:noProof/>
      </w:rPr>
      <w:t>17</w:t>
    </w:r>
    <w:r w:rsidRPr="00357A78">
      <w:fldChar w:fldCharType="end"/>
    </w:r>
    <w:r w:rsidRPr="00357A78">
      <w:t>/</w:t>
    </w:r>
    <w:r w:rsidR="0044745F">
      <w:fldChar w:fldCharType="begin"/>
    </w:r>
    <w:r>
      <w:instrText xml:space="preserve"> NUMPAGES  \* MERGEFORMAT </w:instrText>
    </w:r>
    <w:r w:rsidR="0044745F">
      <w:fldChar w:fldCharType="separate"/>
    </w:r>
    <w:r w:rsidR="00B46298">
      <w:rPr>
        <w:noProof/>
      </w:rPr>
      <w:t>19</w:t>
    </w:r>
    <w:r w:rsidR="0044745F">
      <w:rPr>
        <w:noProof/>
      </w:rPr>
      <w:fldChar w:fldCharType="end"/>
    </w:r>
    <w:r w:rsidRPr="00357A78">
      <w:tab/>
      <w:t>PE</w:t>
    </w:r>
    <w:r w:rsidRPr="00357A78">
      <w:rPr>
        <w:rStyle w:val="HideTWBExt"/>
      </w:rPr>
      <w:t>&lt;NoPE&gt;</w:t>
    </w:r>
    <w:r w:rsidRPr="00357A78">
      <w:t>736.586</w:t>
    </w:r>
    <w:r w:rsidRPr="00357A78">
      <w:rPr>
        <w:rStyle w:val="HideTWBExt"/>
      </w:rPr>
      <w:t>&lt;/NoPE&gt;&lt;Version&gt;</w:t>
    </w:r>
    <w:r w:rsidRPr="00357A78">
      <w:t>v02-00</w:t>
    </w:r>
    <w:r w:rsidRPr="00357A78">
      <w:rPr>
        <w:rStyle w:val="HideTWBExt"/>
      </w:rPr>
      <w:t>&lt;/Version&gt;</w:t>
    </w:r>
  </w:p>
  <w:p w:rsidR="007F187F" w:rsidRPr="00357A78" w:rsidRDefault="004C0B22" w:rsidP="00357A78">
    <w:pPr>
      <w:pStyle w:val="EPFooter2"/>
    </w:pPr>
    <w:r w:rsidRPr="00357A78">
      <w:tab/>
    </w:r>
    <w:r w:rsidRPr="00357A7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78" w:rsidRPr="00357A78" w:rsidRDefault="004C0B22" w:rsidP="00357A78">
    <w:pPr>
      <w:pStyle w:val="EPFooter"/>
    </w:pPr>
    <w:r w:rsidRPr="00357A78">
      <w:rPr>
        <w:rStyle w:val="HideTWBExt"/>
      </w:rPr>
      <w:t>&lt;PathFdR&gt;</w:t>
    </w:r>
    <w:r w:rsidRPr="00357A78">
      <w:t>AD\1270366SL.docx</w:t>
    </w:r>
    <w:r w:rsidRPr="00357A78">
      <w:rPr>
        <w:rStyle w:val="HideTWBExt"/>
      </w:rPr>
      <w:t>&lt;/PathFdR&gt;</w:t>
    </w:r>
    <w:r w:rsidRPr="00357A78">
      <w:tab/>
    </w:r>
    <w:r w:rsidRPr="00357A78">
      <w:tab/>
      <w:t>PE</w:t>
    </w:r>
    <w:r w:rsidRPr="00357A78">
      <w:rPr>
        <w:rStyle w:val="HideTWBExt"/>
      </w:rPr>
      <w:t>&lt;NoPE&gt;</w:t>
    </w:r>
    <w:r w:rsidRPr="00357A78">
      <w:t>736.586</w:t>
    </w:r>
    <w:r w:rsidRPr="00357A78">
      <w:rPr>
        <w:rStyle w:val="HideTWBExt"/>
      </w:rPr>
      <w:t>&lt;/NoPE&gt;&lt;Version&gt;</w:t>
    </w:r>
    <w:r w:rsidRPr="00357A78">
      <w:t>v02-00</w:t>
    </w:r>
    <w:r w:rsidRPr="00357A78">
      <w:rPr>
        <w:rStyle w:val="HideTWBExt"/>
      </w:rPr>
      <w:t>&lt;/Version&gt;</w:t>
    </w:r>
  </w:p>
  <w:p w:rsidR="007F187F" w:rsidRPr="00357A78" w:rsidRDefault="004C0B22" w:rsidP="00357A78">
    <w:pPr>
      <w:pStyle w:val="EPFooter2"/>
    </w:pPr>
    <w:r w:rsidRPr="00357A78">
      <w:t>SL</w:t>
    </w:r>
    <w:r w:rsidRPr="00357A78">
      <w:tab/>
    </w:r>
    <w:r w:rsidRPr="00357A78">
      <w:rPr>
        <w:b w:val="0"/>
        <w:i/>
        <w:color w:val="C0C0C0"/>
        <w:sz w:val="22"/>
      </w:rPr>
      <w:t>Združena v raznolikosti</w:t>
    </w:r>
    <w:r w:rsidRPr="00357A7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1EB" w:rsidRDefault="004C0B22">
      <w:r>
        <w:separator/>
      </w:r>
    </w:p>
  </w:footnote>
  <w:footnote w:type="continuationSeparator" w:id="0">
    <w:p w:rsidR="003A71EB" w:rsidRDefault="004C0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F17" w:rsidRDefault="00C56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F17" w:rsidRDefault="00C56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F17" w:rsidRDefault="00C56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Consolidate" w:val="True"/>
    <w:docVar w:name="CopyToNetwork"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10362 HideTWBExt;}{_x000d__x000a_\s18\ql \li0\ri0\sa120\nowidctlpar\wrapdefault\aspalpha\aspnum\faauto\adjustright\rin0\lin0\itap0 \rtlch\fcs1 \af0\afs20\alang1025 \ltrch\fcs0 \fs24\lang2057\langfe2057\cgrid\langnp2057\langfenp2057 \sbasedon0 \snext18 \spriority0 \styrsid8810362 _x000d__x000a_Normal6a;}{\s19\ql \li0\ri0\nowidctlpar\wrapdefault\aspalpha\aspnum\faauto\adjustright\rin0\lin0\itap0 \rtlch\fcs1 \af0\afs20\alang1025 \ltrch\fcs0 \b\fs24\lang2057\langfe2057\cgrid\langnp2057\langfenp2057 \sbasedon0 \snext19 \spriority0 \styrsid8810362 _x000d__x000a_NormalBold;}{\*\cs20 \additive \v\f1\fs20\cf15 \spriority0 \styrsid8810362 HideTWBInt;}{\s21\qc \li0\ri0\sa240\nowidctlpar\wrapdefault\aspalpha\aspnum\faauto\adjustright\rin0\lin0\itap0 \rtlch\fcs1 \af0\afs20\alang1025 \ltrch\fcs0 _x000d__x000a_\i\fs24\lang2057\langfe2057\cgrid\langnp2057\langfenp2057 \sbasedon0 \snext21 \spriority0 \styrsid881036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810362 AmNumberTabs;}{\s23\ql \li0\ri0\sb240\nowidctlpar\wrapdefault\aspalpha\aspnum\faauto\adjustright\rin0\lin0\itap0 \rtlch\fcs1 _x000d__x000a_\af0\afs20\alang1025 \ltrch\fcs0 \b\fs24\lang2057\langfe2057\cgrid\langnp2057\langfenp2057 \sbasedon0 \snext23 \spriority0 \styrsid8810362 NormalBold12b;}}{\*\rsidtbl \rsid24658\rsid223860\rsid735077\rsid1718133\rsid2892074\rsid3565327\rsid4666813_x000d__x000a_\rsid6641733\rsid7823322\rsid8810362\rsid9636012\rsid10377208\rsid11215221\rsid11549030\rsid12154954\rsid14382809\rsid14424199\rsid15204470\rsid15285974\rsid15950462\rsid16324206\rsid1647737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31}{\nofchars175}{\nofcharsws2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10362\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6477376 \chftnsep _x000d__x000a_\par }}{\*\ftnsepc \ltrpar \pard\plain \ltrpar\ql \li0\ri0\widctlpar\wrapdefault\aspalpha\aspnum\faauto\adjustright\rin0\lin0\itap0 \rtlch\fcs1 \af0\afs20\alang1025 \ltrch\fcs0 \fs24\lang2057\langfe2057\cgrid\langnp2057\langfenp2057 {\rtlch\fcs1 \af0 _x000d__x000a_\ltrch\fcs0 \insrsid16477376 \chftnsepc _x000d__x000a_\par }}{\*\aftnsep \ltrpar \pard\plain \ltrpar\ql \li0\ri0\widctlpar\wrapdefault\aspalpha\aspnum\faauto\adjustright\rin0\lin0\itap0 \rtlch\fcs1 \af0\afs20\alang1025 \ltrch\fcs0 \fs24\lang2057\langfe2057\cgrid\langnp2057\langfenp2057 {\rtlch\fcs1 \af0 _x000d__x000a_\ltrch\fcs0 \insrsid16477376 \chftnsep _x000d__x000a_\par }}{\*\aftnsepc \ltrpar \pard\plain \ltrpar\ql \li0\ri0\widctlpar\wrapdefault\aspalpha\aspnum\faauto\adjustright\rin0\lin0\itap0 \rtlch\fcs1 \af0\afs20\alang1025 \ltrch\fcs0 \fs24\lang2057\langfe2057\cgrid\langnp2057\langfenp2057 {\rtlch\fcs1 \af0 _x000d__x000a_\ltrch\fcs0 \insrsid164773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810362 \rtlch\fcs1 _x000d__x000a_\af0\afs20\alang1025 \ltrch\fcs0 \b\fs24\lang2057\langfe2057\cgrid\langnp2057\langfenp2057 {\rtlch\fcs1 \af0 \ltrch\fcs0 \cs17\b0\v\fs20\cf9\loch\af1\hich\af1\dbch\af31501\insrsid8810362\charrsid9057188 {\*\bkmkstart restartA}_x000d__x000a_\hich\af1\dbch\af31501\loch\f1 &lt;AmendA&gt;}{\rtlch\fcs1 \af0 \ltrch\fcs0 \insrsid8810362\charrsid9057188 Amendment\tab \tab }{\rtlch\fcs1 \af0 \ltrch\fcs0 \cs17\b0\v\fs20\cf9\loch\af1\hich\af1\dbch\af31501\insrsid8810362\charrsid9057188 _x000d__x000a_\hich\af1\dbch\af31501\loch\f1 &lt;NumAmA&gt;}{\rtlch\fcs1 \af0 \ltrch\fcs0 \insrsid8810362\charrsid9057188 #}{\rtlch\fcs1 \af1 \ltrch\fcs0 \cs20\v\f1\fs20\cf15\insrsid8810362\charrsid9057188 ENMIENDA@NRAM@}{\rtlch\fcs1 \af0 \ltrch\fcs0 _x000d__x000a_\insrsid8810362\charrsid9057188 #}{\rtlch\fcs1 \af0 \ltrch\fcs0 \cs17\b0\v\fs20\cf9\loch\af1\hich\af1\dbch\af31501\insrsid8810362\charrsid9057188 \hich\af1\dbch\af31501\loch\f1 &lt;/NumAmA&gt;}{\rtlch\fcs1 \af0 \ltrch\fcs0 \insrsid8810362\charrsid9057188 _x000d__x000a__x000d__x000a_\par }\pard\plain \ltrpar\s23\ql \li0\ri0\sb240\keepn\nowidctlpar\wrapdefault\aspalpha\aspnum\faauto\adjustright\rin0\lin0\itap0\pararsid8810362 \rtlch\fcs1 \af0\afs20\alang1025 \ltrch\fcs0 \b\fs24\lang2057\langfe2057\cgrid\langnp2057\langfenp2057 {_x000d__x000a_\rtlch\fcs1 \af0 \ltrch\fcs0 \cs17\b0\v\fs20\cf9\loch\af1\hich\af1\dbch\af31501\insrsid8810362\charrsid9057188 \hich\af1\dbch\af31501\loch\f1 &lt;DocAmend&gt;}{\rtlch\fcs1 \af0 \ltrch\fcs0 \insrsid8810362\charrsid9057188 Draft legislative resolution}{_x000d__x000a_\rtlch\fcs1 \af0 \ltrch\fcs0 \cs17\b0\v\fs20\cf9\loch\af1\hich\af1\dbch\af31501\insrsid8810362\charrsid9057188 \hich\af1\dbch\af31501\loch\f1 &lt;/DocAmend&gt;}{\rtlch\fcs1 \af0 \ltrch\fcs0 \insrsid8810362\charrsid9057188 _x000d__x000a_\par }\pard\plain \ltrpar\s19\ql \li0\ri0\nowidctlpar\wrapdefault\aspalpha\aspnum\faauto\adjustright\rin0\lin0\itap0\pararsid8810362 \rtlch\fcs1 \af0\afs20\alang1025 \ltrch\fcs0 \b\fs24\lang2057\langfe2057\cgrid\langnp2057\langfenp2057 {\rtlch\fcs1 \af0 _x000d__x000a_\ltrch\fcs0 \cs17\b0\v\fs20\cf9\loch\af1\hich\af1\dbch\af31501\insrsid8810362\charrsid9057188 \hich\af1\dbch\af31501\loch\f1 &lt;Article&gt;}{\rtlch\fcs1 \af0 \ltrch\fcs0 \cf10\insrsid8810362\charrsid4284143 \u9668\'3f}{\rtlch\fcs1 \af0 \ltrch\fcs0 _x000d__x000a_\insrsid8810362\charrsid9057188 #}{\rtlch\fcs1 \af1 \ltrch\fcs0 \cs20\v\f1\fs20\cf15\insrsid8810362\charrsid9057188 TVTRESPART@RESPART@}{\rtlch\fcs1 \af0 \ltrch\fcs0 \insrsid8810362\charrsid9057188 #}{\rtlch\fcs1 \af0 \ltrch\fcs0 _x000d__x000a_\cf10\insrsid8810362\charrsid4284143 \u9658\'3f}{\rtlch\fcs1 \af0 \ltrch\fcs0 \cs17\b0\v\fs20\cf9\loch\af1\hich\af1\dbch\af31501\insrsid8810362\charrsid9057188 \hich\af1\dbch\af31501\loch\f1 &lt;/Article&gt;}{\rtlch\fcs1 \af0 \ltrch\fcs0 _x000d__x000a_\insrsid8810362\charrsid905718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810362\charrsid9057188 \cell }\pard \ltrpar\ql \li0\ri0\widctlpar\intbl\wrapdefault\aspalpha\aspnum\faauto\adjustright\rin0\lin0 {\rtlch\fcs1 \af0 \ltrch\fcs0 _x000d__x000a_\insrsid8810362\charrsid9057188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8810362\charrsid9057188 Draft legislative resolution\cell Amendment\cell }\pard\plain \ltrpar\ql \li0\ri0\widctlpar\intbl\wrapdefault\aspalpha\aspnum\faauto\adjustright\rin0\lin0 \rtlch\fcs1 \af0\afs20\alang1025 \ltrch\fcs0 _x000d__x000a_\fs24\lang2057\langfe2057\cgrid\langnp2057\langfenp2057 {\rtlch\fcs1 \af0 \ltrch\fcs0 \insrsid8810362\charrsid90571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10362\charrsid9057188 ##\cell ##}{\rtlch\fcs1 \af0\afs24 \ltrch\fcs0 \insrsid8810362\charrsid9057188 \cell }\pard\plain \ltrpar\ql \li0\ri0\widctlpar\intbl\wrapdefault\aspalpha\aspnum\faauto\adjustright\rin0\lin0 \rtlch\fcs1 _x000d__x000a_\af0\afs20\alang1025 \ltrch\fcs0 \fs24\lang2057\langfe2057\cgrid\langnp2057\langfenp2057 {\rtlch\fcs1 \af0 \ltrch\fcs0 \insrsid8810362\charrsid90571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10362 {\rtlch\fcs1 \af0 \ltrch\fcs0 \cs17\v\fs20\cf9\loch\af1\hich\af1\dbch\af31501\insrsid8810362\charrsid9057188 \hich\af1\dbch\af31501\loch\f1 &lt;/AmendA&gt;}{_x000d__x000a_\rtlch\fcs1 \af0 \ltrch\fcs0 \insrsid881036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e_x000d__x000a_35e3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43613 HideTWBExt;}{_x000d__x000a_\s18\ql \li0\ri0\sa120\nowidctlpar\wrapdefault\aspalpha\aspnum\faauto\adjustright\rin0\lin0\itap0 \rtlch\fcs1 \af0\afs20\alang1025 \ltrch\fcs0 \fs24\lang2057\langfe2057\cgrid\langnp2057\langfenp2057 \sbasedon0 \snext18 \spriority0 \styrsid13443613 _x000d__x000a_Normal6a;}{\s19\ql \li0\ri0\nowidctlpar\wrapdefault\aspalpha\aspnum\faauto\adjustright\rin0\lin0\itap0 \rtlch\fcs1 \af0\afs20\alang1025 \ltrch\fcs0 \b\fs24\lang2057\langfe2057\cgrid\langnp2057\langfenp2057 \sbasedon0 \snext19 \spriority0 \styrsid13443613 _x000d__x000a_NormalBold;}{\s20\ql \li0\ri0\sa240\nowidctlpar\wrapdefault\aspalpha\aspnum\faauto\adjustright\rin0\lin0\itap0 \rtlch\fcs1 \af0\afs20\alang1025 \ltrch\fcs0 \i\fs24\lang2057\langfe2057\cgrid\langnp2057\langfenp2057 _x000d__x000a_\sbasedon0 \snext20 \spriority0 \styrsid13443613 AmJustText;}{\s21\qc \li0\ri0\sb240\sa240\nowidctlpar\wrapdefault\aspalpha\aspnum\faauto\adjustright\rin0\lin0\itap0 \rtlch\fcs1 \af0\afs20\alang1025 \ltrch\fcs0 _x000d__x000a_\i\fs24\lang2057\langfe2057\cgrid\langnp2057\langfenp2057 \sbasedon0 \snext21 \spriority0 \styrsid13443613 AmCrossRef;}{\*\cs22 \additive \v\f1\fs20\cf15 \spriority0 \styrsid13443613 HideTWBInt;}{_x000d__x000a_\s23\qc \li0\ri0\sb240\sa240\keepn\nowidctlpar\wrapdefault\aspalpha\aspnum\faauto\adjustright\rin0\lin0\itap0 \rtlch\fcs1 \af0\afs20\alang1025 \ltrch\fcs0 \i\fs24\lang2057\langfe2057\cgrid\langnp2057\langfenp2057 _x000d__x000a_\sbasedon0 \snext20 \spriority0 \styrsid13443613 AmJustTitle;}{\s24\qc \li0\ri0\sa240\nowidctlpar\wrapdefault\aspalpha\aspnum\faauto\adjustright\rin0\lin0\itap0 \rtlch\fcs1 \af0\afs20\alang1025 \ltrch\fcs0 _x000d__x000a_\i\fs24\lang2057\langfe2057\cgrid\langnp2057\langfenp2057 \sbasedon0 \snext24 \spriority0 \styrsid134436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443613 AmNumberTabs;}{\s26\ql \li0\ri0\sb240\nowidctlpar\wrapdefault\aspalpha\aspnum\faauto\adjustright\rin0\lin0\itap0 \rtlch\fcs1 _x000d__x000a_\af0\afs20\alang1025 \ltrch\fcs0 \b\fs24\lang2057\langfe2057\cgrid\langnp2057\langfenp2057 \sbasedon0 \snext26 \spriority0 \styrsid13443613 NormalBold12b;}}{\*\rsidtbl \rsid24658\rsid223860\rsid735077\rsid1718133\rsid2892074\rsid3565327\rsid4666813_x000d__x000a_\rsid6641733\rsid7823322\rsid9636012\rsid10377208\rsid11215221\rsid11549030\rsid12154954\rsid13443613\rsid14382809\rsid14424199\rsid15204470\rsid15285974\rsid15879453\rsid15950462\rsid1632420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99}{\nofchars551}{\nofcharsws64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4361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879453 \chftnsep _x000d__x000a_\par }}{\*\ftnsepc \ltrpar \pard\plain \ltrpar\ql \li0\ri0\widctlpar\wrapdefault\aspalpha\aspnum\faauto\adjustright\rin0\lin0\itap0 \rtlch\fcs1 \af0\afs20\alang1025 \ltrch\fcs0 \fs24\lang2057\langfe2057\cgrid\langnp2057\langfenp2057 {\rtlch\fcs1 \af0 _x000d__x000a_\ltrch\fcs0 \insrsid15879453 \chftnsepc _x000d__x000a_\par }}{\*\aftnsep \ltrpar \pard\plain \ltrpar\ql \li0\ri0\widctlpar\wrapdefault\aspalpha\aspnum\faauto\adjustright\rin0\lin0\itap0 \rtlch\fcs1 \af0\afs20\alang1025 \ltrch\fcs0 \fs24\lang2057\langfe2057\cgrid\langnp2057\langfenp2057 {\rtlch\fcs1 \af0 _x000d__x000a_\ltrch\fcs0 \insrsid15879453 \chftnsep _x000d__x000a_\par }}{\*\aftnsepc \ltrpar \pard\plain \ltrpar\ql \li0\ri0\widctlpar\wrapdefault\aspalpha\aspnum\faauto\adjustright\rin0\lin0\itap0 \rtlch\fcs1 \af0\afs20\alang1025 \ltrch\fcs0 \fs24\lang2057\langfe2057\cgrid\langnp2057\langfenp2057 {\rtlch\fcs1 \af0 _x000d__x000a_\ltrch\fcs0 \insrsid15879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443613 \rtlch\fcs1 _x000d__x000a_\af0\afs20\alang1025 \ltrch\fcs0 \b\fs24\lang2057\langfe2057\cgrid\langnp2057\langfenp2057 {\rtlch\fcs1 \af0 \ltrch\fcs0 \cs17\b0\v\fs20\cf9\loch\af1\hich\af1\dbch\af31501\insrsid13443613\charrsid9057188 {\*\bkmkstart restartB}_x000d__x000a_\hich\af1\dbch\af31501\loch\f1 &lt;AmendB&gt;}{\rtlch\fcs1 \af0 \ltrch\fcs0 \insrsid13443613\charrsid9057188 Amendment\tab \tab }{\rtlch\fcs1 \af0 \ltrch\fcs0 \cs17\b0\v\fs20\cf9\loch\af1\hich\af1\dbch\af31501\insrsid13443613\charrsid9057188 _x000d__x000a_\hich\af1\dbch\af31501\loch\f1 &lt;NumAmB&gt;}{\rtlch\fcs1 \af0 \ltrch\fcs0 \insrsid13443613\charrsid9057188 #}{\rtlch\fcs1 \af1 \ltrch\fcs0 \cs22\v\f1\fs20\cf15\insrsid13443613\charrsid9057188 ENMIENDA@NRAM@}{\rtlch\fcs1 \af0 \ltrch\fcs0 _x000d__x000a_\insrsid13443613\charrsid9057188 #}{\rtlch\fcs1 \af0 \ltrch\fcs0 \cs17\b0\v\fs20\cf9\loch\af1\hich\af1\dbch\af31501\insrsid13443613\charrsid9057188 \hich\af1\dbch\af31501\loch\f1 &lt;/NumAmB&gt;}{\rtlch\fcs1 \af0 \ltrch\fcs0 \insrsid13443613\charrsid9057188 _x000d__x000a__x000d__x000a_\par }\pard\plain \ltrpar\s26\ql \li0\ri0\sb240\keepn\nowidctlpar\wrapdefault\aspalpha\aspnum\faauto\adjustright\rin0\lin0\itap0\pararsid13443613 \rtlch\fcs1 \af0\afs20\alang1025 \ltrch\fcs0 \b\fs24\lang2057\langfe2057\cgrid\langnp2057\langfenp2057 {_x000d__x000a_\rtlch\fcs1 \af0 \ltrch\fcs0 \cs17\b0\v\fs20\cf9\loch\af1\hich\af1\dbch\af31501\insrsid13443613\charrsid9057188 \hich\af1\dbch\af31501\loch\f1 &lt;DocAmend&gt;}{\rtlch\fcs1 \af0 \ltrch\fcs0 \insrsid13443613\charrsid9057188 #}{\rtlch\fcs1 \af1 \ltrch\fcs0 _x000d__x000a_\cs22\v\f1\fs20\cf15\insrsid13443613\charrsid9057188 MNU[OPTPROPOSALCOD][OPTPROPOSALCNS][OPTPROPOSALNLE]@CHOICE@CODEMNU}{\rtlch\fcs1 \af0 \ltrch\fcs0 \insrsid13443613\charrsid9057188 ##}{\rtlch\fcs1 \af1 \ltrch\fcs0 _x000d__x000a_\cs22\v\f1\fs20\cf15\insrsid13443613\charrsid9057188 MNU[AMACTYES][NOTAPP]@CHOICE@AMACTMNU}{\rtlch\fcs1 \af0 \ltrch\fcs0 \insrsid13443613\charrsid9057188 #}{\rtlch\fcs1 \af0 \ltrch\fcs0 _x000d__x000a_\cs17\b0\v\fs20\cf9\loch\af1\hich\af1\dbch\af31501\insrsid13443613\charrsid9057188 \hich\af1\dbch\af31501\loch\f1 &lt;/DocAmend&gt;}{\rtlch\fcs1 \af0 \ltrch\fcs0 \insrsid13443613\charrsid9057188 _x000d__x000a_\par }\pard\plain \ltrpar\s19\ql \li0\ri0\keepn\nowidctlpar\wrapdefault\aspalpha\aspnum\faauto\adjustright\rin0\lin0\itap0\pararsid13443613 \rtlch\fcs1 \af0\afs20\alang1025 \ltrch\fcs0 \b\fs24\lang2057\langfe2057\cgrid\langnp2057\langfenp2057 {\rtlch\fcs1 _x000d__x000a_\af0 \ltrch\fcs0 \cs17\b0\v\fs20\cf9\loch\af1\hich\af1\dbch\af31501\insrsid13443613\charrsid9057188 \hich\af1\dbch\af31501\loch\f1 &lt;Article&gt;}{\rtlch\fcs1 \af0 \ltrch\fcs0 \insrsid13443613\charrsid9057188 #}{\rtlch\fcs1 \af1 \ltrch\fcs0 _x000d__x000a_\cs22\v\f1\fs20\cf15\insrsid13443613\charrsid9057188 MNU[AMACTPARTYES][AMACTPARTNO]@CHOICE@AMACTMNU}{\rtlch\fcs1 \af0 \ltrch\fcs0 \insrsid13443613\charrsid9057188 #}{\rtlch\fcs1 \af0 \ltrch\fcs0 _x000d__x000a_\cs17\b0\v\fs20\cf9\loch\af1\hich\af1\dbch\af31501\insrsid13443613\charrsid9057188 \hich\af1\dbch\af31501\loch\f1 &lt;/Article&gt;}{\rtlch\fcs1 \af0 \ltrch\fcs0 \insrsid13443613\charrsid9057188 _x000d__x000a_\par }\pard\plain \ltrpar\ql \li0\ri0\keepn\widctlpar\wrapdefault\aspalpha\aspnum\faauto\adjustright\rin0\lin0\itap0\pararsid13443613 \rtlch\fcs1 \af0\afs20\alang1025 \ltrch\fcs0 \fs24\lang2057\langfe2057\cgrid\langnp2057\langfenp2057 {\rtlch\fcs1 \af0 _x000d__x000a_\ltrch\fcs0 \cs17\v\fs20\cf9\loch\af1\hich\af1\dbch\af31501\insrsid13443613\charrsid9057188 \hich\af1\dbch\af31501\loch\f1 &lt;DocAmend2&gt;&lt;OptDel&gt;}{\rtlch\fcs1 \af0 \ltrch\fcs0 \insrsid13443613\charrsid9057188 #}{\rtlch\fcs1 \af1 \ltrch\fcs0 _x000d__x000a_\cs22\v\f1\fs20\cf15\insrsid13443613\charrsid9057188 MNU[OPTNRACTYES][NOTAPP]@CHOICE@AMACTMNU}{\rtlch\fcs1 \af0 \ltrch\fcs0 \insrsid13443613\charrsid9057188 #}{\rtlch\fcs1 \af0 \ltrch\fcs0 _x000d__x000a_\cs17\v\fs20\cf9\loch\af1\hich\af1\dbch\af31501\insrsid13443613\charrsid9057188 \hich\af1\dbch\af31501\loch\f1 &lt;/OptDel&gt;&lt;/DocAmend2&gt;}{\rtlch\fcs1 \af0 \ltrch\fcs0 \insrsid13443613\charrsid9057188 _x000d__x000a_\par }\pard \ltrpar\ql \li0\ri0\widctlpar\wrapdefault\aspalpha\aspnum\faauto\adjustright\rin0\lin0\itap0\pararsid13443613 {\rtlch\fcs1 \af0 \ltrch\fcs0 \cs17\v\fs20\cf9\loch\af1\hich\af1\dbch\af31501\insrsid13443613\charrsid9057188 _x000d__x000a_\hich\af1\dbch\af31501\loch\f1 &lt;Article2&gt;&lt;OptDel&gt;}{\rtlch\fcs1 \af0 \ltrch\fcs0 \insrsid13443613\charrsid9057188 #}{\rtlch\fcs1 \af1 \ltrch\fcs0 \cs22\v\f1\fs20\cf15\insrsid13443613\charrsid9057188 MNU[OPTACTPARTYES][NOTAPP]@CHOICE@AMACTMNU}{\rtlch\fcs1 _x000d__x000a_\af0 \ltrch\fcs0 \insrsid13443613\charrsid9057188 #}{\rtlch\fcs1 \af0 \ltrch\fcs0 \cs17\v\fs20\cf9\loch\af1\hich\af1\dbch\af31501\insrsid13443613\charrsid9057188 \hich\af1\dbch\af31501\loch\f1 &lt;/OptDel&gt;&lt;/Article2&gt;}{\rtlch\fcs1 \af0 \ltrch\fcs0 _x000d__x000a_\insrsid13443613\charrsid905718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3443613\charrsid9057188 \cell }\pard \ltrpar\ql \li0\ri0\widctlpar\intbl\wrapdefault\aspalpha\aspnum\faauto\adjustright\rin0\lin0 {\rtlch\fcs1 \af0 \ltrch\fcs0 \insrsid13443613\charrsid905718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3443613\charrsid9057188 #}{\rtlch\fcs1 \af1 \ltrch\fcs0 \cs22\v\f1\fs20\cf15\insrsid13443613\charrsid9057188 MNU[OPTLEFTAMACT][LEFTPROP]@CHOICE@AMACTMNU}{\rtlch\fcs1 \af0 \ltrch\fcs0 \insrsid13443613\charrsid9057188 #\cell Amendment\cell _x000d__x000a_}\pard\plain \ltrpar\ql \li0\ri0\widctlpar\intbl\wrapdefault\aspalpha\aspnum\faauto\adjustright\rin0\lin0 \rtlch\fcs1 \af0\afs20\alang1025 \ltrch\fcs0 \fs24\lang2057\langfe2057\cgrid\langnp2057\langfenp2057 {\rtlch\fcs1 \af0 \ltrch\fcs0 _x000d__x000a_\insrsid13443613\charrsid9057188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3443613\charrsid9057188 ##\cell ##}{\rtlch\fcs1 \af0\afs24 \ltrch\fcs0 \insrsid13443613\charrsid9057188 \cell }\pard\plain \ltrpar\ql \li0\ri0\widctlpar\intbl\wrapdefault\aspalpha\aspnum\faauto\adjustright\rin0\lin0 _x000d__x000a_\rtlch\fcs1 \af0\afs20\alang1025 \ltrch\fcs0 \fs24\lang2057\langfe2057\cgrid\langnp2057\langfenp2057 {\rtlch\fcs1 \af0 \ltrch\fcs0 \insrsid13443613\charrsid90571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443613 \rtlch\fcs1 \af0\afs20\alang1025 \ltrch\fcs0 \i\fs24\lang2057\langfe2057\cgrid\langnp2057\langfenp2057 {\rtlch\fcs1 \af0 \ltrch\fcs0 _x000d__x000a_\cs17\i0\v\fs20\cf9\loch\af1\hich\af1\dbch\af31501\insrsid13443613\charrsid9057188 \hich\af1\dbch\af31501\loch\f1 &lt;OptDel&gt;}{\rtlch\fcs1 \af0 \ltrch\fcs0 \insrsid13443613\charrsid9057188 #}{\rtlch\fcs1 \af1 \ltrch\fcs0 _x000d__x000a_\cs22\v\f1\fs20\cf15\insrsid13443613\charrsid9057188 MNU[CROSSREFNO][CROSSREFYES]@CHOICE@}{\rtlch\fcs1 \af0 \ltrch\fcs0 \insrsid13443613\charrsid9057188 #}{\rtlch\fcs1 \af0 \ltrch\fcs0 _x000d__x000a_\cs17\i0\v\fs20\cf9\loch\af1\hich\af1\dbch\af31501\insrsid13443613\charrsid9057188 \hich\af1\dbch\af31501\loch\f1 &lt;/OptDel&gt;}{\rtlch\fcs1 \af0 \ltrch\fcs0 \insrsid13443613\charrsid9057188 _x000d__x000a_\par }\pard\plain \ltrpar\s23\qc \li0\ri0\sb240\sa240\keepn\nowidctlpar\wrapdefault\aspalpha\aspnum\faauto\adjustright\rin0\lin0\itap0\pararsid13443613 \rtlch\fcs1 \af0\afs20\alang1025 \ltrch\fcs0 \i\fs24\lang2057\langfe2057\cgrid\langnp2057\langfenp2057 {_x000d__x000a_\rtlch\fcs1 \af0 \ltrch\fcs0 \cs17\i0\v\fs20\cf9\loch\af1\hich\af1\dbch\af31501\insrsid13443613\charrsid9057188 \hich\af1\dbch\af31501\loch\f1 &lt;TitreJust&gt;}{\rtlch\fcs1 \af0 \ltrch\fcs0 \insrsid13443613\charrsid9057188 Justification}{\rtlch\fcs1 \af0 _x000d__x000a_\ltrch\fcs0 \cs17\i0\v\fs20\cf9\loch\af1\hich\af1\dbch\af31501\insrsid13443613\charrsid9057188 \hich\af1\dbch\af31501\loch\f1 &lt;/TitreJust&gt;}{\rtlch\fcs1 \af0 \ltrch\fcs0 \insrsid13443613\charrsid9057188 _x000d__x000a_\par }\pard\plain \ltrpar\s20\ql \li0\ri0\sa240\nowidctlpar\wrapdefault\aspalpha\aspnum\faauto\adjustright\rin0\lin0\itap0\pararsid13443613 \rtlch\fcs1 \af0\afs20\alang1025 \ltrch\fcs0 \i\fs24\lang2057\langfe2057\cgrid\langnp2057\langfenp2057 {\rtlch\fcs1 _x000d__x000a_\af0 \ltrch\fcs0 \cs17\i0\v\fs20\cf9\loch\af1\hich\af1\dbch\af31501\insrsid13443613\charrsid9057188 \hich\af1\dbch\af31501\loch\f1 &lt;OptDelPrev&gt;}{\rtlch\fcs1 \af0 \ltrch\fcs0 \insrsid13443613\charrsid9057188 #}{\rtlch\fcs1 \af1 \ltrch\fcs0 _x000d__x000a_\cs22\v\f1\fs20\cf15\insrsid13443613\charrsid9057188 MNU[TEXTJUSTYES][TEXTJUSTNO]@CHOICE@}{\rtlch\fcs1 \af0 \ltrch\fcs0 \insrsid13443613\charrsid9057188 #}{\rtlch\fcs1 \af0 \ltrch\fcs0 _x000d__x000a_\cs17\i0\v\fs20\cf9\loch\af1\hich\af1\dbch\af31501\insrsid13443613\charrsid9057188 \hich\af1\dbch\af31501\loch\f1 &lt;/OptDelPrev&gt;}{\rtlch\fcs1 \af0 \ltrch\fcs0 \insrsid13443613\charrsid9057188 _x000d__x000a_\par }\pard\plain \ltrpar\ql \li0\ri0\widctlpar\wrapdefault\aspalpha\aspnum\faauto\adjustright\rin0\lin0\itap0\pararsid13443613 \rtlch\fcs1 \af0\afs20\alang1025 \ltrch\fcs0 \fs24\lang2057\langfe2057\cgrid\langnp2057\langfenp2057 {\rtlch\fcs1 \af0 \ltrch\fcs0 _x000d__x000a_\cs17\v\fs20\cf9\loch\af1\hich\af1\dbch\af31501\insrsid13443613\charrsid9057188 \hich\af1\dbch\af31501\loch\f1 &lt;/AmendB&gt;}{\rtlch\fcs1 \af0 \ltrch\fcs0 \insrsid134436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5_x000d__x000a_a5e5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16123 HideTWBExt;}{_x000d__x000a_\s18\ql \li0\ri0\sa120\nowidctlpar\wrapdefault\aspalpha\aspnum\faauto\adjustright\rin0\lin0\itap0 \rtlch\fcs1 \af0\afs20\alang1025 \ltrch\fcs0 \fs24\lang2057\langfe2057\cgrid\langnp2057\langfenp2057 \sbasedon0 \snext18 \spriority0 \styrsid16516123 _x000d__x000a_Normal6a;}{\s19\ql \li0\ri0\nowidctlpar\wrapdefault\aspalpha\aspnum\faauto\adjustright\rin0\lin0\itap0 \rtlch\fcs1 \af0\afs20\alang1025 \ltrch\fcs0 \b\fs24\lang2057\langfe2057\cgrid\langnp2057\langfenp2057 \sbasedon0 \snext19 \spriority0 \styrsid16516123 _x000d__x000a_NormalBold;}{\s20\qc \li0\ri0\sa240\nowidctlpar\wrapdefault\aspalpha\aspnum\faauto\adjustright\rin0\lin0\itap0 \rtlch\fcs1 \af0\afs20\alang1025 \ltrch\fcs0 \i\fs24\lang2057\langfe2057\cgrid\langnp2057\langfenp2057 _x000d__x000a_\sbasedon0 \snext20 \spriority0 \styrsid1651612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516123 AmNumberTabs;}{\s22\ql \li0\ri0\sb240\nowidctlpar\wrapdefault\aspalpha\aspnum\faauto\adjustright\rin0\lin0\itap0 \rtlch\fcs1 _x000d__x000a_\af0\afs20\alang1025 \ltrch\fcs0 \b\fs24\lang2057\langfe2057\cgrid\langnp2057\langfenp2057 \sbasedon0 \snext22 \spriority0 \styrsid16516123 NormalBold12b;}}{\*\rsidtbl \rsid24658\rsid223860\rsid735077\rsid1718133\rsid2892074\rsid3565327\rsid4666813_x000d__x000a_\rsid6641733\rsid7823322\rsid9636012\rsid10377208\rsid10637575\rsid11215221\rsid11549030\rsid12154954\rsid14382809\rsid14424199\rsid15204470\rsid15285974\rsid15950462\rsid16324206\rsid16516123\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161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637575 \chftnsep _x000d__x000a_\par }}{\*\ftnsepc \ltrpar \pard\plain \ltrpar\ql \li0\ri0\widctlpar\wrapdefault\aspalpha\aspnum\faauto\adjustright\rin0\lin0\itap0 \rtlch\fcs1 \af0\afs20\alang1025 \ltrch\fcs0 \fs24\lang2057\langfe2057\cgrid\langnp2057\langfenp2057 {\rtlch\fcs1 \af0 _x000d__x000a_\ltrch\fcs0 \insrsid10637575 \chftnsepc _x000d__x000a_\par }}{\*\aftnsep \ltrpar \pard\plain \ltrpar\ql \li0\ri0\widctlpar\wrapdefault\aspalpha\aspnum\faauto\adjustright\rin0\lin0\itap0 \rtlch\fcs1 \af0\afs20\alang1025 \ltrch\fcs0 \fs24\lang2057\langfe2057\cgrid\langnp2057\langfenp2057 {\rtlch\fcs1 \af0 _x000d__x000a_\ltrch\fcs0 \insrsid10637575 \chftnsep _x000d__x000a_\par }}{\*\aftnsepc \ltrpar \pard\plain \ltrpar\ql \li0\ri0\widctlpar\wrapdefault\aspalpha\aspnum\faauto\adjustright\rin0\lin0\itap0 \rtlch\fcs1 \af0\afs20\alang1025 \ltrch\fcs0 \fs24\lang2057\langfe2057\cgrid\langnp2057\langfenp2057 {\rtlch\fcs1 \af0 _x000d__x000a_\ltrch\fcs0 \insrsid106375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516123 \rtlch\fcs1 _x000d__x000a_\af0\afs20\alang1025 \ltrch\fcs0 \b\fs24\lang2057\langfe2057\cgrid\langnp2057\langfenp2057 {\rtlch\fcs1 \af0 \ltrch\fcs0 \cs17\b0\v\fs20\cf9\lang1024\langfe1024\loch\af1\hich\af1\dbch\af31501\noproof\insrsid16516123\charrsid15879488 {\*\bkmkstart restartA_x000d__x000a_}\hich\af1\dbch\af31501\loch\f1 &lt;AmendA&gt;}{\rtlch\fcs1 \af0 \ltrch\fcs0 \insrsid16516123\charrsid15879488 [ZAMENDMENT]\tab \tab }{\rtlch\fcs1 \af0 \ltrch\fcs0 _x000d__x000a_\cs17\b0\v\fs20\cf9\lang1024\langfe1024\loch\af1\hich\af1\dbch\af31501\noproof\insrsid16516123\charrsid15879488 \hich\af1\dbch\af31501\loch\f1 &lt;NumAmA&gt;}{\rtlch\fcs1 \af0 \ltrch\fcs0 \insrsid16516123\charrsid15879488 [ZNRAM]}{\rtlch\fcs1 \af0 \ltrch\fcs0 _x000d__x000a_\cs17\b0\v\fs20\cf9\lang1024\langfe1024\loch\af1\hich\af1\dbch\af31501\noproof\insrsid16516123\charrsid15879488 \hich\af1\dbch\af31501\loch\f1 &lt;/NumAmA&gt;}{\rtlch\fcs1 \af0 \ltrch\fcs0 \insrsid16516123\charrsid15879488 _x000d__x000a_\par }\pard\plain \ltrpar\s22\ql \li0\ri0\sb240\keepn\nowidctlpar\wrapdefault\aspalpha\aspnum\faauto\adjustright\rin0\lin0\itap0\pararsid16516123 \rtlch\fcs1 \af0\afs20\alang1025 \ltrch\fcs0 \b\fs24\lang2057\langfe2057\cgrid\langnp2057\langfenp2057 {_x000d__x000a_\rtlch\fcs1 \af0 \ltrch\fcs0 \cs17\b0\v\fs20\cf9\lang1024\langfe1024\loch\af1\hich\af1\dbch\af31501\noproof\langnp1036\insrsid16516123\charrsid11356624 \hich\af1\dbch\af31501\loch\f1 &lt;DocAmend&gt;}{\rtlch\fcs1 \af0 \ltrch\fcs0 _x000d__x000a_\lang1036\langfe2057\langnp1036\insrsid16516123\charrsid11356624 [ZRESOLUTION]}{\rtlch\fcs1 \af0 \ltrch\fcs0 \cs17\b0\v\fs20\cf9\lang1024\langfe1024\loch\af1\hich\af1\dbch\af31501\noproof\langnp1036\insrsid16516123\charrsid11356624 _x000d__x000a_\hich\af1\dbch\af31501\loch\f1 &lt;/DocAmend&gt;}{\rtlch\fcs1 \af0 \ltrch\fcs0 \lang1036\langfe2057\langnp1036\insrsid16516123\charrsid11356624 _x000d__x000a_\par }\pard\plain \ltrpar\s19\ql \li0\ri0\nowidctlpar\wrapdefault\aspalpha\aspnum\faauto\adjustright\rin0\lin0\itap0\pararsid16516123 \rtlch\fcs1 \af0\afs20\alang1025 \ltrch\fcs0 \b\fs24\lang2057\langfe2057\cgrid\langnp2057\langfenp2057 {\rtlch\fcs1 \af0 _x000d__x000a_\ltrch\fcs0 \cs17\b0\v\fs20\cf9\lang1024\langfe1024\loch\af1\hich\af1\dbch\af31501\noproof\langnp1036\insrsid16516123\charrsid11356624 \hich\af1\dbch\af31501\loch\f1 &lt;Article&gt;}{\rtlch\fcs1 \af0 \ltrch\fcs0 _x000d__x000a_\lang1036\langfe2057\langnp1036\insrsid16516123\charrsid11356624 [ZRESPART]}{\rtlch\fcs1 \af0 \ltrch\fcs0 \cs17\b0\v\fs20\cf9\lang1024\langfe1024\loch\af1\hich\af1\dbch\af31501\noproof\langnp1036\insrsid16516123\charrsid11356624 _x000d__x000a_\hich\af1\dbch\af31501\loch\f1 &lt;/Article&gt;}{\rtlch\fcs1 \af0 \ltrch\fcs0 \lang1036\langfe2057\langnp1036\insrsid1651612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516123\charrsid11356624 \cell }\pard \ltrpar_x000d__x000a_\ql \li0\ri0\widctlpar\intbl\wrapdefault\aspalpha\aspnum\faauto\adjustright\rin0\lin0 {\rtlch\fcs1 \af0 \ltrch\fcs0 \insrsid1651612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516123\charrsid15879488 [ZLEFTA]\cell [ZRIGHT]\cell }\pard\plain \ltrpar_x000d__x000a_\ql \li0\ri0\widctlpar\intbl\wrapdefault\aspalpha\aspnum\faauto\adjustright\rin0\lin0 \rtlch\fcs1 \af0\afs20\alang1025 \ltrch\fcs0 \fs24\lang2057\langfe2057\cgrid\langnp2057\langfenp2057 {\rtlch\fcs1 \af0 \ltrch\fcs0 \insrsid1651612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516123\charrsid15879488 [ZTEXTL]\cell [ZTEXTR]}{\rtlch\fcs1 \af0\afs24 \ltrch\fcs0 \insrsid16516123\charrsid15879488 \cell }\pard\plain \ltrpar\ql \li0\ri0\widctlpar\intbl\wrapdefault\aspalpha\aspnum\faauto\adjustright\rin0\lin0 \rtlch\fcs1 _x000d__x000a_\af0\afs20\alang1025 \ltrch\fcs0 \fs24\lang2057\langfe2057\cgrid\langnp2057\langfenp2057 {\rtlch\fcs1 \af0 \ltrch\fcs0 \insrsid1651612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516123 {\rtlch\fcs1 \af0 \ltrch\fcs0 \cs17\v\fs20\cf9\lang1024\langfe1024\loch\af1\hich\af1\dbch\af31501\noproof\insrsid16516123\charrsid15879488 _x000d__x000a_\hich\af1\dbch\af31501\loch\f1 &lt;/AmendA&gt;}{\rtlch\fcs1 \af0 \ltrch\fcs0 \insrsid165161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b_x000d__x000a_f2e7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14459 HideTWBExt;}{_x000d__x000a_\s18\ql \li0\ri0\sa120\nowidctlpar\wrapdefault\aspalpha\aspnum\faauto\adjustright\rin0\lin0\itap0 \rtlch\fcs1 \af0\afs20\alang1025 \ltrch\fcs0 \fs24\lang2057\langfe2057\cgrid\langnp2057\langfenp2057 \sbasedon0 \snext18 \spriority0 \styrsid15614459 _x000d__x000a_Normal6a;}{\s19\ql \li0\ri0\nowidctlpar\wrapdefault\aspalpha\aspnum\faauto\adjustright\rin0\lin0\itap0 \rtlch\fcs1 \af0\afs20\alang1025 \ltrch\fcs0 \b\fs24\lang2057\langfe2057\cgrid\langnp2057\langfenp2057 \sbasedon0 \snext19 \spriority0 \styrsid15614459 _x000d__x000a_NormalBold;}{\s20\ql \li0\ri0\sa240\nowidctlpar\wrapdefault\aspalpha\aspnum\faauto\adjustright\rin0\lin0\itap0 \rtlch\fcs1 \af0\afs20\alang1025 \ltrch\fcs0 \i\fs24\lang2057\langfe2057\cgrid\langnp2057\langfenp2057 _x000d__x000a_\sbasedon0 \snext20 \spriority0 \styrsid15614459 AmJustText;}{\s21\qc \li0\ri0\sb240\sa240\nowidctlpar\wrapdefault\aspalpha\aspnum\faauto\adjustright\rin0\lin0\itap0 \rtlch\fcs1 \af0\afs20\alang1025 \ltrch\fcs0 _x000d__x000a_\i\fs24\lang2057\langfe2057\cgrid\langnp2057\langfenp2057 \sbasedon0 \snext21 \spriority0 \styrsid15614459 AmCrossRef;}{\s22\qc \li0\ri0\sb240\sa240\keepn\nowidctlpar\wrapdefault\aspalpha\aspnum\faauto\adjustright\rin0\lin0\itap0 \rtlch\fcs1 _x000d__x000a_\af0\afs20\alang1025 \ltrch\fcs0 \i\fs24\lang2057\langfe2057\cgrid\langnp2057\langfenp2057 \sbasedon0 \snext20 \spriority0 \styrsid15614459 AmJustTitle;}{\s23\qc \li0\ri0\sa240\nowidctlpar\wrapdefault\aspalpha\aspnum\faauto\adjustright\rin0\lin0\itap0 _x000d__x000a_\rtlch\fcs1 \af0\afs20\alang1025 \ltrch\fcs0 \i\fs24\lang2057\langfe2057\cgrid\langnp2057\langfenp2057 \sbasedon0 \snext23 \spriority0 \styrsid1561445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14459 AmNumberTabs;}{\s25\ql \li0\ri0\sb240\nowidctlpar\wrapdefault\aspalpha\aspnum\faauto\adjustright\rin0\lin0\itap0 \rtlch\fcs1 _x000d__x000a_\af0\afs20\alang1025 \ltrch\fcs0 \b\fs24\lang2057\langfe2057\cgrid\langnp2057\langfenp2057 \sbasedon0 \snext25 \spriority0 \styrsid15614459 NormalBold12b;}}{\*\rsidtbl \rsid24658\rsid83923\rsid223860\rsid735077\rsid1718133\rsid2892074\rsid3565327_x000d__x000a_\rsid4666813\rsid6641733\rsid7823322\rsid9636012\rsid10377208\rsid11215221\rsid11549030\rsid12154954\rsid14382809\rsid14424199\rsid15204470\rsid15285974\rsid15614459\rsid15950462\rsid16324206\rsid16662270}{\mmathPr\mmathFont34\mbrkBin0\mbrkBinSub0_x000d__x000a_\msmallFrac0\mdispDef1\mlMargin0\mrMargin0\mdefJc1\mwrapIndent1440\mintLim0\mnaryLim1}{\info{\author LECUYER Katarzyna}{\operator LECUYER Katarzyna}{\creatim\yr2023\mo1\dy12\hr14\min43}{\revtim\yr2023\mo1\dy12\hr14\min43}{\version1}{\edmins0}{\nofpages1}_x000d__x000a_{\nofwords56}{\nofchars316}{\nofcharsws36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144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83923 \chftnsep _x000d__x000a_\par }}{\*\ftnsepc \ltrpar \pard\plain \ltrpar\ql \li0\ri0\widctlpar\wrapdefault\aspalpha\aspnum\faauto\adjustright\rin0\lin0\itap0 \rtlch\fcs1 \af0\afs20\alang1025 \ltrch\fcs0 \fs24\lang2057\langfe2057\cgrid\langnp2057\langfenp2057 {\rtlch\fcs1 \af0 _x000d__x000a_\ltrch\fcs0 \insrsid83923 \chftnsepc _x000d__x000a_\par }}{\*\aftnsep \ltrpar \pard\plain \ltrpar\ql \li0\ri0\widctlpar\wrapdefault\aspalpha\aspnum\faauto\adjustright\rin0\lin0\itap0 \rtlch\fcs1 \af0\afs20\alang1025 \ltrch\fcs0 \fs24\lang2057\langfe2057\cgrid\langnp2057\langfenp2057 {\rtlch\fcs1 \af0 _x000d__x000a_\ltrch\fcs0 \insrsid83923 \chftnsep _x000d__x000a_\par }}{\*\aftnsepc \ltrpar \pard\plain \ltrpar\ql \li0\ri0\widctlpar\wrapdefault\aspalpha\aspnum\faauto\adjustright\rin0\lin0\itap0 \rtlch\fcs1 \af0\afs20\alang1025 \ltrch\fcs0 \fs24\lang2057\langfe2057\cgrid\langnp2057\langfenp2057 {\rtlch\fcs1 \af0 _x000d__x000a_\ltrch\fcs0 \insrsid839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614459 \rtlch\fcs1 _x000d__x000a_\af0\afs20\alang1025 \ltrch\fcs0 \b\fs24\lang2057\langfe2057\cgrid\langnp2057\langfenp2057 {\rtlch\fcs1 \af0 \ltrch\fcs0 \cs17\b0\v\fs20\cf9\lang1024\langfe1024\loch\af1\hich\af1\dbch\af31501\noproof\insrsid15614459\charrsid15879488 {\*\bkmkstart restartB_x000d__x000a_}\hich\af1\dbch\af31501\loch\f1 &lt;AmendB&gt;}{\rtlch\fcs1 \af0 \ltrch\fcs0 \insrsid15614459\charrsid15879488 [ZAMENDMENT]\tab \tab }{\rtlch\fcs1 \af0 \ltrch\fcs0 _x000d__x000a_\cs17\b0\v\fs20\cf9\lang1024\langfe1024\loch\af1\hich\af1\dbch\af31501\noproof\insrsid15614459\charrsid15879488 \hich\af1\dbch\af31501\loch\f1 &lt;NumAmB&gt;}{\rtlch\fcs1 \af0 \ltrch\fcs0 \insrsid15614459\charrsid15879488 [ZNRAM]}{\rtlch\fcs1 \af0 \ltrch\fcs0 _x000d__x000a_\cs17\b0\v\fs20\cf9\lang1024\langfe1024\loch\af1\hich\af1\dbch\af31501\noproof\insrsid15614459\charrsid15879488 \hich\af1\dbch\af31501\loch\f1 &lt;/NumAmB&gt;}{\rtlch\fcs1 \af0 \ltrch\fcs0 \insrsid15614459\charrsid15879488 _x000d__x000a_\par }\pard\plain \ltrpar\s25\ql \li0\ri0\sb240\keepn\nowidctlpar\wrapdefault\aspalpha\aspnum\faauto\adjustright\rin0\lin0\itap0\pararsid15614459 \rtlch\fcs1 \af0\afs20\alang1025 \ltrch\fcs0 \b\fs24\lang2057\langfe2057\cgrid\langnp2057\langfenp2057 {_x000d__x000a_\rtlch\fcs1 \af0 \ltrch\fcs0 \cs17\b0\v\fs20\cf9\lang1024\langfe1024\loch\af1\hich\af1\dbch\af31501\noproof\insrsid15614459\charrsid15879488 \hich\af1\dbch\af31501\loch\f1 &lt;DocAmend&gt;}{\rtlch\fcs1 \af0 \ltrch\fcs0 \insrsid15614459\charrsid15879488 _x000d__x000a_[ZPROPOSAL][ZAMACT]}{\rtlch\fcs1 \af0 \ltrch\fcs0 \cs17\b0\v\fs20\cf9\lang1024\langfe1024\loch\af1\hich\af1\dbch\af31501\noproof\insrsid15614459\charrsid15879488 \hich\af1\dbch\af31501\loch\f1 &lt;/DocAmend&gt;}{\rtlch\fcs1 \af0 \ltrch\fcs0 _x000d__x000a_\insrsid15614459\charrsid15879488 _x000d__x000a_\par }\pard\plain \ltrpar\s19\ql \li0\ri0\keepn\nowidctlpar\wrapdefault\aspalpha\aspnum\faauto\adjustright\rin0\lin0\itap0\pararsid15614459 \rtlch\fcs1 \af0\afs20\alang1025 \ltrch\fcs0 \b\fs24\lang2057\langfe2057\cgrid\langnp2057\langfenp2057 {\rtlch\fcs1 _x000d__x000a_\af0 \ltrch\fcs0 \cs17\b0\v\fs20\cf9\lang1024\langfe1024\loch\af1\hich\af1\dbch\af31501\noproof\insrsid15614459\charrsid15879488 \hich\af1\dbch\af31501\loch\f1 &lt;Article&gt;}{\rtlch\fcs1 \af0 \ltrch\fcs0 \insrsid15614459\charrsid15879488 [ZAMPART]}{_x000d__x000a_\rtlch\fcs1 \af0 \ltrch\fcs0 \cs17\b0\v\fs20\cf9\lang1024\langfe1024\loch\af1\hich\af1\dbch\af31501\noproof\insrsid15614459\charrsid15879488 \hich\af1\dbch\af31501\loch\f1 &lt;/Article&gt;}{\rtlch\fcs1 \af0 \ltrch\fcs0 \insrsid15614459\charrsid15879488 _x000d__x000a_\par }\pard\plain \ltrpar\ql \li0\ri0\keepn\widctlpar\wrapdefault\aspalpha\aspnum\faauto\adjustright\rin0\lin0\itap0\pararsid15614459 \rtlch\fcs1 \af0\afs20\alang1025 \ltrch\fcs0 \fs24\lang2057\langfe2057\cgrid\langnp2057\langfenp2057 {\rtlch\fcs1 \af0 _x000d__x000a_\ltrch\fcs0 \cs17\v\fs20\cf9\lang1024\langfe1024\loch\af1\hich\af1\dbch\af31501\noproof\insrsid15614459\charrsid15879488 \hich\af1\dbch\af31501\loch\f1 &lt;DocAmend2&gt;&lt;OptDel&gt;}{\rtlch\fcs1 \af0 \ltrch\fcs0 \insrsid15614459\charrsid15879488 [ZNRACT]}{_x000d__x000a_\rtlch\fcs1 \af0 \ltrch\fcs0 \cs17\v\fs20\cf9\lang1024\langfe1024\loch\af1\hich\af1\dbch\af31501\noproof\insrsid15614459\charrsid15879488 \hich\af1\dbch\af31501\loch\f1 &lt;/OptDel&gt;&lt;/DocAmend2&gt;}{\rtlch\fcs1 \af0 \ltrch\fcs0 \insrsid15614459\charrsid15879488 _x000d__x000a__x000d__x000a_\par }\pard \ltrpar\ql \li0\ri0\widctlpar\wrapdefault\aspalpha\aspnum\faauto\adjustright\rin0\lin0\itap0\pararsid15614459 {\rtlch\fcs1 \af0 \ltrch\fcs0 _x000d__x000a_\cs17\v\fs20\cf9\lang1024\langfe1024\loch\af1\hich\af1\dbch\af31501\noproof\langnp1036\insrsid15614459\charrsid11356624 \hich\af1\dbch\af31501\loch\f1 &lt;Article2&gt;&lt;OptDel&gt;}{\rtlch\fcs1 \af0 \ltrch\fcs0 _x000d__x000a_\lang1036\langfe2057\langnp1036\insrsid15614459\charrsid11356624 [ZACTPART]}{\rtlch\fcs1 \af0 \ltrch\fcs0 \cs17\v\fs20\cf9\lang1024\langfe1024\loch\af1\hich\af1\dbch\af31501\noproof\langnp1036\insrsid15614459\charrsid11356624 _x000d__x000a_\hich\af1\dbch\af31501\loch\f1 &lt;/OptDel&gt;&lt;/Article2&gt;}{\rtlch\fcs1 \af0 \ltrch\fcs0 \lang1036\langfe2057\langnp1036\insrsid1561445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614459\charrsid11356624 \cell }\pard \ltrpar\ql \li0\ri0\widctlpar\intbl\wrapdefault\aspalpha\aspnum\faauto\adjustright\rin0\lin0 {\rtlch\fcs1 \af0 \ltrch\fcs0 \insrsid1561445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614459\charrsid15879488 [ZLEFTB]\cell [ZRIGHT]\cell }\pard\plain \ltrpar\ql \li0\ri0\widctlpar\intbl\wrapdefault\aspalpha\aspnum\faauto\adjustright\rin0\lin0 \rtlch\fcs1 \af0\afs20\alang1025 \ltrch\fcs0 _x000d__x000a_\fs24\lang2057\langfe2057\cgrid\langnp2057\langfenp2057 {\rtlch\fcs1 \af0 \ltrch\fcs0 \insrsid1561445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614459\charrsid15879488 [ZTEXTL]\cell [ZTEXTR]}{\rtlch\fcs1 \af0\afs24 \ltrch\fcs0 \insrsid15614459\charrsid15879488 \cell }\pard\plain \ltrpar\ql \li0\ri0\widctlpar\intbl\wrapdefault\aspalpha\aspnum\faauto\adjustright\rin0\lin0 \rtlch\fcs1 _x000d__x000a_\af0\afs20\alang1025 \ltrch\fcs0 \fs24\lang2057\langfe2057\cgrid\langnp2057\langfenp2057 {\rtlch\fcs1 \af0 \ltrch\fcs0 \insrsid1561445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614459 \rtlch\fcs1 \af0\afs20\alang1025 \ltrch\fcs0 \i\fs24\lang2057\langfe2057\cgrid\langnp2057\langfenp2057 {\rtlch\fcs1 \af0 \ltrch\fcs0 _x000d__x000a_\cs17\i0\v\fs20\cf9\lang1024\langfe1024\loch\af1\hich\af1\dbch\af31501\noproof\insrsid15614459\charrsid15879488 \hich\af1\dbch\af31501\loch\f1 &lt;OptDel&gt;}{\rtlch\fcs1 \af0 \ltrch\fcs0 \insrsid15614459\charrsid15879488 [ZCROSSREF]}{\rtlch\fcs1 \af0 _x000d__x000a_\ltrch\fcs0 \cs17\i0\v\fs20\cf9\lang1024\langfe1024\loch\af1\hich\af1\dbch\af31501\noproof\insrsid15614459\charrsid15879488 \hich\af1\dbch\af31501\loch\f1 &lt;/OptDel&gt;}{\rtlch\fcs1 \af0 \ltrch\fcs0 \insrsid15614459\charrsid15879488 _x000d__x000a_\par }\pard\plain \ltrpar\s22\qc \li0\ri0\sb240\sa240\keepn\nowidctlpar\wrapdefault\aspalpha\aspnum\faauto\adjustright\rin0\lin0\itap0\pararsid15614459 \rtlch\fcs1 \af0\afs20\alang1025 \ltrch\fcs0 \i\fs24\lang2057\langfe2057\cgrid\langnp2057\langfenp2057 {_x000d__x000a_\rtlch\fcs1 \af0 \ltrch\fcs0 \cs17\i0\v\fs20\cf9\lang1024\langfe1024\loch\af1\hich\af1\dbch\af31501\noproof\insrsid15614459\charrsid15879488 \hich\af1\dbch\af31501\loch\f1 &lt;TitreJust&gt;}{\rtlch\fcs1 \af0 \ltrch\fcs0 \insrsid15614459\charrsid15879488 _x000d__x000a_[ZJUSTIFICATION]}{\rtlch\fcs1 \af0 \ltrch\fcs0 \cs17\i0\v\fs20\cf9\lang1024\langfe1024\loch\af1\hich\af1\dbch\af31501\noproof\insrsid15614459\charrsid15879488 \hich\af1\dbch\af31501\loch\f1 &lt;/TitreJust&gt;}{\rtlch\fcs1 \af0 \ltrch\fcs0 _x000d__x000a_\insrsid15614459\charrsid15879488 _x000d__x000a_\par }\pard\plain \ltrpar\s20\ql \li0\ri0\sa240\nowidctlpar\wrapdefault\aspalpha\aspnum\faauto\adjustright\rin0\lin0\itap0\pararsid15614459 \rtlch\fcs1 \af0\afs20\alang1025 \ltrch\fcs0 \i\fs24\lang2057\langfe2057\cgrid\langnp2057\langfenp2057 {\rtlch\fcs1 _x000d__x000a_\af0 \ltrch\fcs0 \cs17\i0\v\fs20\cf9\lang1024\langfe1024\loch\af1\hich\af1\dbch\af31501\noproof\insrsid15614459\charrsid15879488 \hich\af1\dbch\af31501\loch\f1 &lt;OptDelPrev&gt;}{\rtlch\fcs1 \af0 \ltrch\fcs0 \insrsid15614459\charrsid15879488 [ZTEXTJUST]}{_x000d__x000a_\rtlch\fcs1 \af0 \ltrch\fcs0 \cs17\i0\v\fs20\cf9\lang1024\langfe1024\loch\af1\hich\af1\dbch\af31501\noproof\insrsid15614459\charrsid15879488 \hich\af1\dbch\af31501\loch\f1 &lt;/OptDelPrev&gt;}{\rtlch\fcs1 \af0 \ltrch\fcs0 \insrsid15614459\charrsid15879488 _x000d__x000a__x000d__x000a_\par }\pard\plain \ltrpar\ql \li0\ri0\widctlpar\wrapdefault\aspalpha\aspnum\faauto\adjustright\rin0\lin0\itap0\pararsid15614459 \rtlch\fcs1 \af0\afs20\alang1025 \ltrch\fcs0 \fs24\lang2057\langfe2057\cgrid\langnp2057\langfenp2057 {\rtlch\fcs1 \af0 \ltrch\fcs0 _x000d__x000a_\cs17\v\fs20\cf9\lang1024\langfe1024\loch\af1\hich\af1\dbch\af31501\noproof\insrsid15614459\charrsid15879488 \hich\af1\dbch\af31501\loch\f1 &lt;/AmendB&gt;}{\rtlch\fcs1 \af0 \ltrch\fcs0 \insrsid156144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f_x000d__x000a_3dea8b2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VTRESPART" w:val="xxx"/>
    <w:docVar w:name="TXTLANGUE" w:val="SL"/>
    <w:docVar w:name="TXTLANGUEMIN" w:val="sl"/>
    <w:docVar w:name="TXTNRC" w:val="0434/2021"/>
    <w:docVar w:name="TXTNRCOM" w:val="(2021)0723"/>
    <w:docVar w:name="TXTNRPE" w:val="736.586"/>
    <w:docVar w:name="TXTNRPROC" w:val="2021/0378"/>
    <w:docVar w:name="TXTPEorAP" w:val="PE"/>
    <w:docVar w:name="TXTROUTE" w:val="AD\1270366SL.docx"/>
    <w:docVar w:name="TXTVERSION" w:val="02-00"/>
  </w:docVars>
  <w:rsids>
    <w:rsidRoot w:val="00180906"/>
    <w:rsid w:val="00026559"/>
    <w:rsid w:val="00027FA8"/>
    <w:rsid w:val="0004474F"/>
    <w:rsid w:val="00082EC4"/>
    <w:rsid w:val="00092BBA"/>
    <w:rsid w:val="00092BDC"/>
    <w:rsid w:val="000B3E58"/>
    <w:rsid w:val="000C1918"/>
    <w:rsid w:val="000C77F0"/>
    <w:rsid w:val="000D44A6"/>
    <w:rsid w:val="000E5842"/>
    <w:rsid w:val="00122C05"/>
    <w:rsid w:val="00134974"/>
    <w:rsid w:val="00141CD7"/>
    <w:rsid w:val="00147FBF"/>
    <w:rsid w:val="001616BD"/>
    <w:rsid w:val="00180906"/>
    <w:rsid w:val="001820A9"/>
    <w:rsid w:val="001A0556"/>
    <w:rsid w:val="001A661C"/>
    <w:rsid w:val="001B0A1E"/>
    <w:rsid w:val="001C0886"/>
    <w:rsid w:val="001D5154"/>
    <w:rsid w:val="001D70D2"/>
    <w:rsid w:val="001E3AC4"/>
    <w:rsid w:val="001F7A20"/>
    <w:rsid w:val="0020077A"/>
    <w:rsid w:val="00207509"/>
    <w:rsid w:val="00223387"/>
    <w:rsid w:val="0023131B"/>
    <w:rsid w:val="00245ABA"/>
    <w:rsid w:val="002462DF"/>
    <w:rsid w:val="002A45D9"/>
    <w:rsid w:val="002A67EE"/>
    <w:rsid w:val="002D134E"/>
    <w:rsid w:val="00304EA8"/>
    <w:rsid w:val="00341A99"/>
    <w:rsid w:val="00357A78"/>
    <w:rsid w:val="00360FAA"/>
    <w:rsid w:val="0038294E"/>
    <w:rsid w:val="003858C5"/>
    <w:rsid w:val="0039529D"/>
    <w:rsid w:val="003A2F84"/>
    <w:rsid w:val="003A71EB"/>
    <w:rsid w:val="003C7390"/>
    <w:rsid w:val="003E1280"/>
    <w:rsid w:val="003F128E"/>
    <w:rsid w:val="0040055C"/>
    <w:rsid w:val="00443FA1"/>
    <w:rsid w:val="0044745F"/>
    <w:rsid w:val="00470BF2"/>
    <w:rsid w:val="00487596"/>
    <w:rsid w:val="004B3A53"/>
    <w:rsid w:val="004B7938"/>
    <w:rsid w:val="004C0B22"/>
    <w:rsid w:val="004C2A0D"/>
    <w:rsid w:val="004F1D2F"/>
    <w:rsid w:val="004F737B"/>
    <w:rsid w:val="00502B76"/>
    <w:rsid w:val="00513F6F"/>
    <w:rsid w:val="00522B51"/>
    <w:rsid w:val="00524707"/>
    <w:rsid w:val="00527351"/>
    <w:rsid w:val="005445FE"/>
    <w:rsid w:val="005539B7"/>
    <w:rsid w:val="00556B59"/>
    <w:rsid w:val="00571233"/>
    <w:rsid w:val="005B6266"/>
    <w:rsid w:val="00613134"/>
    <w:rsid w:val="00626D52"/>
    <w:rsid w:val="00643DA8"/>
    <w:rsid w:val="00657D5C"/>
    <w:rsid w:val="00671046"/>
    <w:rsid w:val="00683DD1"/>
    <w:rsid w:val="00691B1C"/>
    <w:rsid w:val="006A0BB1"/>
    <w:rsid w:val="006A0F0A"/>
    <w:rsid w:val="006A48AA"/>
    <w:rsid w:val="006B1267"/>
    <w:rsid w:val="006D292E"/>
    <w:rsid w:val="006F0E3C"/>
    <w:rsid w:val="006F3A74"/>
    <w:rsid w:val="00712462"/>
    <w:rsid w:val="00716BAA"/>
    <w:rsid w:val="00745332"/>
    <w:rsid w:val="0078548A"/>
    <w:rsid w:val="007B7CE3"/>
    <w:rsid w:val="007F187F"/>
    <w:rsid w:val="00800B26"/>
    <w:rsid w:val="008065D1"/>
    <w:rsid w:val="00817D13"/>
    <w:rsid w:val="00820C7D"/>
    <w:rsid w:val="008307A7"/>
    <w:rsid w:val="00833D11"/>
    <w:rsid w:val="00836FD3"/>
    <w:rsid w:val="008375A8"/>
    <w:rsid w:val="00840F3E"/>
    <w:rsid w:val="0086232B"/>
    <w:rsid w:val="00872A52"/>
    <w:rsid w:val="00876A73"/>
    <w:rsid w:val="0089388A"/>
    <w:rsid w:val="008E11D3"/>
    <w:rsid w:val="008F3DB0"/>
    <w:rsid w:val="008F70D9"/>
    <w:rsid w:val="00902602"/>
    <w:rsid w:val="00904864"/>
    <w:rsid w:val="009052FE"/>
    <w:rsid w:val="009215FC"/>
    <w:rsid w:val="00924555"/>
    <w:rsid w:val="009368B3"/>
    <w:rsid w:val="00940F9C"/>
    <w:rsid w:val="0095745F"/>
    <w:rsid w:val="00982B83"/>
    <w:rsid w:val="009857B4"/>
    <w:rsid w:val="009B1757"/>
    <w:rsid w:val="009E7319"/>
    <w:rsid w:val="009F0FC9"/>
    <w:rsid w:val="00A1662B"/>
    <w:rsid w:val="00A363FE"/>
    <w:rsid w:val="00A6015A"/>
    <w:rsid w:val="00A71228"/>
    <w:rsid w:val="00A74E25"/>
    <w:rsid w:val="00A815F2"/>
    <w:rsid w:val="00AC2A60"/>
    <w:rsid w:val="00AD49D0"/>
    <w:rsid w:val="00AE155A"/>
    <w:rsid w:val="00B00EE6"/>
    <w:rsid w:val="00B06FA8"/>
    <w:rsid w:val="00B36378"/>
    <w:rsid w:val="00B46298"/>
    <w:rsid w:val="00B476DC"/>
    <w:rsid w:val="00B556CD"/>
    <w:rsid w:val="00B62D4B"/>
    <w:rsid w:val="00B735E3"/>
    <w:rsid w:val="00B904FA"/>
    <w:rsid w:val="00BA3E40"/>
    <w:rsid w:val="00BD1F76"/>
    <w:rsid w:val="00BD7648"/>
    <w:rsid w:val="00BE20CF"/>
    <w:rsid w:val="00C22327"/>
    <w:rsid w:val="00C335C6"/>
    <w:rsid w:val="00C36610"/>
    <w:rsid w:val="00C4219C"/>
    <w:rsid w:val="00C46AEA"/>
    <w:rsid w:val="00C52A28"/>
    <w:rsid w:val="00C56F17"/>
    <w:rsid w:val="00C709B7"/>
    <w:rsid w:val="00C75E98"/>
    <w:rsid w:val="00C81C5B"/>
    <w:rsid w:val="00C83B35"/>
    <w:rsid w:val="00C85D0F"/>
    <w:rsid w:val="00D00C1E"/>
    <w:rsid w:val="00D152C1"/>
    <w:rsid w:val="00D215D3"/>
    <w:rsid w:val="00D25CF2"/>
    <w:rsid w:val="00D365CF"/>
    <w:rsid w:val="00D56CE0"/>
    <w:rsid w:val="00D6254D"/>
    <w:rsid w:val="00D67D0A"/>
    <w:rsid w:val="00D74FD1"/>
    <w:rsid w:val="00D943A5"/>
    <w:rsid w:val="00D9581F"/>
    <w:rsid w:val="00DB56E4"/>
    <w:rsid w:val="00DD16F2"/>
    <w:rsid w:val="00E005E8"/>
    <w:rsid w:val="00E06FDD"/>
    <w:rsid w:val="00E27F01"/>
    <w:rsid w:val="00E47FD7"/>
    <w:rsid w:val="00E74BBF"/>
    <w:rsid w:val="00E77FF5"/>
    <w:rsid w:val="00E94D64"/>
    <w:rsid w:val="00EA3802"/>
    <w:rsid w:val="00EF1432"/>
    <w:rsid w:val="00EF33D5"/>
    <w:rsid w:val="00F014C4"/>
    <w:rsid w:val="00F0428E"/>
    <w:rsid w:val="00F15744"/>
    <w:rsid w:val="00F24D40"/>
    <w:rsid w:val="00F5627A"/>
    <w:rsid w:val="00F743EE"/>
    <w:rsid w:val="00FA41E2"/>
    <w:rsid w:val="00FD5D14"/>
    <w:rsid w:val="00FE5B6F"/>
    <w:rsid w:val="00FF68C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C47B08-1B89-43C9-849A-66C62239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C56F1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F5627A"/>
    <w:pPr>
      <w:tabs>
        <w:tab w:val="center" w:pos="4513"/>
        <w:tab w:val="right" w:pos="9026"/>
      </w:tabs>
    </w:pPr>
  </w:style>
  <w:style w:type="character" w:customStyle="1" w:styleId="FooterChar">
    <w:name w:val="Footer Char"/>
    <w:basedOn w:val="DefaultParagraphFont"/>
    <w:link w:val="Footer"/>
    <w:rsid w:val="00F5627A"/>
    <w:rPr>
      <w:sz w:val="24"/>
      <w:szCs w:val="24"/>
    </w:rPr>
  </w:style>
  <w:style w:type="character" w:customStyle="1" w:styleId="Normal6Char">
    <w:name w:val="Normal6 Char"/>
    <w:basedOn w:val="DefaultParagraphFont"/>
    <w:link w:val="Normal6"/>
    <w:locked/>
    <w:rsid w:val="000C1918"/>
    <w:rPr>
      <w:sz w:val="24"/>
      <w:lang w:val="sl-SI"/>
    </w:rPr>
  </w:style>
  <w:style w:type="paragraph" w:customStyle="1" w:styleId="Normal6">
    <w:name w:val="Normal6"/>
    <w:basedOn w:val="Normal"/>
    <w:link w:val="Normal6Char"/>
    <w:rsid w:val="000C1918"/>
    <w:pPr>
      <w:spacing w:after="120"/>
    </w:pPr>
    <w:rPr>
      <w:szCs w:val="20"/>
    </w:rPr>
  </w:style>
  <w:style w:type="character" w:customStyle="1" w:styleId="NormalBoldChar">
    <w:name w:val="NormalBold Char"/>
    <w:basedOn w:val="DefaultParagraphFont"/>
    <w:link w:val="NormalBold"/>
    <w:locked/>
    <w:rsid w:val="000C1918"/>
    <w:rPr>
      <w:b/>
      <w:sz w:val="24"/>
    </w:rPr>
  </w:style>
  <w:style w:type="paragraph" w:customStyle="1" w:styleId="Normal12Italic">
    <w:name w:val="Normal12Italic"/>
    <w:basedOn w:val="Normal"/>
    <w:rsid w:val="000C1918"/>
    <w:pPr>
      <w:spacing w:after="240"/>
    </w:pPr>
    <w:rPr>
      <w:i/>
      <w:noProof/>
      <w:szCs w:val="20"/>
    </w:rPr>
  </w:style>
  <w:style w:type="paragraph" w:customStyle="1" w:styleId="JustificationTitle">
    <w:name w:val="JustificationTitle"/>
    <w:basedOn w:val="Normal"/>
    <w:next w:val="Normal"/>
    <w:rsid w:val="000C1918"/>
    <w:pPr>
      <w:keepNext/>
      <w:spacing w:before="240" w:after="240"/>
      <w:jc w:val="center"/>
    </w:pPr>
    <w:rPr>
      <w:i/>
      <w:noProof/>
      <w:szCs w:val="20"/>
    </w:rPr>
  </w:style>
  <w:style w:type="paragraph" w:customStyle="1" w:styleId="ColumnHeading">
    <w:name w:val="ColumnHeading"/>
    <w:basedOn w:val="Normal"/>
    <w:rsid w:val="000C1918"/>
    <w:pPr>
      <w:spacing w:after="240"/>
      <w:jc w:val="center"/>
    </w:pPr>
    <w:rPr>
      <w:i/>
      <w:szCs w:val="20"/>
    </w:rPr>
  </w:style>
  <w:style w:type="paragraph" w:customStyle="1" w:styleId="AMNumberTabs0">
    <w:name w:val="AMNumberTabs"/>
    <w:basedOn w:val="Normal"/>
    <w:rsid w:val="000C19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C1918"/>
    <w:pPr>
      <w:jc w:val="right"/>
    </w:pPr>
  </w:style>
  <w:style w:type="paragraph" w:styleId="BalloonText">
    <w:name w:val="Balloon Text"/>
    <w:basedOn w:val="Normal"/>
    <w:link w:val="BalloonTextChar"/>
    <w:semiHidden/>
    <w:unhideWhenUsed/>
    <w:rsid w:val="00E06FDD"/>
    <w:rPr>
      <w:rFonts w:ascii="Segoe UI" w:hAnsi="Segoe UI" w:cs="Segoe UI"/>
      <w:sz w:val="18"/>
      <w:szCs w:val="18"/>
    </w:rPr>
  </w:style>
  <w:style w:type="character" w:customStyle="1" w:styleId="BalloonTextChar">
    <w:name w:val="Balloon Text Char"/>
    <w:basedOn w:val="DefaultParagraphFont"/>
    <w:link w:val="BalloonText"/>
    <w:semiHidden/>
    <w:rsid w:val="00E06FDD"/>
    <w:rPr>
      <w:rFonts w:ascii="Segoe UI" w:hAnsi="Segoe UI" w:cs="Segoe UI"/>
      <w:sz w:val="18"/>
      <w:szCs w:val="18"/>
    </w:rPr>
  </w:style>
  <w:style w:type="character" w:styleId="CommentReference">
    <w:name w:val="annotation reference"/>
    <w:basedOn w:val="DefaultParagraphFont"/>
    <w:rsid w:val="00B36378"/>
    <w:rPr>
      <w:sz w:val="16"/>
      <w:szCs w:val="16"/>
    </w:rPr>
  </w:style>
  <w:style w:type="paragraph" w:styleId="CommentText">
    <w:name w:val="annotation text"/>
    <w:basedOn w:val="Normal"/>
    <w:link w:val="CommentTextChar"/>
    <w:rsid w:val="00B36378"/>
    <w:rPr>
      <w:sz w:val="20"/>
      <w:szCs w:val="20"/>
    </w:rPr>
  </w:style>
  <w:style w:type="character" w:customStyle="1" w:styleId="CommentTextChar">
    <w:name w:val="Comment Text Char"/>
    <w:basedOn w:val="DefaultParagraphFont"/>
    <w:link w:val="CommentText"/>
    <w:rsid w:val="00B36378"/>
  </w:style>
  <w:style w:type="paragraph" w:styleId="CommentSubject">
    <w:name w:val="annotation subject"/>
    <w:basedOn w:val="CommentText"/>
    <w:next w:val="CommentText"/>
    <w:link w:val="CommentSubjectChar"/>
    <w:semiHidden/>
    <w:unhideWhenUsed/>
    <w:rsid w:val="00B36378"/>
    <w:rPr>
      <w:b/>
      <w:bCs/>
    </w:rPr>
  </w:style>
  <w:style w:type="character" w:customStyle="1" w:styleId="CommentSubjectChar">
    <w:name w:val="Comment Subject Char"/>
    <w:basedOn w:val="CommentTextChar"/>
    <w:link w:val="CommentSubject"/>
    <w:semiHidden/>
    <w:rsid w:val="00B36378"/>
    <w:rPr>
      <w:b/>
      <w:bCs/>
    </w:rPr>
  </w:style>
  <w:style w:type="paragraph" w:customStyle="1" w:styleId="RollCallSymbols14pt">
    <w:name w:val="RollCallSymbols14pt"/>
    <w:basedOn w:val="Normal"/>
    <w:rsid w:val="000B3E5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B3E58"/>
    <w:pPr>
      <w:tabs>
        <w:tab w:val="center" w:pos="284"/>
        <w:tab w:val="left" w:pos="426"/>
      </w:tabs>
    </w:pPr>
    <w:rPr>
      <w:snapToGrid w:val="0"/>
      <w:szCs w:val="20"/>
      <w:lang w:eastAsia="en-US"/>
    </w:rPr>
  </w:style>
  <w:style w:type="paragraph" w:customStyle="1" w:styleId="RollCallVotes">
    <w:name w:val="RollCallVotes"/>
    <w:basedOn w:val="Normal"/>
    <w:rsid w:val="000B3E58"/>
    <w:pPr>
      <w:spacing w:before="120" w:after="120"/>
      <w:jc w:val="center"/>
    </w:pPr>
    <w:rPr>
      <w:b/>
      <w:bCs/>
      <w:snapToGrid w:val="0"/>
      <w:sz w:val="16"/>
      <w:szCs w:val="20"/>
      <w:lang w:eastAsia="en-US"/>
    </w:rPr>
  </w:style>
  <w:style w:type="paragraph" w:customStyle="1" w:styleId="RollCallTable">
    <w:name w:val="RollCallTable"/>
    <w:basedOn w:val="Normal"/>
    <w:rsid w:val="000B3E58"/>
    <w:pPr>
      <w:spacing w:before="120" w:after="120"/>
    </w:pPr>
    <w:rPr>
      <w:snapToGrid w:val="0"/>
      <w:sz w:val="16"/>
      <w:szCs w:val="20"/>
      <w:lang w:eastAsia="en-US"/>
    </w:rPr>
  </w:style>
  <w:style w:type="paragraph" w:customStyle="1" w:styleId="PGLLcode">
    <w:name w:val="PG LL code"/>
    <w:basedOn w:val="Normal"/>
    <w:next w:val="Normal"/>
    <w:rsid w:val="00C56F17"/>
    <w:pPr>
      <w:widowControl/>
      <w:tabs>
        <w:tab w:val="right" w:pos="9299"/>
      </w:tabs>
      <w:jc w:val="both"/>
    </w:pPr>
    <w:rPr>
      <w:rFonts w:ascii="Arial" w:hAnsi="Arial"/>
      <w:b/>
      <w:sz w:val="48"/>
      <w:szCs w:val="20"/>
    </w:rPr>
  </w:style>
  <w:style w:type="paragraph" w:customStyle="1" w:styleId="Normal12">
    <w:name w:val="Normal12"/>
    <w:qFormat/>
    <w:rsid w:val="00C56F17"/>
    <w:pPr>
      <w:widowControl w:val="0"/>
      <w:spacing w:after="240"/>
    </w:pPr>
    <w:rPr>
      <w:sz w:val="24"/>
    </w:rPr>
  </w:style>
  <w:style w:type="character" w:customStyle="1" w:styleId="Heading2Char">
    <w:name w:val="Heading 2 Char"/>
    <w:basedOn w:val="DefaultParagraphFont"/>
    <w:link w:val="Heading2"/>
    <w:semiHidden/>
    <w:rsid w:val="00C56F1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53E9B-7032-4CA0-8FD3-16FB413E4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4553</Words>
  <Characters>26892</Characters>
  <Application>Microsoft Office Word</Application>
  <DocSecurity>0</DocSecurity>
  <Lines>1069</Lines>
  <Paragraphs>331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2023-01-25T14:07:00Z</dcterms:created>
  <dcterms:modified xsi:type="dcterms:W3CDTF">2023-01-25T14:07:00Z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- 2023/01/25 15:07</vt:lpwstr>
  </property>
  <property fmtid="{D5CDD505-2E9C-101B-9397-08002B2CF9AE}" pid="9" name="Created with">
    <vt:lpwstr>9.13.0 Build [20220701]</vt:lpwstr>
  </property>
  <property fmtid="{D5CDD505-2E9C-101B-9397-08002B2CF9AE}" pid="10" name="FooterPath">
    <vt:lpwstr>AD\1270366SL.docx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y fmtid="{D5CDD505-2E9C-101B-9397-08002B2CF9AE}" pid="14" name="SendToEpades">
    <vt:lpwstr>OK - 2023/01/12 20:04</vt:lpwstr>
  </property>
</Properties>
</file>