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567247">
        <w:trPr>
          <w:trHeight w:hRule="exact" w:val="1420"/>
        </w:trPr>
        <w:tc>
          <w:tcPr>
            <w:tcW w:w="6804" w:type="dxa"/>
            <w:vAlign w:val="center"/>
          </w:tcPr>
          <w:p w:rsidR="000F485F" w:rsidRPr="003711D1" w:rsidRDefault="00D9224C">
            <w:pPr>
              <w:pStyle w:val="EPName"/>
            </w:pPr>
            <w:r>
              <w:t>Europa-Parlamentet</w:t>
            </w:r>
          </w:p>
          <w:p w:rsidR="000F485F" w:rsidRPr="003711D1" w:rsidRDefault="00D9224C">
            <w:pPr>
              <w:pStyle w:val="EPTerm"/>
            </w:pPr>
            <w:r>
              <w:t>2019-2024</w:t>
            </w:r>
          </w:p>
        </w:tc>
        <w:tc>
          <w:tcPr>
            <w:tcW w:w="2488" w:type="dxa"/>
          </w:tcPr>
          <w:p w:rsidR="000F485F" w:rsidRPr="003711D1" w:rsidRDefault="00D9224C">
            <w:pPr>
              <w:pStyle w:val="EPLogo"/>
            </w:pPr>
            <w:r w:rsidRPr="003711D1">
              <w:rPr>
                <w:noProof/>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rsidR="000F485F" w:rsidRPr="003711D1" w:rsidRDefault="000F485F">
      <w:pPr>
        <w:pStyle w:val="LineTop"/>
      </w:pPr>
    </w:p>
    <w:p w:rsidR="000F485F" w:rsidRPr="003711D1" w:rsidRDefault="00D9224C">
      <w:pPr>
        <w:pStyle w:val="EPBody"/>
      </w:pPr>
      <w:r>
        <w:rPr>
          <w:rStyle w:val="HideTWBExt"/>
        </w:rPr>
        <w:t>&lt;Commission&gt;</w:t>
      </w:r>
      <w:r>
        <w:rPr>
          <w:rStyle w:val="HideTWBInt"/>
          <w:color w:val="auto"/>
        </w:rPr>
        <w:t>{LIBE}</w:t>
      </w:r>
      <w:r>
        <w:t>Udvalget om Borgernes Rettigheder og Retlige og Indre Anliggender</w:t>
      </w:r>
      <w:r>
        <w:rPr>
          <w:rStyle w:val="HideTWBExt"/>
        </w:rPr>
        <w:t>&lt;/Commission&gt;</w:t>
      </w:r>
    </w:p>
    <w:p w:rsidR="000F485F" w:rsidRPr="003711D1" w:rsidRDefault="000F485F">
      <w:pPr>
        <w:pStyle w:val="LineBottom"/>
      </w:pPr>
    </w:p>
    <w:p w:rsidR="00F23239" w:rsidRPr="003711D1" w:rsidRDefault="00D9224C" w:rsidP="00F23239">
      <w:pPr>
        <w:pStyle w:val="CoverReference"/>
      </w:pPr>
      <w:r>
        <w:rPr>
          <w:rStyle w:val="HideTWBExt"/>
        </w:rPr>
        <w:t>&lt;RefProc&gt;</w:t>
      </w:r>
      <w:r>
        <w:t>2022/0117(COD)</w:t>
      </w:r>
      <w:r>
        <w:rPr>
          <w:rStyle w:val="HideTWBExt"/>
        </w:rPr>
        <w:t>&lt;/RefProc&gt;</w:t>
      </w:r>
    </w:p>
    <w:p w:rsidR="00F23239" w:rsidRPr="003711D1" w:rsidRDefault="00D9224C" w:rsidP="00F23239">
      <w:pPr>
        <w:pStyle w:val="CoverDate"/>
      </w:pPr>
      <w:r>
        <w:rPr>
          <w:rStyle w:val="HideTWBExt"/>
        </w:rPr>
        <w:t>&lt;Date&gt;</w:t>
      </w:r>
      <w:r>
        <w:rPr>
          <w:rStyle w:val="HideTWBInt"/>
          <w:color w:val="auto"/>
        </w:rPr>
        <w:t>{24/05/2023}</w:t>
      </w:r>
      <w:r>
        <w:t>24.5.2023</w:t>
      </w:r>
      <w:r>
        <w:rPr>
          <w:rStyle w:val="HideTWBExt"/>
        </w:rPr>
        <w:t>&lt;/Date&gt;</w:t>
      </w:r>
    </w:p>
    <w:p w:rsidR="00F23239" w:rsidRPr="003711D1" w:rsidRDefault="00D9224C" w:rsidP="00F23239">
      <w:pPr>
        <w:pStyle w:val="CoverDocType24a"/>
      </w:pPr>
      <w:r>
        <w:rPr>
          <w:rStyle w:val="HideTWBExt"/>
        </w:rPr>
        <w:t>&lt;TitreType&gt;</w:t>
      </w:r>
      <w:r>
        <w:t>UDTALELSE</w:t>
      </w:r>
      <w:r>
        <w:rPr>
          <w:rStyle w:val="HideTWBExt"/>
        </w:rPr>
        <w:t>&lt;/TitreType&gt;</w:t>
      </w:r>
    </w:p>
    <w:p w:rsidR="00F23239" w:rsidRPr="003711D1" w:rsidRDefault="00D9224C" w:rsidP="00F23239">
      <w:pPr>
        <w:pStyle w:val="CoverNormal24a"/>
      </w:pPr>
      <w:r>
        <w:rPr>
          <w:rStyle w:val="HideTWBExt"/>
        </w:rPr>
        <w:t>&lt;CommissionResp&gt;</w:t>
      </w:r>
      <w:r>
        <w:t xml:space="preserve">fra </w:t>
      </w:r>
      <w:r>
        <w:t>Udvalget om Borgernes Rettigheder og Retlige og Indre Anliggender</w:t>
      </w:r>
      <w:r>
        <w:rPr>
          <w:rStyle w:val="HideTWBExt"/>
        </w:rPr>
        <w:t>&lt;/CommissionResp&gt;</w:t>
      </w:r>
    </w:p>
    <w:p w:rsidR="00F23239" w:rsidRPr="003711D1" w:rsidRDefault="00D9224C" w:rsidP="00F23239">
      <w:pPr>
        <w:pStyle w:val="CoverNormal24a"/>
      </w:pPr>
      <w:r>
        <w:rPr>
          <w:rStyle w:val="HideTWBExt"/>
        </w:rPr>
        <w:t>&lt;CommissionInt&gt;</w:t>
      </w:r>
      <w:r>
        <w:t>til Retsudvalget</w:t>
      </w:r>
      <w:r>
        <w:rPr>
          <w:rStyle w:val="HideTWBExt"/>
        </w:rPr>
        <w:t>&lt;/CommissionInt&gt;</w:t>
      </w:r>
    </w:p>
    <w:p w:rsidR="00F23239" w:rsidRPr="003711D1" w:rsidRDefault="00D9224C" w:rsidP="00F23239">
      <w:pPr>
        <w:pStyle w:val="CoverNormal"/>
      </w:pPr>
      <w:r>
        <w:rPr>
          <w:rStyle w:val="HideTWBExt"/>
        </w:rPr>
        <w:t>&lt;Titre&gt;</w:t>
      </w:r>
      <w:r>
        <w:t>om forslag til Europa-Parlamentets og Rådets direktiv om beskyttelse af personer, der engagerer sig offentligt, mod åb</w:t>
      </w:r>
      <w:r>
        <w:t>enbart grundløse eller urimelige retssager ("strategiske retssager mod offentligt engagement")</w:t>
      </w:r>
      <w:r>
        <w:rPr>
          <w:rStyle w:val="HideTWBExt"/>
        </w:rPr>
        <w:t>&lt;/Titre&gt;</w:t>
      </w:r>
    </w:p>
    <w:p w:rsidR="00F23239" w:rsidRPr="003711D1" w:rsidRDefault="00D9224C" w:rsidP="00F23239">
      <w:pPr>
        <w:pStyle w:val="CoverNormal24a"/>
      </w:pPr>
      <w:r>
        <w:rPr>
          <w:rStyle w:val="HideTWBExt"/>
          <w:lang w:val="pt-PT"/>
        </w:rPr>
        <w:t>&lt;DocRef&gt;</w:t>
      </w:r>
      <w:r>
        <w:t>(COM(2022)0177 – C9</w:t>
      </w:r>
      <w:r>
        <w:noBreakHyphen/>
        <w:t>0161/2022 – 2022/0117(COD))</w:t>
      </w:r>
      <w:r>
        <w:rPr>
          <w:rStyle w:val="HideTWBExt"/>
          <w:lang w:val="pt-PT"/>
        </w:rPr>
        <w:t>&lt;/DocRef&gt;</w:t>
      </w:r>
    </w:p>
    <w:p w:rsidR="00F23239" w:rsidRPr="003711D1" w:rsidRDefault="00D9224C" w:rsidP="00F23239">
      <w:pPr>
        <w:pStyle w:val="CoverNormal24a"/>
      </w:pPr>
      <w:r>
        <w:t xml:space="preserve">Ordfører for udtalelse (*): </w:t>
      </w:r>
      <w:r>
        <w:rPr>
          <w:rStyle w:val="HideTWBExt"/>
        </w:rPr>
        <w:t>&lt;Depute&gt;</w:t>
      </w:r>
      <w:r>
        <w:t>Ramona Strugariu</w:t>
      </w:r>
      <w:r>
        <w:rPr>
          <w:rStyle w:val="HideTWBExt"/>
        </w:rPr>
        <w:t>&lt;/Depute&gt;</w:t>
      </w:r>
    </w:p>
    <w:p w:rsidR="00F23239" w:rsidRPr="003711D1" w:rsidRDefault="00D9224C" w:rsidP="00F23239">
      <w:pPr>
        <w:pStyle w:val="CoverNormal24a"/>
      </w:pPr>
      <w:r>
        <w:t>(*) Associeret udvalg - fo</w:t>
      </w:r>
      <w:r>
        <w:t>rretningsordenens artikel 57</w:t>
      </w:r>
    </w:p>
    <w:p w:rsidR="00F23239" w:rsidRPr="003711D1" w:rsidRDefault="00D9224C" w:rsidP="00F23239">
      <w:r>
        <w:br w:type="page"/>
      </w:r>
      <w:r>
        <w:lastRenderedPageBreak/>
        <w:t>PA_Legam</w:t>
      </w:r>
    </w:p>
    <w:p w:rsidR="00F23239" w:rsidRPr="003711D1" w:rsidRDefault="00D9224C" w:rsidP="00F23239">
      <w:pPr>
        <w:sectPr w:rsidR="00F23239" w:rsidRPr="003711D1" w:rsidSect="00D9224C">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20"/>
          <w:titlePg/>
          <w:docGrid w:linePitch="360"/>
        </w:sectPr>
      </w:pPr>
      <w:r>
        <w:br w:type="page"/>
      </w:r>
    </w:p>
    <w:p w:rsidR="00F23239" w:rsidRPr="003711D1" w:rsidRDefault="00D9224C" w:rsidP="00F23239">
      <w:pPr>
        <w:pStyle w:val="PageHeadingNotTOC"/>
      </w:pPr>
      <w:r>
        <w:t>KORT BEGRUNDELSE</w:t>
      </w:r>
    </w:p>
    <w:p w:rsidR="00F23239" w:rsidRPr="003711D1" w:rsidRDefault="00D9224C" w:rsidP="00F23239">
      <w:pPr>
        <w:pStyle w:val="Normal12a"/>
      </w:pPr>
      <w:r>
        <w:t>Strategiske retssager mod offentligt engagement (SLAPP-sager) er ikke et nyt problem for Den Europæiske Union. Forekomsten af sådanne retssager har været konstant stigende i Europa, hvilket er dokumenter</w:t>
      </w:r>
      <w:r>
        <w:t xml:space="preserve">et af adskillige uafhængige organisationer, der overvåger fænomenet. Undersøgelserne af og kendskabet til emnet voksede sig større efter det politiske mord på den maltesiske undersøgende journalist Daphne Caruana Galizia i oktober 2017. På dødstidspunktet </w:t>
      </w:r>
      <w:r>
        <w:t>havde Daphne Caruana Galizia 48 retssager mod sig. Disse urimelige retssager fortsatte selv efter hendes død, da de blev overført på hendes familie. Dette medførte enorme økonomiske og psykologiske byrder for de personer, der var mål for retssagerne.</w:t>
      </w:r>
    </w:p>
    <w:p w:rsidR="00F23239" w:rsidRPr="003711D1" w:rsidRDefault="00D9224C" w:rsidP="00F23239">
      <w:pPr>
        <w:pStyle w:val="Normal12a"/>
      </w:pPr>
      <w:r>
        <w:t>Under</w:t>
      </w:r>
      <w:r>
        <w:t xml:space="preserve">søgelser udført af koalitionen mod SLAPP i Europa (CASE) har vist, at antallet af SLAPP-sager er steget støt siden 2016, med en stigning på over 400 % i 2021. CASE-undersøgelsen understreger problemets omfang, idet den fremhæver, at der alene i Kroatien i </w:t>
      </w:r>
      <w:r>
        <w:t>april 2021 blev fundet frem til næsten 1000 aktive retssager mod medierne. I undersøgelsen blev der fremlagt forskellige eksempler fra forskellige medlemsstater såsom Polen, Frankrig, Italien, Malta og Slovenien, og problemets europæiske dimension og behov</w:t>
      </w:r>
      <w:r>
        <w:t>et for en fælles europæisk løsning blev understreget.</w:t>
      </w:r>
    </w:p>
    <w:p w:rsidR="00F23239" w:rsidRPr="003711D1" w:rsidRDefault="00D9224C" w:rsidP="00F23239">
      <w:pPr>
        <w:pStyle w:val="Normal12a"/>
      </w:pPr>
      <w:r>
        <w:t>SLAPP-sager kan dreje sig om enten helt eller delvist grundløse påstande. Der er dog to fælles punkter, der kendetegner denne form for sager – misbruget af retslige procedurer og brugen heraf i forbinde</w:t>
      </w:r>
      <w:r>
        <w:t>lse med offentligt engagement. SLAPP-sager anlægges derfor med andre formål end reelt at hævde, opretholde eller udøve en ret og har snarere til formål at forhindre, begrænse eller straffe offentligt engagement. Gennem misbrug af retssystemet forårsager SL</w:t>
      </w:r>
      <w:r>
        <w:t xml:space="preserve">APP-sager ikke blot betydelig økonomisk og psykologisk skade for deres ofre, men de begrænser også andre borgeres adgang til domstolsprøvelse ved at overbebyrde retssystemet. Sådanne påstande er ofte kendetegnet ved en ulige magtfordeling, men ikke altid. </w:t>
      </w:r>
      <w:r>
        <w:t>Eksistensen af flere retssager, påstandens uforholdsmæssige karakter og brugen af forhalende og unødigt trættende taktikker er yderligere indikationer på, at SLAPP-sager har en urimelig karakter. Den valgte tilgang er at skabe en klar definition, som omfat</w:t>
      </w:r>
      <w:r>
        <w:t>ter såvel åbenbart grundløse påstande som påstande, der har et vist retligt grundlag, men som omfatter ovennævnte karakteristika og fører til krænkelse af rettigheder.</w:t>
      </w:r>
    </w:p>
    <w:p w:rsidR="00F23239" w:rsidRPr="003711D1" w:rsidRDefault="00D9224C" w:rsidP="00F23239">
      <w:pPr>
        <w:pStyle w:val="Normal12a"/>
      </w:pPr>
      <w:r>
        <w:t>SLAPP-sager kan påvirke forskellige kategorier af ofre. Ofrene kan være både fysiske ell</w:t>
      </w:r>
      <w:r>
        <w:t>er juridiske personer, lige fra journalister og medieforetagender til aktivister, redaktører, menneskerettighedsforkæmpere og sågar enkeltstående privatpersoner. Det fælles træk ved disse kategorier af ofre er deres offentlige engagement. SLAPP-sager kan a</w:t>
      </w:r>
      <w:r>
        <w:t>nvendes enten direkte eller indirekte mod enhver, der engagerer sig offentligt, og kan også være rettet mod borgere, der er involveret i forberedende eller understøttende aktiviteter i forbindelse hermed. Dette direktiv skal sikre en passende beskyttelse a</w:t>
      </w:r>
      <w:r>
        <w:t>f alle disse kategorier af ofre.</w:t>
      </w:r>
    </w:p>
    <w:p w:rsidR="00F23239" w:rsidRPr="003711D1" w:rsidRDefault="00D9224C" w:rsidP="00F23239">
      <w:pPr>
        <w:pStyle w:val="Normal12a"/>
      </w:pPr>
      <w:r>
        <w:t xml:space="preserve">For at løse problemet på en effektiv og helhedsorienteret måde skal definitionen af offentligt engagement også udvides til at omfatte aktiviteter, der udføres i forbindelse med udøvelsen af forskellige rettigheder, ud over </w:t>
      </w:r>
      <w:r>
        <w:t>ytrings- og informationsfriheden. Praktiske situationer har vist, at definitionen bør indeholde en ikkeudtømmende liste, der bl.a. omfatter forenings- og forsamlingsfriheden og akademiske frihedsrettigheder. I betragtning af det store antal SLAPP-sager mod</w:t>
      </w:r>
      <w:r>
        <w:t xml:space="preserve"> journalister og mediefolk er det afgørende, at mediepluralisme og -frihed er </w:t>
      </w:r>
      <w:r>
        <w:lastRenderedPageBreak/>
        <w:t>omfattet af definitionen af, hvad der udgør et spørgsmål af offentlig interesse i forbindelse med offentligt engagement.</w:t>
      </w:r>
    </w:p>
    <w:p w:rsidR="00F23239" w:rsidRPr="003711D1" w:rsidRDefault="00D9224C" w:rsidP="00F23239">
      <w:pPr>
        <w:pStyle w:val="Normal12a"/>
      </w:pPr>
      <w:r>
        <w:t>For at dette direktiv kan skabe den ønskede virkning – ne</w:t>
      </w:r>
      <w:r>
        <w:t>mlig at beskytte dem, der engagerer sig offentligt, mod urimelige retssager – er dets bestemmelser nødt til at skitsere adskillige retssikkerhedsgarantier, herunder en effektiv mekanisme til tidlig afvisning, som kan bruges enten på eget initiativ eller på</w:t>
      </w:r>
      <w:r>
        <w:t xml:space="preserve"> anmodning af sagsøgte. En mekanisme for tidlig afvisning må ikke være underlagt en højere tærskel end andre retssikkerhedsgarantier. Direktivet må ikke gøres forskel på forskellige kategorier af SLAPP-sager. For at opnå dette skal mekanismen gøres bredere</w:t>
      </w:r>
      <w:r>
        <w:t xml:space="preserve"> og tilgængelig for alle ofre for SLAPP-sager. Den foreslåede tilgang med hensyn til retssikkerhedsgarantier, og navnlig mekanismen for tidlig afvisning, er at droppe Kommissionens opsplitning mellem åbenbart grundløse og urimelige sager.</w:t>
      </w:r>
    </w:p>
    <w:p w:rsidR="00F23239" w:rsidRPr="003711D1" w:rsidRDefault="00D9224C" w:rsidP="00F23239">
      <w:pPr>
        <w:pStyle w:val="Normal12a"/>
      </w:pPr>
      <w:r>
        <w:t>Med henblik på en</w:t>
      </w:r>
      <w:r>
        <w:t xml:space="preserve"> effektiv mekanisme for tidlig afvisning påhviler bevisbyrden for rettens vurdering af sagen sagsøgeren. Den foreslåede tilgang går ud på, at sagsøgeren anmodes om kun at fremlægge en "prima facie-sag" med hensyn til hvert element i retssagen, hvor det er </w:t>
      </w:r>
      <w:r>
        <w:t>godtgjort, at påstanden ikke er urimelig. Denne tærskel skaber balance mellem sagsøgtes rettigheder og sagsøgerens ret til adgang til domstolsprøvelse, eftersom den oprindelige adgang til mekanismen for tidlig afvisning kun er blevet droppet i åbenbart gru</w:t>
      </w:r>
      <w:r>
        <w:t>ndløse sager.</w:t>
      </w:r>
    </w:p>
    <w:p w:rsidR="00F23239" w:rsidRPr="003711D1" w:rsidRDefault="00D9224C" w:rsidP="00F23239">
      <w:pPr>
        <w:pStyle w:val="Normal12a"/>
      </w:pPr>
      <w:r>
        <w:t>Kommissionens forslag er et glimrende første skridt i retning af at sætte en stopper for urimelige retssager mod offentligt engagement og kommer på et tidspunkt, hvor statistikkerne har fremhævet behovet for en fælles europæisk løsning. Forsl</w:t>
      </w:r>
      <w:r>
        <w:t>aget vil imidlertid kun løse en lille del af problemet, da kompetencen på EU-plan med hensyn til procesret er begrænset. Det er derfor helt afgørende, at medlemsstaterne træffer yderligere foranstaltninger som supplement til dem, der træffes på EU-plan. Nå</w:t>
      </w:r>
      <w:r>
        <w:t>r dette direktiv træder i kraft, bør medlemsstaterne ikke begrænse udvidelsen af disse bestemmelser til kun at omfatte grænseoverskridende sager på det civil- og handelsretlige område, men også udvide dem til at omfatte nationale sager og sager, der er omf</w:t>
      </w:r>
      <w:r>
        <w:t>attet af strafferetten. Samtidig bør Kommissionen efter revisionsperioden også overveje muligheden for at bekæmpe SLAPP-straffesager ved hjælp af passende retlige foranstaltninger.</w:t>
      </w:r>
    </w:p>
    <w:p w:rsidR="00F23239" w:rsidRPr="003711D1" w:rsidRDefault="00D9224C" w:rsidP="00F23239">
      <w:pPr>
        <w:pStyle w:val="Normal12a"/>
      </w:pPr>
      <w:r>
        <w:t>Gennemførelsen af den henstilling, der ledsager dette lovgivningsforslag, e</w:t>
      </w:r>
      <w:r>
        <w:t xml:space="preserve">r også afgørende for dets virkningsfuldhed. I den forbindelse bør medlemsstaterne desuden overveje at indføre særlige regler til at regulere de etiske kodekser for advokater og andre aktører inden for retsvæsenet med henblik på at sanktionere deltagelse i </w:t>
      </w:r>
      <w:r>
        <w:t>indledningen af SLAPP-sager eller camouflere dem som begrundede påstande.</w:t>
      </w:r>
    </w:p>
    <w:p w:rsidR="00F23239" w:rsidRPr="003711D1" w:rsidRDefault="00D9224C" w:rsidP="00F23239">
      <w:pPr>
        <w:pStyle w:val="Normal12a"/>
      </w:pPr>
      <w:r>
        <w:t xml:space="preserve">Endelig bør Kommissionen som endnu et skridt fremad gennemgå Bruxelles Ia- og Rom II-forordningerne med det formål at imødegå eventuelle andre tilfælde af forumshopping, der ikke er </w:t>
      </w:r>
      <w:r>
        <w:t>omfattet af dette direktiv.</w:t>
      </w:r>
    </w:p>
    <w:p w:rsidR="00F23239" w:rsidRPr="003711D1" w:rsidRDefault="00F23239" w:rsidP="00F23239">
      <w:pPr>
        <w:sectPr w:rsidR="00F23239" w:rsidRPr="003711D1" w:rsidSect="00D12096">
          <w:type w:val="continuous"/>
          <w:pgSz w:w="11906" w:h="16838"/>
          <w:pgMar w:top="1134" w:right="1417" w:bottom="1417" w:left="1417" w:header="1134" w:footer="567" w:gutter="0"/>
          <w:cols w:space="720"/>
          <w:docGrid w:linePitch="360"/>
        </w:sectPr>
      </w:pPr>
    </w:p>
    <w:p w:rsidR="00F23239" w:rsidRPr="003711D1" w:rsidRDefault="00D9224C" w:rsidP="00F23239">
      <w:pPr>
        <w:pStyle w:val="PageHeadingNotTOC"/>
      </w:pPr>
      <w:r>
        <w:t>ÆNDRINGSFORSLAG</w:t>
      </w:r>
    </w:p>
    <w:p w:rsidR="00F23239" w:rsidRPr="003711D1" w:rsidRDefault="00D9224C" w:rsidP="00F23239">
      <w:pPr>
        <w:pStyle w:val="Normal12a"/>
      </w:pPr>
      <w:r>
        <w:t>Udvalget om Borgernes Rettigheder og Retlige og Indre Anliggender opfordrer Retsudvalget, som er korresponderende udvalg, til at tage hensyn til følgende ændringsforslag:</w:t>
      </w:r>
    </w:p>
    <w:p w:rsidR="00F23239" w:rsidRPr="003711D1" w:rsidRDefault="00D9224C" w:rsidP="00F23239">
      <w:pPr>
        <w:pStyle w:val="AMNumberTabs0"/>
        <w:keepNext/>
      </w:pPr>
      <w:r>
        <w:rPr>
          <w:rStyle w:val="HideTWBExt"/>
          <w:b w:val="0"/>
          <w:lang w:val="en-GB"/>
        </w:rPr>
        <w:lastRenderedPageBreak/>
        <w:t>&lt;RepeatBlock-Ame</w:t>
      </w:r>
      <w:r>
        <w:rPr>
          <w:rStyle w:val="HideTWBExt"/>
          <w:b w:val="0"/>
          <w:lang w:val="en-GB"/>
        </w:rPr>
        <w:t>nd&gt;&lt;Amend&gt;</w:t>
      </w:r>
      <w:r>
        <w:t>Ændringsforslag</w:t>
      </w:r>
      <w:r>
        <w:tab/>
      </w:r>
      <w:r>
        <w:tab/>
      </w:r>
      <w:r>
        <w:rPr>
          <w:rStyle w:val="HideTWBExt"/>
          <w:b w:val="0"/>
          <w:lang w:val="en-GB"/>
        </w:rPr>
        <w:t>&lt;NumAm&gt;</w:t>
      </w:r>
      <w:r>
        <w:t>1</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Titel</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Forslag til</w:t>
            </w:r>
          </w:p>
        </w:tc>
        <w:tc>
          <w:tcPr>
            <w:tcW w:w="4876" w:type="dxa"/>
          </w:tcPr>
          <w:p w:rsidR="00F23239" w:rsidRPr="003711D1" w:rsidRDefault="00D9224C" w:rsidP="00273FCA">
            <w:pPr>
              <w:pStyle w:val="Normal6"/>
              <w:rPr>
                <w:szCs w:val="24"/>
              </w:rPr>
            </w:pPr>
            <w:r>
              <w:t>Forslag til</w:t>
            </w:r>
          </w:p>
        </w:tc>
      </w:tr>
      <w:tr w:rsidR="00567247" w:rsidTr="00273FCA">
        <w:trPr>
          <w:jc w:val="center"/>
        </w:trPr>
        <w:tc>
          <w:tcPr>
            <w:tcW w:w="4876" w:type="dxa"/>
          </w:tcPr>
          <w:p w:rsidR="00F23239" w:rsidRPr="003711D1" w:rsidRDefault="00D9224C" w:rsidP="00273FCA">
            <w:pPr>
              <w:pStyle w:val="Normal6"/>
            </w:pPr>
            <w:r>
              <w:t>EUROPA-PARLAMENTETS OG RÅDETS DIREKTIV</w:t>
            </w:r>
          </w:p>
        </w:tc>
        <w:tc>
          <w:tcPr>
            <w:tcW w:w="4876" w:type="dxa"/>
          </w:tcPr>
          <w:p w:rsidR="00F23239" w:rsidRPr="003711D1" w:rsidRDefault="00D9224C" w:rsidP="00273FCA">
            <w:pPr>
              <w:pStyle w:val="Normal6"/>
              <w:rPr>
                <w:szCs w:val="24"/>
              </w:rPr>
            </w:pPr>
            <w:r>
              <w:t>EUROPA-PARLAMENTETS OG RÅDETS DIREKTIV</w:t>
            </w:r>
          </w:p>
        </w:tc>
      </w:tr>
      <w:tr w:rsidR="00567247" w:rsidTr="00273FCA">
        <w:trPr>
          <w:jc w:val="center"/>
        </w:trPr>
        <w:tc>
          <w:tcPr>
            <w:tcW w:w="4876" w:type="dxa"/>
          </w:tcPr>
          <w:p w:rsidR="00F23239" w:rsidRPr="003711D1" w:rsidRDefault="00D9224C" w:rsidP="00273FCA">
            <w:pPr>
              <w:pStyle w:val="Normal6"/>
            </w:pPr>
            <w:r>
              <w:t xml:space="preserve">om beskyttelse af personer, der engagerer sig offentligt, mod </w:t>
            </w:r>
            <w:r>
              <w:rPr>
                <w:b/>
                <w:i/>
              </w:rPr>
              <w:t xml:space="preserve">åbenbart grundløse eller </w:t>
            </w:r>
            <w:r>
              <w:t>urimelige retssager ("strategiske retssager mod offentligt engagement")</w:t>
            </w:r>
          </w:p>
        </w:tc>
        <w:tc>
          <w:tcPr>
            <w:tcW w:w="4876" w:type="dxa"/>
          </w:tcPr>
          <w:p w:rsidR="00F23239" w:rsidRPr="003711D1" w:rsidRDefault="00D9224C" w:rsidP="00273FCA">
            <w:pPr>
              <w:pStyle w:val="Normal6"/>
              <w:rPr>
                <w:szCs w:val="24"/>
              </w:rPr>
            </w:pPr>
            <w:r>
              <w:t>om beskyttelse af personer, der engagerer sig offentligt, mod urimelige retssager ("strategiske r</w:t>
            </w:r>
            <w:r>
              <w:t>etssager mod offentligt engagement")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2</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Henvisning 2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under henvisning til udtalelse fra Det </w:t>
            </w:r>
            <w:r>
              <w:rPr>
                <w:b/>
                <w:i/>
              </w:rPr>
              <w:t>Europæiske Økonomiske og Sociale Udvalg,</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3</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(2)</w:t>
            </w:r>
            <w:r>
              <w:tab/>
              <w:t xml:space="preserve">I henhold til artikel 10, stk. 3, i </w:t>
            </w:r>
            <w:r>
              <w:t>traktaten om Den Europæiske Union har enhver unionsborger ret til at deltage i Unionens demokratiske liv. Den Europæiske Unions charter om grundlæggende rettigheder (herefter "chartret") fastsætter bl.a. retten til respekt for privatliv og familieliv (arti</w:t>
            </w:r>
            <w:r>
              <w:t>kel 7), beskyttelse af personoplysninger (artikel 8), ytrings- og informationsfrihed, hvilket omfatter respekt for mediefrihed og mediernes pluralisme (artikel 11), samt til adgang til effektive retsmidler og til en upartisk domstol (artikel 47).</w:t>
            </w:r>
          </w:p>
        </w:tc>
        <w:tc>
          <w:tcPr>
            <w:tcW w:w="4876" w:type="dxa"/>
          </w:tcPr>
          <w:p w:rsidR="00F23239" w:rsidRPr="003711D1" w:rsidRDefault="00D9224C" w:rsidP="00273FCA">
            <w:pPr>
              <w:pStyle w:val="Normal6"/>
              <w:rPr>
                <w:szCs w:val="24"/>
              </w:rPr>
            </w:pPr>
            <w:r>
              <w:t>(2)</w:t>
            </w:r>
            <w:r>
              <w:tab/>
              <w:t>I hen</w:t>
            </w:r>
            <w:r>
              <w:t>hold til artikel 10, stk. 3, i traktaten om Den Europæiske Union har enhver unionsborger ret til at deltage i Unionens demokratiske liv. Den Europæiske Unions charter om grundlæggende rettigheder (herefter "chartret") fastsætter bl.a. retten til respekt fo</w:t>
            </w:r>
            <w:r>
              <w:t xml:space="preserve">r privatliv og familieliv (artikel 7), beskyttelse af personoplysninger (artikel 8), ytrings- og informationsfrihed, hvilket omfatter respekt for mediefrihed og mediernes pluralisme (artikel 11), </w:t>
            </w:r>
            <w:r>
              <w:rPr>
                <w:b/>
                <w:i/>
              </w:rPr>
              <w:t>forsamlings- og foreningsfrihed (artikel 12), frihed for kun</w:t>
            </w:r>
            <w:r>
              <w:rPr>
                <w:b/>
                <w:i/>
              </w:rPr>
              <w:t xml:space="preserve">st og videnskab (artikel 13), </w:t>
            </w:r>
            <w:r>
              <w:t xml:space="preserve">samt til adgang til effektive retsmidler </w:t>
            </w:r>
            <w:r>
              <w:lastRenderedPageBreak/>
              <w:t>og til en upartisk domstol (artikel 47).</w:t>
            </w:r>
            <w:r>
              <w:rPr>
                <w:b/>
                <w:i/>
              </w:rPr>
              <w:t xml:space="preserve"> I chartrets artikel 12 garanteres er enhvers ret til at danne og melde sig ind i fagforeninger med henblik på at beskytte sine interesser også u</w:t>
            </w:r>
            <w:r>
              <w:rPr>
                <w:b/>
                <w:i/>
              </w:rPr>
              <w:t>dtrykkeligt sikret, hvilket yderligere konsolideres i chartrets artikel 28, der sikre forhandlingsretten og retten til kollektive skridt.</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4</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3</w:t>
      </w:r>
      <w:r>
        <w:rPr>
          <w:rStyle w:val="HideTWBExt"/>
          <w:b w:val="0"/>
        </w:rPr>
        <w:t>&lt;/A</w:t>
      </w:r>
      <w:r>
        <w:rPr>
          <w:rStyle w:val="HideTWBExt"/>
          <w:b w:val="0"/>
        </w:rPr>
        <w:t>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(3)</w:t>
            </w:r>
            <w:r>
              <w:tab/>
              <w:t xml:space="preserve">Retten til ytrings- og informationsfrihed som fastsat i chartrets artikel 11 omfatter retten til at have meninger og til at modtage og meddele oplysninger og tanker uden indblanding fra offentlige </w:t>
            </w:r>
            <w:r>
              <w:t>myndigheder og uden hensyn til landegrænser. Chartrets artikel 11 bør tillægges betydningen og rækkevidden af den tilsvarende artikel 10 i den europæiske menneskerettighedskonvention ("EMRK") om retten til ytringsfrihed som fortolket af Den Europæiske Menn</w:t>
            </w:r>
            <w:r>
              <w:t>eskerettighedsdomstol ("ECHR").</w:t>
            </w:r>
          </w:p>
        </w:tc>
        <w:tc>
          <w:tcPr>
            <w:tcW w:w="4876" w:type="dxa"/>
          </w:tcPr>
          <w:p w:rsidR="00F23239" w:rsidRPr="003711D1" w:rsidRDefault="00D9224C" w:rsidP="00273FCA">
            <w:pPr>
              <w:pStyle w:val="Normal6"/>
              <w:rPr>
                <w:szCs w:val="24"/>
              </w:rPr>
            </w:pPr>
            <w:r>
              <w:t>(3)</w:t>
            </w:r>
            <w:r>
              <w:tab/>
              <w:t>Retten til ytrings- og informationsfrihed som fastsat i chartrets artikel 11 omfatter retten til at have meninger og til at modtage og meddele oplysninger og tanker uden indblanding fra offentlige myndigheder og uden hen</w:t>
            </w:r>
            <w:r>
              <w:t>syn til landegrænser. Chartrets artikel 11 bør tillægges betydningen og rækkevidden af den tilsvarende artikel 10 i den europæiske menneskerettighedskonvention ("EMRK") om retten til ytringsfrihed som fortolket af Den Europæiske Menneskerettighedsdomstol (</w:t>
            </w:r>
            <w:r>
              <w:t>"ECHR").</w:t>
            </w:r>
            <w:r>
              <w:rPr>
                <w:b/>
                <w:i/>
              </w:rPr>
              <w:t xml:space="preserve"> Retten til ytringsfrihed er af EMD konsekvent blevet beskrevet som en afgørende forudsætning for et demokratisk samfund, og både chartret og den europæiske menneskerettighedskonvention fastsætter en meget vidtrækkende ret til ytringsfrihed.</w:t>
            </w:r>
          </w:p>
        </w:tc>
      </w:tr>
    </w:tbl>
    <w:p w:rsidR="00F23239" w:rsidRPr="003711D1" w:rsidRDefault="00D9224C" w:rsidP="00F23239">
      <w:r>
        <w:rPr>
          <w:rStyle w:val="HideTWBExt"/>
        </w:rPr>
        <w:t>&lt;/Ame</w:t>
      </w:r>
      <w:r>
        <w:rPr>
          <w:rStyle w:val="HideTWBExt"/>
        </w:rPr>
        <w:t>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5</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3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(3a)</w:t>
            </w:r>
            <w:r>
              <w:rPr>
                <w:b/>
                <w:i/>
              </w:rPr>
              <w:tab/>
              <w:t xml:space="preserve">Som anerkendt ved konsekvent retspraksis fra Den Europæiske </w:t>
            </w:r>
            <w:r>
              <w:rPr>
                <w:b/>
                <w:i/>
              </w:rPr>
              <w:t xml:space="preserve">Menneskerettighedsdomstol i forbindelse </w:t>
            </w:r>
            <w:r>
              <w:rPr>
                <w:b/>
                <w:i/>
              </w:rPr>
              <w:lastRenderedPageBreak/>
              <w:t xml:space="preserve">med fortolkningen af relevante bestemmelser i den europæiske menneskerettighedskonvention, i lyset af hvilken chartret skal fortolkes og anvendes i henhold til chartrets artikel 52, stk. 3, er retten til ytrings- og </w:t>
            </w:r>
            <w:r>
              <w:rPr>
                <w:b/>
                <w:i/>
              </w:rPr>
              <w:t>informationsfrihed tæt forbundet med udøvelsen af andre rettigheder og frihedsrettigheder, herunder retten til forsamlings- og foreningsfrihed, og friheden for kunst og videnskab, herunder akademisk frihed. Den europæiske menneskerettighedskonvention fastl</w:t>
            </w:r>
            <w:r>
              <w:rPr>
                <w:b/>
                <w:i/>
              </w:rPr>
              <w:t>ægger også en positiv forpligtelse for de kontraherende stater til at sikre mediefriheden og -pluralismen og at tilvejebringe et gunstigt miljø for deltagelse i den offentlige debat.</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6</w:t>
      </w:r>
      <w:r>
        <w:rPr>
          <w:rStyle w:val="HideTWBExt"/>
          <w:b w:val="0"/>
          <w:lang w:val="en-GB"/>
        </w:rPr>
        <w:t>&lt;/NumAm&gt;</w:t>
      </w:r>
    </w:p>
    <w:p w:rsidR="00F23239" w:rsidRPr="003711D1" w:rsidRDefault="00D9224C" w:rsidP="00F23239">
      <w:pPr>
        <w:pStyle w:val="NormalBold"/>
        <w:keepNext/>
      </w:pPr>
      <w:r>
        <w:rPr>
          <w:rStyle w:val="HideTWBExt"/>
          <w:b w:val="0"/>
        </w:rPr>
        <w:t>&lt;DocAmend&gt;</w:t>
      </w:r>
      <w:r>
        <w:t xml:space="preserve">Forslag til </w:t>
      </w:r>
      <w:r>
        <w:t>direktiv</w:t>
      </w:r>
      <w:r>
        <w:rPr>
          <w:rStyle w:val="HideTWBExt"/>
          <w:b w:val="0"/>
        </w:rPr>
        <w:t>&lt;/DocAmend&gt;</w:t>
      </w:r>
    </w:p>
    <w:p w:rsidR="00F23239" w:rsidRPr="003711D1" w:rsidRDefault="00D9224C" w:rsidP="00F23239">
      <w:pPr>
        <w:pStyle w:val="NormalBold"/>
      </w:pPr>
      <w:r>
        <w:rPr>
          <w:rStyle w:val="HideTWBExt"/>
          <w:b w:val="0"/>
        </w:rPr>
        <w:t>&lt;Article&gt;</w:t>
      </w:r>
      <w:r>
        <w:t>Betragtning 3 b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(3b)</w:t>
            </w:r>
            <w:r>
              <w:rPr>
                <w:b/>
                <w:i/>
              </w:rPr>
              <w:tab/>
              <w:t xml:space="preserve">Retten til ytringsfrihed er en grundlæggende rettighed, der skal udøves inden for rammerne af princippet om "afvejning af rettigheder" som fastsat i </w:t>
            </w:r>
            <w:r>
              <w:rPr>
                <w:b/>
                <w:i/>
              </w:rPr>
              <w:t>Menneskerettighedsdomstolens praksis og i overensstemmelse med chartrets artikel 54.</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7</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(4)</w:t>
            </w:r>
            <w:r>
              <w:tab/>
            </w:r>
            <w:r>
              <w:t xml:space="preserve">Formålet med dette direktiv er at </w:t>
            </w:r>
            <w:r>
              <w:rPr>
                <w:b/>
                <w:i/>
              </w:rPr>
              <w:t>yde</w:t>
            </w:r>
            <w:r>
              <w:t xml:space="preserve"> beskyttelse </w:t>
            </w:r>
            <w:r>
              <w:rPr>
                <w:b/>
                <w:i/>
              </w:rPr>
              <w:t>til</w:t>
            </w:r>
            <w:r>
              <w:t xml:space="preserve"> fysiske </w:t>
            </w:r>
            <w:r>
              <w:rPr>
                <w:b/>
                <w:i/>
              </w:rPr>
              <w:t>og</w:t>
            </w:r>
            <w:r>
              <w:t xml:space="preserve"> juridiske personer, der engagerer sig offentligt i spørgsmål af offentlig interesse, navnlig journalister og menneskerettighedsforkæmpere, mod retssager, der indledes mod dem for at </w:t>
            </w:r>
            <w:r>
              <w:lastRenderedPageBreak/>
              <w:t>afskrække</w:t>
            </w:r>
            <w:r>
              <w:t xml:space="preserve"> dem fra offentligt engagement (almindeligvis benævnt strategiske retssager mod offentligt engagement eller "SLAPP").</w:t>
            </w:r>
          </w:p>
        </w:tc>
        <w:tc>
          <w:tcPr>
            <w:tcW w:w="4876" w:type="dxa"/>
          </w:tcPr>
          <w:p w:rsidR="00F23239" w:rsidRPr="003711D1" w:rsidRDefault="00D9224C" w:rsidP="00273FCA">
            <w:pPr>
              <w:pStyle w:val="Normal6"/>
              <w:rPr>
                <w:szCs w:val="24"/>
              </w:rPr>
            </w:pPr>
            <w:r>
              <w:lastRenderedPageBreak/>
              <w:t>(4)</w:t>
            </w:r>
            <w:r>
              <w:tab/>
              <w:t xml:space="preserve">Formålet med dette direktiv er at </w:t>
            </w:r>
            <w:r>
              <w:rPr>
                <w:b/>
                <w:i/>
              </w:rPr>
              <w:t>fastsætte minimumsregler på EU-plan for at sikre</w:t>
            </w:r>
            <w:r>
              <w:t xml:space="preserve"> beskyttelse </w:t>
            </w:r>
            <w:r>
              <w:rPr>
                <w:b/>
                <w:i/>
              </w:rPr>
              <w:t>af</w:t>
            </w:r>
            <w:r>
              <w:t xml:space="preserve"> fysiske </w:t>
            </w:r>
            <w:r>
              <w:rPr>
                <w:b/>
                <w:i/>
              </w:rPr>
              <w:t>eller</w:t>
            </w:r>
            <w:r>
              <w:t xml:space="preserve"> juridiske personer, der engagerer sig offentligt i spørgsmål af offentlig interesse, navnlig journalister</w:t>
            </w:r>
            <w:r>
              <w:rPr>
                <w:b/>
                <w:i/>
              </w:rPr>
              <w:t xml:space="preserve">, medieforetagender/organisationer, </w:t>
            </w:r>
            <w:r>
              <w:rPr>
                <w:b/>
                <w:i/>
              </w:rPr>
              <w:lastRenderedPageBreak/>
              <w:t>udgivere</w:t>
            </w:r>
            <w:r>
              <w:t xml:space="preserve"> og menneskerettighedsforkæmpere, </w:t>
            </w:r>
            <w:r>
              <w:rPr>
                <w:b/>
                <w:i/>
              </w:rPr>
              <w:t>herunder civilsamfundet, ikkestatslige organisationer og fagforeninger s</w:t>
            </w:r>
            <w:r>
              <w:rPr>
                <w:b/>
                <w:i/>
              </w:rPr>
              <w:t xml:space="preserve">amt forskere, akademikere eller kunstnere, forkæmpere for menneskerettighederne, miljømæssige rettigheder, kvinderettigheder og LGBTIQ+-rettigheder, aktivister, fagforeninger, bloggere, whistleblowere eller oppositionspolitikere, </w:t>
            </w:r>
            <w:r>
              <w:t>mod retssager, der indlede</w:t>
            </w:r>
            <w:r>
              <w:t>s mod dem</w:t>
            </w:r>
            <w:r>
              <w:rPr>
                <w:b/>
                <w:i/>
              </w:rPr>
              <w:t>, samt trusler herom,</w:t>
            </w:r>
            <w:r>
              <w:t xml:space="preserve"> for at afskrække dem fra offentligt engagement (almindeligvis benævnt strategiske retssager mod offentligt engagement eller "SLAPP").</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8</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w:t>
      </w:r>
      <w:r>
        <w:rPr>
          <w:rStyle w:val="HideTWBExt"/>
          <w:b w:val="0"/>
        </w:rPr>
        <w:t>&gt;</w:t>
      </w:r>
    </w:p>
    <w:p w:rsidR="00F23239" w:rsidRPr="003711D1" w:rsidRDefault="00D9224C" w:rsidP="00F23239">
      <w:pPr>
        <w:pStyle w:val="NormalBold"/>
      </w:pPr>
      <w:r>
        <w:rPr>
          <w:rStyle w:val="HideTWBExt"/>
          <w:b w:val="0"/>
        </w:rPr>
        <w:t>&lt;Article&gt;</w:t>
      </w:r>
      <w:r>
        <w:t>Betragtning 4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(4a)</w:t>
            </w:r>
            <w:r>
              <w:rPr>
                <w:b/>
                <w:i/>
              </w:rPr>
              <w:tab/>
              <w:t>Fysiske og juridiske personer, der engagerer sig offentligt, spiller en vigtig rolle, når det kommer til at værne om den offentlige debat, grundlæggende rettigheder og</w:t>
            </w:r>
            <w:r>
              <w:rPr>
                <w:b/>
                <w:i/>
              </w:rPr>
              <w:t xml:space="preserve"> demokratiske værdier, social inklusion, miljøbeskyttelse og retsstatsprincippet, samt når det kommer til at fremme demokrati, ligestilling mellem kønnene og mediefrihed og -pluralisme i Unionen.</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9</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(5)</w:t>
            </w:r>
            <w:r>
              <w:tab/>
              <w:t>Journalister spiller en vigtig rolle med hensyn til at fremme den offentlige debat og formidle og modtage oplysninger, holdninger og idé</w:t>
            </w:r>
            <w:r>
              <w:t xml:space="preserve">er. Det er afgørende, at </w:t>
            </w:r>
            <w:r>
              <w:rPr>
                <w:b/>
                <w:i/>
              </w:rPr>
              <w:t>de</w:t>
            </w:r>
            <w:r>
              <w:t xml:space="preserve"> får det nødvendige råderum til at bidrage til en åben, fri og retfærdig debat og til at </w:t>
            </w:r>
            <w:r>
              <w:lastRenderedPageBreak/>
              <w:t>bekæmpe desinformation, informationsmanipulation og indblanding. Journalister bør være i stand til at udføre deres aktiviteter effektivt for</w:t>
            </w:r>
            <w:r>
              <w:t xml:space="preserve"> at sikre, at borgerne har adgang til en mangfoldighed af synspunkter i de europæiske demokratier.</w:t>
            </w:r>
          </w:p>
        </w:tc>
        <w:tc>
          <w:tcPr>
            <w:tcW w:w="4876" w:type="dxa"/>
          </w:tcPr>
          <w:p w:rsidR="00F23239" w:rsidRPr="003711D1" w:rsidRDefault="00D9224C" w:rsidP="00273FCA">
            <w:pPr>
              <w:pStyle w:val="Normal6"/>
              <w:rPr>
                <w:szCs w:val="24"/>
              </w:rPr>
            </w:pPr>
            <w:r>
              <w:lastRenderedPageBreak/>
              <w:t>(5)</w:t>
            </w:r>
            <w:r>
              <w:tab/>
              <w:t xml:space="preserve">Journalister spiller en vigtig rolle med hensyn til at fremme den offentlige debat og formidle og modtage oplysninger, holdninger og idéer. </w:t>
            </w:r>
            <w:r>
              <w:rPr>
                <w:b/>
                <w:i/>
              </w:rPr>
              <w:t>Uafhængig, up</w:t>
            </w:r>
            <w:r>
              <w:rPr>
                <w:b/>
                <w:i/>
              </w:rPr>
              <w:t xml:space="preserve">artisk, professionel og ansvarlig journalistik samt adgang til pluralistisk information er </w:t>
            </w:r>
            <w:r>
              <w:rPr>
                <w:b/>
                <w:i/>
              </w:rPr>
              <w:lastRenderedPageBreak/>
              <w:t>hjørnesten i demokratiet.</w:t>
            </w:r>
            <w:r>
              <w:t xml:space="preserve"> Det er afgørende, at </w:t>
            </w:r>
            <w:r>
              <w:rPr>
                <w:b/>
                <w:i/>
              </w:rPr>
              <w:t>journalister</w:t>
            </w:r>
            <w:r>
              <w:t xml:space="preserve"> får det nødvendige råderum til at bidrage til en åben, fri og retfærdig debat og til at </w:t>
            </w:r>
            <w:r>
              <w:rPr>
                <w:b/>
                <w:i/>
              </w:rPr>
              <w:t>rapportere uafhæn</w:t>
            </w:r>
            <w:r>
              <w:rPr>
                <w:b/>
                <w:i/>
              </w:rPr>
              <w:t xml:space="preserve">gigt og uden pres, hvilket alt sammen er afgørende for at </w:t>
            </w:r>
            <w:r>
              <w:t xml:space="preserve">bekæmpe desinformation, informationsmanipulation og indblanding. Journalister bør være i stand til at udføre deres aktiviteter effektivt </w:t>
            </w:r>
            <w:r>
              <w:rPr>
                <w:b/>
                <w:i/>
              </w:rPr>
              <w:t xml:space="preserve">og uden frygt </w:t>
            </w:r>
            <w:r>
              <w:t>for at sikre, at borgerne har adgang til en man</w:t>
            </w:r>
            <w:r>
              <w:t xml:space="preserve">gfoldighed af synspunkter i de europæiske demokratier. </w:t>
            </w:r>
            <w:r>
              <w:rPr>
                <w:b/>
                <w:i/>
              </w:rPr>
              <w:t>Ikke desto mindre befinder journalister sig i et stadigt vanskeligere miljø, når det kommer til udøvelsen af deres erhverv, et miljø, hvor SLAPP-sager tilligemed kommercielt og politisk pres, store arb</w:t>
            </w:r>
            <w:r>
              <w:rPr>
                <w:b/>
                <w:i/>
              </w:rPr>
              <w:t xml:space="preserve">ejdsbyrder, karriereusikkerhed eller selvcensur udgør en betydelig trussel mod offentlighedens adgang til information. </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10</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(6)</w:t>
            </w:r>
            <w:r>
              <w:tab/>
              <w:t xml:space="preserve">Undersøgende journalister </w:t>
            </w:r>
            <w:r>
              <w:rPr>
                <w:b/>
                <w:i/>
              </w:rPr>
              <w:t>spiller i særdeleshed</w:t>
            </w:r>
            <w:r>
              <w:t xml:space="preserve"> en central rolle </w:t>
            </w:r>
            <w:r>
              <w:rPr>
                <w:b/>
                <w:i/>
              </w:rPr>
              <w:t>i bekæmpelsen af</w:t>
            </w:r>
            <w:r>
              <w:t xml:space="preserve"> organiseret kriminalitet, korruption og ekstremisme. Deres arbejde indebærer en særlig høj risiko, og de oplever et stigende antal </w:t>
            </w:r>
            <w:r>
              <w:t xml:space="preserve">angreb og chikane. Der er behov for et robust </w:t>
            </w:r>
            <w:r>
              <w:rPr>
                <w:b/>
                <w:i/>
              </w:rPr>
              <w:t>beskyttelsessystem</w:t>
            </w:r>
            <w:r>
              <w:t xml:space="preserve"> for at sætte </w:t>
            </w:r>
            <w:r>
              <w:rPr>
                <w:b/>
                <w:i/>
              </w:rPr>
              <w:t>dem</w:t>
            </w:r>
            <w:r>
              <w:t xml:space="preserve"> i stand til at udfylde deres afgørende rolle som vagthunde i spørgsmål af </w:t>
            </w:r>
            <w:r>
              <w:rPr>
                <w:b/>
                <w:i/>
              </w:rPr>
              <w:t xml:space="preserve">legitim </w:t>
            </w:r>
            <w:r>
              <w:t>offentlig interesse.</w:t>
            </w:r>
          </w:p>
        </w:tc>
        <w:tc>
          <w:tcPr>
            <w:tcW w:w="4876" w:type="dxa"/>
          </w:tcPr>
          <w:p w:rsidR="00F23239" w:rsidRPr="003711D1" w:rsidRDefault="00D9224C" w:rsidP="00273FCA">
            <w:pPr>
              <w:pStyle w:val="Normal6"/>
              <w:rPr>
                <w:szCs w:val="24"/>
              </w:rPr>
            </w:pPr>
            <w:r>
              <w:t>(6)</w:t>
            </w:r>
            <w:r>
              <w:tab/>
            </w:r>
            <w:r>
              <w:rPr>
                <w:b/>
                <w:i/>
              </w:rPr>
              <w:t>Navnlig spiller</w:t>
            </w:r>
            <w:r>
              <w:t xml:space="preserve"> undersøgende journalister </w:t>
            </w:r>
            <w:r>
              <w:rPr>
                <w:b/>
                <w:i/>
              </w:rPr>
              <w:t>og medieorganisationer</w:t>
            </w:r>
            <w:r>
              <w:t xml:space="preserve"> en central rolle </w:t>
            </w:r>
            <w:r>
              <w:rPr>
                <w:b/>
                <w:i/>
              </w:rPr>
              <w:t>med hensyn til at afdække bl.a.</w:t>
            </w:r>
            <w:r>
              <w:t xml:space="preserve"> organiseret kriminalitet, </w:t>
            </w:r>
            <w:r>
              <w:rPr>
                <w:b/>
                <w:i/>
              </w:rPr>
              <w:t xml:space="preserve">magtmisbrug, </w:t>
            </w:r>
            <w:r>
              <w:t>korruption</w:t>
            </w:r>
            <w:r>
              <w:rPr>
                <w:b/>
                <w:i/>
              </w:rPr>
              <w:t>, uredelighed, nepotisme, svingdørssituationer, krænkelser af grundlæggende rettigheder</w:t>
            </w:r>
            <w:r>
              <w:t xml:space="preserve"> og</w:t>
            </w:r>
            <w:r>
              <w:rPr>
                <w:b/>
                <w:i/>
              </w:rPr>
              <w:t xml:space="preserve"> voldelig</w:t>
            </w:r>
            <w:r>
              <w:t xml:space="preserve"> ekstremisme. Deres arbejde indebærer en særlig høj risiko</w:t>
            </w:r>
            <w:r>
              <w:t>, og de oplever et stigende antal angreb</w:t>
            </w:r>
            <w:r>
              <w:rPr>
                <w:b/>
                <w:i/>
              </w:rPr>
              <w:t>, drab, trusler, tilfælde af intimidering</w:t>
            </w:r>
            <w:r>
              <w:t xml:space="preserve"> og chikane. Der er behov for et robust </w:t>
            </w:r>
            <w:r>
              <w:rPr>
                <w:b/>
                <w:i/>
              </w:rPr>
              <w:t>system for garantier og beskyttelse, herunder beskyttelse af deres fysiske sikkerhed og liv samt efterforskning af mord begået mod dem,</w:t>
            </w:r>
            <w:r>
              <w:t xml:space="preserve"> for at sætte </w:t>
            </w:r>
            <w:r>
              <w:rPr>
                <w:b/>
                <w:i/>
              </w:rPr>
              <w:t>undersøgende journalister</w:t>
            </w:r>
            <w:r>
              <w:t xml:space="preserve"> i stand til at udfylde deres afgørende rolle som vagthunde i spørgsmål af offentlig interesse,</w:t>
            </w:r>
            <w:r>
              <w:rPr>
                <w:b/>
                <w:i/>
              </w:rPr>
              <w:t xml:space="preserve"> uden at de skal </w:t>
            </w:r>
            <w:r>
              <w:rPr>
                <w:b/>
                <w:i/>
              </w:rPr>
              <w:lastRenderedPageBreak/>
              <w:t>frygte for, at de bliver straffet for at søge oplysninger og formidle dem til offentligheden</w:t>
            </w:r>
            <w:r>
              <w:t>.</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11</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(7)</w:t>
            </w:r>
            <w:r>
              <w:tab/>
              <w:t>Menneskerettighedsforkæmpere spiller også en vigtig rolle i europæiske demokratier, navnlig me</w:t>
            </w:r>
            <w:r>
              <w:t>d hensyn til at værne om grundlæggende rettigheder, demokratiske værdier, social inklusion, miljøbeskyttelse og retsstatsprincippet. De bør kunne deltage aktivt i det offentlige liv og komme til orde i politiske spørgsmål og i beslutningsprocesser uden fry</w:t>
            </w:r>
            <w:r>
              <w:t>gt for intimidering. Menneskerettighedsforkæmpere henviser til enkeltpersoner eller organisationer, der engagerer sig i at forsvare grundlæggende rettigheder og en række andre rettigheder såsom miljø- og klimarettigheder, kvinders rettigheder, LGBTIQ-retti</w:t>
            </w:r>
            <w:r>
              <w:t>gheder, rettigheder for personer med racemæssig eller etnisk minoritetsbaggrund, arbejdstagerrettigheder eller religionsfrihed. Andre deltagere i den offentlige debat</w:t>
            </w:r>
            <w:r>
              <w:rPr>
                <w:b/>
                <w:i/>
              </w:rPr>
              <w:t>,</w:t>
            </w:r>
            <w:r>
              <w:t xml:space="preserve"> såsom akademikere og </w:t>
            </w:r>
            <w:r>
              <w:rPr>
                <w:b/>
                <w:i/>
              </w:rPr>
              <w:t>forskere,</w:t>
            </w:r>
            <w:r>
              <w:t xml:space="preserve"> fortjener også tilstrækkelig beskyttelse.</w:t>
            </w:r>
          </w:p>
        </w:tc>
        <w:tc>
          <w:tcPr>
            <w:tcW w:w="4876" w:type="dxa"/>
          </w:tcPr>
          <w:p w:rsidR="00F23239" w:rsidRPr="003711D1" w:rsidRDefault="00D9224C" w:rsidP="00273FCA">
            <w:pPr>
              <w:pStyle w:val="Normal6"/>
              <w:rPr>
                <w:szCs w:val="24"/>
              </w:rPr>
            </w:pPr>
            <w:r>
              <w:t>(7)</w:t>
            </w:r>
            <w:r>
              <w:tab/>
              <w:t>Menneskeret</w:t>
            </w:r>
            <w:r>
              <w:t>tighedsforkæmpere spiller også en vigtig rolle i europæiske demokratier, navnlig med hensyn til at værne om grundlæggende rettigheder, demokratiske værdier, social inklusion, miljøbeskyttelse</w:t>
            </w:r>
            <w:r>
              <w:rPr>
                <w:b/>
                <w:i/>
              </w:rPr>
              <w:t>, ligestilling mellem kønnene</w:t>
            </w:r>
            <w:r>
              <w:t xml:space="preserve"> og retsstatsprincippet. De bør kunn</w:t>
            </w:r>
            <w:r>
              <w:t>e deltage aktivt i det offentlige liv</w:t>
            </w:r>
            <w:r>
              <w:rPr>
                <w:b/>
                <w:i/>
              </w:rPr>
              <w:t>, sikre ansvarlighed</w:t>
            </w:r>
            <w:r>
              <w:t xml:space="preserve"> og komme til orde i politiske spørgsmål og i beslutningsprocesser uden frygt for intimidering. Menneskerettighedsforkæmpere henviser til enkeltpersoner</w:t>
            </w:r>
            <w:r>
              <w:rPr>
                <w:b/>
                <w:i/>
              </w:rPr>
              <w:t>, grupper</w:t>
            </w:r>
            <w:r>
              <w:t xml:space="preserve"> eller organisationer, der engagerer s</w:t>
            </w:r>
            <w:r>
              <w:t xml:space="preserve">ig i at forsvare grundlæggende rettigheder og en række andre rettigheder såsom </w:t>
            </w:r>
            <w:r>
              <w:rPr>
                <w:b/>
                <w:i/>
              </w:rPr>
              <w:t xml:space="preserve">borgerrettigheder, politiske, økonomiske, sociale og kulturelle rettigheder, </w:t>
            </w:r>
            <w:r>
              <w:t>miljø- og klimarettigheder, kvinders rettigheder, LGBTIQ-rettigheder, rettigheder for personer med r</w:t>
            </w:r>
            <w:r>
              <w:t>acemæssig eller etnisk minoritetsbaggrund, arbejdstagerrettigheder</w:t>
            </w:r>
            <w:r>
              <w:rPr>
                <w:b/>
                <w:i/>
              </w:rPr>
              <w:t>, fagforeningsrettigheder</w:t>
            </w:r>
            <w:r>
              <w:t xml:space="preserve"> eller religionsfrihed. Andre deltagere i den offentlige debat såsom akademikere</w:t>
            </w:r>
            <w:r>
              <w:rPr>
                <w:b/>
                <w:i/>
              </w:rPr>
              <w:t>, forskere, kunstnere, whistleblowere</w:t>
            </w:r>
            <w:r>
              <w:t xml:space="preserve"> og </w:t>
            </w:r>
            <w:r>
              <w:rPr>
                <w:b/>
                <w:i/>
              </w:rPr>
              <w:t>oppositionspolitikere samt enkeltpersoner</w:t>
            </w:r>
            <w:r>
              <w:t xml:space="preserve"> fo</w:t>
            </w:r>
            <w:r>
              <w:t>rtjener også tilstrækkelig beskyttelse</w:t>
            </w:r>
            <w:r>
              <w:rPr>
                <w:b/>
                <w:i/>
              </w:rPr>
              <w:t>, da de også er mål for SLAPP-sager</w:t>
            </w:r>
            <w:r>
              <w: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12</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7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(7a)</w:t>
            </w:r>
            <w:r>
              <w:rPr>
                <w:b/>
                <w:i/>
              </w:rPr>
              <w:tab/>
            </w:r>
            <w:r>
              <w:rPr>
                <w:b/>
                <w:i/>
              </w:rPr>
              <w:t>Akademikere og forskere, som udøver både deres ret og deres forpligtelse til at udtrykke sig inden for deres ekspertiseområde, yder et væsentligt bidrag til samfundsdebatten og formidlingen af viden og sikrer, at den demokratiske debat kan foregå på et inf</w:t>
            </w:r>
            <w:r>
              <w:rPr>
                <w:b/>
                <w:i/>
              </w:rPr>
              <w:t>ormeret grundlag. Anvendelsen af retlige instrumenter til intimideringsformål, hvorved man forsøger at forhindre akademikere og forskere i at kommunikere om spørgsmål vedrørende deres videnskabelige aktiviteter, er en direkte krænkelse af den akademiske fr</w:t>
            </w:r>
            <w:r>
              <w:rPr>
                <w:b/>
                <w:i/>
              </w:rPr>
              <w:t>ihed og bringer den afgørende rolle, som forskere spiller på alle områder af deres arbejde, herunder med hensyn til bekæmpelse af desinformation og misinformation, i fare.</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13</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w:t>
      </w:r>
      <w:r>
        <w:rPr>
          <w:rStyle w:val="HideTWBExt"/>
          <w:b w:val="0"/>
        </w:rPr>
        <w:t>DocAmend&gt;</w:t>
      </w:r>
    </w:p>
    <w:p w:rsidR="00F23239" w:rsidRPr="003711D1" w:rsidRDefault="00D9224C" w:rsidP="00F23239">
      <w:pPr>
        <w:pStyle w:val="NormalBold"/>
      </w:pPr>
      <w:r>
        <w:rPr>
          <w:rStyle w:val="HideTWBExt"/>
          <w:b w:val="0"/>
        </w:rPr>
        <w:t>&lt;Article&gt;</w:t>
      </w:r>
      <w:r>
        <w:t>Betragtning 7 b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(7b)</w:t>
            </w:r>
            <w:r>
              <w:rPr>
                <w:b/>
                <w:i/>
              </w:rPr>
              <w:tab/>
              <w:t xml:space="preserve">Miljøforkæmpere spiller også en vigtig rolle i at beskytte de grundlæggende rettigheder og sikre fremskridt hen imod EU's miljømål og må på ingen måde </w:t>
            </w:r>
            <w:r>
              <w:rPr>
                <w:b/>
                <w:i/>
              </w:rPr>
              <w:t>retsforfølges eller chikaneres for deres deltagelse i aktiviteter, der har til formål at beskytte menneskerettigheder, miljørettigheder og klimarettigheder. Miljøforkæmpere er i de senere år blevet udsat for stadig flere tilfælde af drab, trusler, chikane,</w:t>
            </w:r>
            <w:r>
              <w:rPr>
                <w:b/>
                <w:i/>
              </w:rPr>
              <w:t xml:space="preserve"> intimidering, smædekampagner, kriminalisering og juridisk chikane.</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14</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7 c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(7c)</w:t>
            </w:r>
            <w:r>
              <w:rPr>
                <w:b/>
                <w:i/>
              </w:rPr>
              <w:tab/>
            </w:r>
            <w:r>
              <w:rPr>
                <w:b/>
                <w:i/>
              </w:rPr>
              <w:t xml:space="preserve">Forkæmpere for kvinders rettigheder og LGBTIQ+-rettigheder spiller også en afgørende rolle, når det kommer til at fremme og forsvare ligestilling mellem kønnene samt yde støtte og beskyttelse til ofre for kønsbaseret vold. Forkæmpere og organisationer for </w:t>
            </w:r>
            <w:r>
              <w:rPr>
                <w:b/>
                <w:i/>
              </w:rPr>
              <w:t>kvinders rettigheder og LGBTIQ+-rettigheder udsættes i stigende grad for angreb og for trusler, herunder mod deres liv, samt for vold, der fører til selvcensur. SLAPP-sager er i årenes løb i stigende grad blevet brugt til at kriminalisere solidaritet og ak</w:t>
            </w:r>
            <w:r>
              <w:rPr>
                <w:b/>
                <w:i/>
              </w:rPr>
              <w:t>tivister, der forsvarer kvinders rettigheder, ligestilling mellem kønnene og LGBTIQ+-rettigheder med henblik på at hindre fremskridt, når det kommer til at opnå ligestilling mellem kønnene, hvilket i stigende grad sår tvivl om deres rolle som offentlighede</w:t>
            </w:r>
            <w:r>
              <w:rPr>
                <w:b/>
                <w:i/>
              </w:rPr>
              <w:t>ns vagthunde og bidrager til indskrænkningen af civilsamfundets råderum i Unionen.</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15</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(9)</w:t>
            </w:r>
            <w:r>
              <w:tab/>
            </w:r>
            <w:r>
              <w:t>For at fremme dette miljø er det vigtigt at beskytte journalister og menneskerettighedsforkæmpere mod retssager mod offentligt engagement. Sådanne retssager indledes ikke med henblik på adgang til domstolsprøvelse, men for at bringe den offentlige debat ti</w:t>
            </w:r>
            <w:r>
              <w:t xml:space="preserve">l tavshed, </w:t>
            </w:r>
            <w:r>
              <w:rPr>
                <w:b/>
                <w:i/>
              </w:rPr>
              <w:t>typisk ved hjælp af</w:t>
            </w:r>
            <w:r>
              <w:t xml:space="preserve"> chikane og intimidering.</w:t>
            </w:r>
          </w:p>
        </w:tc>
        <w:tc>
          <w:tcPr>
            <w:tcW w:w="4876" w:type="dxa"/>
          </w:tcPr>
          <w:p w:rsidR="00F23239" w:rsidRPr="003711D1" w:rsidRDefault="00D9224C" w:rsidP="00273FCA">
            <w:pPr>
              <w:pStyle w:val="Normal6"/>
              <w:rPr>
                <w:szCs w:val="24"/>
              </w:rPr>
            </w:pPr>
            <w:r>
              <w:t>(9)</w:t>
            </w:r>
            <w:r>
              <w:tab/>
              <w:t xml:space="preserve">For at fremme dette miljø er det vigtigt at beskytte </w:t>
            </w:r>
            <w:r>
              <w:rPr>
                <w:b/>
                <w:i/>
              </w:rPr>
              <w:t xml:space="preserve">fysiske eller juridiske personer, der engagerer sig offentligt, især </w:t>
            </w:r>
            <w:r>
              <w:t>journalister</w:t>
            </w:r>
            <w:r>
              <w:rPr>
                <w:b/>
                <w:i/>
              </w:rPr>
              <w:t>, whistleblowere, aktivister, akademikere, forskere, kunstnere</w:t>
            </w:r>
            <w:r>
              <w:t xml:space="preserve"> og menneskerettighedsforkæmpere</w:t>
            </w:r>
            <w:r>
              <w:rPr>
                <w:b/>
                <w:i/>
              </w:rPr>
              <w:t>, herunder civilsamfundsorganisationer og fagforeninger,</w:t>
            </w:r>
            <w:r>
              <w:t xml:space="preserve"> mod retssager mod offentligt engagement. Sådanne retssager indledes ikke med henblik på adgang til domstolsprøvelse</w:t>
            </w:r>
            <w:r>
              <w:rPr>
                <w:b/>
                <w:i/>
              </w:rPr>
              <w:t xml:space="preserve"> for reelt at hævde, beskytte eller udøve en rettigh</w:t>
            </w:r>
            <w:r>
              <w:rPr>
                <w:b/>
                <w:i/>
              </w:rPr>
              <w:t>ed</w:t>
            </w:r>
            <w:r>
              <w:t xml:space="preserve">, men for at </w:t>
            </w:r>
            <w:r>
              <w:rPr>
                <w:b/>
                <w:i/>
              </w:rPr>
              <w:t xml:space="preserve">forhindre, begrænse eller straffe </w:t>
            </w:r>
            <w:r>
              <w:rPr>
                <w:b/>
                <w:i/>
              </w:rPr>
              <w:lastRenderedPageBreak/>
              <w:t xml:space="preserve">offentligt engagement og i sidste ende forsøge at </w:t>
            </w:r>
            <w:r>
              <w:t>bringe den offentlige debat til tavshed</w:t>
            </w:r>
            <w:r>
              <w:rPr>
                <w:b/>
                <w:i/>
              </w:rPr>
              <w:t xml:space="preserve"> og forhindre efterforskning og indberetning af overtrædelser af EU-retten og national ret</w:t>
            </w:r>
            <w:r>
              <w:t xml:space="preserve">, </w:t>
            </w:r>
            <w:r>
              <w:rPr>
                <w:b/>
                <w:i/>
              </w:rPr>
              <w:t>korruption eller anden for</w:t>
            </w:r>
            <w:r>
              <w:rPr>
                <w:b/>
                <w:i/>
              </w:rPr>
              <w:t>m for misbrug. Sådanne praksisser er ofte baseret på</w:t>
            </w:r>
            <w:r>
              <w:t xml:space="preserve"> chikane og intimidering.</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16</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10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(10)</w:t>
            </w:r>
            <w:r>
              <w:tab/>
            </w:r>
            <w:r>
              <w:t xml:space="preserve">SLAPP-sager indledes typisk af magtfulde enheder, f.eks. </w:t>
            </w:r>
            <w:r>
              <w:rPr>
                <w:b/>
                <w:i/>
              </w:rPr>
              <w:t>enkeltpersoner</w:t>
            </w:r>
            <w:r>
              <w:t xml:space="preserve">, </w:t>
            </w:r>
            <w:r>
              <w:rPr>
                <w:b/>
                <w:i/>
              </w:rPr>
              <w:t>lobbygrupper</w:t>
            </w:r>
            <w:r>
              <w:t xml:space="preserve">, </w:t>
            </w:r>
            <w:r>
              <w:rPr>
                <w:b/>
                <w:i/>
              </w:rPr>
              <w:t>selskaber</w:t>
            </w:r>
            <w:r>
              <w:t xml:space="preserve"> og </w:t>
            </w:r>
            <w:r>
              <w:rPr>
                <w:b/>
                <w:i/>
              </w:rPr>
              <w:t>statslige organer</w:t>
            </w:r>
            <w:r>
              <w:t>.</w:t>
            </w:r>
            <w:r>
              <w:rPr>
                <w:b/>
                <w:i/>
              </w:rPr>
              <w:t xml:space="preserve"> </w:t>
            </w:r>
            <w:r>
              <w:t>Der er ofte tale om en ulige magtfordeling mellem parterne, idet sagsøgeren har en stærkere økonomisk eller politisk stilling end sagsøgt</w:t>
            </w:r>
            <w:r>
              <w:t xml:space="preserve">e. </w:t>
            </w:r>
            <w:r>
              <w:rPr>
                <w:b/>
                <w:i/>
              </w:rPr>
              <w:t xml:space="preserve">Selv om </w:t>
            </w:r>
            <w:r>
              <w:t xml:space="preserve">en ubalance i magtfordelingen </w:t>
            </w:r>
            <w:r>
              <w:rPr>
                <w:b/>
                <w:i/>
              </w:rPr>
              <w:t xml:space="preserve">ikke </w:t>
            </w:r>
            <w:r>
              <w:t xml:space="preserve">er en </w:t>
            </w:r>
            <w:r>
              <w:rPr>
                <w:b/>
                <w:i/>
              </w:rPr>
              <w:t>uomgængelig</w:t>
            </w:r>
            <w:r>
              <w:t xml:space="preserve"> del af sådanne sager, </w:t>
            </w:r>
            <w:r>
              <w:rPr>
                <w:b/>
                <w:i/>
              </w:rPr>
              <w:t>øger den</w:t>
            </w:r>
            <w:r>
              <w:t xml:space="preserve"> i væsentlig grad de skadelige virkninger og de afskrækkende virkninger af retssager mod offentligt engagement.</w:t>
            </w:r>
          </w:p>
        </w:tc>
        <w:tc>
          <w:tcPr>
            <w:tcW w:w="4876" w:type="dxa"/>
          </w:tcPr>
          <w:p w:rsidR="00F23239" w:rsidRPr="003711D1" w:rsidRDefault="00D9224C" w:rsidP="00273FCA">
            <w:pPr>
              <w:pStyle w:val="Normal6"/>
              <w:rPr>
                <w:szCs w:val="24"/>
              </w:rPr>
            </w:pPr>
            <w:r>
              <w:t>(10)</w:t>
            </w:r>
            <w:r>
              <w:tab/>
              <w:t xml:space="preserve">SLAPP-sager indledes typisk af magtfulde </w:t>
            </w:r>
            <w:r>
              <w:rPr>
                <w:b/>
                <w:i/>
              </w:rPr>
              <w:t xml:space="preserve">enkeltpersoner eller </w:t>
            </w:r>
            <w:r>
              <w:t xml:space="preserve">enheder, f.eks. </w:t>
            </w:r>
            <w:r>
              <w:rPr>
                <w:b/>
                <w:i/>
              </w:rPr>
              <w:t>lobbygrupper, selskaber, offentlige embedsmænd</w:t>
            </w:r>
            <w:r>
              <w:t xml:space="preserve">, </w:t>
            </w:r>
            <w:r>
              <w:rPr>
                <w:b/>
                <w:i/>
              </w:rPr>
              <w:t>offentligt kontrollerede enheder og myndigheder</w:t>
            </w:r>
            <w:r>
              <w:t xml:space="preserve">, </w:t>
            </w:r>
            <w:r>
              <w:rPr>
                <w:b/>
                <w:i/>
              </w:rPr>
              <w:t>herunder politikere</w:t>
            </w:r>
            <w:r>
              <w:t xml:space="preserve"> og </w:t>
            </w:r>
            <w:r>
              <w:rPr>
                <w:b/>
                <w:i/>
              </w:rPr>
              <w:t>retslige myndigheder, i et forsøg på at bringe den offentlige debat til tavshed</w:t>
            </w:r>
            <w:r>
              <w:t>.</w:t>
            </w:r>
            <w:r>
              <w:rPr>
                <w:b/>
                <w:i/>
              </w:rPr>
              <w:t xml:space="preserve"> Ofre for SLAPP-sag</w:t>
            </w:r>
            <w:r>
              <w:rPr>
                <w:b/>
                <w:i/>
              </w:rPr>
              <w:t xml:space="preserve">er kan sagsøges for at give udtryk for kritiske holdninger til adfærd eller gøre opmærksom på ulovligheder, og </w:t>
            </w:r>
            <w:r>
              <w:t>der er ofte tale om en ulige magtfordeling mellem parterne, idet sagsøgeren har en stærkere økonomisk eller politisk stilling end sagsøgte. En ub</w:t>
            </w:r>
            <w:r>
              <w:t xml:space="preserve">alance i magtfordelingen er en </w:t>
            </w:r>
            <w:r>
              <w:rPr>
                <w:b/>
                <w:i/>
              </w:rPr>
              <w:t>væsentlig og tilbagevendende</w:t>
            </w:r>
            <w:r>
              <w:t xml:space="preserve"> del af sådanne sager, </w:t>
            </w:r>
            <w:r>
              <w:rPr>
                <w:b/>
                <w:i/>
              </w:rPr>
              <w:t>men kan være fraværende i visse sager, der opfylder SLAPP-kriterierne, hvis de øvrige komponenter, der karakteriserer en SLAPP-sag, er til stede. Sager, hvor der ikke er tale</w:t>
            </w:r>
            <w:r>
              <w:rPr>
                <w:b/>
                <w:i/>
              </w:rPr>
              <w:t xml:space="preserve"> om ulige magtfordeling, bør fortolkes med forsigtighed, så det undgås, at SLAPP-påstande bruges til at chikanere NGO'er, menneskerettighedsforkæmpere, aktivister, journalister og andre, der i god tro indbringer sager for domstolene for at forsvare sig mod</w:t>
            </w:r>
            <w:r>
              <w:rPr>
                <w:b/>
                <w:i/>
              </w:rPr>
              <w:t xml:space="preserve"> magtfulde aktørers injurier.</w:t>
            </w:r>
            <w:r>
              <w:t xml:space="preserve"> </w:t>
            </w:r>
            <w:r>
              <w:rPr>
                <w:b/>
                <w:i/>
              </w:rPr>
              <w:t>En ulige magtfordeling øger</w:t>
            </w:r>
            <w:r>
              <w:t xml:space="preserve"> i væsentlig grad de skadelige virkninger og de afskrækkende virkninger af retssager </w:t>
            </w:r>
            <w:r>
              <w:lastRenderedPageBreak/>
              <w:t>mod offentligt engagement.</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17</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w:t>
      </w:r>
      <w:r>
        <w:rPr>
          <w:rStyle w:val="HideTWBExt"/>
          <w:b w:val="0"/>
        </w:rPr>
        <w:t>Amend&gt;</w:t>
      </w:r>
    </w:p>
    <w:p w:rsidR="00F23239" w:rsidRPr="003711D1" w:rsidRDefault="00D9224C" w:rsidP="00F23239">
      <w:pPr>
        <w:pStyle w:val="NormalBold"/>
      </w:pPr>
      <w:r>
        <w:rPr>
          <w:rStyle w:val="HideTWBExt"/>
          <w:b w:val="0"/>
        </w:rPr>
        <w:t>&lt;Article&gt;</w:t>
      </w:r>
      <w:r>
        <w:t>Betragtning 11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(11)</w:t>
            </w:r>
            <w:r>
              <w:tab/>
              <w:t xml:space="preserve">Retssager mod offentligt engagement kan have en negativ indvirkning på </w:t>
            </w:r>
            <w:r>
              <w:rPr>
                <w:b/>
                <w:i/>
              </w:rPr>
              <w:t>journalisters</w:t>
            </w:r>
            <w:r>
              <w:t xml:space="preserve"> og </w:t>
            </w:r>
            <w:r>
              <w:rPr>
                <w:b/>
                <w:i/>
              </w:rPr>
              <w:t>menneskerettighedsforkæmperes troværdighed</w:t>
            </w:r>
            <w:r>
              <w:t xml:space="preserve"> og </w:t>
            </w:r>
            <w:r>
              <w:rPr>
                <w:b/>
                <w:i/>
              </w:rPr>
              <w:t>omdømme</w:t>
            </w:r>
            <w:r>
              <w:t xml:space="preserve"> og udtømme deres finansielle og andre ressourcer. På grund af sådanne sager kan offentliggørelsen af oplysninger om et spørgsmål af offentlig interesse forsinkes eller helt undgås. Sagernes varighed og det økonomiske pres kan have en afskrækkende virkning</w:t>
            </w:r>
            <w:r>
              <w:t xml:space="preserve"> på journalister og menneskerettighedsforkæmpere. Eksistensen af en sådan praksis kan derfor have en afskrækkende virkning på deres arbejde ved at bidrage til selvcensur i forventning om eventuelle fremtidige retssager, hvilket fører til en forarmelse af d</w:t>
            </w:r>
            <w:r>
              <w:t>en offentlige debat til skade for samfundet som helhed.</w:t>
            </w:r>
          </w:p>
        </w:tc>
        <w:tc>
          <w:tcPr>
            <w:tcW w:w="4876" w:type="dxa"/>
          </w:tcPr>
          <w:p w:rsidR="00F23239" w:rsidRPr="003711D1" w:rsidRDefault="00D9224C" w:rsidP="00273FCA">
            <w:pPr>
              <w:pStyle w:val="Normal6"/>
              <w:rPr>
                <w:szCs w:val="24"/>
              </w:rPr>
            </w:pPr>
            <w:r>
              <w:t>(11)</w:t>
            </w:r>
            <w:r>
              <w:tab/>
              <w:t xml:space="preserve">Retssager mod offentligt engagement kan have en negativ indvirkning på </w:t>
            </w:r>
            <w:r>
              <w:rPr>
                <w:b/>
                <w:i/>
              </w:rPr>
              <w:t>troværdigheden</w:t>
            </w:r>
            <w:r>
              <w:t xml:space="preserve"> og </w:t>
            </w:r>
            <w:r>
              <w:rPr>
                <w:b/>
                <w:i/>
              </w:rPr>
              <w:t>omdømmet for fysiske</w:t>
            </w:r>
            <w:r>
              <w:t xml:space="preserve"> og </w:t>
            </w:r>
            <w:r>
              <w:rPr>
                <w:b/>
                <w:i/>
              </w:rPr>
              <w:t>juridiske personer, der engagerer sig offentligt,</w:t>
            </w:r>
            <w:r>
              <w:t xml:space="preserve"> og udtømme deres finansielle og </w:t>
            </w:r>
            <w:r>
              <w:t>andre ressourcer</w:t>
            </w:r>
            <w:r>
              <w:rPr>
                <w:b/>
                <w:i/>
              </w:rPr>
              <w:t xml:space="preserve"> samt påføre dem psykisk skade</w:t>
            </w:r>
            <w:r>
              <w:t>. På grund af sådanne sager kan offentliggørelsen af oplysninger om et spørgsmål af offentlig interesse forsinkes eller helt undgås. Sagernes varighed og det økonomiske pres kan have en afskrækkende virkning på</w:t>
            </w:r>
            <w:r>
              <w:t xml:space="preserve"> journalister</w:t>
            </w:r>
            <w:r>
              <w:rPr>
                <w:b/>
                <w:i/>
              </w:rPr>
              <w:t>, whistleblowere, aktivister, akademikere, forskere, kunstnere</w:t>
            </w:r>
            <w:r>
              <w:t xml:space="preserve"> og menneskerettighedsforkæmpere</w:t>
            </w:r>
            <w:r>
              <w:rPr>
                <w:b/>
                <w:i/>
              </w:rPr>
              <w:t>, herunder civilsamfundsorganisationer, ikkestatslige organisationer og fagforeninger, der engagerer sig offentligt</w:t>
            </w:r>
            <w:r>
              <w:t xml:space="preserve">. Eksistensen af en sådan praksis </w:t>
            </w:r>
            <w:r>
              <w:t>kan derfor have en afskrækkende virkning på deres arbejde ved at bidrage til selvcensur i forventning om eventuelle fremtidige retssager, hvilket fører til en forarmelse af den offentlige debat til skade for samfundet som helhed.</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w:t>
      </w:r>
      <w:r>
        <w:t>orslag</w:t>
      </w:r>
      <w:r>
        <w:tab/>
      </w:r>
      <w:r>
        <w:tab/>
      </w:r>
      <w:r>
        <w:rPr>
          <w:rStyle w:val="HideTWBExt"/>
          <w:b w:val="0"/>
          <w:lang w:val="en-GB"/>
        </w:rPr>
        <w:t>&lt;NumAm&gt;</w:t>
      </w:r>
      <w:r>
        <w:t>18</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12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(12)</w:t>
            </w:r>
            <w:r>
              <w:tab/>
              <w:t>De, der er genstand for retssager mod offentligt engagement, kan have flere sagsanlæg mod sig samtidigt, som</w:t>
            </w:r>
            <w:r>
              <w:t xml:space="preserve"> undertiden er indledt i flere jurisdiktioner. Sager, der anlægges i en medlemsstats jurisdiktion mod en person, der har bopæl i </w:t>
            </w:r>
            <w:r>
              <w:lastRenderedPageBreak/>
              <w:t>en anden medlemsstat, er normalt mere komplekse og dyrere for sagsøgte. Sagsøgere i retssager mod offentligt engagement kan ogs</w:t>
            </w:r>
            <w:r>
              <w:t xml:space="preserve">å anvende proceduremæssige redskaber til at øge varigheden af og omkostningerne ved retssagen og indbringe sager i en jurisdiktion, som de anser for at være gunstig for deres sag, snarere end for den ret, der er bedst egnet til at behandle sagen. En sådan </w:t>
            </w:r>
            <w:r>
              <w:t>praksis lægger også en unødvendig og skadelig byrde på de nationale retssystemer.</w:t>
            </w:r>
          </w:p>
        </w:tc>
        <w:tc>
          <w:tcPr>
            <w:tcW w:w="4876" w:type="dxa"/>
          </w:tcPr>
          <w:p w:rsidR="00F23239" w:rsidRPr="003711D1" w:rsidRDefault="00D9224C" w:rsidP="00273FCA">
            <w:pPr>
              <w:pStyle w:val="Normal6"/>
              <w:rPr>
                <w:szCs w:val="24"/>
              </w:rPr>
            </w:pPr>
            <w:r>
              <w:lastRenderedPageBreak/>
              <w:t>(12)</w:t>
            </w:r>
            <w:r>
              <w:tab/>
              <w:t xml:space="preserve">De, der er genstand for retssager mod offentligt engagement, kan have flere sagsanlæg mod sig samtidigt, som </w:t>
            </w:r>
            <w:r>
              <w:rPr>
                <w:b/>
                <w:i/>
              </w:rPr>
              <w:t>kan være civile, administrative eller strafferetlige eller e</w:t>
            </w:r>
            <w:r>
              <w:rPr>
                <w:b/>
                <w:i/>
              </w:rPr>
              <w:t xml:space="preserve">n kombination heraf og </w:t>
            </w:r>
            <w:r>
              <w:t xml:space="preserve">undertiden er indledt i flere </w:t>
            </w:r>
            <w:r>
              <w:lastRenderedPageBreak/>
              <w:t>jurisdiktioner</w:t>
            </w:r>
            <w:r>
              <w:rPr>
                <w:b/>
                <w:i/>
              </w:rPr>
              <w:t>. De fleste urimelige retssager mod offentligt engagement er angiveligt nationale straffesager</w:t>
            </w:r>
            <w:r>
              <w:t>. Sager, der anlægges i en medlemsstats jurisdiktion mod en person, der har bopæl i en anden me</w:t>
            </w:r>
            <w:r>
              <w:t>dlemsstat, er normalt mere komplekse og dyrere for sagsøgte. Sagsøgere i retssager mod offentligt engagement kan også anvende proceduremæssige redskaber til at øge varigheden af og omkostningerne ved retssagen og indbringe sager i en jurisdiktion, som de a</w:t>
            </w:r>
            <w:r>
              <w:t xml:space="preserve">nser for at være gunstig for deres sag, snarere end for den ret, der er bedst egnet til at behandle sagen. </w:t>
            </w:r>
            <w:r>
              <w:rPr>
                <w:b/>
                <w:i/>
              </w:rPr>
              <w:t>Sagernes varighed, det finansielle pres og truslen om sanktioner, især strafferetlige sanktioner, er effektive redskaber til at intimidere og lukke m</w:t>
            </w:r>
            <w:r>
              <w:rPr>
                <w:b/>
                <w:i/>
              </w:rPr>
              <w:t>unden på kritiske røster.</w:t>
            </w:r>
            <w:r>
              <w:t xml:space="preserve"> En sådan praksis lægger også en unødvendig og skadelig byrde på de nationale retssystemer</w:t>
            </w:r>
            <w:r>
              <w:rPr>
                <w:b/>
                <w:i/>
              </w:rPr>
              <w:t xml:space="preserve"> og fører til misbrug af deres ressourcer</w:t>
            </w:r>
            <w:r>
              <w:t>.</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19</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w:t>
      </w:r>
      <w:r>
        <w:rPr>
          <w:rStyle w:val="HideTWBExt"/>
          <w:b w:val="0"/>
        </w:rPr>
        <w:t>icle&gt;</w:t>
      </w:r>
      <w:r>
        <w:t>Betragtning 13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(13)</w:t>
            </w:r>
            <w:r>
              <w:tab/>
              <w:t>De garantier, der er fastsat i dette direktiv, bør gælde for alle fysiske eller juridiske personer i forbindelse med deres offentlige engagement. De bør også beskytte fysiske eller</w:t>
            </w:r>
            <w:r>
              <w:t xml:space="preserve"> juridiske personer, der enten erhvervsmæssigt eller personligt støtter, bistår eller leverer varer eller tjenesteydelser til en anden person til formål, der er direkte forbundet med offentligt engagement i et spørgsmål af offentlig interesse. Dette omfatt</w:t>
            </w:r>
            <w:r>
              <w:t>er f.eks. internetudbydere, forlag eller trykkerier, som står over for eller trues af retssager for at levere tjenesteydelser til den person, der er genstand for en retssag.</w:t>
            </w:r>
          </w:p>
        </w:tc>
        <w:tc>
          <w:tcPr>
            <w:tcW w:w="4876" w:type="dxa"/>
          </w:tcPr>
          <w:p w:rsidR="00F23239" w:rsidRPr="003711D1" w:rsidRDefault="00D9224C" w:rsidP="00273FCA">
            <w:pPr>
              <w:pStyle w:val="Normal6"/>
              <w:rPr>
                <w:szCs w:val="24"/>
              </w:rPr>
            </w:pPr>
            <w:r>
              <w:t>(13)</w:t>
            </w:r>
            <w:r>
              <w:tab/>
              <w:t>De garantier, der er fastsat i dette direktiv, bør gælde for alle fysiske ell</w:t>
            </w:r>
            <w:r>
              <w:t xml:space="preserve">er juridiske personer i forbindelse med deres </w:t>
            </w:r>
            <w:r>
              <w:rPr>
                <w:b/>
                <w:i/>
              </w:rPr>
              <w:t xml:space="preserve">direkte eller indirekte </w:t>
            </w:r>
            <w:r>
              <w:t xml:space="preserve">offentlige engagement. De bør også beskytte fysiske eller juridiske personer, der enten erhvervsmæssigt eller personligt støtter, bistår eller leverer varer eller tjenesteydelser til en </w:t>
            </w:r>
            <w:r>
              <w:t xml:space="preserve">anden person til formål, der er direkte forbundet med offentligt engagement i et spørgsmål af offentlig interesse. Dette omfatter f.eks. </w:t>
            </w:r>
            <w:r>
              <w:rPr>
                <w:b/>
                <w:i/>
              </w:rPr>
              <w:t xml:space="preserve">familiemedlemmer, medier, </w:t>
            </w:r>
            <w:r>
              <w:t>internetudbydere, forlag eller trykkerier, som står over for eller trues af retssager for at</w:t>
            </w:r>
            <w:r>
              <w:rPr>
                <w:b/>
                <w:i/>
              </w:rPr>
              <w:t xml:space="preserve"> </w:t>
            </w:r>
            <w:r>
              <w:rPr>
                <w:b/>
                <w:i/>
              </w:rPr>
              <w:t>bistå, yde støtte eller</w:t>
            </w:r>
            <w:r>
              <w:t xml:space="preserve"> levere tjenesteydelser til den person, der er </w:t>
            </w:r>
            <w:r>
              <w:lastRenderedPageBreak/>
              <w:t>genstand for en retssag.</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20</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13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w:t>
            </w:r>
            <w:r>
              <w:t>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(13a)</w:t>
            </w:r>
            <w:r>
              <w:rPr>
                <w:b/>
                <w:i/>
              </w:rPr>
              <w:tab/>
              <w:t xml:space="preserve">Direktivet har også til formål at begrænse misbrug af procedurer forud for retssager såsom varslingsskrivelser og erklæringer om forbud mod adfærd, som bruges til at bringe fysiske og juridiske personer, der engagerer sig offentligt, </w:t>
            </w:r>
            <w:r>
              <w:rPr>
                <w:b/>
                <w:i/>
              </w:rPr>
              <w:t>til tavshed. Ved at give fysiske og juridiske personer, der engagerer sig offentligt, redskaberne til at forsvare sig effektivt mod urimelige krav i retten bidrager direktivet også til at forhindre sådanne intimiderende taktikker.</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w:t>
      </w:r>
      <w:r>
        <w:t>forslag</w:t>
      </w:r>
      <w:r>
        <w:tab/>
      </w:r>
      <w:r>
        <w:tab/>
      </w:r>
      <w:r>
        <w:rPr>
          <w:rStyle w:val="HideTWBExt"/>
          <w:b w:val="0"/>
          <w:lang w:val="en-GB"/>
        </w:rPr>
        <w:t>&lt;NumAm&gt;</w:t>
      </w:r>
      <w:r>
        <w:t>21</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14</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(14)</w:t>
            </w:r>
            <w:r>
              <w:tab/>
              <w:t xml:space="preserve">Dette direktiv bør finde anvendelse på enhver form for søgsmål eller retssag af civil eller kommerciel art </w:t>
            </w:r>
            <w:r>
              <w:t>med grænseoverskridende virkninger, uanset hvilken type domstol der er tale om. Dette omfatter civile krav, der rejses i straffesager. Det omfatter også foreløbige og retsbevarende foranstaltninger, modforanstaltninger eller andre særlige former for retsmi</w:t>
            </w:r>
            <w:r>
              <w:t>dler, der er til rådighed i henhold til andre instrumenter.</w:t>
            </w:r>
          </w:p>
        </w:tc>
        <w:tc>
          <w:tcPr>
            <w:tcW w:w="4876" w:type="dxa"/>
          </w:tcPr>
          <w:p w:rsidR="00F23239" w:rsidRPr="003711D1" w:rsidRDefault="00D9224C" w:rsidP="00273FCA">
            <w:pPr>
              <w:pStyle w:val="Normal6"/>
              <w:rPr>
                <w:szCs w:val="24"/>
              </w:rPr>
            </w:pPr>
            <w:r>
              <w:t>(14)</w:t>
            </w:r>
            <w:r>
              <w:tab/>
              <w:t xml:space="preserve">Dette direktiv bør finde anvendelse på enhver form for søgsmål eller retssag af civil eller kommerciel art med grænseoverskridende virkninger, </w:t>
            </w:r>
            <w:r>
              <w:rPr>
                <w:b/>
                <w:i/>
              </w:rPr>
              <w:t>herunder krav i verserende sager ved en national</w:t>
            </w:r>
            <w:r>
              <w:rPr>
                <w:b/>
                <w:i/>
              </w:rPr>
              <w:t xml:space="preserve"> domstol på tidspunktet for direktivets ikrafttræden, </w:t>
            </w:r>
            <w:r>
              <w:t xml:space="preserve">uanset hvilken type domstol der er tale om. </w:t>
            </w:r>
            <w:r>
              <w:rPr>
                <w:b/>
                <w:i/>
              </w:rPr>
              <w:t xml:space="preserve">Retssager som omhandlet i dette direktiv omfatter alle retssager ved en civil domstol, herunder krav i hastesager, såsom påbud. Det omfatter desuden </w:t>
            </w:r>
            <w:r>
              <w:t>civile kr</w:t>
            </w:r>
            <w:r>
              <w:t>av, der rejses i straffesager</w:t>
            </w:r>
            <w:r>
              <w:rPr>
                <w:b/>
                <w:i/>
              </w:rPr>
              <w:t>, eftersom der grundlæggende er tale om civile og ikke strafferetlige krav</w:t>
            </w:r>
            <w:r>
              <w:t xml:space="preserve">. Det omfatter også foreløbige og retsbevarende foranstaltninger, modforanstaltninger eller andre særlige former for retsmidler, der er til rådighed i </w:t>
            </w:r>
            <w:r>
              <w:lastRenderedPageBreak/>
              <w:t>he</w:t>
            </w:r>
            <w:r>
              <w:t>nhold til andre instrumenter.</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22</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16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(16)</w:t>
            </w:r>
            <w:r>
              <w:tab/>
              <w:t xml:space="preserve">Offentligt engagement bør forstås som enhver </w:t>
            </w:r>
            <w:r>
              <w:t>udtalelse eller aktivitet, der udtrykkes eller udføres af en fysisk eller juridisk person som led i udøvelsen af retten til ytrings- og informationsfrihed om et spørgsmål af offentlig interesse, såsom skabelse, udstilling, annoncering eller anden fremme af</w:t>
            </w:r>
            <w:r>
              <w:t xml:space="preserve"> journalistisk, politisk, videnskabelig, akademisk, kunstnerisk, kommenterende eller satirisk kommunikation, publikationer eller værker, og alle forberedende aktiviteter i direkte tilknytning hertil. </w:t>
            </w:r>
            <w:r>
              <w:rPr>
                <w:b/>
                <w:i/>
              </w:rPr>
              <w:t>Det</w:t>
            </w:r>
            <w:r>
              <w:t xml:space="preserve"> kan også omfatte aktiviteter i forbindelse med udøve</w:t>
            </w:r>
            <w:r>
              <w:t xml:space="preserve">lsen af retten til foreningsfrihed og retten til frit at deltage i fredelige forsamlinger, såsom tilrettelæggelse af eller deltagelse i lobbyvirksomhed, demonstrationer og protester eller aktiviteter som følge af udøvelsen af retten til god forvaltning og </w:t>
            </w:r>
            <w:r>
              <w:t xml:space="preserve">retten til effektive retsmidler, såsom indgivelse af klager, andragender, administrative og retslige krav og deltagelse i offentlige høringer. </w:t>
            </w:r>
            <w:r>
              <w:rPr>
                <w:b/>
                <w:i/>
              </w:rPr>
              <w:t xml:space="preserve">Offentligt engagement bør også omfatte forberedende aktiviteter, støttende eller bistandsydende aktiviteter, der </w:t>
            </w:r>
            <w:r>
              <w:rPr>
                <w:b/>
                <w:i/>
              </w:rPr>
              <w:t>har en direkte og iboende forbindelse til den pågældende udtalelse eller aktivitet, og som er rettet mod at undertrykke offentlighedens deltagelse. Det kan desuden omfatte andre aktiviteter, der har til formål at informere eller påvirke den offentlige meni</w:t>
            </w:r>
            <w:r>
              <w:rPr>
                <w:b/>
                <w:i/>
              </w:rPr>
              <w:t xml:space="preserve">ng eller at fremme offentlig aktion, herunder en privat eller offentlig enheds indsats i forbindelse med et spørgsmål af offentlig interesse, såsom tilrettelæggelse af eller deltagelse i forskning, undersøgelser, kampagner </w:t>
            </w:r>
            <w:r>
              <w:rPr>
                <w:b/>
                <w:i/>
              </w:rPr>
              <w:lastRenderedPageBreak/>
              <w:t>eller andre kollektive aktioner.</w:t>
            </w:r>
          </w:p>
        </w:tc>
        <w:tc>
          <w:tcPr>
            <w:tcW w:w="4876" w:type="dxa"/>
          </w:tcPr>
          <w:p w:rsidR="00F23239" w:rsidRPr="003711D1" w:rsidRDefault="00D9224C" w:rsidP="00273FCA">
            <w:pPr>
              <w:pStyle w:val="Normal6"/>
              <w:rPr>
                <w:szCs w:val="24"/>
              </w:rPr>
            </w:pPr>
            <w:r>
              <w:lastRenderedPageBreak/>
              <w:t>(16)</w:t>
            </w:r>
            <w:r>
              <w:tab/>
              <w:t xml:space="preserve">Offentligt engagement bør forstås som enhver udtalelse eller aktivitet, der udtrykkes eller udføres af en fysisk eller juridisk person som led i udøvelsen af </w:t>
            </w:r>
            <w:r>
              <w:rPr>
                <w:b/>
                <w:i/>
              </w:rPr>
              <w:t xml:space="preserve">grundlæggende rettigheder og menneskerettigheder og frihedsrettigheder, som f.eks. </w:t>
            </w:r>
            <w:r>
              <w:t>retten til</w:t>
            </w:r>
            <w:r>
              <w:t xml:space="preserve"> ytrings- og informationsfrihed om et spørgsmål af offentlig interesse, såsom skabelse, udstilling, annoncering eller anden fremme af journalistisk</w:t>
            </w:r>
            <w:r>
              <w:rPr>
                <w:b/>
                <w:i/>
              </w:rPr>
              <w:t xml:space="preserve"> indhold, nyheder og aktuelle anliggender</w:t>
            </w:r>
            <w:r>
              <w:t>, politisk, videnskabelig, akademisk, kunstnerisk, kommenterende ell</w:t>
            </w:r>
            <w:r>
              <w:t xml:space="preserve">er satirisk kommunikation, publikationer eller værker, og alle forberedende aktiviteter i direkte tilknytning hertil. </w:t>
            </w:r>
            <w:r>
              <w:rPr>
                <w:b/>
                <w:i/>
              </w:rPr>
              <w:t>Fremtidig offentlig interesse henviser til den kendsgerning, at et spørgsmål måske endnu ikke er af offentlig interesse, men kan blive det</w:t>
            </w:r>
            <w:r>
              <w:rPr>
                <w:b/>
                <w:i/>
              </w:rPr>
              <w:t xml:space="preserve">, når offentligheden bliver bevidst om det, f.eks. via en publikation eller en individuel klage. Offentligt engagement </w:t>
            </w:r>
            <w:r>
              <w:t>kan også omfatte aktiviteter i forbindelse med udøvelsen af retten til</w:t>
            </w:r>
            <w:r>
              <w:rPr>
                <w:b/>
                <w:i/>
              </w:rPr>
              <w:t xml:space="preserve"> akademisk og kunstnerisk frihed,</w:t>
            </w:r>
            <w:r>
              <w:t xml:space="preserve"> foreningsfrihed og retten til fri</w:t>
            </w:r>
            <w:r>
              <w:t>t at deltage i fredelige forsamlinger, såsom tilrettelæggelse af eller deltagelse i lobbyvirksomhed, demonstrationer og protester eller aktiviteter som følge af udøvelsen af retten til god forvaltning og retten til effektive retsmidler, såsom indgivelse af</w:t>
            </w:r>
            <w:r>
              <w:t xml:space="preserve"> klager, andragender, administrative og retslige krav og deltagelse i offentlige høringer.</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23</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16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(16a)</w:t>
            </w:r>
            <w:r>
              <w:rPr>
                <w:b/>
                <w:i/>
              </w:rPr>
              <w:tab/>
              <w:t>Offentligt engagement bør også omfatte forberedende aktiviteter, understøttende eller bistandsydende aktiviteter, der har en direkte og iboende forbindelse til den pågældende udtalelse eller aktivitet. Sådanne aktiviteter bør have e</w:t>
            </w:r>
            <w:r>
              <w:rPr>
                <w:b/>
                <w:i/>
              </w:rPr>
              <w:t>n direkte forbindelse til et specifikt offentligt engagement, herunder aktiviteter, der er baseret på et kontraktligt forhold mellem den person, der engagerer sig offentligt og den person, der udfører den forberedende, understøttende eller bistandsydende a</w:t>
            </w:r>
            <w:r>
              <w:rPr>
                <w:b/>
                <w:i/>
              </w:rPr>
              <w:t>ktivitet. Offentligt engagement kan desuden omfatte andre aktiviteter, der har til formål at informere offentligheden eller påvirke den offentlige mening eller yderligere offentlig aktion, herunder en privat eller offentlig enheds aktiviteter i forbindelse</w:t>
            </w:r>
            <w:r>
              <w:rPr>
                <w:b/>
                <w:i/>
              </w:rPr>
              <w:t xml:space="preserve"> med et spørgsmål af offentlig interesse såsom tilrettelæggelse af eller deltagelse i forskning, undersøgelser, kampagner eller andre kollektive aktioner. Søgsmål, som ikke indbringes mod en person, der engagerer sig offentligt, men mod en medieorganisatio</w:t>
            </w:r>
            <w:r>
              <w:rPr>
                <w:b/>
                <w:i/>
              </w:rPr>
              <w:t>n, som f.eks. en internetplatform, der offentliggør sit arbejde, eller mod en virksomhed, der trykker en tekst, eller en butik, der sælger teksten, kan være en effektiv metode til at bringe den offentlige debat til tavshed, fordi holdninger, uden sådanne t</w:t>
            </w:r>
            <w:r>
              <w:rPr>
                <w:b/>
                <w:i/>
              </w:rPr>
              <w:t>jenester, ikke kan offentliggøres og dermed ikke kan påvirke den offentlige debat.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lastRenderedPageBreak/>
        <w:t>&lt;Amend&gt;</w:t>
      </w:r>
      <w:r>
        <w:t>Ændringsforslag</w:t>
      </w:r>
      <w:r>
        <w:tab/>
      </w:r>
      <w:r>
        <w:tab/>
      </w:r>
      <w:r>
        <w:rPr>
          <w:rStyle w:val="HideTWBExt"/>
          <w:b w:val="0"/>
          <w:lang w:val="en-GB"/>
        </w:rPr>
        <w:t>&lt;NumAm&gt;</w:t>
      </w:r>
      <w:r>
        <w:t>24</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17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(17)</w:t>
            </w:r>
            <w:r>
              <w:tab/>
              <w:t>Offentligt engagement bør normalt ikke omfatte kommerciel annoncering og markedsføringsaktivitet</w:t>
            </w:r>
            <w:r>
              <w:rPr>
                <w:b/>
                <w:i/>
              </w:rPr>
              <w:t>, som typisk ikke finder sted i forbindelse med udøvelsen af ytrings- og informationsfriheden</w:t>
            </w:r>
            <w:r>
              <w:t>.</w:t>
            </w:r>
          </w:p>
        </w:tc>
        <w:tc>
          <w:tcPr>
            <w:tcW w:w="4876" w:type="dxa"/>
          </w:tcPr>
          <w:p w:rsidR="00F23239" w:rsidRPr="003711D1" w:rsidRDefault="00D9224C" w:rsidP="00273FCA">
            <w:pPr>
              <w:pStyle w:val="Normal6"/>
              <w:rPr>
                <w:szCs w:val="24"/>
              </w:rPr>
            </w:pPr>
            <w:r>
              <w:t>(17)</w:t>
            </w:r>
            <w:r>
              <w:tab/>
              <w:t>Offentligt engagement bør normalt ikke omfatte kommerciel a</w:t>
            </w:r>
            <w:r>
              <w:t>nnoncering og markedsføringsaktivitet.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25</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18</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(18)</w:t>
            </w:r>
            <w:r>
              <w:tab/>
              <w:t xml:space="preserve">Begrebet spørgsmål af offentlig interesse </w:t>
            </w:r>
            <w:r>
              <w:t>bør også omfatte kvalitet, sikkerhed eller andre relevante aspekter af varer, produkter eller tjenesteydelser, hvor sådanne spørgsmål er relevante for folkesundheden, sikkerheden, miljøet, klimaet eller udøvelsen af grundlæggende rettigheder. En rent indiv</w:t>
            </w:r>
            <w:r>
              <w:t>iduel tvist mellem en forbruger og en producent eller en tjenesteyder vedrørende en vare, et produkt eller en tjenesteydelse bør kun være omfattet, når sagen indeholder et element af offentlig interesse, f.eks. vedrørende et produkt eller en tjenesteydelse</w:t>
            </w:r>
            <w:r>
              <w:t>, der ikke overholder miljø- eller sikkerhedsstandarder.</w:t>
            </w:r>
          </w:p>
        </w:tc>
        <w:tc>
          <w:tcPr>
            <w:tcW w:w="4876" w:type="dxa"/>
          </w:tcPr>
          <w:p w:rsidR="00F23239" w:rsidRPr="003711D1" w:rsidRDefault="00D9224C" w:rsidP="00273FCA">
            <w:pPr>
              <w:pStyle w:val="Normal6"/>
              <w:rPr>
                <w:szCs w:val="24"/>
              </w:rPr>
            </w:pPr>
            <w:r>
              <w:t>(18)</w:t>
            </w:r>
            <w:r>
              <w:tab/>
              <w:t xml:space="preserve">Begrebet spørgsmål af offentlig interesse bør også omfatte kvalitet, sikkerhed eller andre relevante aspekter af varer, produkter eller tjenesteydelser, </w:t>
            </w:r>
            <w:r>
              <w:rPr>
                <w:b/>
                <w:i/>
              </w:rPr>
              <w:t xml:space="preserve">herunder de betingelser, hvorunder disse </w:t>
            </w:r>
            <w:r>
              <w:rPr>
                <w:b/>
                <w:i/>
              </w:rPr>
              <w:t xml:space="preserve">produceres og leveres, </w:t>
            </w:r>
            <w:r>
              <w:t>hvor sådanne spørgsmål er relevante for folkesundheden, sikkerheden, miljøet, klimaet</w:t>
            </w:r>
            <w:r>
              <w:rPr>
                <w:b/>
                <w:i/>
              </w:rPr>
              <w:t>, retsstaten</w:t>
            </w:r>
            <w:r>
              <w:t xml:space="preserve"> eller udøvelsen af grundlæggende rettigheder</w:t>
            </w:r>
            <w:r>
              <w:rPr>
                <w:b/>
                <w:i/>
              </w:rPr>
              <w:t>, herunder arbejdstagerrettigheder, mediefrihed og -pluralisme, ikkeforskelsbehandling, lig</w:t>
            </w:r>
            <w:r>
              <w:rPr>
                <w:b/>
                <w:i/>
              </w:rPr>
              <w:t>estilling mellem kønnene og beskyttelse mod kønsbaseret vold</w:t>
            </w:r>
            <w:r>
              <w:t>. En rent individuel tvist mellem en forbruger og en producent eller en tjenesteyder vedrørende en vare, et produkt eller en tjenesteydelse bør kun være omfattet, når sagen indeholder et element a</w:t>
            </w:r>
            <w:r>
              <w:t>f offentlig interesse, f.eks. vedrørende et produkt eller en tjenesteydelse, der ikke overholder miljø- eller sikkerhedsstandarder</w:t>
            </w:r>
            <w:r>
              <w:rPr>
                <w:b/>
                <w:i/>
              </w:rPr>
              <w:t>, arbejdstagerrettigheder, forbrugerrettigheder eller menneskerettigheder, herunder princippet om ikkeforskelsbehandling</w:t>
            </w:r>
            <w:r>
              <w:t>.</w:t>
            </w:r>
          </w:p>
        </w:tc>
      </w:tr>
    </w:tbl>
    <w:p w:rsidR="00F23239" w:rsidRPr="003711D1" w:rsidRDefault="00D9224C" w:rsidP="00F23239">
      <w:r>
        <w:rPr>
          <w:rStyle w:val="HideTWBExt"/>
        </w:rPr>
        <w:t>&lt;/A</w:t>
      </w:r>
      <w:r>
        <w:rPr>
          <w:rStyle w:val="HideTWBExt"/>
        </w:rPr>
        <w:t>mend&gt;</w:t>
      </w:r>
    </w:p>
    <w:p w:rsidR="00F23239" w:rsidRPr="003711D1" w:rsidRDefault="00D9224C" w:rsidP="00F23239">
      <w:pPr>
        <w:pStyle w:val="AMNumberTabs0"/>
        <w:keepNext/>
      </w:pPr>
      <w:r>
        <w:rPr>
          <w:rStyle w:val="HideTWBExt"/>
          <w:b w:val="0"/>
          <w:lang w:val="en-GB"/>
        </w:rPr>
        <w:lastRenderedPageBreak/>
        <w:t>&lt;Amend&gt;</w:t>
      </w:r>
      <w:r>
        <w:t>Ændringsforslag</w:t>
      </w:r>
      <w:r>
        <w:tab/>
      </w:r>
      <w:r>
        <w:tab/>
      </w:r>
      <w:r>
        <w:rPr>
          <w:rStyle w:val="HideTWBExt"/>
          <w:b w:val="0"/>
          <w:lang w:val="en-GB"/>
        </w:rPr>
        <w:t>&lt;NumAm&gt;</w:t>
      </w:r>
      <w:r>
        <w:t>26</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19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(19a)</w:t>
            </w:r>
            <w:r>
              <w:rPr>
                <w:b/>
                <w:i/>
              </w:rPr>
              <w:tab/>
              <w:t xml:space="preserve">Påstande om korruption, svig, hvidvask af penge, underslæb, afpresning, </w:t>
            </w:r>
            <w:r>
              <w:rPr>
                <w:b/>
                <w:i/>
              </w:rPr>
              <w:t>tvang, seksuel chikane og kønsbaseret vold eller andre former for intimidering og kriminalitet, herunder miljøkriminalitet, er også spørgsmål af offentlig interesse. Aktiviteter, der har til formål at beskytte de værdier, der er nedfældet i artikel 2 i TEU</w:t>
            </w:r>
            <w:r>
              <w:rPr>
                <w:b/>
                <w:i/>
              </w:rPr>
              <w:t>, at give eller lette offentlig adgang til oplysninger med henblik på at bekæmpe desinformation samt videnskabelige aktiviteter og forskningsaktiviteter, betragtes også som spørgsmål af offentlig interesse.</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27</w:t>
      </w:r>
      <w:r>
        <w:rPr>
          <w:rStyle w:val="HideTWBExt"/>
          <w:b w:val="0"/>
          <w:lang w:val="en-GB"/>
        </w:rPr>
        <w:t>&lt;/NumA</w:t>
      </w:r>
      <w:r>
        <w:rPr>
          <w:rStyle w:val="HideTWBExt"/>
          <w:b w:val="0"/>
          <w:lang w:val="en-GB"/>
        </w:rPr>
        <w:t>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(20)</w:t>
            </w:r>
            <w:r>
              <w:tab/>
              <w:t xml:space="preserve">Urimelige retssager omfatter typisk retssager, der anvendes i ond tro, såsom </w:t>
            </w:r>
            <w:r>
              <w:rPr>
                <w:b/>
                <w:i/>
              </w:rPr>
              <w:t>til</w:t>
            </w:r>
            <w:r>
              <w:t xml:space="preserve"> at forsinke sagsbehandlingen, hvilket påfører sagsøgte uforholdsmæssigt store omkostninger i forbindelse med sagen, eller forumshopping. Denne taktik anvendes af sagsøgeren </w:t>
            </w:r>
            <w:r>
              <w:rPr>
                <w:b/>
                <w:i/>
              </w:rPr>
              <w:t>til</w:t>
            </w:r>
            <w:r>
              <w:t xml:space="preserve"> andre formål end at </w:t>
            </w:r>
            <w:r>
              <w:rPr>
                <w:b/>
                <w:i/>
              </w:rPr>
              <w:t>opnå</w:t>
            </w:r>
            <w:r>
              <w:t xml:space="preserve"> adgang til domstolsprøvelse. Sådanne taktikker kombin</w:t>
            </w:r>
            <w:r>
              <w:t>eres ofte, men ikke altid, med forskellige former for intimidering, chikane eller trusler.</w:t>
            </w:r>
          </w:p>
        </w:tc>
        <w:tc>
          <w:tcPr>
            <w:tcW w:w="4876" w:type="dxa"/>
          </w:tcPr>
          <w:p w:rsidR="00F23239" w:rsidRPr="003711D1" w:rsidRDefault="00D9224C" w:rsidP="00273FCA">
            <w:pPr>
              <w:pStyle w:val="Normal6"/>
              <w:rPr>
                <w:szCs w:val="24"/>
              </w:rPr>
            </w:pPr>
            <w:r>
              <w:t>(20)</w:t>
            </w:r>
            <w:r>
              <w:tab/>
            </w:r>
            <w:r>
              <w:rPr>
                <w:b/>
                <w:i/>
              </w:rPr>
              <w:t>Urimelige retssager er kendetegnet ved, at deres hovedformål er at forhindre, begrænse eller straffe offentligt engagement, eller at deres mål er at opnå en afs</w:t>
            </w:r>
            <w:r>
              <w:rPr>
                <w:b/>
                <w:i/>
              </w:rPr>
              <w:t>krækkende virkning med hensyn til offentligt engagement i det pågældende spørgsmål. De udgør således misbrug af materielle eller processuelle regler. Ifølge de generelle retsprincipper må rettigheder ikke udøves på en måde, der udgør misbrug, jf. artikel 5</w:t>
            </w:r>
            <w:r>
              <w:rPr>
                <w:b/>
                <w:i/>
              </w:rPr>
              <w:t>4 i chartret og artikel 17 i EMRK. Konklusionen om, at en retssag har en urimelig karakter skal udledes under hensyntagen til alle sagens omstændigheder.</w:t>
            </w:r>
            <w:r>
              <w:t xml:space="preserve"> </w:t>
            </w:r>
            <w:r>
              <w:rPr>
                <w:b/>
                <w:i/>
              </w:rPr>
              <w:t xml:space="preserve">Urimelige retssager mod offentligt engagement </w:t>
            </w:r>
            <w:r>
              <w:t>omfatter typisk</w:t>
            </w:r>
            <w:r>
              <w:rPr>
                <w:b/>
                <w:i/>
              </w:rPr>
              <w:t xml:space="preserve"> en taktik med</w:t>
            </w:r>
            <w:r>
              <w:t xml:space="preserve"> retssager, der anvendes i ond tro, såsom </w:t>
            </w:r>
            <w:r>
              <w:rPr>
                <w:b/>
                <w:i/>
              </w:rPr>
              <w:t xml:space="preserve">overdrevne eller urimelige erstatningskrav med anmodning om uforholdsmæssige forudgående </w:t>
            </w:r>
            <w:r>
              <w:rPr>
                <w:b/>
                <w:i/>
              </w:rPr>
              <w:lastRenderedPageBreak/>
              <w:t>begrænsningsforanstaltninger, for</w:t>
            </w:r>
            <w:r>
              <w:t xml:space="preserve"> at forsinke sagsbehandlingen, </w:t>
            </w:r>
            <w:r>
              <w:rPr>
                <w:b/>
                <w:i/>
              </w:rPr>
              <w:t xml:space="preserve">indledning af flere sager om lignende spørgsmål, </w:t>
            </w:r>
            <w:r>
              <w:t>hvilket påfø</w:t>
            </w:r>
            <w:r>
              <w:t>rer sagsøgte uforholdsmæssigt store omkostninger i forbindelse med sagen, eller forumshopping.</w:t>
            </w:r>
            <w:r>
              <w:rPr>
                <w:b/>
                <w:i/>
              </w:rPr>
              <w:t xml:space="preserve"> Sagsøgers tidligere adfærd, i særdeleshed en eventuel fortid med juridisk intimidering bør også tages i betragtning ved afgørelsen af, hvorvidt retssagen er urim</w:t>
            </w:r>
            <w:r>
              <w:rPr>
                <w:b/>
                <w:i/>
              </w:rPr>
              <w:t>elig. En tidligere tidlig afvisning af et lignende krav som urimeligt, bør være et umiddelbart tegn på, at det er urimeligt.</w:t>
            </w:r>
            <w:r>
              <w:t xml:space="preserve"> Denne taktik anvendes af sagsøgeren </w:t>
            </w:r>
            <w:r>
              <w:rPr>
                <w:b/>
                <w:i/>
              </w:rPr>
              <w:t>med</w:t>
            </w:r>
            <w:r>
              <w:t xml:space="preserve"> andre formål end at </w:t>
            </w:r>
            <w:r>
              <w:rPr>
                <w:b/>
                <w:i/>
              </w:rPr>
              <w:t>få</w:t>
            </w:r>
            <w:r>
              <w:t xml:space="preserve"> adgang til domstolsprøvelse</w:t>
            </w:r>
            <w:r>
              <w:rPr>
                <w:b/>
                <w:i/>
              </w:rPr>
              <w:t xml:space="preserve"> for reelt at hævde, opretholde eller udø</w:t>
            </w:r>
            <w:r>
              <w:rPr>
                <w:b/>
                <w:i/>
              </w:rPr>
              <w:t>ve en ret, hvilket fører til misbrug af materielle eller processuelle regler</w:t>
            </w:r>
            <w:r>
              <w:t>. Sådanne taktikker kombineres ofte, men ikke altid, med forskellige former for intimidering, chikane eller trusler</w:t>
            </w:r>
            <w:r>
              <w:rPr>
                <w:b/>
                <w:i/>
              </w:rPr>
              <w:t>, såsom truslen om at bruge SLAPP-sager.</w:t>
            </w:r>
            <w:r>
              <w:t xml:space="preserve"> </w:t>
            </w:r>
            <w:r>
              <w:rPr>
                <w:b/>
                <w:i/>
              </w:rPr>
              <w:t xml:space="preserve">I tilfælde af sagsøgtes </w:t>
            </w:r>
            <w:r>
              <w:rPr>
                <w:b/>
                <w:i/>
              </w:rPr>
              <w:t>død kan sådanne urimelige retssager endog fortsættes mod vedkommendes arvinger.</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28</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20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(20a)</w:t>
            </w:r>
            <w:r>
              <w:rPr>
                <w:b/>
                <w:i/>
              </w:rPr>
              <w:tab/>
              <w:t>Et andet tilbagevendende kendetegn ved SLAPP-sager er, at sagsøgeren udnytter en dominerende position, det være sig økonomisk magt, retlige ressourcer eller politisk indflydelse, med det formål at begrænse sagsøgtes offentlige deltagelse. Dette resu</w:t>
            </w:r>
            <w:r>
              <w:rPr>
                <w:b/>
                <w:i/>
              </w:rPr>
              <w:t>lterer i ulige magtfordeling, hvilket er særligt bekymrende, hvis de urimelige retssager finansieres direkte eller indirekte af statsbudgetter og kombineres med andre indirekte og direkte statslige foranstaltninger mod uafhængige medier, uafhængige journal</w:t>
            </w:r>
            <w:r>
              <w:rPr>
                <w:b/>
                <w:i/>
              </w:rPr>
              <w:t xml:space="preserve">ister og civilsamfundet. En sådan ulige </w:t>
            </w:r>
            <w:r>
              <w:rPr>
                <w:b/>
                <w:i/>
              </w:rPr>
              <w:lastRenderedPageBreak/>
              <w:t>magtfordeling kan forekomme i visse tilfælde, der opfylder andre SLAPP-kriterier.</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29</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23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(23)</w:t>
            </w:r>
            <w:r>
              <w:tab/>
              <w:t xml:space="preserve">Sagsøgte bør kunne anmode om følgende retssikkerhedsgarantier: en anmodning om sikkerhedsstillelse til dækning af sagsomkostninger eller sagsomkostninger og skadeserstatning, en anmodning om tidlig afvisning af </w:t>
            </w:r>
            <w:r>
              <w:rPr>
                <w:b/>
                <w:i/>
              </w:rPr>
              <w:t>å</w:t>
            </w:r>
            <w:r>
              <w:rPr>
                <w:b/>
                <w:i/>
              </w:rPr>
              <w:t>benbart grundløse</w:t>
            </w:r>
            <w:r>
              <w:t xml:space="preserve"> retssager, en anmodning om retsmidler mod urimelige retssager (tilkendelse af omkostninger, skadeserstatning og sanktioner) eller alle disse på samme tid.</w:t>
            </w:r>
          </w:p>
        </w:tc>
        <w:tc>
          <w:tcPr>
            <w:tcW w:w="4876" w:type="dxa"/>
          </w:tcPr>
          <w:p w:rsidR="00F23239" w:rsidRPr="003711D1" w:rsidRDefault="00D9224C" w:rsidP="00273FCA">
            <w:pPr>
              <w:pStyle w:val="Normal6"/>
              <w:rPr>
                <w:szCs w:val="24"/>
              </w:rPr>
            </w:pPr>
            <w:r>
              <w:t>(23)</w:t>
            </w:r>
            <w:r>
              <w:tab/>
              <w:t>Sagsøgte bør kunne anmode om følgende retssikkerhedsgarantier: en anmodning om</w:t>
            </w:r>
            <w:r>
              <w:t xml:space="preserve"> sikkerhedsstillelse til dækning af sagsomkostninger eller sagsomkostninger og skadeserstatning, en anmodning om tidlig afvisning af </w:t>
            </w:r>
            <w:r>
              <w:rPr>
                <w:b/>
                <w:i/>
              </w:rPr>
              <w:t>urimelige</w:t>
            </w:r>
            <w:r>
              <w:t xml:space="preserve"> retssager, en anmodning om retsmidler mod urimelige retssager (tilkendelse af omkostninger, skadeserstatning og s</w:t>
            </w:r>
            <w:r>
              <w:t xml:space="preserve">anktioner) eller alle disse på samme tid. </w:t>
            </w:r>
            <w:r>
              <w:rPr>
                <w:b/>
                <w:i/>
              </w:rPr>
              <w:t>Retssager mod fysiske eller juridiske personer på grund af deres offentlige engagement bør behandles hurtigt og effektivt under hensyntagen til sagens omstændigheder, retten til effektive retsmidler og retten til e</w:t>
            </w:r>
            <w:r>
              <w:rPr>
                <w:b/>
                <w:i/>
              </w:rPr>
              <w:t>n retfærdig rettergang.</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30</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23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(23a)</w:t>
            </w:r>
            <w:r>
              <w:rPr>
                <w:b/>
                <w:i/>
              </w:rPr>
              <w:tab/>
              <w:t xml:space="preserve">Enhver fysisk eller juridisk person, der </w:t>
            </w:r>
            <w:r>
              <w:rPr>
                <w:b/>
                <w:i/>
              </w:rPr>
              <w:t>beskytter eller fremmer rettighederne for personer, der engagerer sig offentligt eller på anden måde har interesse i at forsvare det offentlige engagement, der er et mål for en SLAPP-sag, bør have mulighed for at deltage i disse sager, enten til støtte for</w:t>
            </w:r>
            <w:r>
              <w:rPr>
                <w:b/>
                <w:i/>
              </w:rPr>
              <w:t xml:space="preserve"> sagsøgte eller på dennes vegne med sagsøgtes godkendelse. En sådan mulighed for juridisk repræsentation bør ikke berøre fagforeningernes og </w:t>
            </w:r>
            <w:r>
              <w:rPr>
                <w:b/>
                <w:i/>
              </w:rPr>
              <w:lastRenderedPageBreak/>
              <w:t xml:space="preserve">arbejdstagerrepræsentanternes ret og beføjelser til at engagere sig på vegne af eller til støtte for arbejdstagere </w:t>
            </w:r>
            <w:r>
              <w:rPr>
                <w:b/>
                <w:i/>
              </w:rPr>
              <w:t>i retssager i overensstemmelse med andre EU-regler og nationale regler.</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31</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25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(25a)</w:t>
            </w:r>
            <w:r>
              <w:rPr>
                <w:b/>
                <w:i/>
              </w:rPr>
              <w:tab/>
            </w:r>
            <w:r>
              <w:rPr>
                <w:b/>
                <w:i/>
              </w:rPr>
              <w:t>Retssager mod offentligt engagement udsætter de berørte for omfattende finansiel og psykisk skade og gør det nødvendigt for dem at dokumentere forhold, der ofte er vanskelige at bevise, såsom en retssags urimelige karakter. I sådanne situationer bør de sag</w:t>
            </w:r>
            <w:r>
              <w:rPr>
                <w:b/>
                <w:i/>
              </w:rPr>
              <w:t>søgte have ret til at modtage den nødvendige støtte til at fremføre deres sag, forudsat at de er nået til enighed på forhånd. Dette omfatter, men er ikke begrænset til, støtte og information. Sagsøgte bør have ret til at søge bistand fra enhver fysisk elle</w:t>
            </w:r>
            <w:r>
              <w:rPr>
                <w:b/>
                <w:i/>
              </w:rPr>
              <w:t>r juridisk person med en legitim interesse eller ekspertise i at beskytte eller fremme rettighederne for personer, der engagerer sig offentligt. Dette omfatter bl.a. journalister og akademikere samt ikkestatslige organisationer, faglige og repræsentative s</w:t>
            </w:r>
            <w:r>
              <w:rPr>
                <w:b/>
                <w:i/>
              </w:rPr>
              <w:t>ammenslutninger, fagforeninger og andre kollektive organer, der handler i sagsøgtes interesse, eller som har særligt kendskab til sagsøgeren, især dennes tiltag mod offentligt engagement.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32</w:t>
      </w:r>
      <w:r>
        <w:rPr>
          <w:rStyle w:val="HideTWBExt"/>
          <w:b w:val="0"/>
          <w:lang w:val="en-GB"/>
        </w:rPr>
        <w:t>&lt;/NumAm&gt;</w:t>
      </w:r>
    </w:p>
    <w:p w:rsidR="00F23239" w:rsidRPr="003711D1" w:rsidRDefault="00D9224C" w:rsidP="00F23239">
      <w:pPr>
        <w:pStyle w:val="NormalBold"/>
        <w:keepNext/>
      </w:pPr>
      <w:r>
        <w:rPr>
          <w:rStyle w:val="HideTWBExt"/>
          <w:b w:val="0"/>
        </w:rPr>
        <w:t>&lt;DocAmend&gt;</w:t>
      </w:r>
      <w:r>
        <w:t>Forsla</w:t>
      </w:r>
      <w:r>
        <w:t>g til direktiv</w:t>
      </w:r>
      <w:r>
        <w:rPr>
          <w:rStyle w:val="HideTWBExt"/>
          <w:b w:val="0"/>
        </w:rPr>
        <w:t>&lt;/DocAmend&gt;</w:t>
      </w:r>
    </w:p>
    <w:p w:rsidR="00F23239" w:rsidRPr="003711D1" w:rsidRDefault="00D9224C" w:rsidP="00F23239">
      <w:pPr>
        <w:pStyle w:val="NormalBold"/>
      </w:pPr>
      <w:r>
        <w:rPr>
          <w:rStyle w:val="HideTWBExt"/>
          <w:b w:val="0"/>
        </w:rPr>
        <w:t>&lt;Article&gt;</w:t>
      </w:r>
      <w:r>
        <w:t>Betragtning 30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(30)</w:t>
            </w:r>
            <w:r>
              <w:tab/>
              <w:t xml:space="preserve">Hvis en sagsøgt har anmodet om tidlig afvisning, påhviler det sagsøgeren i </w:t>
            </w:r>
            <w:r>
              <w:lastRenderedPageBreak/>
              <w:t xml:space="preserve">hovedsagen under den fremskyndede procedure at bevise, at kravet ikke er </w:t>
            </w:r>
            <w:r>
              <w:rPr>
                <w:b/>
                <w:i/>
              </w:rPr>
              <w:t>åbenbart ubegrundet</w:t>
            </w:r>
            <w:r>
              <w:t xml:space="preserve">. Dette udgør ikke en begrænsning af adgangen til domstolsprøvelse i betragtning af, at sagsøger bærer bevisbyrden i forbindelse med dette krav i hovedsagen og </w:t>
            </w:r>
            <w:r>
              <w:rPr>
                <w:b/>
                <w:i/>
              </w:rPr>
              <w:t>kun</w:t>
            </w:r>
            <w:r>
              <w:t xml:space="preserve"> skal </w:t>
            </w:r>
            <w:r>
              <w:rPr>
                <w:b/>
                <w:i/>
              </w:rPr>
              <w:t>opfylde den meget lavere tærskel for</w:t>
            </w:r>
            <w:r>
              <w:t xml:space="preserve"> at </w:t>
            </w:r>
            <w:r>
              <w:rPr>
                <w:b/>
                <w:i/>
              </w:rPr>
              <w:t>påvise</w:t>
            </w:r>
            <w:r>
              <w:t xml:space="preserve">, </w:t>
            </w:r>
            <w:r>
              <w:rPr>
                <w:b/>
                <w:i/>
              </w:rPr>
              <w:t>at kravet ikke er åb</w:t>
            </w:r>
            <w:r>
              <w:rPr>
                <w:b/>
                <w:i/>
              </w:rPr>
              <w:t>enbart grundløst for at undgå en tidlig afvisning</w:t>
            </w:r>
            <w:r>
              <w:t>.</w:t>
            </w:r>
          </w:p>
        </w:tc>
        <w:tc>
          <w:tcPr>
            <w:tcW w:w="4876" w:type="dxa"/>
          </w:tcPr>
          <w:p w:rsidR="00F23239" w:rsidRPr="003711D1" w:rsidRDefault="00D9224C" w:rsidP="00273FCA">
            <w:pPr>
              <w:pStyle w:val="Normal6"/>
              <w:rPr>
                <w:szCs w:val="24"/>
              </w:rPr>
            </w:pPr>
            <w:r>
              <w:lastRenderedPageBreak/>
              <w:t>(30)</w:t>
            </w:r>
            <w:r>
              <w:tab/>
              <w:t xml:space="preserve">Hvis en sagsøgt har anmodet om tidlig afvisning, påhviler det sagsøgeren i </w:t>
            </w:r>
            <w:r>
              <w:lastRenderedPageBreak/>
              <w:t xml:space="preserve">hovedsagen under den fremskyndede procedure at bevise, at kravet ikke er </w:t>
            </w:r>
            <w:r>
              <w:rPr>
                <w:b/>
                <w:i/>
              </w:rPr>
              <w:t>urimeligt</w:t>
            </w:r>
            <w:r>
              <w:t>. Dette udgør ikke en begrænsning af adgang</w:t>
            </w:r>
            <w:r>
              <w:t>en til domstolsprøvelse i betragtning af, at sagsøger bærer bevisbyrden i forbindelse med dette krav i hovedsagen</w:t>
            </w:r>
            <w:r>
              <w:rPr>
                <w:b/>
                <w:i/>
              </w:rPr>
              <w:t>,</w:t>
            </w:r>
            <w:r>
              <w:t xml:space="preserve"> og </w:t>
            </w:r>
            <w:r>
              <w:rPr>
                <w:b/>
                <w:i/>
              </w:rPr>
              <w:t>for at undgå en tidlig afvisning</w:t>
            </w:r>
            <w:r>
              <w:t xml:space="preserve"> skal </w:t>
            </w:r>
            <w:r>
              <w:rPr>
                <w:b/>
                <w:i/>
              </w:rPr>
              <w:t>godtgøre, at kravet ikke udgør misbrug, samt</w:t>
            </w:r>
            <w:r>
              <w:t xml:space="preserve"> at </w:t>
            </w:r>
            <w:r>
              <w:rPr>
                <w:b/>
                <w:i/>
              </w:rPr>
              <w:t>sagsøgte</w:t>
            </w:r>
            <w:r>
              <w:t xml:space="preserve">, </w:t>
            </w:r>
            <w:r>
              <w:rPr>
                <w:b/>
                <w:i/>
              </w:rPr>
              <w:t>når denne anmoder om afvisning, bør forsyn</w:t>
            </w:r>
            <w:r>
              <w:rPr>
                <w:b/>
                <w:i/>
              </w:rPr>
              <w:t>e retten med de elementer, der tyder på misbrug</w:t>
            </w:r>
            <w:r>
              <w:t>.</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33</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30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(30a)</w:t>
            </w:r>
            <w:r>
              <w:rPr>
                <w:b/>
                <w:i/>
              </w:rPr>
              <w:tab/>
              <w:t>Tidlig afvisning af helt</w:t>
            </w:r>
            <w:r>
              <w:rPr>
                <w:b/>
                <w:i/>
              </w:rPr>
              <w:t xml:space="preserve"> eller delvist grundløse krav udgør ikke en uberettiget krænkelse af retten til adgang til domstolsprøvelse. I henhold til dette direktiv bør medlemsstaterne give deres domstole beføjelser til at træffe tidlige afgørelser om afvisning, men sådanne afgørels</w:t>
            </w:r>
            <w:r>
              <w:rPr>
                <w:b/>
                <w:i/>
              </w:rPr>
              <w:t>er bør træffes af retten i de enkelte sager, hvor sagsøgeren ikke har fremsat sit krav for reelt at hævde, beskytte eller udøve en rettighed. Sagsøgere bør desuden altid have ret til at klage over den tidlige afgørelse om afvisning.</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w:t>
      </w:r>
      <w:r>
        <w:t>gsforslag</w:t>
      </w:r>
      <w:r>
        <w:tab/>
      </w:r>
      <w:r>
        <w:tab/>
      </w:r>
      <w:r>
        <w:rPr>
          <w:rStyle w:val="HideTWBExt"/>
          <w:b w:val="0"/>
          <w:lang w:val="en-GB"/>
        </w:rPr>
        <w:t>&lt;NumAm&gt;</w:t>
      </w:r>
      <w:r>
        <w:t>34</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34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(34a)</w:t>
            </w:r>
            <w:r>
              <w:rPr>
                <w:b/>
                <w:i/>
              </w:rPr>
              <w:tab/>
              <w:t>Bestemmelserne og garantierne i dette direktiv finder i overensstemmelse med Den Europæiske Unio</w:t>
            </w:r>
            <w:r>
              <w:rPr>
                <w:b/>
                <w:i/>
              </w:rPr>
              <w:t>ns Domstols fortolkning af princippet "tempus regit actum"</w:t>
            </w:r>
            <w:r>
              <w:rPr>
                <w:b/>
                <w:i/>
                <w:vertAlign w:val="superscript"/>
              </w:rPr>
              <w:t>1a</w:t>
            </w:r>
            <w:r>
              <w:rPr>
                <w:b/>
                <w:i/>
              </w:rPr>
              <w:t xml:space="preserve"> anvendelse på alle verserende urimelige retssager mod offentligt </w:t>
            </w:r>
            <w:r>
              <w:rPr>
                <w:b/>
                <w:i/>
              </w:rPr>
              <w:lastRenderedPageBreak/>
              <w:t>engagement på datoen for ikrafttrædelsen af den nationale lov til gennemførelse af direktivet og derefter.</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vertAlign w:val="superscript"/>
              </w:rPr>
              <w:t>1a</w:t>
            </w:r>
            <w:r>
              <w:rPr>
                <w:b/>
                <w:i/>
              </w:rPr>
              <w:t xml:space="preserve"> Sag nr. C-610/10, Europa-Kommissionen mod Kongeriget Spanien.</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35</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35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(35a)</w:t>
            </w:r>
            <w:r>
              <w:rPr>
                <w:b/>
                <w:i/>
              </w:rPr>
              <w:tab/>
              <w:t>Dette</w:t>
            </w:r>
            <w:r>
              <w:rPr>
                <w:b/>
                <w:i/>
              </w:rPr>
              <w:t xml:space="preserve"> direktiv bør ikke berøre den eksisterende ret til repræsentation og indgriben, som er sikret ved anden EU-lov eller national lov.</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36</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36</w:t>
      </w:r>
      <w:r>
        <w:rPr>
          <w:rStyle w:val="HideTWBExt"/>
          <w:b w:val="0"/>
        </w:rPr>
        <w:t>&lt;/Articl</w:t>
      </w:r>
      <w:r>
        <w:rPr>
          <w:rStyle w:val="HideTWBExt"/>
          <w:b w:val="0"/>
        </w:rPr>
        <w:t>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(36)</w:t>
            </w:r>
            <w:r>
              <w:tab/>
              <w:t>Dette direktiv supplerer Kommissionens henstilling om beskyttelse af journalister og menneskerettighedsforkæmpere, der engagerer sig offentligt, mod åbenbart grundløse eller urimelige retssager ("strategiske</w:t>
            </w:r>
            <w:r>
              <w:t xml:space="preserve"> retssager mod offentligt engagement"). Denne henstilling er rettet til medlemsstaterne og indeholder en omfattende værktøjskasse med foranstaltninger, herunder uddannelse, bevidstgørelse, støtte til mål for urimelige retssager samt dataindsamling, rapport</w:t>
            </w:r>
            <w:r>
              <w:t>ering og overvågning af retssager mod offentligt engagement.</w:t>
            </w:r>
          </w:p>
        </w:tc>
        <w:tc>
          <w:tcPr>
            <w:tcW w:w="4876" w:type="dxa"/>
          </w:tcPr>
          <w:p w:rsidR="00F23239" w:rsidRPr="003711D1" w:rsidRDefault="00D9224C" w:rsidP="00273FCA">
            <w:pPr>
              <w:pStyle w:val="Normal6"/>
              <w:rPr>
                <w:szCs w:val="24"/>
              </w:rPr>
            </w:pPr>
            <w:r>
              <w:t>(36)</w:t>
            </w:r>
            <w:r>
              <w:tab/>
              <w:t>Dette direktiv supplerer Kommissionens henstilling om beskyttelse af journalister og menneskerettighedsforkæmpere, der engagerer sig offentligt, mod åbenbart grundløse eller urimelige retssa</w:t>
            </w:r>
            <w:r>
              <w:t>ger ("strategiske retssager mod offentligt engagement"). Denne henstilling er rettet til medlemsstaterne og indeholder en omfattende værktøjskasse med foranstaltninger, herunder uddannelse, bevidstgørelse, støtte til mål for urimelige retssager samt datain</w:t>
            </w:r>
            <w:r>
              <w:t xml:space="preserve">dsamling, rapportering og overvågning af retssager mod offentligt engagement. </w:t>
            </w:r>
            <w:r>
              <w:rPr>
                <w:b/>
                <w:i/>
              </w:rPr>
              <w:t>Ved gennemførelsen af dette direktiv bør medlemsstaterne desuden sikre, at Kommissionens henstillinger gennemføres. I den henseende bør medlemsstaterne være særligt opmærksomme p</w:t>
            </w:r>
            <w:r>
              <w:rPr>
                <w:b/>
                <w:i/>
              </w:rPr>
              <w:t xml:space="preserve">å gennemførelsen af </w:t>
            </w:r>
            <w:r>
              <w:rPr>
                <w:b/>
                <w:i/>
              </w:rPr>
              <w:lastRenderedPageBreak/>
              <w:t>henstillingerne om indførelse af garantier svarende til dem, der er fastsat i direktivet vedrørende nationale sager, som ikke er omfattet af direktivets anvendelsesområde, samt tilvejebringelse af juridisk bistand til sagsøgte på en øko</w:t>
            </w:r>
            <w:r>
              <w:rPr>
                <w:b/>
                <w:i/>
              </w:rPr>
              <w:t>nomisk overkommelig og let tilgængelig måde, og i deres nationale gennemførelseslove sørge for, at der medtages målrettede bestemmelser herom.</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37</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36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(36a)</w:t>
            </w:r>
            <w:r>
              <w:rPr>
                <w:b/>
                <w:i/>
              </w:rPr>
              <w:tab/>
              <w:t>Dette direktiv indeholder omfattende understøttende og forebyggende foranstaltninger, herunder medlemsstaternes oprettelse af nationale fonde, der drives af et uafhængigt organ</w:t>
            </w:r>
            <w:r>
              <w:rPr>
                <w:b/>
                <w:i/>
              </w:rPr>
              <w:t xml:space="preserve"> såsom civilsamfundsorganisationer og med støtte fra Kommissionen, ikkefinansielle støtteordninger, såsom retshjælp og psykologhjælp, og uddannelses-, oplysnings- og dataindsamlingstiltag. Det har også til formål at sikre indsamling af data ved at fastsætt</w:t>
            </w:r>
            <w:r>
              <w:rPr>
                <w:b/>
                <w:i/>
              </w:rPr>
              <w:t>e fælles kriterier på EU-plan. Der bør oprettes nationale kontaktpunkter, som koordineres af Kommissionen og drives af uafhængige civilsamfundsorganisationer, der forvalter EU-midler, med henblik på at indsamle og dele oplysninger om alle organisationer, d</w:t>
            </w:r>
            <w:r>
              <w:rPr>
                <w:b/>
                <w:i/>
              </w:rPr>
              <w:t>er yder vejledning og støtte til mål for urimelige retssager mod offentligt engagement. Organisationerne kan f.eks. være sammenslutninger af retlige aktører, medie- og presseråd, paraplyorganisationer for menneskerettighedsforkæmpere, foreninger på EU-plan</w:t>
            </w:r>
            <w:r>
              <w:rPr>
                <w:b/>
                <w:i/>
              </w:rPr>
              <w:t xml:space="preserve"> og nationalt plan, advokatfirmaer, der uden beregning forsvarer mål for urimelige retssager mod offentligt engagement, retshjælpskontorer </w:t>
            </w:r>
            <w:r>
              <w:rPr>
                <w:b/>
                <w:i/>
              </w:rPr>
              <w:lastRenderedPageBreak/>
              <w:t>ved universiteter og andre ikkestatslige organisationer.</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38</w:t>
      </w:r>
      <w:r>
        <w:rPr>
          <w:rStyle w:val="HideTWBExt"/>
          <w:b w:val="0"/>
          <w:lang w:val="en-GB"/>
        </w:rPr>
        <w:t>&lt;/NumAm&gt;</w:t>
      </w:r>
    </w:p>
    <w:p w:rsidR="00F23239" w:rsidRPr="003711D1" w:rsidRDefault="00D9224C" w:rsidP="00F23239">
      <w:pPr>
        <w:pStyle w:val="NormalBold"/>
        <w:keepNext/>
      </w:pPr>
      <w:r>
        <w:rPr>
          <w:rStyle w:val="HideTWBExt"/>
          <w:b w:val="0"/>
        </w:rPr>
        <w:t>&lt;DocAmen</w:t>
      </w:r>
      <w:r>
        <w:rPr>
          <w:rStyle w:val="HideTWBExt"/>
          <w:b w:val="0"/>
        </w:rPr>
        <w:t>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36 b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(36b)</w:t>
            </w:r>
            <w:r>
              <w:rPr>
                <w:b/>
                <w:i/>
              </w:rPr>
              <w:tab/>
              <w:t xml:space="preserve">Direktivet har ikke til formål at løse alle SLAPP-sager mod personer, der engagerer sig offentligt. Der bør fremover lægges særlig </w:t>
            </w:r>
            <w:r>
              <w:rPr>
                <w:b/>
                <w:i/>
              </w:rPr>
              <w:t>vægt på misbrug af det strafferetlige system såvel som det forvaltningsretlige system. Især injuriebegrebet har været i særlig fare for at blive misbrugt som grundlag for SLAPP-sager. Kommissionen og medlemsstaterne bør bestræbe sig på at finde løsninger p</w:t>
            </w:r>
            <w:r>
              <w:rPr>
                <w:b/>
                <w:i/>
              </w:rPr>
              <w:t>å dette problem.</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39</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36 c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(36c)</w:t>
            </w:r>
            <w:r>
              <w:rPr>
                <w:b/>
                <w:i/>
              </w:rPr>
              <w:tab/>
              <w:t xml:space="preserve">Uddannelsen af journalister, andre mediefolk og </w:t>
            </w:r>
            <w:r>
              <w:rPr>
                <w:b/>
                <w:i/>
              </w:rPr>
              <w:t>menneskerettighedsforkæmpere bør styrke disse personers kapacitet til at håndtere urimelige retssager mod offentligt engagement. Denne uddannelse bør sætte fokus på at identificere sådanne retssager og på, hvordan man som offer herfor håndterer dem, samt a</w:t>
            </w:r>
            <w:r>
              <w:rPr>
                <w:b/>
                <w:i/>
              </w:rPr>
              <w:t>t informere om ofrenes rettigheder og forpligtelser, således at de sættes i stand til at træffe de nødvendige foranstaltninger til at beskytte sig selv mod sådanne retssager. Jurister bør også tilbydes uddannelse, der kan øge deres kendskab til urimelige r</w:t>
            </w:r>
            <w:r>
              <w:rPr>
                <w:b/>
                <w:i/>
              </w:rPr>
              <w:t>etssager og sætte dem i stand til at identificere dem på et meget tidligt tidspunkt.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lastRenderedPageBreak/>
        <w:t>&lt;Amend&gt;</w:t>
      </w:r>
      <w:r>
        <w:t>Ændringsforslag</w:t>
      </w:r>
      <w:r>
        <w:tab/>
      </w:r>
      <w:r>
        <w:tab/>
      </w:r>
      <w:r>
        <w:rPr>
          <w:rStyle w:val="HideTWBExt"/>
          <w:b w:val="0"/>
          <w:lang w:val="en-GB"/>
        </w:rPr>
        <w:t>&lt;NumAm&gt;</w:t>
      </w:r>
      <w:r>
        <w:t>40</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36 d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(36d)</w:t>
            </w:r>
            <w:r>
              <w:rPr>
                <w:b/>
                <w:i/>
              </w:rPr>
              <w:tab/>
              <w:t>Medlemsstaterne bør oprette særlige nationale fonde, der forvaltes af et uafhængigt organ såsom civilsamfundsorganisationer og med støtte fra Kommissionen, til at bistå og yde erstatning til ofre for urimelige retssager. De national</w:t>
            </w:r>
            <w:r>
              <w:rPr>
                <w:b/>
                <w:i/>
              </w:rPr>
              <w:t>e fonde bør delvist finansieres af indtægter fra sanktioner. Midler, der stilles til rådighed gennem de nationale fonde, bør også fordeles til organisationer, der yder vejledning og støtte til mål for SLAPP-sager, så det sikres, at sådanne organisationer u</w:t>
            </w:r>
            <w:r>
              <w:rPr>
                <w:b/>
                <w:i/>
              </w:rPr>
              <w:t>dstyres med tilstrækkelige ressourcer til at udføre deres opgaver på passende vis.</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41</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Betragtning 36 e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(36e)</w:t>
            </w:r>
            <w:r>
              <w:rPr>
                <w:b/>
                <w:i/>
              </w:rPr>
              <w:tab/>
              <w:t>Indsamlingen af data er afgørende for at dokumentere tilfælde af urimelige retssager og finde løsninger på, hvordan de kan forhindres. Direktivet bør fastsætte fælles kriterier for standardiseringen af medlemsstaternes dataindsamlin</w:t>
            </w:r>
            <w:r>
              <w:rPr>
                <w:b/>
                <w:i/>
              </w:rPr>
              <w:t>gsprocedurer og sikre, at der indsamles sammenlignelige data. Sådanne data bør omfatte:</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i) </w:t>
            </w:r>
            <w:r>
              <w:rPr>
                <w:b/>
                <w:i/>
              </w:rPr>
              <w:tab/>
              <w:t>antallet af urimelige retssager mod offentligt engagement, der er indledt i det pågældende år</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ii) </w:t>
            </w:r>
            <w:r>
              <w:rPr>
                <w:b/>
                <w:i/>
              </w:rPr>
              <w:tab/>
              <w:t xml:space="preserve">antallet af urimelige retssager mod offentligt engagement, </w:t>
            </w:r>
            <w:r>
              <w:rPr>
                <w:b/>
                <w:i/>
              </w:rPr>
              <w:t xml:space="preserve">der blev afvist hurtigt, fordi de vedrørte helt eller delvist grundløse krav, i det pågældende år fra og med 2022, både søgsmål, der blev afvist på grund af sagens realitet, og søgsmål, </w:t>
            </w:r>
            <w:r>
              <w:rPr>
                <w:b/>
                <w:i/>
              </w:rPr>
              <w:lastRenderedPageBreak/>
              <w:t>der blev afvist af proceduremæssige årsager</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iii) </w:t>
            </w:r>
            <w:r>
              <w:rPr>
                <w:b/>
                <w:i/>
              </w:rPr>
              <w:tab/>
              <w:t>antallet af retssa</w:t>
            </w:r>
            <w:r>
              <w:rPr>
                <w:b/>
                <w:i/>
              </w:rPr>
              <w:t>ger opdelt efter type sagsøgt (f.eks. journalist, menneskerettighedsforkæmper, presseorgan)</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iv) </w:t>
            </w:r>
            <w:r>
              <w:rPr>
                <w:b/>
                <w:i/>
              </w:rPr>
              <w:tab/>
              <w:t>antallet af retssager opdelt efter type sagsøger (f.eks. politiker, privatperson, virksomhed, hvorvidt sagsøger er en udenlandsk enhed)</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v) </w:t>
            </w:r>
            <w:r>
              <w:rPr>
                <w:b/>
                <w:i/>
              </w:rPr>
              <w:tab/>
              <w:t>tal for handlin</w:t>
            </w:r>
            <w:r>
              <w:rPr>
                <w:b/>
                <w:i/>
              </w:rPr>
              <w:t>ger inden for offentligt engagement, på grundlag af hvilke der blev indledt en retssag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vi) </w:t>
            </w:r>
            <w:r>
              <w:rPr>
                <w:b/>
                <w:i/>
              </w:rPr>
              <w:tab/>
              <w:t>tal for de anslåede oprindelige erstatninger, som sagsøgerne har krævet</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vii) </w:t>
            </w:r>
            <w:r>
              <w:rPr>
                <w:b/>
                <w:i/>
              </w:rPr>
              <w:tab/>
              <w:t>en beskrivelse af de forskellige retsgrundlag, der anvendes af sagsøgerne, og tilh</w:t>
            </w:r>
            <w:r>
              <w:rPr>
                <w:b/>
                <w:i/>
              </w:rPr>
              <w:t>ørende tal</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viii) </w:t>
            </w:r>
            <w:r>
              <w:rPr>
                <w:b/>
                <w:i/>
              </w:rPr>
              <w:tab/>
              <w:t>tal for sagsbehandlingstiden, som omfatter alle instanser</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ix) </w:t>
            </w:r>
            <w:r>
              <w:rPr>
                <w:b/>
                <w:i/>
              </w:rPr>
              <w:tab/>
              <w:t>tal for grænseoverskridende elementer</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x) </w:t>
            </w:r>
            <w:r>
              <w:rPr>
                <w:b/>
                <w:i/>
              </w:rPr>
              <w:tab/>
              <w:t xml:space="preserve">hvor de forefindes, andre data, herunder om sagsomkostninger og, hvis det er relevant og passende, relevante tal baseret på </w:t>
            </w:r>
            <w:r>
              <w:rPr>
                <w:b/>
                <w:i/>
              </w:rPr>
              <w:t>sagers historiske baggrund</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(xi) </w:t>
            </w:r>
            <w:r>
              <w:rPr>
                <w:b/>
                <w:i/>
              </w:rPr>
              <w:tab/>
              <w:t>type krav udstedt i henhold til dette direktiv og den ledsagende henstilling.</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42</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1 – stk.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 xml:space="preserve">Dette direktiv giver </w:t>
            </w:r>
            <w:r>
              <w:rPr>
                <w:b/>
                <w:i/>
              </w:rPr>
              <w:t>garantier</w:t>
            </w:r>
            <w:r>
              <w:t xml:space="preserve"> mod </w:t>
            </w:r>
            <w:r>
              <w:rPr>
                <w:b/>
                <w:i/>
              </w:rPr>
              <w:t>åbenbart grundløse</w:t>
            </w:r>
            <w:r>
              <w:t xml:space="preserve"> eller </w:t>
            </w:r>
            <w:r>
              <w:rPr>
                <w:b/>
                <w:i/>
              </w:rPr>
              <w:t>urimelige</w:t>
            </w:r>
            <w:r>
              <w:t xml:space="preserve"> retssager i civile sager med grænseoverskridende virkninger, der anlægges mod fysiske </w:t>
            </w:r>
            <w:r>
              <w:rPr>
                <w:b/>
                <w:i/>
              </w:rPr>
              <w:t>og</w:t>
            </w:r>
            <w:r>
              <w:t xml:space="preserve"> juridiske personer, navnlig </w:t>
            </w:r>
            <w:r>
              <w:rPr>
                <w:b/>
                <w:i/>
              </w:rPr>
              <w:t>journalister</w:t>
            </w:r>
            <w:r>
              <w:t xml:space="preserve"> og </w:t>
            </w:r>
            <w:r>
              <w:rPr>
                <w:b/>
                <w:i/>
              </w:rPr>
              <w:t>menneskerettig</w:t>
            </w:r>
            <w:r>
              <w:rPr>
                <w:b/>
                <w:i/>
              </w:rPr>
              <w:t>hedsforkæmpere</w:t>
            </w:r>
            <w:r>
              <w:t xml:space="preserve">, på grund </w:t>
            </w:r>
            <w:r>
              <w:lastRenderedPageBreak/>
              <w:t>af deres offentlige engagement.</w:t>
            </w:r>
          </w:p>
        </w:tc>
        <w:tc>
          <w:tcPr>
            <w:tcW w:w="4876" w:type="dxa"/>
          </w:tcPr>
          <w:p w:rsidR="00F23239" w:rsidRPr="003711D1" w:rsidRDefault="00D9224C" w:rsidP="00273FCA">
            <w:pPr>
              <w:pStyle w:val="Normal6"/>
              <w:rPr>
                <w:szCs w:val="24"/>
              </w:rPr>
            </w:pPr>
            <w:r>
              <w:lastRenderedPageBreak/>
              <w:t xml:space="preserve">Dette direktiv giver </w:t>
            </w:r>
            <w:r>
              <w:rPr>
                <w:b/>
                <w:i/>
              </w:rPr>
              <w:t>retssikkerhedsgarantier</w:t>
            </w:r>
            <w:r>
              <w:t xml:space="preserve"> mod </w:t>
            </w:r>
            <w:r>
              <w:rPr>
                <w:b/>
                <w:i/>
              </w:rPr>
              <w:t>urimelige retssager,</w:t>
            </w:r>
            <w:r>
              <w:t xml:space="preserve"> eller </w:t>
            </w:r>
            <w:r>
              <w:rPr>
                <w:b/>
                <w:i/>
              </w:rPr>
              <w:t>trusler om</w:t>
            </w:r>
            <w:r>
              <w:t xml:space="preserve"> retssager</w:t>
            </w:r>
            <w:r>
              <w:rPr>
                <w:b/>
                <w:i/>
              </w:rPr>
              <w:t>,</w:t>
            </w:r>
            <w:r>
              <w:t xml:space="preserve"> i civile sager med grænseoverskridende virkninger, der </w:t>
            </w:r>
            <w:r>
              <w:rPr>
                <w:b/>
                <w:i/>
              </w:rPr>
              <w:t xml:space="preserve">direkte eller indirekte </w:t>
            </w:r>
            <w:r>
              <w:t xml:space="preserve">anlægges mod fysiske </w:t>
            </w:r>
            <w:r>
              <w:rPr>
                <w:b/>
                <w:i/>
              </w:rPr>
              <w:t>e</w:t>
            </w:r>
            <w:r>
              <w:rPr>
                <w:b/>
                <w:i/>
              </w:rPr>
              <w:t>ller</w:t>
            </w:r>
            <w:r>
              <w:t xml:space="preserve"> juridiske personer</w:t>
            </w:r>
            <w:r>
              <w:rPr>
                <w:b/>
                <w:i/>
              </w:rPr>
              <w:t xml:space="preserve"> såsom journalister, medier og rettighedsforkæmpere</w:t>
            </w:r>
            <w:r>
              <w:t xml:space="preserve">, navnlig </w:t>
            </w:r>
            <w:r>
              <w:rPr>
                <w:b/>
                <w:i/>
              </w:rPr>
              <w:t xml:space="preserve">inden for </w:t>
            </w:r>
            <w:r>
              <w:rPr>
                <w:b/>
                <w:i/>
              </w:rPr>
              <w:lastRenderedPageBreak/>
              <w:t>menneskerettigheder, miljø, kvinders rettigheder</w:t>
            </w:r>
            <w:r>
              <w:t xml:space="preserve"> og </w:t>
            </w:r>
            <w:r>
              <w:rPr>
                <w:b/>
                <w:i/>
              </w:rPr>
              <w:t>LGBTIQ+-rettigheder, samt civilsamfundsorganisationer, NGO'er, aktivister, fagforeninger, kunstnere, forskere,</w:t>
            </w:r>
            <w:r>
              <w:rPr>
                <w:b/>
                <w:i/>
              </w:rPr>
              <w:t xml:space="preserve"> akademikere, bloggere, whistleblowere eller oppositionspolitikere</w:t>
            </w:r>
            <w:r>
              <w:t>, på grund af deres offentlige engagement</w:t>
            </w:r>
            <w:r>
              <w:rPr>
                <w:b/>
                <w:i/>
              </w:rPr>
              <w:t>, herunder online</w:t>
            </w:r>
            <w:r>
              <w:t>.</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43</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1 – stk. 1 a (nyt)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1a) </w:t>
            </w:r>
            <w:r>
              <w:rPr>
                <w:b/>
                <w:i/>
              </w:rPr>
              <w:tab/>
              <w:t xml:space="preserve">Dette direktiv fastsætter minimumsstandarder for beskyttelse af fysiske og juridiske personer, der engagerer sig offentligt i civile retssager. Gennemførelsen af dette direktiv berettiger under </w:t>
            </w:r>
            <w:r>
              <w:rPr>
                <w:b/>
                <w:i/>
              </w:rPr>
              <w:t>ingen omstændigheder til at forringe det niveau af garantier, som medlemsstaterne allerede giver på de områder, der er omfattet af dette direktiv.</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44</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w:t>
      </w:r>
      <w:r>
        <w:t>l 3 – stk. 1 – nr.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1.</w:t>
            </w:r>
            <w:r>
              <w:tab/>
              <w:t xml:space="preserve">enhver udtalelse eller aktivitet, der udtrykkes eller udføres af en fysisk eller juridisk person som led i udøvelsen af </w:t>
            </w:r>
            <w:r>
              <w:rPr>
                <w:b/>
                <w:i/>
              </w:rPr>
              <w:t>retten til</w:t>
            </w:r>
            <w:r>
              <w:t xml:space="preserve"> ytrings- og informationsfrihed vedrørende et spørgsmål af offentlig interesse, og </w:t>
            </w:r>
            <w:r>
              <w:rPr>
                <w:b/>
                <w:i/>
              </w:rPr>
              <w:t>forberedende</w:t>
            </w:r>
            <w:r>
              <w:t xml:space="preserve">, </w:t>
            </w:r>
            <w:r>
              <w:rPr>
                <w:b/>
                <w:i/>
              </w:rPr>
              <w:t>understøttende eller bistandsydende foranstaltninger</w:t>
            </w:r>
            <w:r>
              <w:t xml:space="preserve">, </w:t>
            </w:r>
            <w:r>
              <w:rPr>
                <w:b/>
                <w:i/>
              </w:rPr>
              <w:t>der er direkte forbundet hermed</w:t>
            </w:r>
            <w:r>
              <w:t>. Dette omfatter klager, andragender, administrative eller retslige krav o</w:t>
            </w:r>
            <w:r>
              <w:t>g deltagelse i offentlige høringer</w:t>
            </w:r>
          </w:p>
        </w:tc>
        <w:tc>
          <w:tcPr>
            <w:tcW w:w="4876" w:type="dxa"/>
          </w:tcPr>
          <w:p w:rsidR="00F23239" w:rsidRPr="003711D1" w:rsidRDefault="00D9224C" w:rsidP="00273FCA">
            <w:pPr>
              <w:pStyle w:val="Normal6"/>
              <w:rPr>
                <w:szCs w:val="24"/>
              </w:rPr>
            </w:pPr>
            <w:r>
              <w:t>1.</w:t>
            </w:r>
            <w:r>
              <w:tab/>
            </w:r>
            <w:r>
              <w:rPr>
                <w:b/>
                <w:i/>
              </w:rPr>
              <w:t>"offentligt engagement":</w:t>
            </w:r>
            <w:r>
              <w:t xml:space="preserve"> enhver udtalelse eller aktivitet, der udtrykkes eller udføres af en fysisk eller juridisk person som led i udøvelsen af </w:t>
            </w:r>
            <w:r>
              <w:rPr>
                <w:b/>
                <w:i/>
              </w:rPr>
              <w:t>grundlæggende rettigheder og frihedsrettigheder såsom</w:t>
            </w:r>
            <w:r>
              <w:t xml:space="preserve"> ytrings- og informa</w:t>
            </w:r>
            <w:r>
              <w:t>tionsfrihed vedrørende et spørgsmål af offentlig interesse,</w:t>
            </w:r>
            <w:r>
              <w:rPr>
                <w:b/>
                <w:i/>
              </w:rPr>
              <w:t xml:space="preserve"> forenings-</w:t>
            </w:r>
            <w:r>
              <w:t xml:space="preserve"> og </w:t>
            </w:r>
            <w:r>
              <w:rPr>
                <w:b/>
                <w:i/>
              </w:rPr>
              <w:t>forsamlingsfrihed, pressefrihed</w:t>
            </w:r>
            <w:r>
              <w:t xml:space="preserve">, </w:t>
            </w:r>
            <w:r>
              <w:rPr>
                <w:b/>
                <w:i/>
              </w:rPr>
              <w:t>akademisk og kunstnerisk frihed</w:t>
            </w:r>
            <w:r>
              <w:t xml:space="preserve">, </w:t>
            </w:r>
            <w:r>
              <w:rPr>
                <w:b/>
                <w:i/>
              </w:rPr>
              <w:t>frihed for videnskab og kultur, forhandlingsret og retten til kollektive skridt eller retten til god forvaltning</w:t>
            </w:r>
            <w:r>
              <w:t>. De</w:t>
            </w:r>
            <w:r>
              <w:t xml:space="preserve">tte omfatter </w:t>
            </w:r>
            <w:r>
              <w:rPr>
                <w:b/>
                <w:i/>
              </w:rPr>
              <w:t xml:space="preserve">enhver aktivitet, uanset art, medium eller format, der tjener til udøvelse af offentlig kontrol, </w:t>
            </w:r>
            <w:r>
              <w:rPr>
                <w:b/>
                <w:i/>
              </w:rPr>
              <w:lastRenderedPageBreak/>
              <w:t xml:space="preserve">offentliggørelse, formidling eller fremme af information til offentligheden, såsom </w:t>
            </w:r>
            <w:r>
              <w:t>klager, andragender, administrative eller retslige krav og delt</w:t>
            </w:r>
            <w:r>
              <w:t>agelse i offentlige høringer</w:t>
            </w:r>
            <w:r>
              <w:rPr>
                <w:b/>
                <w:i/>
              </w:rPr>
              <w:t xml:space="preserve">, samt enhver form for skabelse, udstilling, reklame eller anden promovering af journalistisk(e), politisk(e), videnskabelig(e), akademisk(e), kunstnerisk(e), kommentarisk(e) eller satirisk(e) kommunikation, publikationer eller </w:t>
            </w:r>
            <w:r>
              <w:rPr>
                <w:b/>
                <w:i/>
              </w:rPr>
              <w:t>værker. Dette omfatter også alle understøttende eller forberedende aktiviteter i forbindelse hermed, i særdeleshed medieorganisationers arbejde, såsom fysiske eller juridiske personers ydelse af støtte til en anden person, enten på professionelt eller pers</w:t>
            </w:r>
            <w:r>
              <w:rPr>
                <w:b/>
                <w:i/>
              </w:rPr>
              <w:t>onligt grundlag, til formål, der er direkte knyttet til offentligt engagement i et spørgsmål af offentlig interesse</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45</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lang w:val="fr-FR"/>
        </w:rPr>
        <w:t>&lt;Article&gt;</w:t>
      </w:r>
      <w:r>
        <w:t>Artikel 3 – stk. 1 – nr. 2 – litra a</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rPr>
                <w:lang w:val="fr-FR"/>
              </w:rPr>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(a)</w:t>
            </w:r>
            <w:r>
              <w:tab/>
              <w:t xml:space="preserve">folkesundhed, sikkerhed, miljø, klima eller udøvelse af grundlæggende </w:t>
            </w:r>
            <w:r>
              <w:rPr>
                <w:b/>
                <w:i/>
              </w:rPr>
              <w:t>rettigheder</w:t>
            </w:r>
          </w:p>
        </w:tc>
        <w:tc>
          <w:tcPr>
            <w:tcW w:w="4876" w:type="dxa"/>
          </w:tcPr>
          <w:p w:rsidR="00F23239" w:rsidRPr="003711D1" w:rsidRDefault="00D9224C" w:rsidP="00273FCA">
            <w:pPr>
              <w:pStyle w:val="Normal6"/>
              <w:rPr>
                <w:szCs w:val="24"/>
              </w:rPr>
            </w:pPr>
            <w:r>
              <w:rPr>
                <w:b/>
                <w:i/>
              </w:rPr>
              <w:t>a)</w:t>
            </w:r>
            <w:r>
              <w:tab/>
              <w:t>folkesundhed, sikkerhed</w:t>
            </w:r>
            <w:r>
              <w:rPr>
                <w:b/>
                <w:i/>
              </w:rPr>
              <w:t>, mediefrihed og -pluralisme</w:t>
            </w:r>
            <w:r>
              <w:t xml:space="preserve">, miljø, klima eller udøvelse af grundlæggende </w:t>
            </w:r>
            <w:r>
              <w:rPr>
                <w:b/>
                <w:i/>
              </w:rPr>
              <w:t>menneskerettigheder, herunder arbejdstagerrettigheder, ikkeforskelsbehandling, ligestilling mellem kønnene og beskyttelse mod kønsbaseret vold</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46</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lang w:val="fr-FR"/>
        </w:rPr>
        <w:t>&lt;Article&gt;</w:t>
      </w:r>
      <w:r>
        <w:t xml:space="preserve">Artikel 3 </w:t>
      </w:r>
      <w:r>
        <w:t>– stk. 1 – nr. 2 – litra c</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rPr>
                <w:lang w:val="fr-FR"/>
              </w:rPr>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(c)</w:t>
            </w:r>
            <w:r>
              <w:tab/>
              <w:t xml:space="preserve">sager, der er under offentlig overvejelse eller </w:t>
            </w:r>
            <w:r>
              <w:rPr>
                <w:b/>
                <w:i/>
              </w:rPr>
              <w:t>prøvelse</w:t>
            </w:r>
            <w:r>
              <w:t xml:space="preserve"> ved en lovgivende, udøvende eller retslig </w:t>
            </w:r>
            <w:r>
              <w:lastRenderedPageBreak/>
              <w:t xml:space="preserve">myndighed eller enhver anden </w:t>
            </w:r>
            <w:r>
              <w:rPr>
                <w:b/>
                <w:i/>
              </w:rPr>
              <w:t>offentlig myndighed</w:t>
            </w:r>
          </w:p>
        </w:tc>
        <w:tc>
          <w:tcPr>
            <w:tcW w:w="4876" w:type="dxa"/>
          </w:tcPr>
          <w:p w:rsidR="00F23239" w:rsidRPr="003711D1" w:rsidRDefault="00D9224C" w:rsidP="00273FCA">
            <w:pPr>
              <w:pStyle w:val="Normal6"/>
              <w:rPr>
                <w:szCs w:val="24"/>
              </w:rPr>
            </w:pPr>
            <w:r>
              <w:rPr>
                <w:b/>
                <w:i/>
              </w:rPr>
              <w:lastRenderedPageBreak/>
              <w:t>c)</w:t>
            </w:r>
            <w:r>
              <w:tab/>
            </w:r>
            <w:r>
              <w:t xml:space="preserve">sager, der er under offentlig overvejelse eller </w:t>
            </w:r>
            <w:r>
              <w:rPr>
                <w:b/>
                <w:i/>
              </w:rPr>
              <w:t>behandling</w:t>
            </w:r>
            <w:r>
              <w:t xml:space="preserve"> ved en lovgivende, udøvende eller retslig </w:t>
            </w:r>
            <w:r>
              <w:lastRenderedPageBreak/>
              <w:t xml:space="preserve">myndighed eller enhver anden </w:t>
            </w:r>
            <w:r>
              <w:rPr>
                <w:b/>
                <w:i/>
              </w:rPr>
              <w:t>myndighed, og offentlige myndigheders handlinger eller manglende handlinger</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47</w:t>
      </w:r>
      <w:r>
        <w:rPr>
          <w:rStyle w:val="HideTWBExt"/>
          <w:b w:val="0"/>
          <w:lang w:val="en-GB"/>
        </w:rPr>
        <w:t>&lt;/NumAm</w:t>
      </w:r>
      <w:r>
        <w:rPr>
          <w:rStyle w:val="HideTWBExt"/>
          <w:b w:val="0"/>
          <w:lang w:val="en-GB"/>
        </w:rPr>
        <w:t>&gt;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lang w:val="fr-FR"/>
        </w:rPr>
        <w:t>&lt;Article&gt;</w:t>
      </w:r>
      <w:r>
        <w:t>Artikel 3 – stk. 1 – nr. 2 – litra d</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rPr>
                <w:lang w:val="fr-FR"/>
              </w:rPr>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(d)</w:t>
            </w:r>
            <w:r>
              <w:tab/>
              <w:t xml:space="preserve">påstande om korruption, svig eller </w:t>
            </w:r>
            <w:r>
              <w:rPr>
                <w:b/>
                <w:i/>
              </w:rPr>
              <w:t>kriminalitet</w:t>
            </w:r>
          </w:p>
        </w:tc>
        <w:tc>
          <w:tcPr>
            <w:tcW w:w="4876" w:type="dxa"/>
          </w:tcPr>
          <w:p w:rsidR="00F23239" w:rsidRPr="003711D1" w:rsidRDefault="00D9224C" w:rsidP="00273FCA">
            <w:pPr>
              <w:pStyle w:val="Normal6"/>
              <w:rPr>
                <w:szCs w:val="24"/>
              </w:rPr>
            </w:pPr>
            <w:r>
              <w:rPr>
                <w:b/>
                <w:i/>
              </w:rPr>
              <w:t>d)</w:t>
            </w:r>
            <w:r>
              <w:tab/>
              <w:t>påstande om korruption, svig</w:t>
            </w:r>
            <w:r>
              <w:rPr>
                <w:b/>
                <w:i/>
              </w:rPr>
              <w:t xml:space="preserve">, underslæb, hvidvask af penge, </w:t>
            </w:r>
            <w:r>
              <w:rPr>
                <w:b/>
                <w:i/>
              </w:rPr>
              <w:t>afpresning, tvang, seksuel chikane og kønsbaseret vold</w:t>
            </w:r>
            <w:r>
              <w:t xml:space="preserve"> eller </w:t>
            </w:r>
            <w:r>
              <w:rPr>
                <w:b/>
                <w:i/>
              </w:rPr>
              <w:t>andre former for intimidering eller andre strafferetlige eller administrative forseelser, herunder miljøkriminalitet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48</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w:t>
      </w:r>
      <w:r>
        <w:t>ktiv</w:t>
      </w:r>
      <w:r>
        <w:rPr>
          <w:rStyle w:val="HideTWBExt"/>
          <w:b w:val="0"/>
        </w:rPr>
        <w:t>&lt;/DocAmend&gt;</w:t>
      </w:r>
    </w:p>
    <w:p w:rsidR="00F23239" w:rsidRPr="003711D1" w:rsidRDefault="00D9224C" w:rsidP="00F23239">
      <w:pPr>
        <w:pStyle w:val="NormalBold"/>
      </w:pPr>
      <w:r>
        <w:rPr>
          <w:rStyle w:val="HideTWBExt"/>
          <w:b w:val="0"/>
          <w:lang w:val="fr-FR"/>
        </w:rPr>
        <w:t>&lt;Article&gt;</w:t>
      </w:r>
      <w:r>
        <w:t>Artikel 3 – stk. 1 – nr. 2 – litra e</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rPr>
                <w:lang w:val="fr-FR"/>
              </w:rPr>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(e)</w:t>
            </w:r>
            <w:r>
              <w:tab/>
              <w:t>aktiviteter, der har til formål at bekæmpe desinformation</w:t>
            </w:r>
          </w:p>
        </w:tc>
        <w:tc>
          <w:tcPr>
            <w:tcW w:w="4876" w:type="dxa"/>
          </w:tcPr>
          <w:p w:rsidR="00F23239" w:rsidRPr="003711D1" w:rsidRDefault="00D9224C" w:rsidP="00273FCA">
            <w:pPr>
              <w:pStyle w:val="Normal6"/>
              <w:rPr>
                <w:szCs w:val="24"/>
              </w:rPr>
            </w:pPr>
            <w:r>
              <w:rPr>
                <w:b/>
                <w:i/>
              </w:rPr>
              <w:t>e)</w:t>
            </w:r>
            <w:r>
              <w:tab/>
              <w:t>aktiviteter, der har til formål</w:t>
            </w:r>
            <w:r>
              <w:rPr>
                <w:b/>
                <w:i/>
              </w:rPr>
              <w:t xml:space="preserve"> at beskytte de værdier, der er nedfældet i art</w:t>
            </w:r>
            <w:r>
              <w:rPr>
                <w:b/>
                <w:i/>
              </w:rPr>
              <w:t>ikel 2 i TEU, princippet om ikkeindblanding i demokratiske processer og at give eller lette offentlig adgang til oplysninger med henblik på</w:t>
            </w:r>
            <w:r>
              <w:t xml:space="preserve"> at bekæmpe desinformation</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49</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3 – stk. 1 – nr. 2 – litra e a (nyt)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ea)</w:t>
            </w:r>
            <w:r>
              <w:rPr>
                <w:b/>
                <w:i/>
              </w:rPr>
              <w:tab/>
              <w:t>akademiske, videnskabelige og forskningsmæssige aktiviteter</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50</w:t>
      </w:r>
      <w:r>
        <w:rPr>
          <w:rStyle w:val="HideTWBExt"/>
          <w:b w:val="0"/>
          <w:lang w:val="en-GB"/>
        </w:rPr>
        <w:t>&lt;/NumAm&gt;</w:t>
      </w:r>
    </w:p>
    <w:p w:rsidR="00F23239" w:rsidRPr="003711D1" w:rsidRDefault="00D9224C" w:rsidP="00F23239">
      <w:pPr>
        <w:pStyle w:val="NormalBold"/>
        <w:keepNext/>
      </w:pPr>
      <w:r>
        <w:rPr>
          <w:rStyle w:val="HideTWBExt"/>
          <w:b w:val="0"/>
        </w:rPr>
        <w:t>&lt;DocAmend&gt;</w:t>
      </w:r>
      <w:r>
        <w:t xml:space="preserve">Forslag til </w:t>
      </w:r>
      <w:r>
        <w:t>direktiv</w:t>
      </w:r>
      <w:r>
        <w:rPr>
          <w:rStyle w:val="HideTWBExt"/>
          <w:b w:val="0"/>
        </w:rPr>
        <w:t>&lt;/DocAmend&gt;</w:t>
      </w:r>
    </w:p>
    <w:p w:rsidR="00F23239" w:rsidRPr="003711D1" w:rsidRDefault="00D9224C" w:rsidP="00F23239">
      <w:pPr>
        <w:pStyle w:val="NormalBold"/>
      </w:pPr>
      <w:r>
        <w:rPr>
          <w:rStyle w:val="HideTWBExt"/>
          <w:b w:val="0"/>
        </w:rPr>
        <w:t>&lt;Article&gt;</w:t>
      </w:r>
      <w:r>
        <w:t>Artikel 3 – stk. 1 – nr. 2 – litra e b (nyt)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eb)</w:t>
            </w:r>
            <w:r>
              <w:rPr>
                <w:b/>
                <w:i/>
              </w:rPr>
              <w:tab/>
              <w:t>kunstneriske aktiviteter</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51</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lang w:val="fr-BE"/>
        </w:rPr>
        <w:t>&lt;Article&gt;</w:t>
      </w:r>
      <w:r>
        <w:t>Artikel 3 – stk. 1 – nr. 3 – indledning</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rPr>
                <w:lang w:val="fr-BE"/>
              </w:rPr>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3.</w:t>
            </w:r>
            <w:r>
              <w:tab/>
              <w:t xml:space="preserve">"urimelige retssager mod offentligt engagement": retssager anlagt i forbindelse med offentligt engagement, </w:t>
            </w:r>
            <w:r>
              <w:rPr>
                <w:b/>
                <w:i/>
              </w:rPr>
              <w:t>som er helt</w:t>
            </w:r>
            <w:r>
              <w:t xml:space="preserve"> eller </w:t>
            </w:r>
            <w:r>
              <w:rPr>
                <w:b/>
                <w:i/>
              </w:rPr>
              <w:t>delvist grundløse</w:t>
            </w:r>
            <w:r>
              <w:t>, og hvis h</w:t>
            </w:r>
            <w:r>
              <w:t>ovedformål er at forhindre, begrænse eller straffe offentligt engagement. Indikationer af et sådant formål kan være:</w:t>
            </w:r>
          </w:p>
        </w:tc>
        <w:tc>
          <w:tcPr>
            <w:tcW w:w="4876" w:type="dxa"/>
          </w:tcPr>
          <w:p w:rsidR="00F23239" w:rsidRPr="003711D1" w:rsidRDefault="00D9224C" w:rsidP="00273FCA">
            <w:pPr>
              <w:pStyle w:val="Normal6"/>
              <w:rPr>
                <w:szCs w:val="24"/>
              </w:rPr>
            </w:pPr>
            <w:r>
              <w:t>3.</w:t>
            </w:r>
            <w:r>
              <w:tab/>
              <w:t xml:space="preserve">"urimelige retssager mod offentligt engagement": retssager anlagt i forbindelse med offentligt engagement, </w:t>
            </w:r>
            <w:r>
              <w:rPr>
                <w:b/>
                <w:i/>
              </w:rPr>
              <w:t>der gør brug af retslige proc</w:t>
            </w:r>
            <w:r>
              <w:rPr>
                <w:b/>
                <w:i/>
              </w:rPr>
              <w:t>edurer til andre formål end reelt at hævde, beskytte</w:t>
            </w:r>
            <w:r>
              <w:t xml:space="preserve"> eller </w:t>
            </w:r>
            <w:r>
              <w:rPr>
                <w:b/>
                <w:i/>
              </w:rPr>
              <w:t>udøve en ret</w:t>
            </w:r>
            <w:r>
              <w:t>, og hvis hovedformål er at forhindre, begrænse eller straffe offentligt engagement. Indikationer af et sådant formål kan være:</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52</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lang w:val="fr-BE"/>
        </w:rPr>
        <w:t>&lt;Article&gt;</w:t>
      </w:r>
      <w:r>
        <w:t>Artikel 3 – stk. 1 – nr. 3 – litra - a (nyt)</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rPr>
                <w:lang w:val="fr-BE"/>
              </w:rPr>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a)</w:t>
            </w:r>
            <w:r>
              <w:rPr>
                <w:b/>
                <w:i/>
              </w:rPr>
              <w:tab/>
              <w:t>i hvilket omfang kravet er åbenbart grundløst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53</w:t>
      </w:r>
      <w:r>
        <w:rPr>
          <w:rStyle w:val="HideTWBExt"/>
          <w:b w:val="0"/>
          <w:lang w:val="en-GB"/>
        </w:rPr>
        <w:t>&lt;/NumAm&gt;</w:t>
      </w:r>
    </w:p>
    <w:p w:rsidR="00F23239" w:rsidRPr="003711D1" w:rsidRDefault="00D9224C" w:rsidP="00F23239">
      <w:pPr>
        <w:pStyle w:val="NormalBold"/>
        <w:keepNext/>
      </w:pPr>
      <w:r>
        <w:rPr>
          <w:rStyle w:val="HideTWBExt"/>
          <w:b w:val="0"/>
        </w:rPr>
        <w:t>&lt;DocA</w:t>
      </w:r>
      <w:r>
        <w:rPr>
          <w:rStyle w:val="HideTWBExt"/>
          <w:b w:val="0"/>
        </w:rPr>
        <w:t>mend&gt;</w:t>
      </w:r>
      <w:r>
        <w:t>Forslag til direktiv</w:t>
      </w:r>
      <w:r>
        <w:rPr>
          <w:rStyle w:val="HideTWBExt"/>
          <w:b w:val="0"/>
        </w:rPr>
        <w:t>&lt;/DocAmend&gt;</w:t>
      </w:r>
    </w:p>
    <w:p w:rsidR="00F23239" w:rsidRPr="003711D1" w:rsidRDefault="00D9224C" w:rsidP="00F23239">
      <w:pPr>
        <w:pStyle w:val="NormalBold"/>
      </w:pPr>
      <w:r>
        <w:rPr>
          <w:rStyle w:val="HideTWBExt"/>
          <w:b w:val="0"/>
          <w:lang w:val="fr-FR"/>
        </w:rPr>
        <w:t>&lt;Article&gt;</w:t>
      </w:r>
      <w:r>
        <w:t>Artikel 3 – stk. 1 – nr. 3 – litra b</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rPr>
                <w:lang w:val="fr-FR"/>
              </w:rPr>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rPr>
                <w:b/>
                <w:i/>
              </w:rPr>
              <w:t>(b)</w:t>
            </w:r>
            <w:r>
              <w:rPr>
                <w:b/>
                <w:i/>
              </w:rPr>
              <w:tab/>
              <w:t>at flere sager er anlagt af sagsøger eller associerede parter i forbindelse med lignende sager,</w:t>
            </w:r>
          </w:p>
        </w:tc>
        <w:tc>
          <w:tcPr>
            <w:tcW w:w="4876" w:type="dxa"/>
          </w:tcPr>
          <w:p w:rsidR="00F23239" w:rsidRPr="003711D1" w:rsidRDefault="00D9224C" w:rsidP="00273FCA">
            <w:pPr>
              <w:pStyle w:val="Normal6"/>
              <w:rPr>
                <w:szCs w:val="24"/>
              </w:rPr>
            </w:pPr>
            <w:r>
              <w:rPr>
                <w:b/>
                <w:i/>
              </w:rPr>
              <w:t>udgår</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54</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lang w:val="fr-BE"/>
        </w:rPr>
        <w:t>&lt;Article&gt;</w:t>
      </w:r>
      <w:r>
        <w:t>Artikel 3 – stk. 1 – nr. 3 – litra c a (nyt)</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rPr>
                <w:lang w:val="fr-BE"/>
              </w:rPr>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ca)</w:t>
            </w:r>
            <w:r>
              <w:rPr>
                <w:b/>
                <w:i/>
              </w:rPr>
              <w:tab/>
              <w:t xml:space="preserve">brug af retssager, der påfører sagsøgte urimelige </w:t>
            </w:r>
            <w:r>
              <w:rPr>
                <w:b/>
                <w:i/>
              </w:rPr>
              <w:t>omkostninger, herunder for så vidt angår valg af jurisdiktion eller brugen af forhalende taktikker</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55</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3 – stk. 1 – nr. 3 – litra c b (nyt)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cb)</w:t>
            </w:r>
            <w:r>
              <w:rPr>
                <w:b/>
                <w:i/>
              </w:rPr>
              <w:tab/>
              <w:t xml:space="preserve">udnyttelse af en dominerende position i form af økonomisk magt, retlige ressourcer eller politisk eller social indflydelse med det formål at begrænse sagsøgtes offentlige deltagelse, hvilket resulterer i en </w:t>
            </w:r>
            <w:r>
              <w:rPr>
                <w:b/>
                <w:i/>
              </w:rPr>
              <w:t>ulige magtfordeling mellem de to parter</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56</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3 – stk. 1 – nr. 3 – litra c c (nyt)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cc)</w:t>
            </w:r>
            <w:r>
              <w:rPr>
                <w:b/>
                <w:i/>
              </w:rPr>
              <w:tab/>
              <w:t xml:space="preserve">at flere </w:t>
            </w:r>
            <w:r>
              <w:rPr>
                <w:b/>
                <w:i/>
              </w:rPr>
              <w:t>verserende eller tidligere sager er anlagt af sagsøger eller associerede parter i forbindelse med sager mod offentligt engagement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57</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 xml:space="preserve">Artikel 3 – stk. 1 – </w:t>
      </w:r>
      <w:r>
        <w:t>nr. 3 – litra c d (nyt)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cd)</w:t>
            </w:r>
            <w:r>
              <w:rPr>
                <w:b/>
                <w:i/>
              </w:rPr>
              <w:tab/>
              <w:t>en tidligere afvisning af et lignende krav som urimeligt.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lastRenderedPageBreak/>
        <w:t>&lt;Amend&gt;</w:t>
      </w:r>
      <w:r>
        <w:t>Ændringsforslag</w:t>
      </w:r>
      <w:r>
        <w:tab/>
      </w:r>
      <w:r>
        <w:tab/>
      </w:r>
      <w:r>
        <w:rPr>
          <w:rStyle w:val="HideTWBExt"/>
          <w:b w:val="0"/>
          <w:lang w:val="en-GB"/>
        </w:rPr>
        <w:t>&lt;NumAm&gt;</w:t>
      </w:r>
      <w:r>
        <w:t>58</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 xml:space="preserve">Artikel 5 – </w:t>
      </w:r>
      <w:r>
        <w:t>stk. 1 – litra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(b)</w:t>
            </w:r>
            <w:r>
              <w:tab/>
              <w:t xml:space="preserve">hurtig afvisning af </w:t>
            </w:r>
            <w:r>
              <w:rPr>
                <w:b/>
                <w:i/>
              </w:rPr>
              <w:t>åbenbart grundløse</w:t>
            </w:r>
            <w:r>
              <w:t xml:space="preserve"> retssager i overensstemmelse med kapitel III</w:t>
            </w:r>
          </w:p>
        </w:tc>
        <w:tc>
          <w:tcPr>
            <w:tcW w:w="4876" w:type="dxa"/>
          </w:tcPr>
          <w:p w:rsidR="00F23239" w:rsidRPr="003711D1" w:rsidRDefault="00D9224C" w:rsidP="00273FCA">
            <w:pPr>
              <w:pStyle w:val="Normal6"/>
              <w:rPr>
                <w:szCs w:val="24"/>
              </w:rPr>
            </w:pPr>
            <w:r>
              <w:rPr>
                <w:b/>
                <w:i/>
              </w:rPr>
              <w:t>b)</w:t>
            </w:r>
            <w:r>
              <w:tab/>
              <w:t xml:space="preserve">hurtig afvisning af </w:t>
            </w:r>
            <w:r>
              <w:rPr>
                <w:b/>
                <w:i/>
              </w:rPr>
              <w:t>urimelige</w:t>
            </w:r>
            <w:r>
              <w:t xml:space="preserve"> retssager i overensstemmelse med kapitel III</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59</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5 – stk.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3.</w:t>
            </w:r>
            <w:r>
              <w:tab/>
              <w:t xml:space="preserve">Medlemsstaterne </w:t>
            </w:r>
            <w:r>
              <w:rPr>
                <w:b/>
                <w:i/>
              </w:rPr>
              <w:t>kan fastsætte</w:t>
            </w:r>
            <w:r>
              <w:t xml:space="preserve">, at foranstaltninger vedrørende retssikkerhedsgarantier i </w:t>
            </w:r>
            <w:r>
              <w:t>overensstemmelse med kapitel III og IV af egen drift kan træffes af den ret, der behandler sagen.</w:t>
            </w:r>
          </w:p>
        </w:tc>
        <w:tc>
          <w:tcPr>
            <w:tcW w:w="4876" w:type="dxa"/>
          </w:tcPr>
          <w:p w:rsidR="00F23239" w:rsidRPr="003711D1" w:rsidRDefault="00D9224C" w:rsidP="00273FCA">
            <w:pPr>
              <w:pStyle w:val="Normal6"/>
              <w:rPr>
                <w:szCs w:val="24"/>
              </w:rPr>
            </w:pPr>
            <w:r>
              <w:t>3.</w:t>
            </w:r>
            <w:r>
              <w:tab/>
              <w:t xml:space="preserve">Medlemsstaterne </w:t>
            </w:r>
            <w:r>
              <w:rPr>
                <w:b/>
                <w:i/>
              </w:rPr>
              <w:t>fastsætter</w:t>
            </w:r>
            <w:r>
              <w:t>, at foranstaltninger vedrørende retssikkerhedsgarantier i overensstemmelse med kapitel III og IV af egen drift kan træffes af de</w:t>
            </w:r>
            <w:r>
              <w:t>n ret, der behandler sagen.</w:t>
            </w:r>
            <w:r>
              <w:rPr>
                <w:b/>
                <w:i/>
              </w:rPr>
              <w:t xml:space="preserve"> Medlemsstaterne sikrer, at den ret, der behandler sagen, af egen drift træffer foranstaltninger i henhold til artikel 8, 14 og 15.</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60</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w:t>
      </w:r>
      <w:r>
        <w:rPr>
          <w:rStyle w:val="HideTWBExt"/>
          <w:b w:val="0"/>
        </w:rPr>
        <w:t>ticle&gt;</w:t>
      </w:r>
      <w:r>
        <w:t>Artikel 5 – stk. 3 a (nyt)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3a.</w:t>
            </w:r>
            <w:r>
              <w:rPr>
                <w:b/>
                <w:i/>
              </w:rPr>
              <w:tab/>
              <w:t xml:space="preserve">Medlemsstaterne sikrer, at retssager mod fysiske eller juridiske personer på grund af deres offentlige engagement behandles hurtigt og effektivt under hensyntagen til </w:t>
            </w:r>
            <w:r>
              <w:rPr>
                <w:b/>
                <w:i/>
              </w:rPr>
              <w:t>sagens omstændigheder, retten til effektive retsmidler og retten til en retfærdig rettergang.</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61</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7 – overskrift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w:t>
            </w:r>
            <w:r>
              <w:t>dringsforslag</w:t>
            </w:r>
          </w:p>
        </w:tc>
      </w:tr>
      <w:tr w:rsidR="00567247" w:rsidTr="00273FCA">
        <w:trPr>
          <w:jc w:val="center"/>
        </w:trPr>
        <w:tc>
          <w:tcPr>
            <w:tcW w:w="4876" w:type="dxa"/>
          </w:tcPr>
          <w:p w:rsidR="00F23239" w:rsidRPr="003711D1" w:rsidRDefault="00D9224C" w:rsidP="00273FCA">
            <w:pPr>
              <w:pStyle w:val="Normal6"/>
            </w:pPr>
            <w:r>
              <w:t>Intervention fra tredjepart</w:t>
            </w:r>
          </w:p>
        </w:tc>
        <w:tc>
          <w:tcPr>
            <w:tcW w:w="4876" w:type="dxa"/>
          </w:tcPr>
          <w:p w:rsidR="00F23239" w:rsidRPr="003711D1" w:rsidRDefault="00D9224C" w:rsidP="00273FCA">
            <w:pPr>
              <w:pStyle w:val="Normal6"/>
              <w:rPr>
                <w:szCs w:val="24"/>
              </w:rPr>
            </w:pPr>
            <w:r>
              <w:t>Intervention fra tredjepart</w:t>
            </w:r>
            <w:r>
              <w:rPr>
                <w:b/>
                <w:i/>
              </w:rPr>
              <w:t xml:space="preserve"> til støtte for sagsøgte</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62</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7 – stk.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 xml:space="preserve">Medlemsstaterne træffer de nødvendige foranstaltninger til at sikre, at en ret, der behandler retssager mod offentligt engagement, kan acceptere, at </w:t>
            </w:r>
            <w:r>
              <w:rPr>
                <w:b/>
                <w:i/>
              </w:rPr>
              <w:t>ikkestatslige organisationer</w:t>
            </w:r>
            <w:r>
              <w:t xml:space="preserve">, </w:t>
            </w:r>
            <w:r>
              <w:rPr>
                <w:b/>
                <w:i/>
              </w:rPr>
              <w:t>der beskytter eller fremmer rettighederne for personer</w:t>
            </w:r>
            <w:r>
              <w:t xml:space="preserve">, </w:t>
            </w:r>
            <w:r>
              <w:rPr>
                <w:b/>
                <w:i/>
              </w:rPr>
              <w:t xml:space="preserve">der </w:t>
            </w:r>
            <w:r>
              <w:rPr>
                <w:b/>
                <w:i/>
              </w:rPr>
              <w:t>engagerer sig offentligt</w:t>
            </w:r>
            <w:r>
              <w:t xml:space="preserve">, kan deltage i </w:t>
            </w:r>
            <w:r>
              <w:rPr>
                <w:b/>
                <w:i/>
              </w:rPr>
              <w:t>sagen</w:t>
            </w:r>
            <w:r>
              <w:t xml:space="preserve"> enten til støtte for sagsøgte eller </w:t>
            </w:r>
            <w:r>
              <w:rPr>
                <w:b/>
                <w:i/>
              </w:rPr>
              <w:t>for at give oplysninger</w:t>
            </w:r>
            <w:r>
              <w:t>.</w:t>
            </w:r>
          </w:p>
        </w:tc>
        <w:tc>
          <w:tcPr>
            <w:tcW w:w="4876" w:type="dxa"/>
          </w:tcPr>
          <w:p w:rsidR="00F23239" w:rsidRPr="003711D1" w:rsidRDefault="00D9224C" w:rsidP="00273FCA">
            <w:pPr>
              <w:pStyle w:val="Normal6"/>
              <w:rPr>
                <w:szCs w:val="24"/>
              </w:rPr>
            </w:pPr>
            <w:r>
              <w:t xml:space="preserve">Medlemsstaterne træffer de nødvendige foranstaltninger til at sikre, at en ret, der behandler retssager mod offentligt engagement, kan acceptere, at </w:t>
            </w:r>
            <w:r>
              <w:rPr>
                <w:b/>
                <w:i/>
              </w:rPr>
              <w:t>Den Europæiske Unions Agentur for Grundlæggende Rettigheder</w:t>
            </w:r>
            <w:r>
              <w:t xml:space="preserve">, </w:t>
            </w:r>
            <w:r>
              <w:rPr>
                <w:b/>
                <w:i/>
              </w:rPr>
              <w:t>internationale organisationer og deres organer såsom Europarådet</w:t>
            </w:r>
            <w:r>
              <w:t xml:space="preserve">, </w:t>
            </w:r>
            <w:r>
              <w:rPr>
                <w:b/>
                <w:i/>
              </w:rPr>
              <w:t>ikkestatslige organisationer eller kollektive organer såsom fagforeninger eller brancheorganisationer</w:t>
            </w:r>
            <w:r>
              <w:t xml:space="preserve">, kan deltage i </w:t>
            </w:r>
            <w:r>
              <w:rPr>
                <w:b/>
                <w:i/>
              </w:rPr>
              <w:t>eller give o</w:t>
            </w:r>
            <w:r>
              <w:rPr>
                <w:b/>
                <w:i/>
              </w:rPr>
              <w:t>plysninger i disse sager,</w:t>
            </w:r>
            <w:r>
              <w:t xml:space="preserve"> enten til støtte for sagsøgte eller </w:t>
            </w:r>
            <w:r>
              <w:rPr>
                <w:b/>
                <w:i/>
              </w:rPr>
              <w:t>på deres vegne med sagsøgtes godkendelse</w:t>
            </w:r>
            <w:r>
              <w:t xml:space="preserve">. </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63</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7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 xml:space="preserve">Kommissionens </w:t>
            </w:r>
            <w:r>
              <w:t>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jc w:val="center"/>
              <w:rPr>
                <w:szCs w:val="24"/>
              </w:rPr>
            </w:pPr>
            <w:r>
              <w:rPr>
                <w:b/>
                <w:i/>
              </w:rPr>
              <w:t>Artikel 7a</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jc w:val="center"/>
              <w:rPr>
                <w:szCs w:val="24"/>
              </w:rPr>
            </w:pPr>
            <w:r>
              <w:rPr>
                <w:b/>
                <w:i/>
              </w:rPr>
              <w:t>Tredjepartsrepræsentation</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Medlemsstaterne træffer de nødvendige foranstaltninger til at sikre, at sagsøgte i sager, der er omfattet af dette direktiv, har ret til, efter anmodning, at lade sig repræsentere af en </w:t>
            </w:r>
            <w:r>
              <w:rPr>
                <w:b/>
                <w:i/>
              </w:rPr>
              <w:t>myndighed, organisation eller sammenslutning.</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lastRenderedPageBreak/>
        <w:t>&lt;Amend&gt;</w:t>
      </w:r>
      <w:r>
        <w:t>Ændringsforslag</w:t>
      </w:r>
      <w:r>
        <w:tab/>
      </w:r>
      <w:r>
        <w:tab/>
      </w:r>
      <w:r>
        <w:rPr>
          <w:rStyle w:val="HideTWBExt"/>
          <w:b w:val="0"/>
          <w:lang w:val="en-GB"/>
        </w:rPr>
        <w:t>&lt;NumAm&gt;</w:t>
      </w:r>
      <w:r>
        <w:t>64</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Kapitel III – overskrift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 xml:space="preserve">Tidlig afvisning af </w:t>
            </w:r>
            <w:r>
              <w:rPr>
                <w:b/>
                <w:i/>
              </w:rPr>
              <w:t xml:space="preserve">åbenbart </w:t>
            </w:r>
            <w:r>
              <w:rPr>
                <w:b/>
                <w:i/>
              </w:rPr>
              <w:t>grundløse retssager</w:t>
            </w:r>
          </w:p>
        </w:tc>
        <w:tc>
          <w:tcPr>
            <w:tcW w:w="4876" w:type="dxa"/>
          </w:tcPr>
          <w:p w:rsidR="00F23239" w:rsidRPr="003711D1" w:rsidRDefault="00D9224C" w:rsidP="00273FCA">
            <w:pPr>
              <w:pStyle w:val="Normal6"/>
              <w:rPr>
                <w:szCs w:val="24"/>
              </w:rPr>
            </w:pPr>
            <w:r>
              <w:t xml:space="preserve">Tidlig afvisning af </w:t>
            </w:r>
            <w:r>
              <w:rPr>
                <w:b/>
                <w:i/>
              </w:rPr>
              <w:t>urimelige retssager mod offentligt engagement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65</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9 – stk.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1.</w:t>
            </w:r>
            <w:r>
              <w:tab/>
              <w:t xml:space="preserve">Medlemsstaterne bemyndiger domstolene til at træffe en hurtig afgørelse om helt eller delvist at afvise retssager mod offentligt engagement som </w:t>
            </w:r>
            <w:r>
              <w:rPr>
                <w:b/>
                <w:i/>
              </w:rPr>
              <w:t>åbenbart grundløse</w:t>
            </w:r>
            <w:r>
              <w:t>.</w:t>
            </w:r>
          </w:p>
        </w:tc>
        <w:tc>
          <w:tcPr>
            <w:tcW w:w="4876" w:type="dxa"/>
          </w:tcPr>
          <w:p w:rsidR="00F23239" w:rsidRPr="003711D1" w:rsidRDefault="00D9224C" w:rsidP="00273FCA">
            <w:pPr>
              <w:pStyle w:val="Normal6"/>
              <w:rPr>
                <w:szCs w:val="24"/>
              </w:rPr>
            </w:pPr>
            <w:r>
              <w:t>1.</w:t>
            </w:r>
            <w:r>
              <w:tab/>
              <w:t>Medlemsstaterne bemyndiger domstolene til at træffe en hurtig afgørel</w:t>
            </w:r>
            <w:r>
              <w:t xml:space="preserve">se om helt eller delvist at afvise </w:t>
            </w:r>
            <w:r>
              <w:rPr>
                <w:b/>
                <w:i/>
              </w:rPr>
              <w:t xml:space="preserve">urimelige </w:t>
            </w:r>
            <w:r>
              <w:t xml:space="preserve">retssager mod offentligt engagement som </w:t>
            </w:r>
            <w:r>
              <w:rPr>
                <w:b/>
                <w:i/>
              </w:rPr>
              <w:t>defineret i artikel 3, stk. 3</w:t>
            </w:r>
            <w:r>
              <w: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66</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9 – stk.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w:t>
            </w:r>
            <w:r>
              <w:t>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2.</w:t>
            </w:r>
            <w:r>
              <w:tab/>
              <w:t>Medlemsstaterne kan fastsætte tidsfrister for udøvelsen af retten til at indgive en ansøgning om tidlig afvisning.</w:t>
            </w:r>
            <w:r>
              <w:rPr>
                <w:b/>
                <w:i/>
              </w:rPr>
              <w:t xml:space="preserve"> </w:t>
            </w:r>
            <w:r>
              <w:t xml:space="preserve">Fristerne skal være forholdsmæssige og må ikke gøre en sådan udøvelse umulig eller uforholdsmæssigt </w:t>
            </w:r>
            <w:r>
              <w:t>vanskelig.</w:t>
            </w:r>
          </w:p>
        </w:tc>
        <w:tc>
          <w:tcPr>
            <w:tcW w:w="4876" w:type="dxa"/>
          </w:tcPr>
          <w:p w:rsidR="00F23239" w:rsidRPr="003711D1" w:rsidRDefault="00D9224C" w:rsidP="00273FCA">
            <w:pPr>
              <w:pStyle w:val="Normal6"/>
              <w:rPr>
                <w:szCs w:val="24"/>
              </w:rPr>
            </w:pPr>
            <w:r>
              <w:t>2.</w:t>
            </w:r>
            <w:r>
              <w:tab/>
            </w:r>
            <w:r>
              <w:rPr>
                <w:b/>
                <w:i/>
              </w:rPr>
              <w:t xml:space="preserve">Sagsøgte kan anmode om, at sagen afvises på et hvilket som helst tidspunkt i sagen. Hvis der i de nationale civile retsplejesystemer er fastsat et særskilt antagelighedsstadie kan medlemsstaterne fastsætte tidsfrister for udøvelsen af retten </w:t>
            </w:r>
            <w:r>
              <w:rPr>
                <w:b/>
                <w:i/>
              </w:rPr>
              <w:t>til at indgive en anmodning om afvisning på dette stadium af sagen.</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67</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12 – stk.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 xml:space="preserve">Medlemsstaterne sikrer, at hvis en sagsøgt har anmodet om tidlig afvisning, påhviler det sagsøger at bevise, at </w:t>
            </w:r>
            <w:r>
              <w:rPr>
                <w:b/>
                <w:i/>
              </w:rPr>
              <w:t>kravet</w:t>
            </w:r>
            <w:r>
              <w:t xml:space="preserve"> ikke er </w:t>
            </w:r>
            <w:r>
              <w:rPr>
                <w:b/>
                <w:i/>
              </w:rPr>
              <w:lastRenderedPageBreak/>
              <w:t>åbenbart grundløst</w:t>
            </w:r>
            <w:r>
              <w:t>.</w:t>
            </w:r>
          </w:p>
        </w:tc>
        <w:tc>
          <w:tcPr>
            <w:tcW w:w="4876" w:type="dxa"/>
          </w:tcPr>
          <w:p w:rsidR="00F23239" w:rsidRPr="003711D1" w:rsidRDefault="00D9224C" w:rsidP="00273FCA">
            <w:pPr>
              <w:pStyle w:val="Normal6"/>
              <w:rPr>
                <w:szCs w:val="24"/>
              </w:rPr>
            </w:pPr>
            <w:r>
              <w:lastRenderedPageBreak/>
              <w:t xml:space="preserve">Medlemsstaterne sikrer, at hvis en sagsøgt har anmodet om tidlig afvisning, påhviler det sagsøger at bevise, </w:t>
            </w:r>
            <w:r>
              <w:t xml:space="preserve">at </w:t>
            </w:r>
            <w:r>
              <w:rPr>
                <w:b/>
                <w:i/>
              </w:rPr>
              <w:t>påstanden</w:t>
            </w:r>
            <w:r>
              <w:t xml:space="preserve"> ikke er </w:t>
            </w:r>
            <w:r>
              <w:rPr>
                <w:b/>
                <w:i/>
              </w:rPr>
              <w:lastRenderedPageBreak/>
              <w:t>udtryk for misbrug som defineret i artikel 3, stk. 3</w:t>
            </w:r>
            <w:r>
              <w:t>.</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68</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Kapitel V a (nyt)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b/>
                <w:i/>
              </w:rPr>
            </w:pPr>
            <w:r>
              <w:rPr>
                <w:b/>
                <w:i/>
              </w:rPr>
              <w:t xml:space="preserve">Kapitel </w:t>
            </w:r>
            <w:r>
              <w:rPr>
                <w:b/>
                <w:i/>
              </w:rPr>
              <w:t>Va</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szCs w:val="24"/>
              </w:rPr>
            </w:pPr>
            <w:r>
              <w:rPr>
                <w:b/>
                <w:i/>
              </w:rPr>
              <w:t>STØTTEFORANSTALTNINGER</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szCs w:val="24"/>
              </w:rPr>
            </w:pPr>
            <w:r>
              <w:rPr>
                <w:b/>
                <w:i/>
              </w:rPr>
              <w:t>Artikel 18a</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b/>
                <w:i/>
              </w:rPr>
            </w:pPr>
            <w:r>
              <w:rPr>
                <w:b/>
                <w:i/>
              </w:rPr>
              <w:t>National fond</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1. </w:t>
            </w:r>
            <w:r>
              <w:tab/>
            </w:r>
            <w:r>
              <w:rPr>
                <w:b/>
                <w:i/>
              </w:rPr>
              <w:t xml:space="preserve">Medlemsstaterne opretter med støtte fra Kommissionen en national fond, der drives af et uafhængigt organ, til udbetaling af erstatning til enhver fysisk eller juridisk person, som har lidt </w:t>
            </w:r>
            <w:r>
              <w:rPr>
                <w:b/>
                <w:i/>
              </w:rPr>
              <w:t>skade som følge af en urimelig retssag mod offentligt engagement, som ikke er omfattet af en allerede eksisterende national ordning for erstatning til ofre, og til støtte for organisationer, der yder vejledning og støtte til mål for urimelige retssager mod</w:t>
            </w:r>
            <w:r>
              <w:rPr>
                <w:b/>
                <w:i/>
              </w:rPr>
              <w:t xml:space="preserve"> offentligt engagement.</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2. </w:t>
            </w:r>
            <w:r>
              <w:tab/>
            </w:r>
            <w:r>
              <w:rPr>
                <w:b/>
                <w:i/>
              </w:rPr>
              <w:t>De nationale fonde finansieres delvist af sanktionerne som omhandlet i artikel 16 i dette direktiv. Medlemsstaterne træffer afgørelse om, hvor stor en andel af sanktionerne der skal afsættes til de nationale fonde.</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szCs w:val="24"/>
              </w:rPr>
            </w:pPr>
            <w:r>
              <w:rPr>
                <w:b/>
                <w:i/>
              </w:rPr>
              <w:t>Artikel 1</w:t>
            </w:r>
            <w:r>
              <w:rPr>
                <w:b/>
                <w:i/>
              </w:rPr>
              <w:t>8b</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b/>
                <w:i/>
              </w:rPr>
            </w:pPr>
            <w:r>
              <w:rPr>
                <w:b/>
                <w:i/>
              </w:rPr>
              <w:t>Ikkefinansielle støttemekanismer</w:t>
            </w:r>
          </w:p>
        </w:tc>
      </w:tr>
      <w:tr w:rsidR="00567247" w:rsidTr="00273FCA">
        <w:trPr>
          <w:jc w:val="center"/>
        </w:trPr>
        <w:tc>
          <w:tcPr>
            <w:tcW w:w="4876" w:type="dxa"/>
          </w:tcPr>
          <w:p w:rsidR="00F23239" w:rsidRPr="003711D1" w:rsidRDefault="00F23239" w:rsidP="00273FCA">
            <w:pPr>
              <w:pStyle w:val="Normal6"/>
              <w:rPr>
                <w:lang w:val="fr-BE"/>
              </w:rPr>
            </w:pPr>
          </w:p>
        </w:tc>
        <w:tc>
          <w:tcPr>
            <w:tcW w:w="4876" w:type="dxa"/>
          </w:tcPr>
          <w:p w:rsidR="00F23239" w:rsidRPr="003711D1" w:rsidRDefault="00D9224C" w:rsidP="00273FCA">
            <w:pPr>
              <w:pStyle w:val="Normal6"/>
              <w:rPr>
                <w:szCs w:val="24"/>
              </w:rPr>
            </w:pPr>
            <w:r>
              <w:rPr>
                <w:b/>
                <w:i/>
              </w:rPr>
              <w:t xml:space="preserve">1. </w:t>
            </w:r>
            <w:r>
              <w:tab/>
            </w:r>
            <w:r>
              <w:rPr>
                <w:b/>
                <w:i/>
              </w:rPr>
              <w:t xml:space="preserve">Medlemsstaterne sørger for, at personer, der engagerer sig offentligt, har adgang til ikkefinansielle støtteordninger. Sådanne foranstaltninger omfatter advokatbistand og psykologhjælp samt information om de </w:t>
            </w:r>
            <w:r>
              <w:rPr>
                <w:b/>
                <w:i/>
              </w:rPr>
              <w:t>organisationer, der yder vejledning og støtte til mål for urimelige retssager mod offentligt engagement. Denne støtte og bistand skal være tilgængelig og gratis.</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2. </w:t>
            </w:r>
            <w:r>
              <w:tab/>
            </w:r>
            <w:r>
              <w:rPr>
                <w:b/>
                <w:i/>
              </w:rPr>
              <w:t>Medlemsstaterne opretter et nationalt kontaktpunkt, der drives af uafhængige civilsamfun</w:t>
            </w:r>
            <w:r>
              <w:rPr>
                <w:b/>
                <w:i/>
              </w:rPr>
              <w:t>dsorganisationer, som indsamler og deler oplysninger om alle organisationer, der yder vejledning og støtte til mål for urimelige retssager mod offentligt engagement.</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3. </w:t>
            </w:r>
            <w:r>
              <w:tab/>
            </w:r>
            <w:r>
              <w:rPr>
                <w:b/>
                <w:i/>
              </w:rPr>
              <w:t>Medlemsstaterne fremmer udvekslingen af oplysninger og bedste praksis mellem organis</w:t>
            </w:r>
            <w:r>
              <w:rPr>
                <w:b/>
                <w:i/>
              </w:rPr>
              <w:t>ationer, der yder vejledning og støtte til mål for urimelige retssager mod offentligt engagement.</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69</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Kapitel V a (nyt)</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b/>
                <w:i/>
              </w:rPr>
            </w:pPr>
            <w:r>
              <w:rPr>
                <w:b/>
                <w:i/>
              </w:rPr>
              <w:t>Kapitel Vb</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szCs w:val="24"/>
              </w:rPr>
            </w:pPr>
            <w:r>
              <w:rPr>
                <w:b/>
                <w:i/>
              </w:rPr>
              <w:t>FOREBYGGENDE FORANSTALTNINGER</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szCs w:val="24"/>
              </w:rPr>
            </w:pPr>
            <w:r>
              <w:rPr>
                <w:b/>
                <w:i/>
              </w:rPr>
              <w:t>Artikel 18c</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b/>
                <w:i/>
              </w:rPr>
            </w:pPr>
            <w:r>
              <w:rPr>
                <w:b/>
                <w:i/>
              </w:rPr>
              <w:t>Uddannelse</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1. </w:t>
            </w:r>
            <w:r>
              <w:tab/>
            </w:r>
            <w:r>
              <w:rPr>
                <w:b/>
                <w:i/>
              </w:rPr>
              <w:t xml:space="preserve">Medlemsstaterne støtter – under behørig hensyntagen til retsvæsenets uafhængighed, advokatstandens uafhængighed og forskelle i organiseringen af retsvæsenet i </w:t>
            </w:r>
            <w:r>
              <w:rPr>
                <w:b/>
                <w:i/>
              </w:rPr>
              <w:t>Unionen – uddannelsesmuligheder for retsvæsenets aktører såsom retspersonale på alle domstolsniveauer og uddannede advokater samt potentielle mål for urimelige retssager mod offentligt engagement for at øge kendskabet til strategiske retssager mod offentli</w:t>
            </w:r>
            <w:r>
              <w:rPr>
                <w:b/>
                <w:i/>
              </w:rPr>
              <w:t>gt engagement og de retssikkerhedsgarantier mod dem, som er fastsat i dette direktiv, samt til de behov, som fysiske eller juridiske personer, der engagerer sig offentligt, har.</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2. </w:t>
            </w:r>
            <w:r>
              <w:tab/>
            </w:r>
            <w:r>
              <w:rPr>
                <w:b/>
                <w:i/>
              </w:rPr>
              <w:t>Medlemsstaterne sikrer, at uddannelsesmuligheder også omfatter enkeltper</w:t>
            </w:r>
            <w:r>
              <w:rPr>
                <w:b/>
                <w:i/>
              </w:rPr>
              <w:t xml:space="preserve">soner og organisationer, der </w:t>
            </w:r>
            <w:r>
              <w:rPr>
                <w:b/>
                <w:i/>
              </w:rPr>
              <w:lastRenderedPageBreak/>
              <w:t>engagerer sig offentligt, så de udstyres med specifik viden, som sætter dem i stand til at identificere urimelige retssager mod offentligt engagement og reagere i overensstemmelse hermed. Medlemsstaterne sikrer, at urimelige re</w:t>
            </w:r>
            <w:r>
              <w:rPr>
                <w:b/>
                <w:i/>
              </w:rPr>
              <w:t>tssager mod offentligt engagement indgår i pensum på især jura- og journalistuddannelserne.</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3. </w:t>
            </w:r>
            <w:r>
              <w:tab/>
            </w:r>
            <w:r>
              <w:rPr>
                <w:b/>
                <w:i/>
              </w:rPr>
              <w:t>Medlemsstaterne modtager støtte fra Kommissionen til at fremme uddannelse og udveksling af bedste praksis for så vidt muligt at sikre fælles mål og metoder på</w:t>
            </w:r>
            <w:r>
              <w:rPr>
                <w:b/>
                <w:i/>
              </w:rPr>
              <w:t xml:space="preserve"> EU-plan. I den forbindelse bør de sikre inddragelse af retsvæsenets aktører og deres faglige sammenslutninger.</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szCs w:val="24"/>
              </w:rPr>
            </w:pPr>
            <w:r>
              <w:rPr>
                <w:b/>
                <w:i/>
              </w:rPr>
              <w:t>Artikel 18d</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b/>
                <w:i/>
              </w:rPr>
            </w:pPr>
            <w:r>
              <w:rPr>
                <w:b/>
                <w:i/>
              </w:rPr>
              <w:t>Bevidstgørelse</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1. </w:t>
            </w:r>
            <w:r>
              <w:tab/>
            </w:r>
            <w:r>
              <w:rPr>
                <w:b/>
                <w:i/>
              </w:rPr>
              <w:t>Medlemsstaterne træffer passende foranstaltninger, såsom oplysningskampagner rettet mod alle relevante inte</w:t>
            </w:r>
            <w:r>
              <w:rPr>
                <w:b/>
                <w:i/>
              </w:rPr>
              <w:t>ressenter fra både den offentlige og den private sektor og forsknings- og uddannelsesprogrammer, for at øge kendskabet til strategiske retssager mod offentligt engagement og de retssikkerhedsgarantier mod dem, som er fastsat i dette direktiv, og for at øge</w:t>
            </w:r>
            <w:r>
              <w:rPr>
                <w:b/>
                <w:i/>
              </w:rPr>
              <w:t xml:space="preserve"> offentlighedens bevidsthed og reducere risikoen for eller truslen om sådanne retssager væsentligt. Hvor det er relevant, handler medlemsstaterne i samarbejde med alle relevante interessenter.</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2.</w:t>
            </w:r>
            <w:r>
              <w:tab/>
            </w:r>
            <w:r>
              <w:rPr>
                <w:b/>
                <w:i/>
              </w:rPr>
              <w:t xml:space="preserve"> Medlemsstaterne yder støtte og formidler information om o</w:t>
            </w:r>
            <w:r>
              <w:rPr>
                <w:b/>
                <w:i/>
              </w:rPr>
              <w:t>plysningsaktiviteter vedrørende eksisterende støtteordninger på EU-plan og nationalt plan, herunder henvisning til nationale kontaktpunkter, som indsamler og deler oplysninger om tilgængelige ressourcer, herunder advokatbistand og tilgængelige muligheder f</w:t>
            </w:r>
            <w:r>
              <w:rPr>
                <w:b/>
                <w:i/>
              </w:rPr>
              <w:t>or at forsvare sig ved domstolene.</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szCs w:val="24"/>
              </w:rPr>
            </w:pPr>
            <w:r>
              <w:rPr>
                <w:b/>
                <w:i/>
              </w:rPr>
              <w:t>Artikel 18e</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3711D1">
            <w:pPr>
              <w:pStyle w:val="Normal6"/>
              <w:jc w:val="center"/>
              <w:rPr>
                <w:b/>
                <w:i/>
              </w:rPr>
            </w:pPr>
            <w:r>
              <w:rPr>
                <w:b/>
                <w:i/>
              </w:rPr>
              <w:t>Dataindsamling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1. </w:t>
            </w:r>
            <w:r>
              <w:tab/>
            </w:r>
            <w:r>
              <w:rPr>
                <w:b/>
                <w:i/>
              </w:rPr>
              <w:t xml:space="preserve">Medlemsstaterne pålægger under hensyntagen til deres institutionelle ordninger for statistikker på retsområdet og under fuld overholdelse af databeskyttelseskravene én eller flere </w:t>
            </w:r>
            <w:r>
              <w:rPr>
                <w:b/>
                <w:i/>
              </w:rPr>
              <w:t>myndigheder ansvaret for at indsamle og aggregere data om de urimelige retssager mod offentligt engagement, som er blevet indledt i deres jurisdiktion.</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2. </w:t>
            </w:r>
            <w:r>
              <w:tab/>
            </w:r>
            <w:r>
              <w:rPr>
                <w:b/>
                <w:i/>
              </w:rPr>
              <w:t>Med henblik på stk. 1 opretter medlemsstaterne et register over retsafgørelser vedrørende spørgsmå</w:t>
            </w:r>
            <w:r>
              <w:rPr>
                <w:b/>
                <w:i/>
              </w:rPr>
              <w:t>l, som er reguleret ved dette direktiv og den ledsagende henstilling. Dette register gøres offentligt og gratis tilgængeligt på brugsstedet og skal overholde EU's og medlemsstatens regler om beskyttelse af personoplysninger.</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70</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19 a (ny)</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jc w:val="center"/>
              <w:rPr>
                <w:szCs w:val="24"/>
              </w:rPr>
            </w:pPr>
            <w:r>
              <w:rPr>
                <w:b/>
                <w:i/>
              </w:rPr>
              <w:t>Artikel 19a</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jc w:val="center"/>
              <w:rPr>
                <w:szCs w:val="24"/>
              </w:rPr>
            </w:pPr>
            <w:r>
              <w:rPr>
                <w:b/>
                <w:i/>
              </w:rPr>
              <w:t>Anvendelsestidspunkt</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Bestemmelserne i dette direktiv finder anvendelse på alle </w:t>
            </w:r>
            <w:r>
              <w:rPr>
                <w:b/>
                <w:i/>
              </w:rPr>
              <w:t>urimelige retssager mod offentligt engagement som defineret i artikel 3, stk. 3, der indledes eller fortsættes på tidspunktet for ikrafttrædelsen af den nationale lov til gennemførelse af dette direktiv og derefter.</w:t>
            </w:r>
          </w:p>
        </w:tc>
      </w:tr>
    </w:tbl>
    <w:p w:rsidR="00F23239" w:rsidRPr="003711D1" w:rsidRDefault="00D9224C" w:rsidP="00F23239">
      <w:r>
        <w:rPr>
          <w:rStyle w:val="HideTWBExt"/>
        </w:rPr>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71</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rPr>
        <w:t>&lt;Article&gt;</w:t>
      </w:r>
      <w:r>
        <w:t>Artikel 20 – stk.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D9224C" w:rsidP="00273FCA">
            <w:pPr>
              <w:pStyle w:val="Normal6"/>
            </w:pPr>
            <w:r>
              <w:t xml:space="preserve">Medlemsstaterne giver Kommissionen alle </w:t>
            </w:r>
            <w:r>
              <w:lastRenderedPageBreak/>
              <w:t xml:space="preserve">relevante oplysninger om anvendelsen af dette direktiv </w:t>
            </w:r>
            <w:r>
              <w:rPr>
                <w:b/>
                <w:i/>
              </w:rPr>
              <w:t>[fem</w:t>
            </w:r>
            <w:r>
              <w:t xml:space="preserve"> år fra gennemfør</w:t>
            </w:r>
            <w:r>
              <w:t xml:space="preserve">elsesdatoen]. På grundlag af de forelagte oplysninger forelægger Kommissionen senest den </w:t>
            </w:r>
            <w:r>
              <w:rPr>
                <w:b/>
                <w:i/>
              </w:rPr>
              <w:t>[seks</w:t>
            </w:r>
            <w:r>
              <w:t xml:space="preserve"> år efter gennemførelsesdatoen] Europa-Parlamentet og Rådet en </w:t>
            </w:r>
            <w:r>
              <w:rPr>
                <w:b/>
                <w:i/>
              </w:rPr>
              <w:t>rapport</w:t>
            </w:r>
            <w:r>
              <w:t xml:space="preserve"> om anvendelsen af dette direktiv. Rapporten skal indeholde en vurdering af udviklingen i ur</w:t>
            </w:r>
            <w:r>
              <w:t>imelige retssager mod offentligt engagement og virkningen af dette direktiv i medlemsstaterne. Om nødvendigt ledsages rapporten af forslag om tilpasning af dette direktiv.</w:t>
            </w:r>
          </w:p>
        </w:tc>
        <w:tc>
          <w:tcPr>
            <w:tcW w:w="4876" w:type="dxa"/>
          </w:tcPr>
          <w:p w:rsidR="00F23239" w:rsidRPr="003711D1" w:rsidRDefault="00D9224C" w:rsidP="00273FCA">
            <w:pPr>
              <w:pStyle w:val="Normal6"/>
              <w:rPr>
                <w:szCs w:val="24"/>
              </w:rPr>
            </w:pPr>
            <w:r>
              <w:lastRenderedPageBreak/>
              <w:t xml:space="preserve">Medlemsstaterne giver Kommissionen alle </w:t>
            </w:r>
            <w:r>
              <w:lastRenderedPageBreak/>
              <w:t>relevante oplysninger om anvendelsen af dett</w:t>
            </w:r>
            <w:r>
              <w:t xml:space="preserve">e direktiv </w:t>
            </w:r>
            <w:r>
              <w:rPr>
                <w:b/>
                <w:i/>
              </w:rPr>
              <w:t>[tre</w:t>
            </w:r>
            <w:r>
              <w:t xml:space="preserve"> år fra gennemførelsesdatoen]</w:t>
            </w:r>
            <w:r>
              <w:rPr>
                <w:b/>
                <w:i/>
              </w:rPr>
              <w:t xml:space="preserve"> og derefter en gang om året</w:t>
            </w:r>
            <w:r>
              <w:t xml:space="preserve">. På grundlag af de forelagte oplysninger forelægger Kommissionen senest den </w:t>
            </w:r>
            <w:r>
              <w:rPr>
                <w:b/>
                <w:i/>
              </w:rPr>
              <w:t>[fire</w:t>
            </w:r>
            <w:r>
              <w:t xml:space="preserve"> år efter gennemførelsesdatoen] Europa-Parlamentet og Rådet en </w:t>
            </w:r>
            <w:r>
              <w:rPr>
                <w:b/>
                <w:i/>
              </w:rPr>
              <w:t>årsrapport</w:t>
            </w:r>
            <w:r>
              <w:t xml:space="preserve"> om anvendelsen af dette dire</w:t>
            </w:r>
            <w:r>
              <w:t xml:space="preserve">ktiv. Rapporten skal indeholde en vurdering af udviklingen i urimelige retssager mod offentligt engagement og virkningen af dette direktiv i medlemsstaterne. Om nødvendigt ledsages rapporten af forslag om tilpasning af dette direktiv. </w:t>
            </w:r>
            <w:r>
              <w:rPr>
                <w:b/>
                <w:i/>
              </w:rPr>
              <w:t>Disse rapporter offen</w:t>
            </w:r>
            <w:r>
              <w:rPr>
                <w:b/>
                <w:i/>
              </w:rPr>
              <w:t>tliggøres.</w:t>
            </w:r>
          </w:p>
        </w:tc>
      </w:tr>
    </w:tbl>
    <w:p w:rsidR="00F23239" w:rsidRPr="003711D1" w:rsidRDefault="00D9224C" w:rsidP="00F23239">
      <w:r>
        <w:rPr>
          <w:rStyle w:val="HideTWBExt"/>
        </w:rPr>
        <w:lastRenderedPageBreak/>
        <w:t>&lt;/Amend&gt;</w:t>
      </w:r>
    </w:p>
    <w:p w:rsidR="00F23239" w:rsidRPr="003711D1" w:rsidRDefault="00D9224C" w:rsidP="00F23239">
      <w:pPr>
        <w:pStyle w:val="AMNumberTabs0"/>
        <w:keepNext/>
      </w:pPr>
      <w:r>
        <w:rPr>
          <w:rStyle w:val="HideTWBExt"/>
          <w:b w:val="0"/>
          <w:lang w:val="en-GB"/>
        </w:rPr>
        <w:t>&lt;Amend&gt;</w:t>
      </w:r>
      <w:r>
        <w:t>Ændringsforslag</w:t>
      </w:r>
      <w:r>
        <w:tab/>
      </w:r>
      <w:r>
        <w:tab/>
      </w:r>
      <w:r>
        <w:rPr>
          <w:rStyle w:val="HideTWBExt"/>
          <w:b w:val="0"/>
          <w:lang w:val="en-GB"/>
        </w:rPr>
        <w:t>&lt;NumAm&gt;</w:t>
      </w:r>
      <w:r>
        <w:t>72</w:t>
      </w:r>
      <w:r>
        <w:rPr>
          <w:rStyle w:val="HideTWBExt"/>
          <w:b w:val="0"/>
          <w:lang w:val="en-GB"/>
        </w:rPr>
        <w:t>&lt;/NumAm&gt;</w:t>
      </w:r>
    </w:p>
    <w:p w:rsidR="00F23239" w:rsidRPr="003711D1" w:rsidRDefault="00D9224C" w:rsidP="00F23239">
      <w:pPr>
        <w:pStyle w:val="NormalBold"/>
        <w:keepNext/>
      </w:pPr>
      <w:r>
        <w:rPr>
          <w:rStyle w:val="HideTWBExt"/>
          <w:b w:val="0"/>
        </w:rPr>
        <w:t>&lt;DocAmend&gt;</w:t>
      </w:r>
      <w:r>
        <w:t>Forslag til direktiv</w:t>
      </w:r>
      <w:r>
        <w:rPr>
          <w:rStyle w:val="HideTWBExt"/>
          <w:b w:val="0"/>
        </w:rPr>
        <w:t>&lt;/DocAmend&gt;</w:t>
      </w:r>
    </w:p>
    <w:p w:rsidR="00F23239" w:rsidRPr="003711D1" w:rsidRDefault="00D9224C" w:rsidP="00F23239">
      <w:pPr>
        <w:pStyle w:val="NormalBold"/>
      </w:pPr>
      <w:r>
        <w:rPr>
          <w:rStyle w:val="HideTWBExt"/>
          <w:b w:val="0"/>
          <w:lang w:val="fr-BE"/>
        </w:rPr>
        <w:t>&lt;Article&gt;</w:t>
      </w:r>
      <w:r>
        <w:t>Artikel 20 – stk. 1 a (nyt)</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7247" w:rsidTr="00273FCA">
        <w:trPr>
          <w:jc w:val="center"/>
        </w:trPr>
        <w:tc>
          <w:tcPr>
            <w:tcW w:w="9752" w:type="dxa"/>
            <w:gridSpan w:val="2"/>
          </w:tcPr>
          <w:p w:rsidR="00F23239" w:rsidRPr="003711D1" w:rsidRDefault="00F23239" w:rsidP="00273FCA">
            <w:pPr>
              <w:keepNext/>
              <w:rPr>
                <w:lang w:val="fr-BE"/>
              </w:rPr>
            </w:pPr>
          </w:p>
        </w:tc>
      </w:tr>
      <w:tr w:rsidR="00567247" w:rsidTr="00273FCA">
        <w:trPr>
          <w:jc w:val="center"/>
        </w:trPr>
        <w:tc>
          <w:tcPr>
            <w:tcW w:w="4876" w:type="dxa"/>
          </w:tcPr>
          <w:p w:rsidR="00F23239" w:rsidRPr="003711D1" w:rsidRDefault="00D9224C" w:rsidP="00273FCA">
            <w:pPr>
              <w:pStyle w:val="ColumnHeading"/>
              <w:keepNext/>
            </w:pPr>
            <w:r>
              <w:t>Kommissionens forslag</w:t>
            </w:r>
          </w:p>
        </w:tc>
        <w:tc>
          <w:tcPr>
            <w:tcW w:w="4876" w:type="dxa"/>
          </w:tcPr>
          <w:p w:rsidR="00F23239" w:rsidRPr="003711D1" w:rsidRDefault="00D9224C" w:rsidP="00273FCA">
            <w:pPr>
              <w:pStyle w:val="ColumnHeading"/>
              <w:keepNext/>
            </w:pPr>
            <w:r>
              <w:t>Ændringsforslag</w:t>
            </w:r>
          </w:p>
        </w:tc>
      </w:tr>
      <w:tr w:rsidR="00567247" w:rsidTr="00273FCA">
        <w:trPr>
          <w:jc w:val="center"/>
        </w:trPr>
        <w:tc>
          <w:tcPr>
            <w:tcW w:w="4876" w:type="dxa"/>
          </w:tcPr>
          <w:p w:rsidR="00F23239" w:rsidRPr="003711D1" w:rsidRDefault="00F23239" w:rsidP="00273FCA">
            <w:pPr>
              <w:pStyle w:val="Normal6"/>
              <w:rPr>
                <w:lang w:val="en-GB"/>
              </w:rPr>
            </w:pPr>
          </w:p>
        </w:tc>
        <w:tc>
          <w:tcPr>
            <w:tcW w:w="4876" w:type="dxa"/>
          </w:tcPr>
          <w:p w:rsidR="00F23239" w:rsidRPr="003711D1" w:rsidRDefault="00D9224C" w:rsidP="00273FCA">
            <w:pPr>
              <w:pStyle w:val="Normal6"/>
              <w:rPr>
                <w:szCs w:val="24"/>
              </w:rPr>
            </w:pPr>
            <w:r>
              <w:rPr>
                <w:b/>
                <w:i/>
              </w:rPr>
              <w:t xml:space="preserve">Kommissionen vurderer, på grundlag af anvendelsen af dette </w:t>
            </w:r>
            <w:r>
              <w:rPr>
                <w:b/>
                <w:i/>
              </w:rPr>
              <w:t>direktiv om SLAPP-sager i forbindelse med civile krav i straffesager og baseret på andre tilgængelige oplysninger, om der er brug for yderligere tiltag mod SLAPP-sager i straffesager.</w:t>
            </w:r>
          </w:p>
        </w:tc>
      </w:tr>
    </w:tbl>
    <w:p w:rsidR="00F23239" w:rsidRPr="003711D1" w:rsidRDefault="00D9224C" w:rsidP="00F23239">
      <w:r>
        <w:rPr>
          <w:rStyle w:val="HideTWBExt"/>
        </w:rPr>
        <w:t>&lt;/Amend&gt;&lt;/RepeatBlock-Amend&gt;</w:t>
      </w:r>
    </w:p>
    <w:p w:rsidR="00F23239" w:rsidRPr="003711D1" w:rsidRDefault="00D9224C" w:rsidP="00F23239">
      <w:pPr>
        <w:pStyle w:val="PageHeadingNotTOC"/>
      </w:pPr>
      <w:bookmarkStart w:id="0" w:name="_GoBack"/>
      <w:bookmarkEnd w:id="0"/>
      <w:r>
        <w:br w:type="page"/>
      </w:r>
      <w:bookmarkStart w:id="1" w:name="ProcPageAD"/>
      <w:r>
        <w:lastRenderedPageBreak/>
        <w:t>PROCEDURE I RÅDGIVENDE UDVALG</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67247" w:rsidTr="00273F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Beskyttelse af personer, der engagerer sig offentligt, mod åbenbart grundløse eller urimelige retssager ("strategiske retssager mod offentligt engagement")</w:t>
            </w:r>
          </w:p>
        </w:tc>
      </w:tr>
      <w:tr w:rsidR="00567247" w:rsidTr="00273FC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COM(2022)0177 – C9-0161/2022 – 2022/0117(COD)</w:t>
            </w:r>
          </w:p>
        </w:tc>
      </w:tr>
      <w:tr w:rsidR="00567247" w:rsidTr="00273F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Korresponderende udvalg</w:t>
            </w:r>
          </w:p>
          <w:p w:rsidR="00F23239" w:rsidRPr="003711D1" w:rsidRDefault="00D9224C" w:rsidP="00273FCA">
            <w:pPr>
              <w:autoSpaceDE w:val="0"/>
              <w:autoSpaceDN w:val="0"/>
              <w:adjustRightInd w:val="0"/>
              <w:rPr>
                <w:color w:val="000000"/>
                <w:sz w:val="20"/>
              </w:rPr>
            </w:pPr>
            <w:r>
              <w:rPr>
                <w:color w:val="000000"/>
                <w:sz w:val="20"/>
              </w:rPr>
              <w:t>       Dato for v</w:t>
            </w:r>
            <w:r>
              <w:rPr>
                <w:color w:val="000000"/>
                <w:sz w:val="20"/>
              </w:rPr>
              <w:t>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JURI</w:t>
            </w:r>
          </w:p>
          <w:p w:rsidR="00F23239" w:rsidRPr="003711D1" w:rsidRDefault="00D9224C" w:rsidP="00273FCA">
            <w:pPr>
              <w:autoSpaceDE w:val="0"/>
              <w:autoSpaceDN w:val="0"/>
              <w:adjustRightInd w:val="0"/>
              <w:rPr>
                <w:color w:val="000000"/>
                <w:sz w:val="20"/>
              </w:rPr>
            </w:pPr>
            <w:r>
              <w:rPr>
                <w:color w:val="000000"/>
                <w:sz w:val="20"/>
              </w:rPr>
              <w:t>5.5.2022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23239" w:rsidRPr="003711D1" w:rsidRDefault="00F23239" w:rsidP="00273F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23239" w:rsidRPr="003711D1" w:rsidRDefault="00F23239" w:rsidP="00273F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23239" w:rsidRPr="003711D1" w:rsidRDefault="00F23239" w:rsidP="00273FCA">
            <w:pPr>
              <w:autoSpaceDE w:val="0"/>
              <w:autoSpaceDN w:val="0"/>
              <w:adjustRightInd w:val="0"/>
              <w:rPr>
                <w:rFonts w:ascii="sans-serif" w:hAnsi="sans-serif" w:cs="sans-serif"/>
                <w:color w:val="000000"/>
                <w:szCs w:val="24"/>
              </w:rPr>
            </w:pPr>
          </w:p>
        </w:tc>
      </w:tr>
      <w:tr w:rsidR="00567247" w:rsidTr="00273F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Udtalelse fra</w:t>
            </w:r>
          </w:p>
          <w:p w:rsidR="00F23239" w:rsidRPr="003711D1" w:rsidRDefault="00D9224C" w:rsidP="00273FCA">
            <w:pPr>
              <w:autoSpaceDE w:val="0"/>
              <w:autoSpaceDN w:val="0"/>
              <w:adjustRightInd w:val="0"/>
              <w:rPr>
                <w:color w:val="000000"/>
                <w:sz w:val="20"/>
              </w:rPr>
            </w:pPr>
            <w:r>
              <w:rPr>
                <w:color w:val="000000"/>
                <w:sz w:val="20"/>
              </w:rPr>
              <w:t>       Dato for vedtagelse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LIBE</w:t>
            </w:r>
          </w:p>
          <w:p w:rsidR="00F23239" w:rsidRPr="003711D1" w:rsidRDefault="00D9224C" w:rsidP="00273FCA">
            <w:pPr>
              <w:autoSpaceDE w:val="0"/>
              <w:autoSpaceDN w:val="0"/>
              <w:adjustRightInd w:val="0"/>
              <w:rPr>
                <w:color w:val="000000"/>
                <w:sz w:val="20"/>
              </w:rPr>
            </w:pPr>
            <w:r>
              <w:rPr>
                <w:color w:val="000000"/>
                <w:sz w:val="20"/>
              </w:rPr>
              <w:t>5.5.2022</w:t>
            </w:r>
          </w:p>
        </w:tc>
      </w:tr>
      <w:tr w:rsidR="00567247" w:rsidTr="00273FC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Associerede udvalg - dato for meddelelse på plenarmødet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15.12.2022</w:t>
            </w:r>
          </w:p>
        </w:tc>
      </w:tr>
      <w:tr w:rsidR="00567247" w:rsidTr="00273F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Ordfører for udtalelse</w:t>
            </w:r>
          </w:p>
          <w:p w:rsidR="00F23239" w:rsidRPr="003711D1" w:rsidRDefault="00D9224C" w:rsidP="00273FCA">
            <w:pPr>
              <w:autoSpaceDE w:val="0"/>
              <w:autoSpaceDN w:val="0"/>
              <w:adjustRightInd w:val="0"/>
              <w:rPr>
                <w:color w:val="000000"/>
                <w:sz w:val="20"/>
              </w:rPr>
            </w:pPr>
            <w:r>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Ramona Strugariu</w:t>
            </w:r>
          </w:p>
          <w:p w:rsidR="00F23239" w:rsidRPr="003711D1" w:rsidRDefault="00D9224C" w:rsidP="00273FCA">
            <w:pPr>
              <w:autoSpaceDE w:val="0"/>
              <w:autoSpaceDN w:val="0"/>
              <w:adjustRightInd w:val="0"/>
              <w:rPr>
                <w:color w:val="000000"/>
                <w:sz w:val="20"/>
              </w:rPr>
            </w:pPr>
            <w:r>
              <w:rPr>
                <w:color w:val="000000"/>
                <w:sz w:val="20"/>
              </w:rPr>
              <w:t>12.1.2023</w:t>
            </w:r>
          </w:p>
        </w:tc>
      </w:tr>
      <w:tr w:rsidR="00567247" w:rsidTr="00273FC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 xml:space="preserve">Tidligere ordfører for </w:t>
            </w:r>
            <w:r>
              <w:rPr>
                <w:b/>
                <w:color w:val="000000"/>
                <w:sz w:val="20"/>
              </w:rPr>
              <w:t>udtalelse: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Anna Júlia Donáth</w:t>
            </w:r>
          </w:p>
        </w:tc>
      </w:tr>
      <w:tr w:rsidR="00567247" w:rsidTr="00273F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22.3.2023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23239" w:rsidRPr="003711D1" w:rsidRDefault="00F23239" w:rsidP="00273F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23239" w:rsidRPr="003711D1" w:rsidRDefault="00F23239" w:rsidP="00273FC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23239" w:rsidRPr="003711D1" w:rsidRDefault="00F23239" w:rsidP="00273FCA">
            <w:pPr>
              <w:autoSpaceDE w:val="0"/>
              <w:autoSpaceDN w:val="0"/>
              <w:adjustRightInd w:val="0"/>
              <w:rPr>
                <w:rFonts w:ascii="sans-serif" w:hAnsi="sans-serif" w:cs="sans-serif"/>
                <w:color w:val="000000"/>
                <w:szCs w:val="24"/>
              </w:rPr>
            </w:pPr>
          </w:p>
        </w:tc>
      </w:tr>
      <w:tr w:rsidR="00567247" w:rsidTr="00273FC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23.5.2023</w:t>
            </w:r>
          </w:p>
        </w:tc>
        <w:tc>
          <w:tcPr>
            <w:tcW w:w="1474" w:type="dxa"/>
            <w:tcBorders>
              <w:top w:val="nil"/>
              <w:left w:val="nil"/>
              <w:bottom w:val="single" w:sz="8" w:space="0" w:color="000000"/>
              <w:right w:val="nil"/>
            </w:tcBorders>
            <w:tcMar>
              <w:top w:w="79" w:type="dxa"/>
              <w:left w:w="79" w:type="dxa"/>
              <w:bottom w:w="79" w:type="dxa"/>
              <w:right w:w="79" w:type="dxa"/>
            </w:tcMar>
          </w:tcPr>
          <w:p w:rsidR="00F23239" w:rsidRPr="003711D1" w:rsidRDefault="00F23239" w:rsidP="00273FC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F23239" w:rsidRPr="003711D1" w:rsidRDefault="00F23239" w:rsidP="00273FCA">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23239" w:rsidRPr="003711D1" w:rsidRDefault="00F23239" w:rsidP="00273FCA">
            <w:pPr>
              <w:autoSpaceDE w:val="0"/>
              <w:autoSpaceDN w:val="0"/>
              <w:adjustRightInd w:val="0"/>
              <w:rPr>
                <w:rFonts w:ascii="sans-serif" w:hAnsi="sans-serif" w:cs="sans-serif"/>
                <w:color w:val="000000"/>
                <w:szCs w:val="24"/>
              </w:rPr>
            </w:pPr>
          </w:p>
        </w:tc>
      </w:tr>
      <w:tr w:rsidR="00567247" w:rsidTr="00273F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w:t>
            </w:r>
          </w:p>
          <w:p w:rsidR="00F23239" w:rsidRPr="003711D1" w:rsidRDefault="00D9224C" w:rsidP="00273FCA">
            <w:pPr>
              <w:autoSpaceDE w:val="0"/>
              <w:autoSpaceDN w:val="0"/>
              <w:adjustRightInd w:val="0"/>
              <w:rPr>
                <w:color w:val="000000"/>
                <w:sz w:val="20"/>
              </w:rPr>
            </w:pPr>
            <w:r>
              <w:rPr>
                <w:color w:val="000000"/>
                <w:sz w:val="20"/>
              </w:rPr>
              <w:t>–:</w:t>
            </w:r>
          </w:p>
          <w:p w:rsidR="00F23239" w:rsidRPr="003711D1" w:rsidRDefault="00D9224C" w:rsidP="00273FCA">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51</w:t>
            </w:r>
          </w:p>
          <w:p w:rsidR="00F23239" w:rsidRPr="003711D1" w:rsidRDefault="00D9224C" w:rsidP="00273FCA">
            <w:pPr>
              <w:autoSpaceDE w:val="0"/>
              <w:autoSpaceDN w:val="0"/>
              <w:adjustRightInd w:val="0"/>
              <w:rPr>
                <w:color w:val="000000"/>
                <w:sz w:val="20"/>
              </w:rPr>
            </w:pPr>
            <w:r>
              <w:rPr>
                <w:color w:val="000000"/>
                <w:sz w:val="20"/>
              </w:rPr>
              <w:t>5</w:t>
            </w:r>
          </w:p>
          <w:p w:rsidR="00F23239" w:rsidRPr="003711D1" w:rsidRDefault="00D9224C" w:rsidP="00273FCA">
            <w:pPr>
              <w:autoSpaceDE w:val="0"/>
              <w:autoSpaceDN w:val="0"/>
              <w:adjustRightInd w:val="0"/>
              <w:rPr>
                <w:color w:val="000000"/>
                <w:sz w:val="20"/>
              </w:rPr>
            </w:pPr>
            <w:r>
              <w:rPr>
                <w:color w:val="000000"/>
                <w:sz w:val="20"/>
              </w:rPr>
              <w:t>4</w:t>
            </w:r>
          </w:p>
        </w:tc>
      </w:tr>
      <w:tr w:rsidR="00567247" w:rsidTr="00273FC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 xml:space="preserve">Magdalena Adamowicz, Abir Al-Sahlani, Malik Azmani, </w:t>
            </w:r>
            <w:r>
              <w:rPr>
                <w:color w:val="000000"/>
                <w:sz w:val="20"/>
              </w:rPr>
              <w:t>Pietro Bartolo, Theresa Bielowski, Malin Björk, Vasile Blaga, Karolin Braunsberger-Reinhold, Patrick Breyer, Saskia Bricmont, Annika Bruna, Damien Carême, Clare Daly, Lena Düpont, Lucia Ďuriš Nicholsonová, Laura Ferrara, Nicolaus Fest, Sylvie Guillaume, An</w:t>
            </w:r>
            <w:r>
              <w:rPr>
                <w:color w:val="000000"/>
                <w:sz w:val="20"/>
              </w:rPr>
              <w:t>drzej Halicki, Sophia in ‘t Veld, Patryk Jaki, Marina Kaljurand, Assita Kanko, Fabienne Keller, Łukasz Kohut, Moritz Körner, Alice Kuhnke, Jeroen Lenaers, Juan Fernando López Aguilar, Nuno Melo, Javier Moreno Sánchez, Maite Pagazaurtundúa, Emil Radev, Paul</w:t>
            </w:r>
            <w:r>
              <w:rPr>
                <w:color w:val="000000"/>
                <w:sz w:val="20"/>
              </w:rPr>
              <w:t>o Rangel, Diana Riba i Giner, Isabel Santos, Birgit Sippel, Sara Skyttedal, Vincenzo Sofo, Tineke Strik, Ramona Strugariu, Tomas Tobé, Milan Uhrík, Tom Vandendriessche, Elissavet Vozemberg-Vrionidi, Elena Yoncheva</w:t>
            </w:r>
          </w:p>
        </w:tc>
      </w:tr>
      <w:tr w:rsidR="00567247" w:rsidTr="00273FC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Til stede ved den endelige afstemning – s</w:t>
            </w:r>
            <w:r>
              <w:rPr>
                <w:b/>
                <w:color w:val="000000"/>
                <w:sz w:val="20"/>
              </w:rPr>
              <w:t>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Susanna Ceccardi, Gwendoline Delbos-Corfield, Loucas Fourlas, José Gusmão, Alessandra Mussolini, Matjaž Nemec, Carina Ohlsson, Thijs Reuten, Paul Tang, Róża Thun und Hohenstein, Loránt Vincze, Tomáš Zdechovský</w:t>
            </w:r>
          </w:p>
        </w:tc>
      </w:tr>
      <w:tr w:rsidR="00567247" w:rsidTr="00273FC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b/>
                <w:bCs/>
                <w:color w:val="000000"/>
                <w:sz w:val="20"/>
              </w:rPr>
            </w:pPr>
            <w:r>
              <w:rPr>
                <w:b/>
                <w:color w:val="000000"/>
                <w:sz w:val="20"/>
              </w:rPr>
              <w:t xml:space="preserve">Til stede ved den endelige </w:t>
            </w:r>
            <w:r>
              <w:rPr>
                <w:b/>
                <w:color w:val="000000"/>
                <w:sz w:val="20"/>
              </w:rPr>
              <w:t>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23239" w:rsidRPr="003711D1" w:rsidRDefault="00D9224C" w:rsidP="00273FCA">
            <w:pPr>
              <w:autoSpaceDE w:val="0"/>
              <w:autoSpaceDN w:val="0"/>
              <w:adjustRightInd w:val="0"/>
              <w:rPr>
                <w:color w:val="000000"/>
                <w:sz w:val="20"/>
              </w:rPr>
            </w:pPr>
            <w:r>
              <w:rPr>
                <w:color w:val="000000"/>
                <w:sz w:val="20"/>
              </w:rPr>
              <w:t>Marie Dauchy, Vlad Gheorghe</w:t>
            </w:r>
          </w:p>
        </w:tc>
      </w:tr>
    </w:tbl>
    <w:p w:rsidR="00F23239" w:rsidRPr="003711D1" w:rsidRDefault="00F23239" w:rsidP="00F23239"/>
    <w:bookmarkEnd w:id="1"/>
    <w:p w:rsidR="00F23239" w:rsidRPr="003711D1" w:rsidRDefault="00F23239" w:rsidP="00F23239">
      <w:pPr>
        <w:sectPr w:rsidR="00F23239" w:rsidRPr="003711D1" w:rsidSect="00D12096">
          <w:type w:val="continuous"/>
          <w:pgSz w:w="11906" w:h="16838"/>
          <w:pgMar w:top="1134" w:right="1417" w:bottom="1417" w:left="1417" w:header="1134" w:footer="567" w:gutter="0"/>
          <w:cols w:space="720"/>
          <w:docGrid w:linePitch="360"/>
        </w:sectPr>
      </w:pPr>
    </w:p>
    <w:p w:rsidR="00F23239" w:rsidRPr="003711D1" w:rsidRDefault="00D9224C" w:rsidP="00F23239">
      <w:pPr>
        <w:pStyle w:val="PageHeadingNotTOC"/>
      </w:pPr>
      <w:bookmarkStart w:id="2" w:name="RollCallPageAD"/>
      <w:r>
        <w:lastRenderedPageBreak/>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67247" w:rsidTr="00273FCA">
        <w:trPr>
          <w:cantSplit/>
        </w:trPr>
        <w:tc>
          <w:tcPr>
            <w:tcW w:w="1701" w:type="dxa"/>
            <w:shd w:val="pct10" w:color="000000" w:fill="FFFFFF"/>
            <w:vAlign w:val="center"/>
          </w:tcPr>
          <w:p w:rsidR="00F23239" w:rsidRPr="003711D1" w:rsidRDefault="00D9224C" w:rsidP="00273FCA">
            <w:pPr>
              <w:pStyle w:val="RollCallVotes"/>
            </w:pPr>
            <w:r>
              <w:t>51</w:t>
            </w:r>
          </w:p>
        </w:tc>
        <w:tc>
          <w:tcPr>
            <w:tcW w:w="7371" w:type="dxa"/>
            <w:shd w:val="pct10" w:color="000000" w:fill="FFFFFF"/>
          </w:tcPr>
          <w:p w:rsidR="00F23239" w:rsidRPr="003711D1" w:rsidRDefault="00D9224C" w:rsidP="00273FCA">
            <w:pPr>
              <w:pStyle w:val="RollCallSymbols14pt"/>
            </w:pPr>
            <w:r>
              <w:t>+</w:t>
            </w:r>
          </w:p>
        </w:tc>
      </w:tr>
      <w:tr w:rsidR="00567247" w:rsidTr="00273FCA">
        <w:trPr>
          <w:cantSplit/>
        </w:trPr>
        <w:tc>
          <w:tcPr>
            <w:tcW w:w="1701" w:type="dxa"/>
            <w:shd w:val="clear" w:color="auto" w:fill="FFFFFF"/>
          </w:tcPr>
          <w:p w:rsidR="00F23239" w:rsidRPr="003711D1" w:rsidRDefault="00D9224C" w:rsidP="00273FCA">
            <w:pPr>
              <w:pStyle w:val="RollCallTable"/>
            </w:pPr>
            <w:r>
              <w:t>NI</w:t>
            </w:r>
          </w:p>
        </w:tc>
        <w:tc>
          <w:tcPr>
            <w:tcW w:w="7371" w:type="dxa"/>
            <w:shd w:val="clear" w:color="auto" w:fill="FFFFFF"/>
          </w:tcPr>
          <w:p w:rsidR="00F23239" w:rsidRPr="003711D1" w:rsidRDefault="00D9224C" w:rsidP="00273FCA">
            <w:pPr>
              <w:pStyle w:val="RollCallTable"/>
            </w:pPr>
            <w:r>
              <w:t>Laura Ferrara</w:t>
            </w:r>
          </w:p>
        </w:tc>
      </w:tr>
      <w:tr w:rsidR="00567247" w:rsidTr="00273FCA">
        <w:trPr>
          <w:cantSplit/>
        </w:trPr>
        <w:tc>
          <w:tcPr>
            <w:tcW w:w="1701" w:type="dxa"/>
            <w:shd w:val="clear" w:color="auto" w:fill="FFFFFF"/>
          </w:tcPr>
          <w:p w:rsidR="00F23239" w:rsidRPr="003711D1" w:rsidRDefault="00D9224C" w:rsidP="00273FCA">
            <w:pPr>
              <w:pStyle w:val="RollCallTable"/>
            </w:pPr>
            <w:r>
              <w:t>PPE</w:t>
            </w:r>
          </w:p>
        </w:tc>
        <w:tc>
          <w:tcPr>
            <w:tcW w:w="7371" w:type="dxa"/>
            <w:shd w:val="clear" w:color="auto" w:fill="FFFFFF"/>
          </w:tcPr>
          <w:p w:rsidR="00F23239" w:rsidRPr="003711D1" w:rsidRDefault="00D9224C" w:rsidP="00273FCA">
            <w:pPr>
              <w:pStyle w:val="RollCallTable"/>
            </w:pPr>
            <w:r>
              <w:t xml:space="preserve">Magdalena Adamowicz, Vasile Blaga, Karolin </w:t>
            </w:r>
            <w:r>
              <w:t>Braunsberger-Reinhold, Lena Düpont, Loucas Fourlas, Andrzej Halicki, Jeroen Lenaers, Nuno Melo, Alessandra Mussolini, Emil Radev, Paulo Rangel, Sara Skyttedal, Tomas Tobé, Loránt Vincze, Elissavet Vozemberg-Vrionidi, Tomáš Zdechovský</w:t>
            </w:r>
          </w:p>
        </w:tc>
      </w:tr>
      <w:tr w:rsidR="00567247" w:rsidTr="00273FCA">
        <w:trPr>
          <w:cantSplit/>
        </w:trPr>
        <w:tc>
          <w:tcPr>
            <w:tcW w:w="1701" w:type="dxa"/>
            <w:shd w:val="clear" w:color="auto" w:fill="FFFFFF"/>
          </w:tcPr>
          <w:p w:rsidR="00F23239" w:rsidRPr="003711D1" w:rsidRDefault="00D9224C" w:rsidP="00273FCA">
            <w:pPr>
              <w:pStyle w:val="RollCallTable"/>
            </w:pPr>
            <w:r>
              <w:t>Renew</w:t>
            </w:r>
          </w:p>
        </w:tc>
        <w:tc>
          <w:tcPr>
            <w:tcW w:w="7371" w:type="dxa"/>
            <w:shd w:val="clear" w:color="auto" w:fill="FFFFFF"/>
          </w:tcPr>
          <w:p w:rsidR="00F23239" w:rsidRPr="003711D1" w:rsidRDefault="00D9224C" w:rsidP="00273FCA">
            <w:pPr>
              <w:pStyle w:val="RollCallTable"/>
            </w:pPr>
            <w:r>
              <w:t xml:space="preserve">Abir </w:t>
            </w:r>
            <w:r>
              <w:t>Al-Sahlani, Malik Azmani, Lucia Ďuriš Nicholsonová, Vlad Gheorghe, Sophia in 't Veld, Fabienne Keller, Moritz Körner, Maite Pagazaurtundúa, Ramona Strugariu, Róża Thun und Hohenstein</w:t>
            </w:r>
          </w:p>
        </w:tc>
      </w:tr>
      <w:tr w:rsidR="00567247" w:rsidTr="00273FCA">
        <w:trPr>
          <w:cantSplit/>
        </w:trPr>
        <w:tc>
          <w:tcPr>
            <w:tcW w:w="1701" w:type="dxa"/>
            <w:shd w:val="clear" w:color="auto" w:fill="FFFFFF"/>
          </w:tcPr>
          <w:p w:rsidR="00F23239" w:rsidRPr="003711D1" w:rsidRDefault="00D9224C" w:rsidP="00273FCA">
            <w:pPr>
              <w:pStyle w:val="RollCallTable"/>
            </w:pPr>
            <w:r>
              <w:t>S&amp;D</w:t>
            </w:r>
          </w:p>
        </w:tc>
        <w:tc>
          <w:tcPr>
            <w:tcW w:w="7371" w:type="dxa"/>
            <w:shd w:val="clear" w:color="auto" w:fill="FFFFFF"/>
          </w:tcPr>
          <w:p w:rsidR="00F23239" w:rsidRPr="003711D1" w:rsidRDefault="00D9224C" w:rsidP="00273FCA">
            <w:pPr>
              <w:pStyle w:val="RollCallTable"/>
            </w:pPr>
            <w:r>
              <w:t>Pietro Bartolo, Theresa Bielowski, Sylvie Guillaume, Marina Kaljuran</w:t>
            </w:r>
            <w:r>
              <w:t>d, Łukasz Kohut, Juan Fernando López Aguilar, Javier Moreno Sánchez, Matjaž Nemec, Carina Ohlsson, Thijs Reuten, Isabel Santos, Birgit Sippel, Paul Tang, Elena Yoncheva</w:t>
            </w:r>
          </w:p>
        </w:tc>
      </w:tr>
      <w:tr w:rsidR="00567247" w:rsidTr="00273FCA">
        <w:trPr>
          <w:cantSplit/>
        </w:trPr>
        <w:tc>
          <w:tcPr>
            <w:tcW w:w="1701" w:type="dxa"/>
            <w:shd w:val="clear" w:color="auto" w:fill="FFFFFF"/>
          </w:tcPr>
          <w:p w:rsidR="00F23239" w:rsidRPr="003711D1" w:rsidRDefault="00D9224C" w:rsidP="00273FCA">
            <w:pPr>
              <w:pStyle w:val="RollCallTable"/>
            </w:pPr>
            <w:r>
              <w:t>The Left</w:t>
            </w:r>
          </w:p>
        </w:tc>
        <w:tc>
          <w:tcPr>
            <w:tcW w:w="7371" w:type="dxa"/>
            <w:shd w:val="clear" w:color="auto" w:fill="FFFFFF"/>
          </w:tcPr>
          <w:p w:rsidR="00F23239" w:rsidRPr="003711D1" w:rsidRDefault="00D9224C" w:rsidP="00273FCA">
            <w:pPr>
              <w:pStyle w:val="RollCallTable"/>
            </w:pPr>
            <w:r>
              <w:t>Malin Björk, Clare Daly, José Gusmão</w:t>
            </w:r>
          </w:p>
        </w:tc>
      </w:tr>
      <w:tr w:rsidR="00567247" w:rsidTr="00273FCA">
        <w:trPr>
          <w:cantSplit/>
        </w:trPr>
        <w:tc>
          <w:tcPr>
            <w:tcW w:w="1701" w:type="dxa"/>
            <w:shd w:val="clear" w:color="auto" w:fill="FFFFFF"/>
          </w:tcPr>
          <w:p w:rsidR="00F23239" w:rsidRPr="003711D1" w:rsidRDefault="00D9224C" w:rsidP="00273FCA">
            <w:pPr>
              <w:pStyle w:val="RollCallTable"/>
            </w:pPr>
            <w:r>
              <w:t>Verts/ALE</w:t>
            </w:r>
          </w:p>
        </w:tc>
        <w:tc>
          <w:tcPr>
            <w:tcW w:w="7371" w:type="dxa"/>
            <w:shd w:val="clear" w:color="auto" w:fill="FFFFFF"/>
          </w:tcPr>
          <w:p w:rsidR="00F23239" w:rsidRPr="003711D1" w:rsidRDefault="00D9224C" w:rsidP="00273FCA">
            <w:pPr>
              <w:pStyle w:val="RollCallTable"/>
            </w:pPr>
            <w:r>
              <w:t>Patrick Breyer, Saskia Bricmo</w:t>
            </w:r>
            <w:r>
              <w:t>nt, Damien Carême, Gwendoline Delbos-Corfield, Alice Kuhnke, Diana Riba i Giner, Tineke Strik</w:t>
            </w:r>
          </w:p>
        </w:tc>
      </w:tr>
    </w:tbl>
    <w:p w:rsidR="00F23239" w:rsidRPr="003711D1" w:rsidRDefault="00F23239" w:rsidP="00F2323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67247" w:rsidTr="00273FCA">
        <w:trPr>
          <w:cantSplit/>
        </w:trPr>
        <w:tc>
          <w:tcPr>
            <w:tcW w:w="1701" w:type="dxa"/>
            <w:shd w:val="pct10" w:color="000000" w:fill="FFFFFF"/>
            <w:vAlign w:val="center"/>
          </w:tcPr>
          <w:p w:rsidR="00F23239" w:rsidRPr="003711D1" w:rsidRDefault="00D9224C" w:rsidP="00273FCA">
            <w:pPr>
              <w:pStyle w:val="RollCallVotes"/>
            </w:pPr>
            <w:r>
              <w:t>5</w:t>
            </w:r>
          </w:p>
        </w:tc>
        <w:tc>
          <w:tcPr>
            <w:tcW w:w="7371" w:type="dxa"/>
            <w:shd w:val="pct10" w:color="000000" w:fill="FFFFFF"/>
          </w:tcPr>
          <w:p w:rsidR="00F23239" w:rsidRPr="003711D1" w:rsidRDefault="00D9224C" w:rsidP="00273FCA">
            <w:pPr>
              <w:pStyle w:val="RollCallSymbols14pt"/>
            </w:pPr>
            <w:r>
              <w:t>-</w:t>
            </w:r>
          </w:p>
        </w:tc>
      </w:tr>
      <w:tr w:rsidR="00567247" w:rsidTr="00273FCA">
        <w:trPr>
          <w:cantSplit/>
        </w:trPr>
        <w:tc>
          <w:tcPr>
            <w:tcW w:w="1701" w:type="dxa"/>
            <w:shd w:val="clear" w:color="auto" w:fill="FFFFFF"/>
          </w:tcPr>
          <w:p w:rsidR="00F23239" w:rsidRPr="003711D1" w:rsidRDefault="00D9224C" w:rsidP="00273FCA">
            <w:pPr>
              <w:pStyle w:val="RollCallTable"/>
            </w:pPr>
            <w:r>
              <w:t>ECR</w:t>
            </w:r>
          </w:p>
        </w:tc>
        <w:tc>
          <w:tcPr>
            <w:tcW w:w="7371" w:type="dxa"/>
            <w:shd w:val="clear" w:color="auto" w:fill="FFFFFF"/>
          </w:tcPr>
          <w:p w:rsidR="00F23239" w:rsidRPr="003711D1" w:rsidRDefault="00D9224C" w:rsidP="00273FCA">
            <w:pPr>
              <w:pStyle w:val="RollCallTable"/>
            </w:pPr>
            <w:r>
              <w:t>Patryk Jaki, Vincenzo Sofo</w:t>
            </w:r>
          </w:p>
        </w:tc>
      </w:tr>
      <w:tr w:rsidR="00567247" w:rsidTr="00273FCA">
        <w:trPr>
          <w:cantSplit/>
        </w:trPr>
        <w:tc>
          <w:tcPr>
            <w:tcW w:w="1701" w:type="dxa"/>
            <w:shd w:val="clear" w:color="auto" w:fill="FFFFFF"/>
          </w:tcPr>
          <w:p w:rsidR="00F23239" w:rsidRPr="003711D1" w:rsidRDefault="00D9224C" w:rsidP="00273FCA">
            <w:pPr>
              <w:pStyle w:val="RollCallTable"/>
            </w:pPr>
            <w:r>
              <w:t>ID</w:t>
            </w:r>
          </w:p>
        </w:tc>
        <w:tc>
          <w:tcPr>
            <w:tcW w:w="7371" w:type="dxa"/>
            <w:shd w:val="clear" w:color="auto" w:fill="FFFFFF"/>
          </w:tcPr>
          <w:p w:rsidR="00F23239" w:rsidRPr="003711D1" w:rsidRDefault="00D9224C" w:rsidP="00273FCA">
            <w:pPr>
              <w:pStyle w:val="RollCallTable"/>
            </w:pPr>
            <w:r>
              <w:t>Susanna Ceccardi, Nicolaus Fest</w:t>
            </w:r>
          </w:p>
        </w:tc>
      </w:tr>
      <w:tr w:rsidR="00567247" w:rsidTr="00273FCA">
        <w:trPr>
          <w:cantSplit/>
        </w:trPr>
        <w:tc>
          <w:tcPr>
            <w:tcW w:w="1701" w:type="dxa"/>
            <w:shd w:val="clear" w:color="auto" w:fill="FFFFFF"/>
          </w:tcPr>
          <w:p w:rsidR="00F23239" w:rsidRPr="003711D1" w:rsidRDefault="00D9224C" w:rsidP="00273FCA">
            <w:pPr>
              <w:pStyle w:val="RollCallTable"/>
            </w:pPr>
            <w:r>
              <w:t>NI</w:t>
            </w:r>
          </w:p>
        </w:tc>
        <w:tc>
          <w:tcPr>
            <w:tcW w:w="7371" w:type="dxa"/>
            <w:shd w:val="clear" w:color="auto" w:fill="FFFFFF"/>
          </w:tcPr>
          <w:p w:rsidR="00F23239" w:rsidRPr="003711D1" w:rsidRDefault="00D9224C" w:rsidP="00273FCA">
            <w:pPr>
              <w:pStyle w:val="RollCallTable"/>
            </w:pPr>
            <w:r>
              <w:t>Milan Uhrík</w:t>
            </w:r>
          </w:p>
        </w:tc>
      </w:tr>
    </w:tbl>
    <w:p w:rsidR="00F23239" w:rsidRPr="003711D1" w:rsidRDefault="00F23239" w:rsidP="00F2323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67247" w:rsidTr="00273FCA">
        <w:trPr>
          <w:cantSplit/>
        </w:trPr>
        <w:tc>
          <w:tcPr>
            <w:tcW w:w="1701" w:type="dxa"/>
            <w:shd w:val="pct10" w:color="000000" w:fill="FFFFFF"/>
            <w:vAlign w:val="center"/>
          </w:tcPr>
          <w:p w:rsidR="00F23239" w:rsidRPr="003711D1" w:rsidRDefault="00D9224C" w:rsidP="00273FCA">
            <w:pPr>
              <w:pStyle w:val="RollCallVotes"/>
            </w:pPr>
            <w:r>
              <w:t>4</w:t>
            </w:r>
          </w:p>
        </w:tc>
        <w:tc>
          <w:tcPr>
            <w:tcW w:w="7371" w:type="dxa"/>
            <w:shd w:val="pct10" w:color="000000" w:fill="FFFFFF"/>
          </w:tcPr>
          <w:p w:rsidR="00F23239" w:rsidRPr="003711D1" w:rsidRDefault="00D9224C" w:rsidP="00273FCA">
            <w:pPr>
              <w:pStyle w:val="RollCallSymbols14pt"/>
            </w:pPr>
            <w:r>
              <w:t>0</w:t>
            </w:r>
          </w:p>
        </w:tc>
      </w:tr>
      <w:tr w:rsidR="00567247" w:rsidTr="00273FCA">
        <w:trPr>
          <w:cantSplit/>
        </w:trPr>
        <w:tc>
          <w:tcPr>
            <w:tcW w:w="1701" w:type="dxa"/>
            <w:shd w:val="clear" w:color="auto" w:fill="FFFFFF"/>
          </w:tcPr>
          <w:p w:rsidR="00F23239" w:rsidRPr="003711D1" w:rsidRDefault="00D9224C" w:rsidP="00273FCA">
            <w:pPr>
              <w:pStyle w:val="RollCallTable"/>
            </w:pPr>
            <w:r>
              <w:t>ECR</w:t>
            </w:r>
          </w:p>
        </w:tc>
        <w:tc>
          <w:tcPr>
            <w:tcW w:w="7371" w:type="dxa"/>
            <w:shd w:val="clear" w:color="auto" w:fill="FFFFFF"/>
          </w:tcPr>
          <w:p w:rsidR="00F23239" w:rsidRPr="003711D1" w:rsidRDefault="00D9224C" w:rsidP="00273FCA">
            <w:pPr>
              <w:pStyle w:val="RollCallTable"/>
            </w:pPr>
            <w:r>
              <w:t>Assita Kanko</w:t>
            </w:r>
          </w:p>
        </w:tc>
      </w:tr>
      <w:tr w:rsidR="00567247" w:rsidTr="00273FCA">
        <w:trPr>
          <w:cantSplit/>
        </w:trPr>
        <w:tc>
          <w:tcPr>
            <w:tcW w:w="1701" w:type="dxa"/>
            <w:shd w:val="clear" w:color="auto" w:fill="FFFFFF"/>
          </w:tcPr>
          <w:p w:rsidR="00F23239" w:rsidRPr="003711D1" w:rsidRDefault="00D9224C" w:rsidP="00273FCA">
            <w:pPr>
              <w:pStyle w:val="RollCallTable"/>
            </w:pPr>
            <w:r>
              <w:t>ID</w:t>
            </w:r>
          </w:p>
        </w:tc>
        <w:tc>
          <w:tcPr>
            <w:tcW w:w="7371" w:type="dxa"/>
            <w:shd w:val="clear" w:color="auto" w:fill="FFFFFF"/>
          </w:tcPr>
          <w:p w:rsidR="00F23239" w:rsidRPr="003711D1" w:rsidRDefault="00D9224C" w:rsidP="00273FCA">
            <w:pPr>
              <w:pStyle w:val="RollCallTable"/>
            </w:pPr>
            <w:r>
              <w:t xml:space="preserve">Annika Bruna, Marie Dauchy, Tom </w:t>
            </w:r>
            <w:r>
              <w:t>Vandendriessche</w:t>
            </w:r>
          </w:p>
        </w:tc>
      </w:tr>
    </w:tbl>
    <w:p w:rsidR="00F23239" w:rsidRPr="003711D1" w:rsidRDefault="00F23239" w:rsidP="00F23239">
      <w:pPr>
        <w:pStyle w:val="Normal12a"/>
      </w:pPr>
    </w:p>
    <w:p w:rsidR="00F23239" w:rsidRPr="003711D1" w:rsidRDefault="00D9224C" w:rsidP="00F23239">
      <w:r>
        <w:t>Symbolforklaring:</w:t>
      </w:r>
    </w:p>
    <w:p w:rsidR="00F23239" w:rsidRPr="003711D1" w:rsidRDefault="00D9224C" w:rsidP="00F23239">
      <w:pPr>
        <w:pStyle w:val="RollCallTabs"/>
      </w:pPr>
      <w:r>
        <w:t>+</w:t>
      </w:r>
      <w:r>
        <w:tab/>
        <w:t>:</w:t>
      </w:r>
      <w:r>
        <w:tab/>
        <w:t>for</w:t>
      </w:r>
    </w:p>
    <w:p w:rsidR="00F23239" w:rsidRPr="003711D1" w:rsidRDefault="00D9224C" w:rsidP="00F23239">
      <w:pPr>
        <w:pStyle w:val="RollCallTabs"/>
      </w:pPr>
      <w:r>
        <w:t>-</w:t>
      </w:r>
      <w:r>
        <w:tab/>
        <w:t>:</w:t>
      </w:r>
      <w:r>
        <w:tab/>
        <w:t>imod</w:t>
      </w:r>
    </w:p>
    <w:p w:rsidR="00F23239" w:rsidRPr="003711D1" w:rsidRDefault="00D9224C" w:rsidP="00F23239">
      <w:pPr>
        <w:pStyle w:val="RollCallTabs"/>
      </w:pPr>
      <w:r>
        <w:t>0</w:t>
      </w:r>
      <w:r>
        <w:tab/>
        <w:t>:</w:t>
      </w:r>
      <w:r>
        <w:tab/>
        <w:t>hverken/eller</w:t>
      </w:r>
    </w:p>
    <w:p w:rsidR="00F23239" w:rsidRPr="003711D1" w:rsidRDefault="00F23239" w:rsidP="00F23239"/>
    <w:bookmarkEnd w:id="2"/>
    <w:p w:rsidR="00F23239" w:rsidRPr="003711D1" w:rsidRDefault="00F23239" w:rsidP="00F23239"/>
    <w:p w:rsidR="000F485F" w:rsidRPr="003711D1" w:rsidRDefault="000F485F" w:rsidP="00F23239">
      <w:pPr>
        <w:pStyle w:val="CoverReference"/>
      </w:pPr>
    </w:p>
    <w:sectPr w:rsidR="000F485F" w:rsidRPr="003711D1" w:rsidSect="003711D1">
      <w:headerReference w:type="even" r:id="rId14"/>
      <w:headerReference w:type="default" r:id="rId15"/>
      <w:headerReference w:type="first" r:id="rId16"/>
      <w:footerReference w:type="first" r:id="rId17"/>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9224C">
      <w:r>
        <w:separator/>
      </w:r>
    </w:p>
  </w:endnote>
  <w:endnote w:type="continuationSeparator" w:id="0">
    <w:p w:rsidR="00000000" w:rsidRDefault="00D92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1D1" w:rsidRDefault="00D9224C" w:rsidP="003711D1">
    <w:pPr>
      <w:pStyle w:val="EPFooter"/>
    </w:pPr>
    <w:r>
      <w:t>PE</w:t>
    </w:r>
    <w:r w:rsidRPr="003711D1">
      <w:rPr>
        <w:rStyle w:val="HideTWBExt"/>
      </w:rPr>
      <w:t>&lt;NoPE&gt;</w:t>
    </w:r>
    <w:r>
      <w:t>745.244</w:t>
    </w:r>
    <w:r w:rsidRPr="003711D1">
      <w:rPr>
        <w:rStyle w:val="HideTWBExt"/>
      </w:rPr>
      <w:t>&lt;/NoPE&gt;&lt;Version&gt;</w:t>
    </w:r>
    <w:r>
      <w:t>v02-00</w:t>
    </w:r>
    <w:r w:rsidRPr="003711D1">
      <w:rPr>
        <w:rStyle w:val="HideTWBExt"/>
      </w:rPr>
      <w:t>&lt;/Version&gt;</w:t>
    </w:r>
    <w:r>
      <w:tab/>
    </w:r>
    <w:r>
      <w:fldChar w:fldCharType="begin"/>
    </w:r>
    <w:r>
      <w:instrText xml:space="preserve"> PAGE  \* MERGEFORMAT </w:instrText>
    </w:r>
    <w:r>
      <w:fldChar w:fldCharType="separate"/>
    </w:r>
    <w:r>
      <w:rPr>
        <w:noProof/>
      </w:rPr>
      <w:t>42</w:t>
    </w:r>
    <w:r>
      <w:fldChar w:fldCharType="end"/>
    </w:r>
    <w:r>
      <w:t>/</w:t>
    </w:r>
    <w:r w:rsidR="00E91337">
      <w:fldChar w:fldCharType="begin"/>
    </w:r>
    <w:r>
      <w:instrText xml:space="preserve"> NUMPAGES  \* MERGEFORMAT </w:instrText>
    </w:r>
    <w:r w:rsidR="00E91337">
      <w:fldChar w:fldCharType="separate"/>
    </w:r>
    <w:r>
      <w:rPr>
        <w:noProof/>
      </w:rPr>
      <w:t>44</w:t>
    </w:r>
    <w:r w:rsidR="00E91337">
      <w:rPr>
        <w:noProof/>
      </w:rPr>
      <w:fldChar w:fldCharType="end"/>
    </w:r>
    <w:r>
      <w:tab/>
    </w:r>
    <w:r w:rsidRPr="003711D1">
      <w:rPr>
        <w:rStyle w:val="HideTWBExt"/>
      </w:rPr>
      <w:t>&lt;PathFdR&gt;</w:t>
    </w:r>
    <w:r>
      <w:t>AD\1279367EN.docx</w:t>
    </w:r>
    <w:r w:rsidRPr="003711D1">
      <w:rPr>
        <w:rStyle w:val="HideTWBExt"/>
      </w:rPr>
      <w:t>&lt;/PathFdR&gt;</w:t>
    </w:r>
  </w:p>
  <w:p w:rsidR="00F23239" w:rsidRPr="003711D1" w:rsidRDefault="00D9224C" w:rsidP="003711D1">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24C" w:rsidRDefault="00D9224C" w:rsidP="00D9224C">
    <w:pPr>
      <w:pStyle w:val="EPFooter"/>
    </w:pPr>
    <w:r w:rsidRPr="00D9224C">
      <w:rPr>
        <w:rStyle w:val="HideTWBExt"/>
      </w:rPr>
      <w:t>&lt;PathFdR&gt;</w:t>
    </w:r>
    <w:r>
      <w:t>AD\1279367DA.docx</w:t>
    </w:r>
    <w:r w:rsidRPr="00D9224C">
      <w:rPr>
        <w:rStyle w:val="HideTWBExt"/>
      </w:rPr>
      <w:t>&lt;/PathFdR&gt;</w:t>
    </w:r>
    <w:r>
      <w:tab/>
    </w:r>
    <w:r>
      <w:fldChar w:fldCharType="begin"/>
    </w:r>
    <w:r>
      <w:instrText xml:space="preserve"> PAGE  \* MERGEFORMAT </w:instrText>
    </w:r>
    <w:r>
      <w:fldChar w:fldCharType="separate"/>
    </w:r>
    <w:r>
      <w:rPr>
        <w:noProof/>
      </w:rPr>
      <w:t>43</w:t>
    </w:r>
    <w:r>
      <w:fldChar w:fldCharType="end"/>
    </w:r>
    <w:r>
      <w:t>/</w:t>
    </w:r>
    <w:fldSimple w:instr=" NUMPAGES  \* MERGEFORMAT ">
      <w:r>
        <w:rPr>
          <w:noProof/>
        </w:rPr>
        <w:t>44</w:t>
      </w:r>
    </w:fldSimple>
    <w:r>
      <w:tab/>
      <w:t>PE</w:t>
    </w:r>
    <w:r w:rsidRPr="00D9224C">
      <w:rPr>
        <w:rStyle w:val="HideTWBExt"/>
      </w:rPr>
      <w:t>&lt;NoPE&gt;</w:t>
    </w:r>
    <w:r>
      <w:t>745.244</w:t>
    </w:r>
    <w:r w:rsidRPr="00D9224C">
      <w:rPr>
        <w:rStyle w:val="HideTWBExt"/>
      </w:rPr>
      <w:t>&lt;/NoPE&gt;&lt;Version&gt;</w:t>
    </w:r>
    <w:r>
      <w:t>v02-00</w:t>
    </w:r>
    <w:r w:rsidRPr="00D9224C">
      <w:rPr>
        <w:rStyle w:val="HideTWBExt"/>
      </w:rPr>
      <w:t>&lt;/Version&gt;</w:t>
    </w:r>
  </w:p>
  <w:p w:rsidR="00F23239" w:rsidRPr="003711D1" w:rsidRDefault="00D9224C" w:rsidP="00D9224C">
    <w:pPr>
      <w:pStyle w:val="EPFooter2"/>
    </w:pPr>
    <w:r>
      <w:tab/>
    </w:r>
    <w:r>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24C" w:rsidRDefault="00D9224C" w:rsidP="00D9224C">
    <w:pPr>
      <w:pStyle w:val="EPFooter"/>
    </w:pPr>
    <w:r w:rsidRPr="00D9224C">
      <w:rPr>
        <w:rStyle w:val="HideTWBExt"/>
      </w:rPr>
      <w:t>&lt;PathFdR&gt;</w:t>
    </w:r>
    <w:r>
      <w:t>AD\1279367DA.docx</w:t>
    </w:r>
    <w:r w:rsidRPr="00D9224C">
      <w:rPr>
        <w:rStyle w:val="HideTWBExt"/>
      </w:rPr>
      <w:t>&lt;/PathFdR&gt;</w:t>
    </w:r>
    <w:r>
      <w:tab/>
    </w:r>
    <w:r>
      <w:tab/>
      <w:t>PE</w:t>
    </w:r>
    <w:r w:rsidRPr="00D9224C">
      <w:rPr>
        <w:rStyle w:val="HideTWBExt"/>
      </w:rPr>
      <w:t>&lt;NoPE&gt;</w:t>
    </w:r>
    <w:r>
      <w:t>745.244</w:t>
    </w:r>
    <w:r w:rsidRPr="00D9224C">
      <w:rPr>
        <w:rStyle w:val="HideTWBExt"/>
      </w:rPr>
      <w:t>&lt;/NoPE&gt;&lt;Version&gt;</w:t>
    </w:r>
    <w:r>
      <w:t>v02-00</w:t>
    </w:r>
    <w:r w:rsidRPr="00D9224C">
      <w:rPr>
        <w:rStyle w:val="HideTWBExt"/>
      </w:rPr>
      <w:t>&lt;/Version&gt;</w:t>
    </w:r>
  </w:p>
  <w:p w:rsidR="00F23239" w:rsidRPr="003711D1" w:rsidRDefault="00D9224C" w:rsidP="00D9224C">
    <w:pPr>
      <w:pStyle w:val="EPFooter2"/>
    </w:pPr>
    <w:r>
      <w:t>DA</w:t>
    </w:r>
    <w:r>
      <w:tab/>
    </w:r>
    <w:r w:rsidRPr="00D9224C">
      <w:rPr>
        <w:b w:val="0"/>
        <w:i/>
        <w:color w:val="C0C0C0"/>
        <w:sz w:val="22"/>
      </w:rPr>
      <w:t>Forenet i mangfoldighed</w:t>
    </w:r>
    <w:r>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F7B" w:rsidRPr="00D43F7B" w:rsidRDefault="00D9224C" w:rsidP="00D43F7B">
    <w:pPr>
      <w:pStyle w:val="EPFooter"/>
    </w:pPr>
    <w:r w:rsidRPr="00D43F7B">
      <w:rPr>
        <w:rStyle w:val="HideTWBExt"/>
      </w:rPr>
      <w:t>&lt;PathFdR&gt;</w:t>
    </w:r>
    <w:r w:rsidRPr="00D43F7B">
      <w:t>AD\1279367EN.docx</w:t>
    </w:r>
    <w:r w:rsidRPr="00D43F7B">
      <w:rPr>
        <w:rStyle w:val="HideTWBExt"/>
      </w:rPr>
      <w:t>&lt;/PathFdR&gt;</w:t>
    </w:r>
    <w:r w:rsidRPr="00D43F7B">
      <w:tab/>
    </w:r>
    <w:r w:rsidRPr="00D43F7B">
      <w:tab/>
      <w:t>PE</w:t>
    </w:r>
    <w:r w:rsidRPr="00D43F7B">
      <w:rPr>
        <w:rStyle w:val="HideTWBExt"/>
      </w:rPr>
      <w:t>&lt;NoPE&gt;</w:t>
    </w:r>
    <w:r w:rsidRPr="00D43F7B">
      <w:t>745.244</w:t>
    </w:r>
    <w:r w:rsidRPr="00D43F7B">
      <w:rPr>
        <w:rStyle w:val="HideTWBExt"/>
      </w:rPr>
      <w:t>&lt;/NoPE&gt;&lt;Version&gt;</w:t>
    </w:r>
    <w:r w:rsidRPr="00D43F7B">
      <w:t>v02-00</w:t>
    </w:r>
    <w:r w:rsidRPr="00D43F7B">
      <w:rPr>
        <w:rStyle w:val="HideTWBExt"/>
      </w:rPr>
      <w:t>&lt;/Version&gt;</w:t>
    </w:r>
  </w:p>
  <w:p w:rsidR="00074DA2" w:rsidRPr="00D43F7B" w:rsidRDefault="00D9224C" w:rsidP="00D43F7B">
    <w:pPr>
      <w:pStyle w:val="EPFooter2"/>
    </w:pPr>
    <w:r w:rsidRPr="00D43F7B">
      <w:t>EN</w:t>
    </w:r>
    <w:r w:rsidRPr="00D43F7B">
      <w:tab/>
    </w:r>
    <w:r w:rsidRPr="00D43F7B">
      <w:rPr>
        <w:b w:val="0"/>
        <w:i/>
        <w:color w:val="C0C0C0"/>
        <w:sz w:val="22"/>
      </w:rPr>
      <w:t>United in diversity</w:t>
    </w:r>
    <w:r w:rsidRPr="00D43F7B">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9224C">
      <w:r>
        <w:separator/>
      </w:r>
    </w:p>
  </w:footnote>
  <w:footnote w:type="continuationSeparator" w:id="0">
    <w:p w:rsidR="00000000" w:rsidRDefault="00D92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239" w:rsidRPr="003711D1" w:rsidRDefault="00F23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239" w:rsidRPr="003711D1" w:rsidRDefault="00F232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239" w:rsidRPr="003711D1" w:rsidRDefault="00F232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F7B" w:rsidRPr="00D43F7B" w:rsidRDefault="00D43F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F7B" w:rsidRPr="00D43F7B" w:rsidRDefault="00D43F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F7B" w:rsidRPr="00D43F7B" w:rsidRDefault="00D43F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538D7"/>
    <w:multiLevelType w:val="hybridMultilevel"/>
    <w:tmpl w:val="B4A836B6"/>
    <w:lvl w:ilvl="0" w:tplc="2E6A287C">
      <w:start w:val="1"/>
      <w:numFmt w:val="bullet"/>
      <w:pStyle w:val="Normal12aBullet1"/>
      <w:lvlText w:val=""/>
      <w:lvlJc w:val="left"/>
      <w:pPr>
        <w:ind w:left="720" w:hanging="360"/>
      </w:pPr>
      <w:rPr>
        <w:rFonts w:ascii="Symbol" w:hAnsi="Symbol" w:hint="default"/>
      </w:rPr>
    </w:lvl>
    <w:lvl w:ilvl="1" w:tplc="942E4286" w:tentative="1">
      <w:start w:val="1"/>
      <w:numFmt w:val="bullet"/>
      <w:lvlText w:val="o"/>
      <w:lvlJc w:val="left"/>
      <w:pPr>
        <w:ind w:left="1440" w:hanging="360"/>
      </w:pPr>
      <w:rPr>
        <w:rFonts w:ascii="Courier New" w:hAnsi="Courier New" w:cs="Courier New" w:hint="default"/>
      </w:rPr>
    </w:lvl>
    <w:lvl w:ilvl="2" w:tplc="82E63B10" w:tentative="1">
      <w:start w:val="1"/>
      <w:numFmt w:val="bullet"/>
      <w:lvlText w:val=""/>
      <w:lvlJc w:val="left"/>
      <w:pPr>
        <w:ind w:left="2160" w:hanging="360"/>
      </w:pPr>
      <w:rPr>
        <w:rFonts w:ascii="Wingdings" w:hAnsi="Wingdings" w:hint="default"/>
      </w:rPr>
    </w:lvl>
    <w:lvl w:ilvl="3" w:tplc="425C50F2" w:tentative="1">
      <w:start w:val="1"/>
      <w:numFmt w:val="bullet"/>
      <w:lvlText w:val=""/>
      <w:lvlJc w:val="left"/>
      <w:pPr>
        <w:ind w:left="2880" w:hanging="360"/>
      </w:pPr>
      <w:rPr>
        <w:rFonts w:ascii="Symbol" w:hAnsi="Symbol" w:hint="default"/>
      </w:rPr>
    </w:lvl>
    <w:lvl w:ilvl="4" w:tplc="A75AC2B2" w:tentative="1">
      <w:start w:val="1"/>
      <w:numFmt w:val="bullet"/>
      <w:lvlText w:val="o"/>
      <w:lvlJc w:val="left"/>
      <w:pPr>
        <w:ind w:left="3600" w:hanging="360"/>
      </w:pPr>
      <w:rPr>
        <w:rFonts w:ascii="Courier New" w:hAnsi="Courier New" w:cs="Courier New" w:hint="default"/>
      </w:rPr>
    </w:lvl>
    <w:lvl w:ilvl="5" w:tplc="B194220E" w:tentative="1">
      <w:start w:val="1"/>
      <w:numFmt w:val="bullet"/>
      <w:lvlText w:val=""/>
      <w:lvlJc w:val="left"/>
      <w:pPr>
        <w:ind w:left="4320" w:hanging="360"/>
      </w:pPr>
      <w:rPr>
        <w:rFonts w:ascii="Wingdings" w:hAnsi="Wingdings" w:hint="default"/>
      </w:rPr>
    </w:lvl>
    <w:lvl w:ilvl="6" w:tplc="BF281618" w:tentative="1">
      <w:start w:val="1"/>
      <w:numFmt w:val="bullet"/>
      <w:lvlText w:val=""/>
      <w:lvlJc w:val="left"/>
      <w:pPr>
        <w:ind w:left="5040" w:hanging="360"/>
      </w:pPr>
      <w:rPr>
        <w:rFonts w:ascii="Symbol" w:hAnsi="Symbol" w:hint="default"/>
      </w:rPr>
    </w:lvl>
    <w:lvl w:ilvl="7" w:tplc="FE3CDEC6" w:tentative="1">
      <w:start w:val="1"/>
      <w:numFmt w:val="bullet"/>
      <w:lvlText w:val="o"/>
      <w:lvlJc w:val="left"/>
      <w:pPr>
        <w:ind w:left="5760" w:hanging="360"/>
      </w:pPr>
      <w:rPr>
        <w:rFonts w:ascii="Courier New" w:hAnsi="Courier New" w:cs="Courier New" w:hint="default"/>
      </w:rPr>
    </w:lvl>
    <w:lvl w:ilvl="8" w:tplc="FECC65A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LastEditedSection" w:val=" 3"/>
    <w:docVar w:name="strDocTypeID" w:val="PA_Legam"/>
    <w:docVar w:name="strSubDir" w:val="1279"/>
    <w:docVar w:name="TXTLANGUE" w:val="EN"/>
    <w:docVar w:name="TXTLANGUEMIN" w:val="en"/>
    <w:docVar w:name="TXTNRPE" w:val="745.244"/>
    <w:docVar w:name="TXTPEorAP" w:val="PE"/>
    <w:docVar w:name="TXTROUTE" w:val="AD\1279367EN.docx"/>
    <w:docVar w:name="TXTVERSION" w:val="02-00"/>
  </w:docVars>
  <w:rsids>
    <w:rsidRoot w:val="00A77B3E"/>
    <w:rsid w:val="00074DA2"/>
    <w:rsid w:val="00096769"/>
    <w:rsid w:val="000B3FC1"/>
    <w:rsid w:val="000D7265"/>
    <w:rsid w:val="000F485F"/>
    <w:rsid w:val="0014359D"/>
    <w:rsid w:val="001C375C"/>
    <w:rsid w:val="002434FE"/>
    <w:rsid w:val="00273FCA"/>
    <w:rsid w:val="002754B0"/>
    <w:rsid w:val="00350676"/>
    <w:rsid w:val="003711D1"/>
    <w:rsid w:val="00390924"/>
    <w:rsid w:val="004D08EB"/>
    <w:rsid w:val="00546851"/>
    <w:rsid w:val="00567247"/>
    <w:rsid w:val="005A64B4"/>
    <w:rsid w:val="006200D4"/>
    <w:rsid w:val="007D6F07"/>
    <w:rsid w:val="008079EE"/>
    <w:rsid w:val="0087410D"/>
    <w:rsid w:val="008A630C"/>
    <w:rsid w:val="008D6F4F"/>
    <w:rsid w:val="0090482B"/>
    <w:rsid w:val="00996698"/>
    <w:rsid w:val="00A2161E"/>
    <w:rsid w:val="00A64467"/>
    <w:rsid w:val="00A77B3E"/>
    <w:rsid w:val="00AE5530"/>
    <w:rsid w:val="00C10F38"/>
    <w:rsid w:val="00C914DF"/>
    <w:rsid w:val="00CA2A55"/>
    <w:rsid w:val="00CB1A9F"/>
    <w:rsid w:val="00D12096"/>
    <w:rsid w:val="00D17982"/>
    <w:rsid w:val="00D43F7B"/>
    <w:rsid w:val="00D857C1"/>
    <w:rsid w:val="00D9224C"/>
    <w:rsid w:val="00E277DD"/>
    <w:rsid w:val="00E8330C"/>
    <w:rsid w:val="00E91337"/>
    <w:rsid w:val="00EB7FCD"/>
    <w:rsid w:val="00EF0079"/>
    <w:rsid w:val="00EF4873"/>
    <w:rsid w:val="00F23239"/>
    <w:rsid w:val="00F6571A"/>
    <w:rsid w:val="00F965EE"/>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187DD9D-DC6E-49E7-9FF3-61457E6EB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character" w:customStyle="1" w:styleId="HeaderChar">
    <w:name w:val="Header Char"/>
    <w:basedOn w:val="DefaultParagraphFont"/>
    <w:link w:val="Header"/>
    <w:semiHidden/>
    <w:rsid w:val="00B44AFC"/>
    <w:rPr>
      <w:sz w:val="24"/>
    </w:r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link w:val="NormalBoldChar"/>
    <w:rsid w:val="008B277F"/>
    <w:rPr>
      <w:b/>
    </w:rPr>
  </w:style>
  <w:style w:type="character" w:customStyle="1" w:styleId="NormalBoldChar">
    <w:name w:val="NormalBold Char"/>
    <w:basedOn w:val="DefaultParagraphFont"/>
    <w:link w:val="NormalBold"/>
    <w:rsid w:val="00EF4873"/>
    <w:rPr>
      <w:b/>
      <w:sz w:val="24"/>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styleId="Footer">
    <w:name w:val="footer"/>
    <w:basedOn w:val="Normal"/>
    <w:link w:val="FooterChar"/>
    <w:unhideWhenUsed/>
    <w:rsid w:val="006200D4"/>
    <w:pPr>
      <w:tabs>
        <w:tab w:val="center" w:pos="4513"/>
        <w:tab w:val="right" w:pos="9026"/>
      </w:tabs>
    </w:pPr>
  </w:style>
  <w:style w:type="character" w:customStyle="1" w:styleId="FooterChar">
    <w:name w:val="Footer Char"/>
    <w:basedOn w:val="DefaultParagraphFont"/>
    <w:link w:val="Footer"/>
    <w:semiHidden/>
    <w:rsid w:val="006200D4"/>
    <w:rPr>
      <w:sz w:val="24"/>
    </w:rPr>
  </w:style>
  <w:style w:type="paragraph" w:styleId="BalloonText">
    <w:name w:val="Balloon Text"/>
    <w:basedOn w:val="Normal"/>
    <w:link w:val="BalloonTextChar"/>
    <w:semiHidden/>
    <w:unhideWhenUsed/>
    <w:rsid w:val="00F6571A"/>
    <w:rPr>
      <w:rFonts w:ascii="Segoe UI" w:hAnsi="Segoe UI" w:cs="Segoe UI"/>
      <w:sz w:val="18"/>
      <w:szCs w:val="18"/>
    </w:rPr>
  </w:style>
  <w:style w:type="character" w:customStyle="1" w:styleId="BalloonTextChar">
    <w:name w:val="Balloon Text Char"/>
    <w:basedOn w:val="DefaultParagraphFont"/>
    <w:link w:val="BalloonText"/>
    <w:semiHidden/>
    <w:rsid w:val="00F6571A"/>
    <w:rPr>
      <w:rFonts w:ascii="Segoe UI" w:hAnsi="Segoe UI" w:cs="Segoe UI"/>
      <w:sz w:val="18"/>
      <w:szCs w:val="18"/>
    </w:rPr>
  </w:style>
  <w:style w:type="character" w:styleId="CommentReference">
    <w:name w:val="annotation reference"/>
    <w:basedOn w:val="DefaultParagraphFont"/>
    <w:semiHidden/>
    <w:unhideWhenUsed/>
    <w:rsid w:val="00390924"/>
    <w:rPr>
      <w:sz w:val="16"/>
      <w:szCs w:val="16"/>
    </w:rPr>
  </w:style>
  <w:style w:type="paragraph" w:styleId="CommentText">
    <w:name w:val="annotation text"/>
    <w:basedOn w:val="Normal"/>
    <w:link w:val="CommentTextChar"/>
    <w:semiHidden/>
    <w:unhideWhenUsed/>
    <w:rsid w:val="00390924"/>
    <w:rPr>
      <w:sz w:val="20"/>
    </w:rPr>
  </w:style>
  <w:style w:type="character" w:customStyle="1" w:styleId="CommentTextChar">
    <w:name w:val="Comment Text Char"/>
    <w:basedOn w:val="DefaultParagraphFont"/>
    <w:link w:val="CommentText"/>
    <w:semiHidden/>
    <w:rsid w:val="00390924"/>
  </w:style>
  <w:style w:type="paragraph" w:styleId="CommentSubject">
    <w:name w:val="annotation subject"/>
    <w:basedOn w:val="CommentText"/>
    <w:next w:val="CommentText"/>
    <w:link w:val="CommentSubjectChar"/>
    <w:semiHidden/>
    <w:unhideWhenUsed/>
    <w:rsid w:val="00390924"/>
    <w:rPr>
      <w:b/>
      <w:bCs/>
    </w:rPr>
  </w:style>
  <w:style w:type="character" w:customStyle="1" w:styleId="CommentSubjectChar">
    <w:name w:val="Comment Subject Char"/>
    <w:basedOn w:val="CommentTextChar"/>
    <w:link w:val="CommentSubject"/>
    <w:semiHidden/>
    <w:rsid w:val="00390924"/>
    <w:rPr>
      <w:b/>
      <w:bCs/>
    </w:rPr>
  </w:style>
  <w:style w:type="paragraph" w:styleId="Revision">
    <w:name w:val="Revision"/>
    <w:hidden/>
    <w:uiPriority w:val="99"/>
    <w:semiHidden/>
    <w:rsid w:val="000B3FC1"/>
    <w:rPr>
      <w:sz w:val="24"/>
    </w:rPr>
  </w:style>
  <w:style w:type="paragraph" w:customStyle="1" w:styleId="RollCallSymbols14pt">
    <w:name w:val="RollCallSymbols14pt"/>
    <w:basedOn w:val="Normal"/>
    <w:rsid w:val="00D1209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12096"/>
    <w:pPr>
      <w:tabs>
        <w:tab w:val="center" w:pos="284"/>
        <w:tab w:val="left" w:pos="426"/>
      </w:tabs>
    </w:pPr>
    <w:rPr>
      <w:snapToGrid w:val="0"/>
      <w:lang w:eastAsia="en-US"/>
    </w:rPr>
  </w:style>
  <w:style w:type="paragraph" w:customStyle="1" w:styleId="RollCallVotes">
    <w:name w:val="RollCallVotes"/>
    <w:basedOn w:val="Normal"/>
    <w:rsid w:val="00D12096"/>
    <w:pPr>
      <w:spacing w:before="120" w:after="120"/>
      <w:jc w:val="center"/>
    </w:pPr>
    <w:rPr>
      <w:b/>
      <w:bCs/>
      <w:snapToGrid w:val="0"/>
      <w:sz w:val="16"/>
      <w:lang w:eastAsia="en-US"/>
    </w:rPr>
  </w:style>
  <w:style w:type="paragraph" w:customStyle="1" w:styleId="RollCallTable">
    <w:name w:val="RollCallTable"/>
    <w:basedOn w:val="Normal"/>
    <w:rsid w:val="00D12096"/>
    <w:pPr>
      <w:spacing w:before="120" w:after="120"/>
    </w:pPr>
    <w:rPr>
      <w:snapToGrid w:val="0"/>
      <w:sz w:val="16"/>
      <w:lang w:eastAsia="en-US"/>
    </w:rPr>
  </w:style>
  <w:style w:type="paragraph" w:customStyle="1" w:styleId="EntPE">
    <w:name w:val="EntPE"/>
    <w:basedOn w:val="Normal12"/>
    <w:rsid w:val="00EF4873"/>
    <w:pPr>
      <w:jc w:val="center"/>
    </w:pPr>
    <w:rPr>
      <w:noProof w:val="0"/>
      <w:sz w:val="56"/>
    </w:rPr>
  </w:style>
  <w:style w:type="paragraph" w:customStyle="1" w:styleId="Normal12">
    <w:name w:val="Normal12"/>
    <w:basedOn w:val="Normal"/>
    <w:link w:val="Normal12Char"/>
    <w:rsid w:val="00EF4873"/>
    <w:pPr>
      <w:spacing w:after="240"/>
    </w:pPr>
    <w:rPr>
      <w:noProof/>
    </w:rPr>
  </w:style>
  <w:style w:type="character" w:customStyle="1" w:styleId="Normal12Char">
    <w:name w:val="Normal12 Char"/>
    <w:basedOn w:val="DefaultParagraphFont"/>
    <w:link w:val="Normal12"/>
    <w:locked/>
    <w:rsid w:val="00EF4873"/>
    <w:rPr>
      <w:noProof/>
      <w:sz w:val="24"/>
    </w:rPr>
  </w:style>
  <w:style w:type="paragraph" w:customStyle="1" w:styleId="Normal6">
    <w:name w:val="Normal6"/>
    <w:basedOn w:val="Normal"/>
    <w:link w:val="Normal6Char"/>
    <w:rsid w:val="00EF4873"/>
    <w:pPr>
      <w:spacing w:after="120"/>
    </w:pPr>
  </w:style>
  <w:style w:type="character" w:customStyle="1" w:styleId="Normal6Char">
    <w:name w:val="Normal6 Char"/>
    <w:basedOn w:val="DefaultParagraphFont"/>
    <w:link w:val="Normal6"/>
    <w:rsid w:val="00EF4873"/>
    <w:rPr>
      <w:sz w:val="24"/>
      <w:lang w:val="da-DK"/>
    </w:rPr>
  </w:style>
  <w:style w:type="paragraph" w:customStyle="1" w:styleId="Normal12Italic">
    <w:name w:val="Normal12Italic"/>
    <w:basedOn w:val="Normal12"/>
    <w:rsid w:val="00EF4873"/>
    <w:rPr>
      <w:i/>
    </w:rPr>
  </w:style>
  <w:style w:type="paragraph" w:customStyle="1" w:styleId="Footer2">
    <w:name w:val="Footer2"/>
    <w:basedOn w:val="Normal12"/>
    <w:rsid w:val="00EF4873"/>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EF48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F4873"/>
    <w:pPr>
      <w:spacing w:after="240"/>
      <w:jc w:val="center"/>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10054</Words>
  <Characters>65016</Characters>
  <Application>Microsoft Office Word</Application>
  <DocSecurity>0</DocSecurity>
  <Lines>2370</Lines>
  <Paragraphs>611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2023-06-26T10:11:00Z</dcterms:created>
  <dcterms:modified xsi:type="dcterms:W3CDTF">2023-06-26T10:11:00Z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1279367</vt:lpwstr>
  </property>
  <property fmtid="{D5CDD505-2E9C-101B-9397-08002B2CF9AE}" pid="4" name="&lt;Model&gt;">
    <vt:lpwstr>PA_Legam</vt:lpwstr>
  </property>
  <property fmtid="{D5CDD505-2E9C-101B-9397-08002B2CF9AE}" pid="5" name="&lt;Type&gt;">
    <vt:lpwstr>AD</vt:lpwstr>
  </property>
  <property fmtid="{D5CDD505-2E9C-101B-9397-08002B2CF9AE}" pid="6" name="DMXMLUID">
    <vt:lpwstr>20230307-130603-001252-482350</vt:lpwstr>
  </property>
  <property fmtid="{D5CDD505-2E9C-101B-9397-08002B2CF9AE}" pid="7" name="FooterPath">
    <vt:lpwstr>AD\1279367EN.docx</vt:lpwstr>
  </property>
  <property fmtid="{D5CDD505-2E9C-101B-9397-08002B2CF9AE}" pid="8" name="LastEdited with">
    <vt:lpwstr>9.14.1 Build [20230315]</vt:lpwstr>
  </property>
  <property fmtid="{D5CDD505-2E9C-101B-9397-08002B2CF9AE}" pid="9" name="PE Number">
    <vt:lpwstr>745.244</vt:lpwstr>
  </property>
  <property fmtid="{D5CDD505-2E9C-101B-9397-08002B2CF9AE}" pid="10" name="SDLStudio">
    <vt:lpwstr/>
  </property>
  <property fmtid="{D5CDD505-2E9C-101B-9397-08002B2CF9AE}" pid="11" name="SendToEpades">
    <vt:lpwstr>OK(AMNUM) - 2023/05/24 16:20</vt:lpwstr>
  </property>
  <property fmtid="{D5CDD505-2E9C-101B-9397-08002B2CF9AE}" pid="12" name="UID">
    <vt:lpwstr>eu.europa.europarl-DIN1-2023-0000026269_01.00-en-01.00_text-xml</vt:lpwstr>
  </property>
  <property fmtid="{D5CDD505-2E9C-101B-9397-08002B2CF9AE}" pid="13" name="Bookout">
    <vt:lpwstr>OK - 2023/06/26 12:11</vt:lpwstr>
  </property>
</Properties>
</file>