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4700" w:rsidTr="00C85D0F">
        <w:trPr>
          <w:trHeight w:hRule="exact" w:val="1418"/>
        </w:trPr>
        <w:tc>
          <w:tcPr>
            <w:tcW w:w="6804" w:type="dxa"/>
            <w:shd w:val="clear" w:color="auto" w:fill="auto"/>
            <w:vAlign w:val="center"/>
          </w:tcPr>
          <w:p w:rsidR="00BA3E40" w:rsidRPr="005512C9" w:rsidRDefault="00A41B8A" w:rsidP="00C85D0F">
            <w:pPr>
              <w:pStyle w:val="EPName"/>
            </w:pPr>
            <w:r>
              <w:t>Europees Parlement</w:t>
            </w:r>
          </w:p>
          <w:p w:rsidR="00BA3E40" w:rsidRPr="005512C9" w:rsidRDefault="00A41B8A" w:rsidP="008D41A4">
            <w:pPr>
              <w:pStyle w:val="EPTerm"/>
            </w:pPr>
            <w:r>
              <w:t>2019-2024</w:t>
            </w:r>
          </w:p>
        </w:tc>
        <w:tc>
          <w:tcPr>
            <w:tcW w:w="2268" w:type="dxa"/>
            <w:shd w:val="clear" w:color="auto" w:fill="auto"/>
          </w:tcPr>
          <w:p w:rsidR="00BA3E40" w:rsidRPr="005512C9" w:rsidRDefault="00A41B8A" w:rsidP="00C85D0F">
            <w:pPr>
              <w:pStyle w:val="EPLogo"/>
            </w:pPr>
            <w:r w:rsidRPr="005512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512C9" w:rsidRDefault="00F24D40" w:rsidP="00F24D40">
      <w:pPr>
        <w:pStyle w:val="LineTop"/>
      </w:pPr>
    </w:p>
    <w:p w:rsidR="00F24D40" w:rsidRPr="005512C9" w:rsidRDefault="00A41B8A" w:rsidP="00F24D40">
      <w:pPr>
        <w:pStyle w:val="EPBody"/>
      </w:pPr>
      <w:r>
        <w:rPr>
          <w:rStyle w:val="HideTWBExt"/>
        </w:rPr>
        <w:t>&lt;</w:t>
      </w:r>
      <w:r>
        <w:rPr>
          <w:rStyle w:val="HideTWBExt"/>
          <w:i w:val="0"/>
        </w:rPr>
        <w:t>Commission</w:t>
      </w:r>
      <w:r>
        <w:rPr>
          <w:rStyle w:val="HideTWBExt"/>
        </w:rPr>
        <w:t>&gt;</w:t>
      </w:r>
      <w:r>
        <w:rPr>
          <w:rStyle w:val="HideTWBInt"/>
          <w:color w:val="auto"/>
        </w:rPr>
        <w:t>{LIBE}</w:t>
      </w:r>
      <w:r>
        <w:t>Commissie burgerlijke vrijheden, justitie en binnenlandse zaken</w:t>
      </w:r>
      <w:r>
        <w:rPr>
          <w:rStyle w:val="HideTWBExt"/>
        </w:rPr>
        <w:t>&lt;/</w:t>
      </w:r>
      <w:r>
        <w:rPr>
          <w:rStyle w:val="HideTWBExt"/>
          <w:i w:val="0"/>
        </w:rPr>
        <w:t>Commission</w:t>
      </w:r>
      <w:r>
        <w:rPr>
          <w:rStyle w:val="HideTWBExt"/>
        </w:rPr>
        <w:t>&gt;</w:t>
      </w:r>
    </w:p>
    <w:p w:rsidR="00F24D40" w:rsidRPr="005512C9" w:rsidRDefault="00F24D40" w:rsidP="00F24D40">
      <w:pPr>
        <w:pStyle w:val="LineBottom"/>
      </w:pPr>
    </w:p>
    <w:p w:rsidR="00DB56E4" w:rsidRPr="005512C9" w:rsidRDefault="00A41B8A" w:rsidP="00DB56E4">
      <w:pPr>
        <w:pStyle w:val="CoverReference"/>
      </w:pPr>
      <w:r>
        <w:rPr>
          <w:rStyle w:val="HideTWBExt"/>
          <w:b w:val="0"/>
        </w:rPr>
        <w:t>&lt;RefProc&gt;</w:t>
      </w:r>
      <w:r>
        <w:t>2023/0008</w:t>
      </w:r>
      <w:r>
        <w:rPr>
          <w:rStyle w:val="HideTWBExt"/>
          <w:b w:val="0"/>
        </w:rPr>
        <w:t>&lt;/RefProc&gt;&lt;RefTypeProc&gt;</w:t>
      </w:r>
      <w:r>
        <w:t>(COD)</w:t>
      </w:r>
      <w:r>
        <w:rPr>
          <w:rStyle w:val="HideTWBExt"/>
          <w:b w:val="0"/>
        </w:rPr>
        <w:t>&lt;/RefTypeProc&gt;</w:t>
      </w:r>
    </w:p>
    <w:p w:rsidR="00DB56E4" w:rsidRPr="005512C9" w:rsidRDefault="00A41B8A" w:rsidP="00DB56E4">
      <w:pPr>
        <w:pStyle w:val="CoverDate"/>
      </w:pPr>
      <w:r>
        <w:rPr>
          <w:rStyle w:val="HideTWBExt"/>
        </w:rPr>
        <w:t>&lt;Date&gt;</w:t>
      </w:r>
      <w:r>
        <w:rPr>
          <w:rStyle w:val="HideTWBInt"/>
          <w:color w:val="auto"/>
        </w:rPr>
        <w:t>{19/07/2023}</w:t>
      </w:r>
      <w:r>
        <w:t>19.7.2023</w:t>
      </w:r>
      <w:r>
        <w:rPr>
          <w:rStyle w:val="HideTWBExt"/>
        </w:rPr>
        <w:t>&lt;/Date&gt;</w:t>
      </w:r>
    </w:p>
    <w:p w:rsidR="00DB56E4" w:rsidRPr="005512C9" w:rsidRDefault="00A41B8A" w:rsidP="00DB56E4">
      <w:pPr>
        <w:pStyle w:val="CoverDocType24a"/>
      </w:pPr>
      <w:r>
        <w:rPr>
          <w:rStyle w:val="HideTWBExt"/>
          <w:b w:val="0"/>
        </w:rPr>
        <w:t>&lt;TitreType&gt;</w:t>
      </w:r>
      <w:r>
        <w:t>ADVIES</w:t>
      </w:r>
      <w:r>
        <w:rPr>
          <w:rStyle w:val="HideTWBExt"/>
          <w:b w:val="0"/>
        </w:rPr>
        <w:t>&lt;/TitreType&gt;</w:t>
      </w:r>
    </w:p>
    <w:p w:rsidR="00DB56E4" w:rsidRPr="005512C9" w:rsidRDefault="00A41B8A" w:rsidP="00DB56E4">
      <w:pPr>
        <w:pStyle w:val="CoverNormal24a"/>
      </w:pPr>
      <w:r>
        <w:rPr>
          <w:rStyle w:val="HideTWBExt"/>
        </w:rPr>
        <w:t>&lt;CommissionResp&gt;</w:t>
      </w:r>
      <w:r>
        <w:t>van de Commissie burgerlijke vrijheden, justitie en binnenlandse zaken</w:t>
      </w:r>
      <w:r>
        <w:rPr>
          <w:rStyle w:val="HideTWBExt"/>
        </w:rPr>
        <w:t>&lt;/CommissionResp&gt;</w:t>
      </w:r>
    </w:p>
    <w:p w:rsidR="00DB56E4" w:rsidRPr="005512C9" w:rsidRDefault="00A41B8A" w:rsidP="00DB56E4">
      <w:pPr>
        <w:pStyle w:val="CoverNormal24a"/>
      </w:pPr>
      <w:r>
        <w:rPr>
          <w:rStyle w:val="HideTWBExt"/>
        </w:rPr>
        <w:t>&lt;CommissionInt&gt;</w:t>
      </w:r>
      <w:r>
        <w:t>aan de Commissie werkgelegenheid en sociale zaken</w:t>
      </w:r>
      <w:r>
        <w:rPr>
          <w:rStyle w:val="HideTWBExt"/>
        </w:rPr>
        <w:t>&lt;/CommissionInt&gt;</w:t>
      </w:r>
    </w:p>
    <w:p w:rsidR="00DB56E4" w:rsidRPr="005512C9" w:rsidRDefault="00A41B8A" w:rsidP="00DB56E4">
      <w:pPr>
        <w:pStyle w:val="CoverNormal"/>
      </w:pPr>
      <w:r>
        <w:rPr>
          <w:rStyle w:val="HideTWBExt"/>
        </w:rPr>
        <w:t>&lt;Titre&gt;</w:t>
      </w:r>
      <w:r>
        <w:t>inzake het voorstel voor een verordening van het Europees Parlem</w:t>
      </w:r>
      <w:r>
        <w:t>ent en de Raad betreffende Europese statistieken over bevolking en huisvesting, tot wijziging van Verordening (EG) nr. 862/2007 en tot intrekking van de Verordeningen (EG) nr. 763/2008 en (EU) nr. 1260/2013</w:t>
      </w:r>
      <w:r>
        <w:rPr>
          <w:rStyle w:val="HideTWBExt"/>
        </w:rPr>
        <w:t>&lt;/Titre&gt;</w:t>
      </w:r>
    </w:p>
    <w:p w:rsidR="00DB56E4" w:rsidRPr="005512C9" w:rsidRDefault="00A41B8A" w:rsidP="00DB56E4">
      <w:pPr>
        <w:pStyle w:val="CoverNormal24a"/>
      </w:pPr>
      <w:r>
        <w:rPr>
          <w:rStyle w:val="HideTWBExt"/>
        </w:rPr>
        <w:t>&lt;DocRef&gt;</w:t>
      </w:r>
      <w:r>
        <w:t>(COM(2023)0031 – C9</w:t>
      </w:r>
      <w:r>
        <w:noBreakHyphen/>
        <w:t xml:space="preserve">0010/2023 – </w:t>
      </w:r>
      <w:r>
        <w:t>2023/0008(COD))</w:t>
      </w:r>
      <w:r>
        <w:rPr>
          <w:rStyle w:val="HideTWBExt"/>
        </w:rPr>
        <w:t>&lt;/DocRef&gt;</w:t>
      </w:r>
    </w:p>
    <w:p w:rsidR="00DB56E4" w:rsidRPr="005512C9" w:rsidRDefault="00A41B8A" w:rsidP="00DB56E4">
      <w:pPr>
        <w:pStyle w:val="CoverNormal24a"/>
      </w:pPr>
      <w:r>
        <w:t xml:space="preserve">Rapporteur voor advies: </w:t>
      </w:r>
      <w:r>
        <w:rPr>
          <w:rStyle w:val="HideTWBExt"/>
        </w:rPr>
        <w:t>&lt;Depute&gt;</w:t>
      </w:r>
      <w:r>
        <w:t>Yana Toom</w:t>
      </w:r>
      <w:r>
        <w:rPr>
          <w:rStyle w:val="HideTWBExt"/>
        </w:rPr>
        <w:t>&lt;/Depute&gt;</w:t>
      </w:r>
    </w:p>
    <w:p w:rsidR="00487596" w:rsidRPr="005512C9" w:rsidRDefault="00A41B8A" w:rsidP="00997115">
      <w:pPr>
        <w:pStyle w:val="CoverNormal"/>
      </w:pPr>
      <w:r>
        <w:t>(*) Procedure met medeverantwoordelijke commissies – Artikel </w:t>
      </w:r>
      <w:r>
        <w:t>57 van het Reglement</w:t>
      </w:r>
    </w:p>
    <w:p w:rsidR="00DB56E4" w:rsidRPr="005512C9" w:rsidRDefault="00A41B8A" w:rsidP="0004474F">
      <w:pPr>
        <w:tabs>
          <w:tab w:val="center" w:pos="4677"/>
        </w:tabs>
      </w:pPr>
      <w:r>
        <w:br w:type="page"/>
      </w:r>
      <w:r>
        <w:lastRenderedPageBreak/>
        <w:t>PA_Legam</w:t>
      </w:r>
    </w:p>
    <w:p w:rsidR="00DB56E4" w:rsidRPr="005512C9" w:rsidRDefault="00A41B8A" w:rsidP="00DB56E4">
      <w:pPr>
        <w:pStyle w:val="PageHeadingNotTOC"/>
      </w:pPr>
      <w:r>
        <w:br w:type="page"/>
      </w:r>
      <w:r>
        <w:lastRenderedPageBreak/>
        <w:t>BEKNOPTE MOTIVERING</w:t>
      </w:r>
    </w:p>
    <w:p w:rsidR="00E63FB0" w:rsidRPr="005512C9" w:rsidRDefault="00A41B8A" w:rsidP="00E63FB0">
      <w:pPr>
        <w:pStyle w:val="Memos"/>
        <w:spacing w:after="240" w:line="240" w:lineRule="auto"/>
        <w:rPr>
          <w:rFonts w:eastAsia="Times New Roman"/>
          <w:sz w:val="24"/>
          <w:szCs w:val="20"/>
          <w:u w:val="none"/>
        </w:rPr>
      </w:pPr>
      <w:r>
        <w:rPr>
          <w:sz w:val="24"/>
          <w:u w:val="none"/>
        </w:rPr>
        <w:t>Statistieken spelen een belangrijke rol in het Europese wetgevingsp</w:t>
      </w:r>
      <w:r>
        <w:rPr>
          <w:sz w:val="24"/>
          <w:u w:val="none"/>
        </w:rPr>
        <w:t>roces. Vaak zijn statistieken de inspiratiebron voor nieuwe wetten omdat zij problemen aan het licht brengen of ons helpen vast te stellen op welke gebieden regelgeving nodig is. Onze empirisch onderbouwde benadering van wetgeving doet vervolgens een beroe</w:t>
      </w:r>
      <w:r>
        <w:rPr>
          <w:sz w:val="24"/>
          <w:u w:val="none"/>
        </w:rPr>
        <w:t>p op gegevens om de passende oplossingen te evalueren of de doeltreffendheid van de wetgeving te beoordelen. Al deze werkzaamheden zijn afhankelijk van de nauwkeurigheid van de gebruikte cijfers. Daarom moeten we ervoor zorgen dat de statistieken die we ve</w:t>
      </w:r>
      <w:r>
        <w:rPr>
          <w:sz w:val="24"/>
          <w:u w:val="none"/>
        </w:rPr>
        <w:t xml:space="preserve">rzamelen correct en vergelijkbaar zijn in de hele EU. Met het oog hierop steunt de rapporteur de totstandbrenging van een kader waarin de relevante bepalingen voor het opstellen en delen van statistieken over bevolking en huisvesting worden samengebracht. </w:t>
      </w:r>
    </w:p>
    <w:p w:rsidR="00E63FB0" w:rsidRPr="005512C9" w:rsidRDefault="00A41B8A" w:rsidP="00E63FB0">
      <w:pPr>
        <w:pStyle w:val="Memos"/>
        <w:spacing w:after="240" w:line="240" w:lineRule="auto"/>
        <w:rPr>
          <w:rFonts w:eastAsia="Times New Roman"/>
          <w:sz w:val="24"/>
          <w:szCs w:val="20"/>
          <w:u w:val="none"/>
        </w:rPr>
      </w:pPr>
      <w:r>
        <w:rPr>
          <w:sz w:val="24"/>
          <w:u w:val="none"/>
        </w:rPr>
        <w:t xml:space="preserve">Heel vaak heeft de ontbrekende informatie ook de meest ingrijpende gevolgen. Bij statistieken over bevolking en huisvesting weten we dat het moeilijk is om gegevens te verzamelen over mensen die zich in een kwetsbare situatie bevinden, zoals minderheden, </w:t>
      </w:r>
      <w:r>
        <w:rPr>
          <w:sz w:val="24"/>
          <w:u w:val="none"/>
        </w:rPr>
        <w:t>daklozen of mensen met een handicap. Hoewel een nieuw kader voor geharmoniseerde Europese statistieken welkom is, moeten we ernaar streven de vertegenwoordiging van moeilijk te bereiken groepen bij het verzamelen van statistieken te verbeteren. Het kader d</w:t>
      </w:r>
      <w:r>
        <w:rPr>
          <w:sz w:val="24"/>
          <w:u w:val="none"/>
        </w:rPr>
        <w:t>at we nu vaststellen, moet niet alleen het verzamelen van gegevens voor kwetsbare groepen mogelijk maken, maar ook een hoog ambitieniveau vaststellen voor het verzamelen van gegevens over degenen die van oudsher uit de statistieken zijn weggelaten.</w:t>
      </w:r>
    </w:p>
    <w:p w:rsidR="008D41A4" w:rsidRPr="005512C9" w:rsidRDefault="00A41B8A" w:rsidP="00E63FB0">
      <w:pPr>
        <w:pStyle w:val="Memos"/>
        <w:spacing w:after="240" w:line="240" w:lineRule="auto"/>
        <w:rPr>
          <w:rFonts w:eastAsia="Times New Roman"/>
          <w:sz w:val="24"/>
          <w:szCs w:val="20"/>
          <w:u w:val="none"/>
        </w:rPr>
      </w:pPr>
      <w:r>
        <w:rPr>
          <w:sz w:val="24"/>
          <w:u w:val="none"/>
        </w:rPr>
        <w:t xml:space="preserve">De </w:t>
      </w:r>
      <w:r>
        <w:rPr>
          <w:sz w:val="24"/>
          <w:u w:val="none"/>
        </w:rPr>
        <w:t>Commissie stelt voor gebruik te maken van nieuwe gegevensbronnen als reactie op de toenemende trend in het afgelopen jaar om over te schakelen van rechtstreekse tellingen van bevolkingsaantallen naar volledig op registers gebaseerde tellingen. Net zoals de</w:t>
      </w:r>
      <w:r>
        <w:rPr>
          <w:sz w:val="24"/>
          <w:u w:val="none"/>
        </w:rPr>
        <w:t xml:space="preserve"> methoden voor het verzamelen van gegevens in de loop der tijd zijn geëvolueerd, mogen we verwachten dat er in de toekomst nieuwe technieken zullen opkomen. De rapporteur is ingenomen met het feit dat het kader voor Europese statistieken nieuwe benaderinge</w:t>
      </w:r>
      <w:r>
        <w:rPr>
          <w:sz w:val="24"/>
          <w:u w:val="none"/>
        </w:rPr>
        <w:t>n voor het opstellen van statistieken mogelijk maakt en experimenten met nieuwe technieken aanmoedigt. Tegelijkertijd brengt de productie van statistieken, met name op basis van nieuwe methoden of bronnen, het gebruik van persoonsgegevens met zich mee. Het</w:t>
      </w:r>
      <w:r>
        <w:rPr>
          <w:sz w:val="24"/>
          <w:u w:val="none"/>
        </w:rPr>
        <w:t xml:space="preserve"> is van het grootste belang dat de rechten van personen worden beschermd en dat bij het verzamelen van statistieken de bestaande EU</w:t>
      </w:r>
      <w:r>
        <w:rPr>
          <w:sz w:val="24"/>
          <w:u w:val="none"/>
        </w:rPr>
        <w:noBreakHyphen/>
        <w:t>wetgeving inzake gegevensbescherming volledig in acht wordt genomen.</w:t>
      </w:r>
    </w:p>
    <w:p w:rsidR="00DB56E4" w:rsidRPr="005512C9" w:rsidRDefault="00DB56E4" w:rsidP="00DB56E4">
      <w:pPr>
        <w:pStyle w:val="Normal12a"/>
      </w:pPr>
    </w:p>
    <w:p w:rsidR="00DB56E4" w:rsidRPr="005512C9" w:rsidRDefault="00A41B8A" w:rsidP="00DB56E4">
      <w:pPr>
        <w:pStyle w:val="AmHeadingPA"/>
      </w:pPr>
      <w:r>
        <w:t>AMENDEMENTEN</w:t>
      </w:r>
    </w:p>
    <w:p w:rsidR="001232DB" w:rsidRPr="00C377DA" w:rsidRDefault="00A41B8A" w:rsidP="001232DB">
      <w:pPr>
        <w:pStyle w:val="Normal12a"/>
      </w:pPr>
      <w:bookmarkStart w:id="0" w:name="IntroA"/>
      <w:r>
        <w:t>De Commissie burgerlijke vrijheden, justi</w:t>
      </w:r>
      <w:r>
        <w:t>tie en binnenlandse zaken verzoekt de bevoegde Commissie werkgelegenheid en sociale zaken onderstaande amendementen in aanmerking te nemen:</w:t>
      </w:r>
      <w:bookmarkStart w:id="1" w:name="PasteOldAMStart"/>
      <w:bookmarkStart w:id="2" w:name="PasteOldAMEnd"/>
      <w:bookmarkEnd w:id="0"/>
      <w:bookmarkEnd w:id="1"/>
      <w:bookmarkEnd w:id="2"/>
      <w:r>
        <w:rPr>
          <w:rStyle w:val="HideTWBExt"/>
        </w:rPr>
        <w:t>&lt;RepeatBlock-Amend&gt;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1</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Overweging 6</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(6)</w:t>
            </w:r>
            <w:r>
              <w:tab/>
              <w:t>In 2017 heeft het Comité voor het Europees statistisch systeem (ESS-comité) zijn goedkeuring gehecht aan het Memorandum van Boedapest, waarin wordt gesteld dat er behoefte is aan</w:t>
            </w:r>
            <w:r>
              <w:t xml:space="preserve"> jaarlijkse statistieken over de omvang en over bepaalde sociale, economische en demografische kenmerken van de bevolking, en aan betere migratiestatistieken. Voor de naleving van de beginselen van gelijkheid en non-discriminatie van haar burgers bij alle </w:t>
            </w:r>
            <w:r>
              <w:t>activiteiten en van de individuele rechten van de burgers, zoals verankerd in het Handvest van de grondrechten van de Europese Unie</w:t>
            </w:r>
            <w:r>
              <w:rPr>
                <w:vertAlign w:val="superscript"/>
              </w:rPr>
              <w:t>23</w:t>
            </w:r>
            <w:r>
              <w:t xml:space="preserve"> en de artikelen 10 en 19 VWEU, heeft de Unie betrouwbare en vergelijkbare statistieken nodig. Verordening (EU) 2019/1700 b</w:t>
            </w:r>
            <w:r>
              <w:t>iedt een kader voor het verzamelen van gegevens op basis van steekproeven die het mogelijk maken gegevens over gelijkheid en non-discriminatie te verzamelen, voor zover dit haalbaar is met steekproeven, en een aantal aspecten van gelijkheid en discriminati</w:t>
            </w:r>
            <w:r>
              <w:t>e te analyseren door sociaaleconomische indicatoren en informatie over ervaringen met discriminatie op te stellen. Daarnaast voeren het Bureau van de Europese Unie voor de grondrechten (FRA) en het Europees Instituut voor gendergelijkheid (EIGE) specifieke</w:t>
            </w:r>
            <w:r>
              <w:t xml:space="preserve"> studies en specifieke enquêtes uit, waardoor meer statistieken over gelijkheid op EU-niveau beschikbaar kunnen komen. De toekomstige samenwerking en coördinatie tussen de lidstaten, Eurostat en deze agentschappen moet worden versterkt om te voorzien in de</w:t>
            </w:r>
            <w:r>
              <w:t xml:space="preserve"> toenemende behoefte van gebruikers aan betrouwbare en alomvattende gegevens over gelijkheid en diversiteit in de Unie.</w:t>
            </w:r>
          </w:p>
        </w:tc>
        <w:tc>
          <w:tcPr>
            <w:tcW w:w="4876" w:type="dxa"/>
          </w:tcPr>
          <w:p w:rsidR="001232DB" w:rsidRPr="00C377DA" w:rsidRDefault="00A41B8A" w:rsidP="00586C6E">
            <w:pPr>
              <w:pStyle w:val="Normal6"/>
              <w:rPr>
                <w:szCs w:val="24"/>
              </w:rPr>
            </w:pPr>
            <w:r>
              <w:t>(6)</w:t>
            </w:r>
            <w:r>
              <w:tab/>
              <w:t>In 2017 heeft het Comité voor het Europees statistisch systeem (ESS-comité) zijn goedkeuring gehecht aan het Memorandum van Boedapes</w:t>
            </w:r>
            <w:r>
              <w:t>t, waarin wordt gesteld dat er behoefte is aan jaarlijkse statistieken over de omvang en over bepaalde sociale, economische en demografische kenmerken van de bevolking, en aan betere migratiestatistieken. Voor de naleving van de beginselen van gelijkheid e</w:t>
            </w:r>
            <w:r>
              <w:t>n non-discriminatie van haar burgers bij alle activiteiten en van de individuele rechten van de burgers, zoals verankerd in het Handvest van de grondrechten van de Europese Unie</w:t>
            </w:r>
            <w:r>
              <w:rPr>
                <w:vertAlign w:val="superscript"/>
              </w:rPr>
              <w:t>23</w:t>
            </w:r>
            <w:r>
              <w:t xml:space="preserve"> en de artikelen 10 en 19 VWEU, heeft de Unie betrouwbare en vergelijkbare st</w:t>
            </w:r>
            <w:r>
              <w:t xml:space="preserve">atistieken nodig. </w:t>
            </w:r>
            <w:r>
              <w:rPr>
                <w:b/>
                <w:i/>
              </w:rPr>
              <w:t>Statistieken over migratie en internationale bescherming zijn van essentieel belang om een overzicht te krijgen van de migratiestromen binnen de EU en om de correcte toepassing door de lidstaten van de wetgeving van de Unie te waarborgen,</w:t>
            </w:r>
            <w:r>
              <w:rPr>
                <w:b/>
                <w:i/>
              </w:rPr>
              <w:t xml:space="preserve"> met inachtneming van de geldende wetgeving.</w:t>
            </w:r>
            <w:r>
              <w:t xml:space="preserve"> Verordening (EU) 2019/1700 biedt een kader voor het verzamelen van gegevens op basis van steekproeven die het mogelijk maken gegevens over gelijkheid en non-discriminatie te verzamelen, voor zover dit haalbaar i</w:t>
            </w:r>
            <w:r>
              <w:t>s met steekproeven, en een aantal aspecten van gelijkheid en discriminatie te analyseren door sociaaleconomische indicatoren en informatie over ervaringen met discriminatie op te stellen. Daarnaast voeren het Bureau van de Europese Unie voor de grondrechte</w:t>
            </w:r>
            <w:r>
              <w:t xml:space="preserve">n (FRA) en het Europees Instituut voor gendergelijkheid (EIGE) specifieke studies en specifieke enquêtes uit, waardoor meer statistieken over gelijkheid op EU-niveau beschikbaar kunnen komen. De toekomstige samenwerking en coördinatie tussen de lidstaten, </w:t>
            </w:r>
            <w:r>
              <w:t xml:space="preserve">Eurostat en deze agentschappen </w:t>
            </w:r>
            <w:r>
              <w:lastRenderedPageBreak/>
              <w:t>moet worden versterkt om te voorzien in de toenemende behoefte van gebruikers aan betrouwbare en alomvattende gegevens over gelijkheid en diversiteit in de Unie</w:t>
            </w:r>
            <w:r>
              <w:rPr>
                <w:b/>
                <w:i/>
              </w:rPr>
              <w:t xml:space="preserve"> om de rechten van EU-inwoners te waarborgen en ongelijkheden en </w:t>
            </w:r>
            <w:r>
              <w:rPr>
                <w:b/>
                <w:i/>
              </w:rPr>
              <w:t>alle vormen van discriminatie tegen te gaan</w:t>
            </w:r>
            <w:r>
              <w:t>.</w:t>
            </w:r>
          </w:p>
        </w:tc>
      </w:tr>
      <w:tr w:rsidR="005C4700" w:rsidTr="00586C6E">
        <w:trPr>
          <w:jc w:val="center"/>
        </w:trPr>
        <w:tc>
          <w:tcPr>
            <w:tcW w:w="4876" w:type="dxa"/>
          </w:tcPr>
          <w:p w:rsidR="001232DB" w:rsidRPr="00C377DA" w:rsidRDefault="00A41B8A" w:rsidP="00586C6E">
            <w:pPr>
              <w:pStyle w:val="Normal6"/>
            </w:pPr>
            <w:r>
              <w:lastRenderedPageBreak/>
              <w:t>__________________</w:t>
            </w:r>
          </w:p>
        </w:tc>
        <w:tc>
          <w:tcPr>
            <w:tcW w:w="4876" w:type="dxa"/>
          </w:tcPr>
          <w:p w:rsidR="001232DB" w:rsidRPr="00C377DA" w:rsidRDefault="00A41B8A" w:rsidP="00586C6E">
            <w:pPr>
              <w:pStyle w:val="Normal6"/>
              <w:rPr>
                <w:szCs w:val="24"/>
              </w:rPr>
            </w:pPr>
            <w:r>
              <w:t>__________________</w:t>
            </w:r>
          </w:p>
        </w:tc>
      </w:tr>
      <w:tr w:rsidR="005C4700" w:rsidTr="00586C6E">
        <w:trPr>
          <w:jc w:val="center"/>
        </w:trPr>
        <w:tc>
          <w:tcPr>
            <w:tcW w:w="4876" w:type="dxa"/>
          </w:tcPr>
          <w:p w:rsidR="001232DB" w:rsidRPr="00C377DA" w:rsidRDefault="00A41B8A" w:rsidP="00586C6E">
            <w:pPr>
              <w:pStyle w:val="Normal6"/>
            </w:pPr>
            <w:r>
              <w:rPr>
                <w:vertAlign w:val="superscript"/>
              </w:rPr>
              <w:t>23</w:t>
            </w:r>
            <w:r>
              <w:t xml:space="preserve"> PB C 202 van 7.6.2016, blz. 389.</w:t>
            </w:r>
          </w:p>
        </w:tc>
        <w:tc>
          <w:tcPr>
            <w:tcW w:w="4876" w:type="dxa"/>
          </w:tcPr>
          <w:p w:rsidR="001232DB" w:rsidRPr="00C377DA" w:rsidRDefault="00A41B8A" w:rsidP="00586C6E">
            <w:pPr>
              <w:pStyle w:val="Normal6"/>
              <w:rPr>
                <w:szCs w:val="24"/>
              </w:rPr>
            </w:pPr>
            <w:r>
              <w:rPr>
                <w:vertAlign w:val="superscript"/>
              </w:rPr>
              <w:t>23</w:t>
            </w:r>
            <w:r>
              <w:t xml:space="preserve"> PB C 202 van 7.6.2016, blz. 389.</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2</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Overweging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(20)</w:t>
            </w:r>
            <w:r>
              <w:tab/>
              <w:t xml:space="preserve">De lidstaten en de Commissie (Eurostat) moeten duurzame toegang hebben tot een zo breed mogelijk scala aan gegevensbronnen om op kosteneffectieve wijze Europese </w:t>
            </w:r>
            <w:r>
              <w:t xml:space="preserve">statistieken over bevolking en huisvesting van hoge kwaliteit te produceren. In dit verband is het van cruciaal belang dat de nationale statistische instanties tijdig toegang krijgen tot, en snel gebruik kunnen maken van de administratieve gegevens die in </w:t>
            </w:r>
            <w:r>
              <w:t>het bezit zijn van overheidsdiensten op nationaal, regionaal en lokaal niveau, overeenkomstig artikel 17 bis van Verordening (EG) nr. 223/2009. Statistieken over de energie-efficiëntie van gebouwen kunnen bijvoorbeeld worden gebaseerd op administratieve ge</w:t>
            </w:r>
            <w:r>
              <w:t>gevens met betrekking tot de afgifte van energiecertificaten van gebouwen op grond van Richtlijn 2010/31/EU van het Europees Parlement en de Raad</w:t>
            </w:r>
            <w:r>
              <w:rPr>
                <w:vertAlign w:val="superscript"/>
              </w:rPr>
              <w:t>31</w:t>
            </w:r>
            <w:r>
              <w:t>. De nationale bureaus voor de statistiek moeten ook worden betrokken bij besluiten over het ontwerp en de he</w:t>
            </w:r>
            <w:r>
              <w:t xml:space="preserve">rontwikkeling van relevante administratieve gegevensbronnen om ervoor te zorgen dat deze verder kunnen worden hergebruikt voor de opstelling van </w:t>
            </w:r>
            <w:r>
              <w:lastRenderedPageBreak/>
              <w:t>officiële statistieken.</w:t>
            </w:r>
          </w:p>
        </w:tc>
        <w:tc>
          <w:tcPr>
            <w:tcW w:w="4876" w:type="dxa"/>
          </w:tcPr>
          <w:p w:rsidR="001232DB" w:rsidRPr="00C377DA" w:rsidRDefault="00A41B8A" w:rsidP="00586C6E">
            <w:pPr>
              <w:pStyle w:val="Normal6"/>
              <w:rPr>
                <w:szCs w:val="24"/>
              </w:rPr>
            </w:pPr>
            <w:r>
              <w:lastRenderedPageBreak/>
              <w:t>(20)</w:t>
            </w:r>
            <w:r>
              <w:tab/>
              <w:t xml:space="preserve">De lidstaten en de Commissie (Eurostat) moeten duurzame toegang hebben tot een zo </w:t>
            </w:r>
            <w:r>
              <w:t>breed mogelijk scala aan gegevensbronnen om op kosteneffectieve wijze Europese statistieken over bevolking en huisvesting van hoge kwaliteit te produceren. In dit verband is het van cruciaal belang dat de nationale statistische instanties tijdig toegang kr</w:t>
            </w:r>
            <w:r>
              <w:t>ijgen tot, en snel gebruik kunnen maken van de administratieve gegevens die in het bezit zijn van overheidsdiensten op nationaal, regionaal en lokaal niveau, overeenkomstig artikel 17 bis van Verordening (EG) nr. 223/2009. Statistieken over de energie-effi</w:t>
            </w:r>
            <w:r>
              <w:t>ciëntie van gebouwen kunnen bijvoorbeeld worden gebaseerd op administratieve gegevens met betrekking tot de afgifte van energiecertificaten van gebouwen op grond van Richtlijn 2010/31/EU van het Europees Parlement en de Raad</w:t>
            </w:r>
            <w:r>
              <w:rPr>
                <w:vertAlign w:val="superscript"/>
              </w:rPr>
              <w:t>31</w:t>
            </w:r>
            <w:r>
              <w:t xml:space="preserve">. </w:t>
            </w:r>
            <w:r>
              <w:rPr>
                <w:b/>
                <w:i/>
              </w:rPr>
              <w:t>Gegevensbronnen moeten ook g</w:t>
            </w:r>
            <w:r>
              <w:rPr>
                <w:b/>
                <w:i/>
              </w:rPr>
              <w:t>egevens bevatten over moeilijk te bereiken bevolkingsgroepen, zoals daklozen en mensen in informele woonomgevingen.</w:t>
            </w:r>
            <w:r>
              <w:t xml:space="preserve"> De nationale bureaus voor de statistiek moeten ook worden betrokken bij besluiten over het ontwerp en de herontwikkeling van relevante </w:t>
            </w:r>
            <w:r>
              <w:lastRenderedPageBreak/>
              <w:t>admin</w:t>
            </w:r>
            <w:r>
              <w:t>istratieve gegevensbronnen om ervoor te zorgen dat deze verder kunnen worden hergebruikt voor de opstelling van officiële statistieken.</w:t>
            </w:r>
          </w:p>
        </w:tc>
      </w:tr>
      <w:tr w:rsidR="005C4700" w:rsidTr="00586C6E">
        <w:trPr>
          <w:jc w:val="center"/>
        </w:trPr>
        <w:tc>
          <w:tcPr>
            <w:tcW w:w="4876" w:type="dxa"/>
          </w:tcPr>
          <w:p w:rsidR="001232DB" w:rsidRPr="00C377DA" w:rsidRDefault="00A41B8A" w:rsidP="00586C6E">
            <w:pPr>
              <w:pStyle w:val="Normal6"/>
            </w:pPr>
            <w:r>
              <w:lastRenderedPageBreak/>
              <w:t>__________________</w:t>
            </w:r>
          </w:p>
        </w:tc>
        <w:tc>
          <w:tcPr>
            <w:tcW w:w="4876" w:type="dxa"/>
          </w:tcPr>
          <w:p w:rsidR="001232DB" w:rsidRPr="00C377DA" w:rsidRDefault="00A41B8A" w:rsidP="00586C6E">
            <w:pPr>
              <w:pStyle w:val="Normal6"/>
              <w:rPr>
                <w:szCs w:val="24"/>
              </w:rPr>
            </w:pPr>
            <w:r>
              <w:t>__________________</w:t>
            </w:r>
          </w:p>
        </w:tc>
      </w:tr>
      <w:tr w:rsidR="005C4700" w:rsidTr="00586C6E">
        <w:trPr>
          <w:jc w:val="center"/>
        </w:trPr>
        <w:tc>
          <w:tcPr>
            <w:tcW w:w="4876" w:type="dxa"/>
          </w:tcPr>
          <w:p w:rsidR="001232DB" w:rsidRPr="00C377DA" w:rsidRDefault="00A41B8A" w:rsidP="00586C6E">
            <w:pPr>
              <w:pStyle w:val="Normal6"/>
            </w:pPr>
            <w:r>
              <w:rPr>
                <w:vertAlign w:val="superscript"/>
              </w:rPr>
              <w:t>31</w:t>
            </w:r>
            <w:r>
              <w:t xml:space="preserve"> Richtlijn 2010/31/EU van het Europees Parlement en de Raad van 19 mei 2010 be</w:t>
            </w:r>
            <w:r>
              <w:t>treffende de energieprestatie van gebouwen (PB L 153 van 18.6.2010, blz. 13).</w:t>
            </w:r>
          </w:p>
        </w:tc>
        <w:tc>
          <w:tcPr>
            <w:tcW w:w="4876" w:type="dxa"/>
          </w:tcPr>
          <w:p w:rsidR="001232DB" w:rsidRPr="00C377DA" w:rsidRDefault="00A41B8A" w:rsidP="00586C6E">
            <w:pPr>
              <w:pStyle w:val="Normal6"/>
              <w:rPr>
                <w:szCs w:val="24"/>
              </w:rPr>
            </w:pPr>
            <w:r>
              <w:rPr>
                <w:vertAlign w:val="superscript"/>
              </w:rPr>
              <w:t>31</w:t>
            </w:r>
            <w:r>
              <w:t xml:space="preserve"> Richtlijn 2010/31/EU van het Europees Parlement en de Raad van 19 mei 2010 betreffende de energieprestatie van gebouwen (PB L 153 van 18.6.2010, blz. 13).</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3</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Overweging 23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(23)</w:t>
            </w:r>
            <w:r>
              <w:tab/>
              <w:t>Particuliere gegevens kunnen de dekking, tijdigheid en crisisresponscapaciteit van Eur</w:t>
            </w:r>
            <w:r>
              <w:t>opese statistieken over bevolking en huisvesting verbeteren of statistische innovatie mogelijk maken. Dergelijke gegevens kunnen de bestaande demografische en migratiestatistieken aanvullen, zorgen voor statistische innovatie en zelfs dienen voor de produc</w:t>
            </w:r>
            <w:r>
              <w:t>tie van vroege ramingen. De nationale bureaus voor de statistiek en andere bevoegde nationale instanties en de Commissie (Eurostat) moeten toegang hebben tot dergelijke gegevens en deze gebruiken.</w:t>
            </w:r>
          </w:p>
        </w:tc>
        <w:tc>
          <w:tcPr>
            <w:tcW w:w="4876" w:type="dxa"/>
          </w:tcPr>
          <w:p w:rsidR="001232DB" w:rsidRPr="00C377DA" w:rsidRDefault="00A41B8A" w:rsidP="00586C6E">
            <w:pPr>
              <w:pStyle w:val="Normal6"/>
              <w:rPr>
                <w:szCs w:val="24"/>
              </w:rPr>
            </w:pPr>
            <w:r>
              <w:t>(23)</w:t>
            </w:r>
            <w:r>
              <w:tab/>
              <w:t>Particuliere gegevens kunnen de dekking, tijdigheid en</w:t>
            </w:r>
            <w:r>
              <w:t xml:space="preserve"> crisisresponscapaciteit van Europese statistieken over bevolking en huisvesting verbeteren of statistische innovatie mogelijk maken. Dergelijke gegevens kunnen de bestaande demografische en migratiestatistieken aanvullen, zorgen voor statistische innovati</w:t>
            </w:r>
            <w:r>
              <w:t xml:space="preserve">e en zelfs dienen voor de productie van vroege ramingen. De nationale bureaus voor de statistiek en andere bevoegde nationale instanties en de Commissie (Eurostat) moeten toegang hebben tot dergelijke gegevens en deze gebruiken. </w:t>
            </w:r>
            <w:r>
              <w:rPr>
                <w:b/>
                <w:i/>
              </w:rPr>
              <w:t>Om de bescherming van de re</w:t>
            </w:r>
            <w:r>
              <w:rPr>
                <w:b/>
                <w:i/>
              </w:rPr>
              <w:t xml:space="preserve">chten en vrijheden van gegevenshouders te waarborgen, moet de Commissie een lijst opstellen van de soorten particuliere gegevensbronnen die kunnen worden gebruikt voor de productie van statistieken, indien nodig met inbegrip van aanvullende waarborgen die </w:t>
            </w:r>
            <w:r>
              <w:rPr>
                <w:b/>
                <w:i/>
              </w:rPr>
              <w:t>nodig zijn om de evenredigheid van het gebruik van het desbetreffende soort gegevens te waarborgen.</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4</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Overweging 29</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w:t>
            </w:r>
            <w:r>
              <w:t>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(29)</w:t>
            </w:r>
            <w:r>
              <w:tab/>
              <w:t>Op nationaal niveau beschikbare gegevensbronnen zijn niet altijd in staat om verschijnselen in verband met het vrije verkeer van personen in de Unie, de toegang van personen tot grensoverschrijdende diensten in verband met de</w:t>
            </w:r>
            <w:r>
              <w:t xml:space="preserve">mografische vitale gebeurtenissen en de uitoefening van het recht van personen om woningen te kopen en te bezitten die worden gebruikt als primaire, vakantie- en secundaire accommodatie in de hele Unie, nauwkeurig weer te geven. Er zijn ook </w:t>
            </w:r>
            <w:r>
              <w:rPr>
                <w:b/>
                <w:i/>
              </w:rPr>
              <w:t>asymmetrieën</w:t>
            </w:r>
            <w:r>
              <w:t xml:space="preserve"> in</w:t>
            </w:r>
            <w:r>
              <w:t xml:space="preserve"> de bilaterale migratiestromen en problemen bij het meten van bevolkingsgroepen, bijvoorbeeld onder migranten, daklozen of staatlozen. Daarom moet het delen van gegevens met het oog op het opstellen van bevolkings- en migratiestatistieken en het waarborgen</w:t>
            </w:r>
            <w:r>
              <w:t xml:space="preserve"> van de kwaliteit ervan worden versterkt en als een andere gegevensbron worden beschouwd. Een dergelijke versterkte uitwisseling van gegevens kan betrekking hebben op een breed scala aan relevante gegevens, van gegevens die duidelijk niet de identificatie </w:t>
            </w:r>
            <w:r>
              <w:t>van statistische eenheden mogelijk maken, het zij direct of indirect, tot gegevens waarvoor mogelijk vereisten inzake statistische geheimhouding gelden. De lidstaten moeten, in hun eigen belang en in het belang van de andere lidstaten, deelnemen aan activi</w:t>
            </w:r>
            <w:r>
              <w:t>teiten voor het delen van gegevens, onder meer aan proefprojecten ter beoordeling van innovatieve veilige oplossingen. De Commissie (Eurostat) moet ook een beveiligde infrastructuur opzetten om het delen van gegevens te vergemakkelijken, met inachtneming v</w:t>
            </w:r>
            <w:r>
              <w:t>an alle nodige waarborgen.</w:t>
            </w:r>
          </w:p>
        </w:tc>
        <w:tc>
          <w:tcPr>
            <w:tcW w:w="4876" w:type="dxa"/>
          </w:tcPr>
          <w:p w:rsidR="001232DB" w:rsidRPr="00C377DA" w:rsidRDefault="00A41B8A" w:rsidP="00586C6E">
            <w:pPr>
              <w:pStyle w:val="Normal6"/>
              <w:rPr>
                <w:szCs w:val="24"/>
              </w:rPr>
            </w:pPr>
            <w:r>
              <w:t>(29)</w:t>
            </w:r>
            <w:r>
              <w:tab/>
              <w:t xml:space="preserve">Op nationaal niveau beschikbare gegevensbronnen zijn niet altijd in staat om verschijnselen in verband met het vrije verkeer van personen in de Unie, de toegang van personen tot grensoverschrijdende diensten in verband met </w:t>
            </w:r>
            <w:r>
              <w:t xml:space="preserve">demografische vitale gebeurtenissen en de uitoefening van het recht van personen om woningen te kopen en te bezitten die worden gebruikt als primaire, vakantie- en secundaire accommodatie in de hele Unie, nauwkeurig weer te geven. Er zijn ook </w:t>
            </w:r>
            <w:r>
              <w:rPr>
                <w:b/>
                <w:i/>
              </w:rPr>
              <w:t>discrepanties</w:t>
            </w:r>
            <w:r>
              <w:t xml:space="preserve"> in de bilaterale migratiestromen en problemen bij het meten van bevolkingsgroepen, bijvoorbeeld onder migranten, daklozen of staatlozen. Daarom moet het delen van gegevens met het oog op het opstellen van bevolkings- en migratiestatistieken en het waarbor</w:t>
            </w:r>
            <w:r>
              <w:t>gen van de kwaliteit ervan worden versterkt en als een andere gegevensbron worden beschouwd. Een dergelijke versterkte uitwisseling van gegevens kan betrekking hebben op een breed scala aan relevante gegevens, van gegevens die duidelijk niet de identificat</w:t>
            </w:r>
            <w:r>
              <w:t>ie van statistische eenheden mogelijk maken, het zij direct of indirect, tot gegevens waarvoor mogelijk vereisten inzake statistische geheimhouding gelden. De lidstaten moeten, in hun eigen belang en in het belang van de andere lidstaten, deelnemen aan act</w:t>
            </w:r>
            <w:r>
              <w:t>iviteiten voor het delen van gegevens, onder meer aan proefprojecten ter beoordeling van innovatieve veilige oplossingen. De Commissie (Eurostat) moet ook een beveiligde infrastructuur opzetten om het delen van gegevens te vergemakkelijken, met inachtnemin</w:t>
            </w:r>
            <w:r>
              <w:t>g van alle nodige waarborgen.</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lastRenderedPageBreak/>
        <w:t>&lt;Amend&gt;</w:t>
      </w:r>
      <w:r>
        <w:t>Amendement</w:t>
      </w:r>
      <w:r>
        <w:tab/>
      </w:r>
      <w:r>
        <w:tab/>
      </w:r>
      <w:r>
        <w:rPr>
          <w:rStyle w:val="HideTWBExt"/>
          <w:b w:val="0"/>
        </w:rPr>
        <w:t>&lt;NumAm&gt;</w:t>
      </w:r>
      <w:r>
        <w:t>5</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Overweging 30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(30)</w:t>
            </w:r>
            <w:r>
              <w:tab/>
              <w:t>Wanneer het delen van gegevens de verwe</w:t>
            </w:r>
            <w:r>
              <w:t>rking van persoonsgegevens overeenkomstig Verordening (EU) 2016/679 van het Europees Parlement en de Raad</w:t>
            </w:r>
            <w:r>
              <w:rPr>
                <w:vertAlign w:val="superscript"/>
              </w:rPr>
              <w:t>37</w:t>
            </w:r>
            <w:r>
              <w:t xml:space="preserve"> of Verordening (EU) 2018/1725 inhoudt, moeten de beginselen van doelbinding, gegevensminimalisering, opslagbeperking, integriteit en vertrouwelijkhe</w:t>
            </w:r>
            <w:r>
              <w:t xml:space="preserve">id volledig worden toegepast. Met name mechanismen voor het delen van gegevens op basis van privacybevorderende technologieën die specifiek zijn ontworpen om deze beginselen toe te passen, </w:t>
            </w:r>
            <w:r>
              <w:rPr>
                <w:b/>
                <w:i/>
              </w:rPr>
              <w:t>moeten de voorkeur krijgen boven directe datatransmissie</w:t>
            </w:r>
            <w:r>
              <w:t>.</w:t>
            </w:r>
          </w:p>
        </w:tc>
        <w:tc>
          <w:tcPr>
            <w:tcW w:w="4876" w:type="dxa"/>
          </w:tcPr>
          <w:p w:rsidR="001232DB" w:rsidRPr="00C377DA" w:rsidRDefault="00A41B8A" w:rsidP="00586C6E">
            <w:pPr>
              <w:pStyle w:val="Normal6"/>
              <w:rPr>
                <w:szCs w:val="24"/>
              </w:rPr>
            </w:pPr>
            <w:r>
              <w:t>(30)</w:t>
            </w:r>
            <w:r>
              <w:tab/>
            </w:r>
            <w:r>
              <w:t>Wanneer het delen van gegevens de verwerking van persoonsgegevens overeenkomstig Verordening (EU) 2016/679 van het Europees Parlement en de Raad</w:t>
            </w:r>
            <w:r>
              <w:rPr>
                <w:vertAlign w:val="superscript"/>
              </w:rPr>
              <w:t>37</w:t>
            </w:r>
            <w:r>
              <w:t xml:space="preserve"> of Verordening (EU) 2018/1725 inhoudt, moeten de beginselen van doelbinding, gegevensminimalisering, opslagbe</w:t>
            </w:r>
            <w:r>
              <w:t xml:space="preserve">perking, integriteit en vertrouwelijkheid volledig worden toegepast. Met name </w:t>
            </w:r>
            <w:r>
              <w:rPr>
                <w:b/>
                <w:i/>
              </w:rPr>
              <w:t xml:space="preserve">moeten enkel </w:t>
            </w:r>
            <w:r>
              <w:t xml:space="preserve">mechanismen voor het delen van gegevens op basis van privacybevorderende technologieën die specifiek zijn ontworpen om deze beginselen toe te passen, </w:t>
            </w:r>
            <w:r>
              <w:rPr>
                <w:b/>
                <w:i/>
              </w:rPr>
              <w:t>worden gebruikt</w:t>
            </w:r>
            <w:r>
              <w:rPr>
                <w:b/>
                <w:i/>
              </w:rPr>
              <w:t xml:space="preserve"> voor de overdracht van persoonsgegevens</w:t>
            </w:r>
            <w:r>
              <w:t>.</w:t>
            </w:r>
          </w:p>
        </w:tc>
      </w:tr>
      <w:tr w:rsidR="005C4700" w:rsidTr="00586C6E">
        <w:trPr>
          <w:jc w:val="center"/>
        </w:trPr>
        <w:tc>
          <w:tcPr>
            <w:tcW w:w="4876" w:type="dxa"/>
          </w:tcPr>
          <w:p w:rsidR="001232DB" w:rsidRPr="00C377DA" w:rsidRDefault="00A41B8A" w:rsidP="00586C6E">
            <w:pPr>
              <w:pStyle w:val="Normal6"/>
            </w:pPr>
            <w:r>
              <w:t>__________________</w:t>
            </w:r>
          </w:p>
        </w:tc>
        <w:tc>
          <w:tcPr>
            <w:tcW w:w="4876" w:type="dxa"/>
          </w:tcPr>
          <w:p w:rsidR="001232DB" w:rsidRPr="00C377DA" w:rsidRDefault="00A41B8A" w:rsidP="00586C6E">
            <w:pPr>
              <w:pStyle w:val="Normal6"/>
              <w:rPr>
                <w:szCs w:val="24"/>
              </w:rPr>
            </w:pPr>
            <w:r>
              <w:t>__________________</w:t>
            </w:r>
          </w:p>
        </w:tc>
      </w:tr>
      <w:tr w:rsidR="005C4700" w:rsidTr="00586C6E">
        <w:trPr>
          <w:jc w:val="center"/>
        </w:trPr>
        <w:tc>
          <w:tcPr>
            <w:tcW w:w="4876" w:type="dxa"/>
          </w:tcPr>
          <w:p w:rsidR="001232DB" w:rsidRPr="00C377DA" w:rsidRDefault="00A41B8A" w:rsidP="00586C6E">
            <w:pPr>
              <w:pStyle w:val="Normal6"/>
            </w:pPr>
            <w:r>
              <w:rPr>
                <w:vertAlign w:val="superscript"/>
              </w:rPr>
              <w:t>37</w:t>
            </w:r>
            <w:r>
              <w:t xml:space="preserve"> Verordening (EU) 2016/679 van het Europees Parlement en de Raad van 27 april 2016 betreffende de bescherming van natuurlijke personen in verband met de verwerking van pers</w:t>
            </w:r>
            <w:r>
              <w:t>oonsgegevens en betreffende het vrije verkeer van die gegevens en tot intrekking van Richtlijn 95/46/EG (algemene verordening gegevensbescherming) (PB L 119 van 4.5.2016, blz. 1).</w:t>
            </w:r>
          </w:p>
        </w:tc>
        <w:tc>
          <w:tcPr>
            <w:tcW w:w="4876" w:type="dxa"/>
          </w:tcPr>
          <w:p w:rsidR="001232DB" w:rsidRPr="00C377DA" w:rsidRDefault="00A41B8A" w:rsidP="00586C6E">
            <w:pPr>
              <w:pStyle w:val="Normal6"/>
              <w:rPr>
                <w:szCs w:val="24"/>
              </w:rPr>
            </w:pPr>
            <w:r>
              <w:rPr>
                <w:vertAlign w:val="superscript"/>
              </w:rPr>
              <w:t>37</w:t>
            </w:r>
            <w:r>
              <w:t xml:space="preserve"> Verordening (EU) 2016/679 van het Europees Parlement en de Raad van 27 ap</w:t>
            </w:r>
            <w:r>
              <w:t>ril 2016 betreffende de bescherming van natuurlijke personen in verband met de verwerking van persoonsgegevens en betreffende het vrije verkeer van die gegevens en tot intrekking van Richtlijn 95/46/EG (algemene verordening gegevensbescherming) (PB L 119 v</w:t>
            </w:r>
            <w:r>
              <w:t>an 4.5.2016, blz. 1).</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6</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Overweging 30 bis (nieuw)</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1232DB" w:rsidP="00586C6E">
            <w:pPr>
              <w:pStyle w:val="Normal6"/>
              <w:rPr>
                <w:lang w:val="en-GB"/>
              </w:rPr>
            </w:pPr>
          </w:p>
        </w:tc>
        <w:tc>
          <w:tcPr>
            <w:tcW w:w="4876" w:type="dxa"/>
          </w:tcPr>
          <w:p w:rsidR="001232DB" w:rsidRPr="00C377DA" w:rsidRDefault="00A41B8A" w:rsidP="00586C6E">
            <w:pPr>
              <w:pStyle w:val="Normal6"/>
              <w:rPr>
                <w:szCs w:val="24"/>
              </w:rPr>
            </w:pPr>
            <w:r>
              <w:rPr>
                <w:b/>
                <w:i/>
              </w:rPr>
              <w:t>(30 bis)</w:t>
            </w:r>
            <w:r>
              <w:rPr>
                <w:b/>
                <w:i/>
              </w:rPr>
              <w:tab/>
              <w:t>De verwerking van gegevens uit</w:t>
            </w:r>
            <w:r>
              <w:rPr>
                <w:b/>
                <w:i/>
              </w:rPr>
              <w:t xml:space="preserve"> hoofde van deze verordening moet volledig in overeenstemming zijn met de waarborgen in verband met de </w:t>
            </w:r>
            <w:r>
              <w:rPr>
                <w:b/>
                <w:i/>
              </w:rPr>
              <w:lastRenderedPageBreak/>
              <w:t>verwerking voor statistische doeleinden krachtens artikel </w:t>
            </w:r>
            <w:r>
              <w:rPr>
                <w:b/>
                <w:i/>
              </w:rPr>
              <w:t>89 van Verordening (EU) 2016/679 betreffende de bescherming van natuurlijke personen in verband</w:t>
            </w:r>
            <w:r>
              <w:rPr>
                <w:b/>
                <w:i/>
              </w:rPr>
              <w:t xml:space="preserve"> met de verwerking van persoonsgegevens en betreffende het vrije verkeer van die gegevens (algemene verordening gegevensbescherming) en artikel 13 van de EUVG.</w:t>
            </w:r>
          </w:p>
        </w:tc>
      </w:tr>
    </w:tbl>
    <w:p w:rsidR="001232DB" w:rsidRPr="00C377DA" w:rsidRDefault="00A41B8A" w:rsidP="001232DB">
      <w:r>
        <w:rPr>
          <w:rStyle w:val="HideTWBExt"/>
        </w:rPr>
        <w:lastRenderedPageBreak/>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7</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w:t>
      </w:r>
      <w:r>
        <w:rPr>
          <w:rStyle w:val="HideTWBExt"/>
          <w:b w:val="0"/>
        </w:rPr>
        <w:t>&gt;</w:t>
      </w:r>
    </w:p>
    <w:p w:rsidR="001232DB" w:rsidRPr="00C377DA" w:rsidRDefault="00A41B8A" w:rsidP="001232DB">
      <w:pPr>
        <w:pStyle w:val="NormalBold"/>
      </w:pPr>
      <w:r>
        <w:rPr>
          <w:rStyle w:val="HideTWBExt"/>
          <w:b w:val="0"/>
        </w:rPr>
        <w:t>&lt;Article&gt;</w:t>
      </w:r>
      <w:r>
        <w:t>Overweging 33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(33)</w:t>
            </w:r>
            <w:r>
              <w:tab/>
              <w:t>Deze verordening doet geen afbreuk aan de Verordeningen (EU) 2016/679 en (EU) 2018/1725 en Richtlijn 2002/58/EG van het Europees Parlement en de Raad</w:t>
            </w:r>
            <w:r>
              <w:rPr>
                <w:vertAlign w:val="superscript"/>
              </w:rPr>
              <w:t>38</w:t>
            </w:r>
            <w:r>
              <w:t xml:space="preserve">. Binnen hun </w:t>
            </w:r>
            <w:r>
              <w:t>respectieve toepassingsgebied zijn laatstgenoemde verordeningen van toepassing op de verwerking van persoonsgegevens in het kader van deze verordening.</w:t>
            </w:r>
          </w:p>
        </w:tc>
        <w:tc>
          <w:tcPr>
            <w:tcW w:w="4876" w:type="dxa"/>
          </w:tcPr>
          <w:p w:rsidR="001232DB" w:rsidRPr="00C377DA" w:rsidRDefault="00A41B8A" w:rsidP="00586C6E">
            <w:pPr>
              <w:pStyle w:val="Normal6"/>
              <w:rPr>
                <w:szCs w:val="24"/>
              </w:rPr>
            </w:pPr>
            <w:r>
              <w:t>(33)</w:t>
            </w:r>
            <w:r>
              <w:tab/>
              <w:t>Deze verordening doet geen afbreuk aan de Verordeningen (EU) 2016/679 en (EU) 2018/1725 en Richtlij</w:t>
            </w:r>
            <w:r>
              <w:t>n 2002/58/EG van het Europees Parlement en de Raad</w:t>
            </w:r>
            <w:r>
              <w:rPr>
                <w:vertAlign w:val="superscript"/>
              </w:rPr>
              <w:t>38</w:t>
            </w:r>
            <w:r>
              <w:t xml:space="preserve">. Binnen hun respectieve toepassingsgebied zijn laatstgenoemde verordeningen van toepassing op de verwerking van persoonsgegevens in het kader van deze verordening. </w:t>
            </w:r>
            <w:r>
              <w:rPr>
                <w:b/>
                <w:i/>
              </w:rPr>
              <w:t>Met name verdient het gebruik van geano</w:t>
            </w:r>
            <w:r>
              <w:rPr>
                <w:b/>
                <w:i/>
              </w:rPr>
              <w:t>nimiseerde gegevens voor de productie van statistieken de voorkeur. Alleen als er geen statistieken kunnen worden geproduceerd op basis van geanonimiseerde gegevens, moeten er gepseudonimiseerde gegevens worden verwerkt.</w:t>
            </w:r>
          </w:p>
        </w:tc>
      </w:tr>
      <w:tr w:rsidR="005C4700" w:rsidTr="00586C6E">
        <w:trPr>
          <w:jc w:val="center"/>
        </w:trPr>
        <w:tc>
          <w:tcPr>
            <w:tcW w:w="4876" w:type="dxa"/>
          </w:tcPr>
          <w:p w:rsidR="001232DB" w:rsidRPr="00C377DA" w:rsidRDefault="00A41B8A" w:rsidP="00586C6E">
            <w:pPr>
              <w:pStyle w:val="Normal6"/>
            </w:pPr>
            <w:r>
              <w:t>__________________</w:t>
            </w:r>
          </w:p>
        </w:tc>
        <w:tc>
          <w:tcPr>
            <w:tcW w:w="4876" w:type="dxa"/>
          </w:tcPr>
          <w:p w:rsidR="001232DB" w:rsidRPr="00C377DA" w:rsidRDefault="00A41B8A" w:rsidP="00586C6E">
            <w:pPr>
              <w:pStyle w:val="Normal6"/>
              <w:rPr>
                <w:szCs w:val="24"/>
              </w:rPr>
            </w:pPr>
            <w:r>
              <w:t>_______________</w:t>
            </w:r>
            <w:r>
              <w:t>___</w:t>
            </w:r>
          </w:p>
        </w:tc>
      </w:tr>
      <w:tr w:rsidR="005C4700" w:rsidTr="00586C6E">
        <w:trPr>
          <w:jc w:val="center"/>
        </w:trPr>
        <w:tc>
          <w:tcPr>
            <w:tcW w:w="4876" w:type="dxa"/>
          </w:tcPr>
          <w:p w:rsidR="001232DB" w:rsidRPr="00C377DA" w:rsidRDefault="00A41B8A" w:rsidP="00586C6E">
            <w:pPr>
              <w:pStyle w:val="Normal6"/>
            </w:pPr>
            <w:r>
              <w:rPr>
                <w:vertAlign w:val="superscript"/>
              </w:rPr>
              <w:t>38</w:t>
            </w:r>
            <w:r>
              <w:t xml:space="preserve"> Richtlĳn 2002/58/EG van het Europees Parlement en de Raad van 12 juli 2002 betreffende de verwerking van persoonsgegevens en de bescherming van de persoonlĳke levenssfeer in de sector elektronische communicatie (richtlĳn betreffende privacy en elek</w:t>
            </w:r>
            <w:r>
              <w:t>tronische communicatie) (PB L 201 van 31.7.2002, blz. 37).</w:t>
            </w:r>
          </w:p>
        </w:tc>
        <w:tc>
          <w:tcPr>
            <w:tcW w:w="4876" w:type="dxa"/>
          </w:tcPr>
          <w:p w:rsidR="001232DB" w:rsidRPr="00C377DA" w:rsidRDefault="00A41B8A" w:rsidP="00586C6E">
            <w:pPr>
              <w:pStyle w:val="Normal6"/>
              <w:rPr>
                <w:szCs w:val="24"/>
              </w:rPr>
            </w:pPr>
            <w:r>
              <w:rPr>
                <w:vertAlign w:val="superscript"/>
              </w:rPr>
              <w:t>38</w:t>
            </w:r>
            <w:r>
              <w:t xml:space="preserve"> Richtlĳn 2002/58/EG van het Europees Parlement en de Raad van 12 juli 2002 betreffende de verwerking van persoonsgegevens en de bescherming van de persoonlĳke levenssfeer in de sector elektronis</w:t>
            </w:r>
            <w:r>
              <w:t>che communicatie (richtlĳn betreffende privacy en elektronische communicatie) (PB L 201 van 31.7.2002, blz. 37).</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lastRenderedPageBreak/>
        <w:t>&lt;Amend&gt;</w:t>
      </w:r>
      <w:r>
        <w:t>Amendement</w:t>
      </w:r>
      <w:r>
        <w:tab/>
      </w:r>
      <w:r>
        <w:tab/>
      </w:r>
      <w:r>
        <w:rPr>
          <w:rStyle w:val="HideTWBExt"/>
          <w:b w:val="0"/>
        </w:rPr>
        <w:t>&lt;NumAm&gt;</w:t>
      </w:r>
      <w:r>
        <w:t>8</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Overweging 35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 xml:space="preserve">Door de </w:t>
            </w:r>
            <w:r>
              <w:t>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(35)</w:t>
            </w:r>
            <w:r>
              <w:tab/>
              <w:t>Teneinde rekening te houden met demografische, economische en sociale trends en technologische ontwikkelingen, moet aan de Commissie de bevoegdheid worden overgedragen om overeenkomstig artikel 290 VWEU handeli</w:t>
            </w:r>
            <w:r>
              <w:t>ngen vast te stellen tot wijziging van de lijst, de beschrijving, de termijnen en de referentietijden van gedetailleerde onderwerpen die onder Europese statistieken over bevolking en huisvesting vallen; de termijnen en referentietijden in de bijlage bij de</w:t>
            </w:r>
            <w:r>
              <w:t>ze verordening bij te werken en de door de lidstaten op ad-hocbasis te verstrekken informatie te specificeren. Het is van bijzonder belang dat de Commissie bij haar voorbereidende werkzaamheden tot passende raadplegingen overgaat, onder meer op deskundigen</w:t>
            </w:r>
            <w:r>
              <w:t>niveau, en dat die raadplegingen gebeuren in overeenstemming met de beginselen die zijn vastgelegd in het Interinstitutioneel Akkoord van 13 april 2016 over beter wetgeven</w:t>
            </w:r>
            <w:r>
              <w:rPr>
                <w:vertAlign w:val="superscript"/>
              </w:rPr>
              <w:t>29</w:t>
            </w:r>
            <w:r>
              <w:t>. Met name om te zorgen voor gelijke deelname aan de voorbereiding van gedelegeerde</w:t>
            </w:r>
            <w:r>
              <w:t xml:space="preserve"> handelingen ontvangen het Europees Parlement en de Raad alle documenten op hetzelfde tijdstip als de deskundigen van de lidstaten, en hebben hun deskundigen systematisch toegang tot de vergaderingen van de deskundigengroepen van de Commissie die zich bezi</w:t>
            </w:r>
            <w:r>
              <w:t>ghouden met de voorbereiding van de gedelegeerde handelingen.</w:t>
            </w:r>
          </w:p>
        </w:tc>
        <w:tc>
          <w:tcPr>
            <w:tcW w:w="4876" w:type="dxa"/>
          </w:tcPr>
          <w:p w:rsidR="001232DB" w:rsidRPr="00C377DA" w:rsidRDefault="00A41B8A" w:rsidP="00586C6E">
            <w:pPr>
              <w:pStyle w:val="Normal6"/>
              <w:rPr>
                <w:szCs w:val="24"/>
              </w:rPr>
            </w:pPr>
            <w:r>
              <w:t>(35)</w:t>
            </w:r>
            <w:r>
              <w:tab/>
              <w:t>Teneinde rekening te houden met demografische, economische en sociale trends en technologische ontwikkelingen, moet aan de Commissie de bevoegdheid worden overgedragen om overeenkomstig art</w:t>
            </w:r>
            <w:r>
              <w:t>ikel 290 VWEU handelingen vast te stellen tot wijziging van de lijst, de beschrijving, de termijnen en de referentietijden van gedetailleerde onderwerpen die onder Europese statistieken over bevolking en huisvesting vallen; de termijnen en referentietijden</w:t>
            </w:r>
            <w:r>
              <w:t xml:space="preserve"> in de bijlage bij deze verordening bij te werken</w:t>
            </w:r>
            <w:r>
              <w:rPr>
                <w:b/>
                <w:i/>
              </w:rPr>
              <w:t>; een lijst op te stellen van andere soorten gegevensbronnen die voor de productie van statistieken kunnen worden gebruikt</w:t>
            </w:r>
            <w:r>
              <w:t xml:space="preserve"> en de door de lidstaten op ad-hocbasis te verstrekken informatie te specificeren. </w:t>
            </w:r>
            <w:r>
              <w:t>Het is van bijzonder belang dat de Commissie bij haar voorbereidende werkzaamheden tot passende raadplegingen overgaat, onder meer op deskundigenniveau, en dat die raadplegingen gebeuren in overeenstemming met de beginselen die zijn vastgelegd in het Inter</w:t>
            </w:r>
            <w:r>
              <w:t>institutioneel Akkoord van 13 april 2016 over beter wetgeven</w:t>
            </w:r>
            <w:r>
              <w:rPr>
                <w:vertAlign w:val="superscript"/>
              </w:rPr>
              <w:t>29</w:t>
            </w:r>
            <w:r>
              <w:t>. Met name om te zorgen voor gelijke deelname aan de voorbereiding van gedelegeerde handelingen ontvangen het Europees Parlement en de Raad alle documenten op hetzelfde tijdstip als de deskundig</w:t>
            </w:r>
            <w:r>
              <w:t>en van de lidstaten, en hebben hun deskundigen systematisch toegang tot de vergaderingen van de deskundigengroepen van de Commissie die zich bezighouden met de voorbereiding van de gedelegeerde handelingen.</w:t>
            </w:r>
          </w:p>
        </w:tc>
      </w:tr>
      <w:tr w:rsidR="005C4700" w:rsidTr="00586C6E">
        <w:trPr>
          <w:jc w:val="center"/>
        </w:trPr>
        <w:tc>
          <w:tcPr>
            <w:tcW w:w="4876" w:type="dxa"/>
          </w:tcPr>
          <w:p w:rsidR="001232DB" w:rsidRPr="00C377DA" w:rsidRDefault="00A41B8A" w:rsidP="00586C6E">
            <w:pPr>
              <w:pStyle w:val="Normal6"/>
            </w:pPr>
            <w:r>
              <w:t>__________________</w:t>
            </w:r>
          </w:p>
        </w:tc>
        <w:tc>
          <w:tcPr>
            <w:tcW w:w="4876" w:type="dxa"/>
          </w:tcPr>
          <w:p w:rsidR="001232DB" w:rsidRPr="00C377DA" w:rsidRDefault="00A41B8A" w:rsidP="00586C6E">
            <w:pPr>
              <w:pStyle w:val="Normal6"/>
              <w:rPr>
                <w:szCs w:val="24"/>
              </w:rPr>
            </w:pPr>
            <w:r>
              <w:t>__________________</w:t>
            </w:r>
          </w:p>
        </w:tc>
      </w:tr>
      <w:tr w:rsidR="005C4700" w:rsidTr="00586C6E">
        <w:trPr>
          <w:jc w:val="center"/>
        </w:trPr>
        <w:tc>
          <w:tcPr>
            <w:tcW w:w="4876" w:type="dxa"/>
          </w:tcPr>
          <w:p w:rsidR="001232DB" w:rsidRPr="00C377DA" w:rsidRDefault="00A41B8A" w:rsidP="00586C6E">
            <w:pPr>
              <w:pStyle w:val="Normal6"/>
            </w:pPr>
            <w:r>
              <w:rPr>
                <w:vertAlign w:val="superscript"/>
              </w:rPr>
              <w:t>39</w:t>
            </w:r>
            <w:r>
              <w:t xml:space="preserve"> PB L 1</w:t>
            </w:r>
            <w:r>
              <w:t>23 van 12.5.2016, blz. 1.</w:t>
            </w:r>
          </w:p>
        </w:tc>
        <w:tc>
          <w:tcPr>
            <w:tcW w:w="4876" w:type="dxa"/>
          </w:tcPr>
          <w:p w:rsidR="001232DB" w:rsidRPr="00C377DA" w:rsidRDefault="00A41B8A" w:rsidP="00586C6E">
            <w:pPr>
              <w:pStyle w:val="Normal6"/>
              <w:rPr>
                <w:szCs w:val="24"/>
              </w:rPr>
            </w:pPr>
            <w:r>
              <w:rPr>
                <w:vertAlign w:val="superscript"/>
              </w:rPr>
              <w:t>39</w:t>
            </w:r>
            <w:r>
              <w:t xml:space="preserve"> PB L 123 van 12.5.2016, blz. 1.</w:t>
            </w:r>
          </w:p>
        </w:tc>
      </w:tr>
    </w:tbl>
    <w:p w:rsidR="001232DB" w:rsidRPr="00C377DA" w:rsidRDefault="00A41B8A" w:rsidP="001232DB">
      <w:r>
        <w:rPr>
          <w:rStyle w:val="HideTWBExt"/>
        </w:rPr>
        <w:lastRenderedPageBreak/>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9</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Artikel 2 – alinea 1 – punt 8 bis (nieuw)</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 xml:space="preserve">Door de Commissie voorgestelde </w:t>
            </w:r>
            <w:r>
              <w:t>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1232DB" w:rsidP="00586C6E">
            <w:pPr>
              <w:pStyle w:val="Normal6"/>
              <w:rPr>
                <w:lang w:val="en-GB"/>
              </w:rPr>
            </w:pPr>
          </w:p>
        </w:tc>
        <w:tc>
          <w:tcPr>
            <w:tcW w:w="4876" w:type="dxa"/>
          </w:tcPr>
          <w:p w:rsidR="001232DB" w:rsidRPr="00C377DA" w:rsidRDefault="00A41B8A" w:rsidP="00586C6E">
            <w:pPr>
              <w:pStyle w:val="Normal6"/>
              <w:rPr>
                <w:szCs w:val="24"/>
              </w:rPr>
            </w:pPr>
            <w:r>
              <w:rPr>
                <w:b/>
                <w:i/>
              </w:rPr>
              <w:t>8 bis)</w:t>
            </w:r>
            <w:r>
              <w:rPr>
                <w:b/>
                <w:i/>
              </w:rPr>
              <w:tab/>
              <w:t>“moeilijk te bereiken bevolkingsgroepen”: groepen personen voor wie er een reële of veronderstelde belemmering bestaat om volledig en representatief te worden opgenomen in de verzameling statistische gegevens;</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10</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Artikel 9 – lid 5 bis (nieuw)</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1232DB" w:rsidP="00586C6E">
            <w:pPr>
              <w:pStyle w:val="Normal6"/>
              <w:rPr>
                <w:lang w:val="en-GB"/>
              </w:rPr>
            </w:pPr>
          </w:p>
        </w:tc>
        <w:tc>
          <w:tcPr>
            <w:tcW w:w="4876" w:type="dxa"/>
          </w:tcPr>
          <w:p w:rsidR="001232DB" w:rsidRPr="00C377DA" w:rsidRDefault="00A41B8A" w:rsidP="00586C6E">
            <w:pPr>
              <w:pStyle w:val="Normal6"/>
              <w:rPr>
                <w:szCs w:val="24"/>
              </w:rPr>
            </w:pPr>
            <w:r>
              <w:rPr>
                <w:b/>
                <w:i/>
              </w:rPr>
              <w:t>5 bis.</w:t>
            </w:r>
            <w:r>
              <w:rPr>
                <w:b/>
                <w:i/>
              </w:rPr>
              <w:tab/>
              <w:t>De Commissie is bevoegd overeenkomstig artikel 17 gedelegeerde han</w:t>
            </w:r>
            <w:r>
              <w:rPr>
                <w:b/>
                <w:i/>
              </w:rPr>
              <w:t>delingen vast te stellen teneinde deze verordening aan te vullen, door een lijst van soorten gegevensbronnen op te stellen voor de toepassing van lid 1, punt c), van dit artikel. De gedelegeerde handelingen worden ten minste twaalf maanden voor het begin v</w:t>
            </w:r>
            <w:r>
              <w:rPr>
                <w:b/>
                <w:i/>
              </w:rPr>
              <w:t>an het gebruik van de desbetreffende gegevensbronnen vastgesteld. In die gedelegeerde handelingen worden de lidstaten niet belast met voorschriften die alleen uitvoerbaar zijn door rechtstreeks gegevens van personen te verzamelen, of taken die onder het to</w:t>
            </w:r>
            <w:r>
              <w:rPr>
                <w:b/>
                <w:i/>
              </w:rPr>
              <w:t>epassingsgebied van Verordening (EU) 2019/1700 vallen. Daarnaast wordt de lidstaten in geen enkele gedelegeerde handeling verzocht speciale categorieën persoonsgegevens zoals gedefinieerd in Verordening (EU) </w:t>
            </w:r>
            <w:r>
              <w:rPr>
                <w:b/>
                <w:i/>
              </w:rPr>
              <w:t>2016/679, artikel 9, te verzamelen of te onderzo</w:t>
            </w:r>
            <w:r>
              <w:rPr>
                <w:b/>
                <w:i/>
              </w:rPr>
              <w:t>eken.</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lastRenderedPageBreak/>
        <w:t>&lt;Amend&gt;</w:t>
      </w:r>
      <w:r>
        <w:t>Amendement</w:t>
      </w:r>
      <w:r>
        <w:tab/>
      </w:r>
      <w:r>
        <w:tab/>
      </w:r>
      <w:r>
        <w:rPr>
          <w:rStyle w:val="HideTWBExt"/>
          <w:b w:val="0"/>
        </w:rPr>
        <w:t>&lt;NumAm&gt;</w:t>
      </w:r>
      <w:r>
        <w:t>11</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Artikel 12 – lid 2 – punt f</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f)</w:t>
            </w:r>
            <w:r>
              <w:tab/>
            </w:r>
            <w:r>
              <w:rPr>
                <w:b/>
                <w:i/>
              </w:rPr>
              <w:t>de asymmetrie</w:t>
            </w:r>
            <w:r>
              <w:t xml:space="preserve"> van </w:t>
            </w:r>
            <w:r>
              <w:rPr>
                <w:b/>
                <w:i/>
              </w:rPr>
              <w:t>migratiestromen</w:t>
            </w:r>
            <w:r>
              <w:t xml:space="preserve"> te </w:t>
            </w:r>
            <w:r>
              <w:rPr>
                <w:b/>
                <w:i/>
              </w:rPr>
              <w:t>verminderen</w:t>
            </w:r>
            <w:r>
              <w:t>;</w:t>
            </w:r>
          </w:p>
        </w:tc>
        <w:tc>
          <w:tcPr>
            <w:tcW w:w="4876" w:type="dxa"/>
          </w:tcPr>
          <w:p w:rsidR="001232DB" w:rsidRPr="00C377DA" w:rsidRDefault="00A41B8A" w:rsidP="00586C6E">
            <w:pPr>
              <w:pStyle w:val="Normal6"/>
              <w:rPr>
                <w:szCs w:val="24"/>
              </w:rPr>
            </w:pPr>
            <w:r>
              <w:t>f)</w:t>
            </w:r>
            <w:r>
              <w:tab/>
            </w:r>
            <w:r>
              <w:rPr>
                <w:b/>
                <w:i/>
              </w:rPr>
              <w:t>mogelijke risico’s</w:t>
            </w:r>
            <w:r>
              <w:t xml:space="preserve"> van </w:t>
            </w:r>
            <w:r>
              <w:rPr>
                <w:b/>
                <w:i/>
              </w:rPr>
              <w:t>dubbeltellingen te vermijden en</w:t>
            </w:r>
            <w:r>
              <w:t xml:space="preserve"> te </w:t>
            </w:r>
            <w:r>
              <w:rPr>
                <w:b/>
                <w:i/>
              </w:rPr>
              <w:t>zorgen voor een betere vergelijkbaarheid van migratiestromen</w:t>
            </w:r>
            <w:r>
              <w:t>;</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12</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Artikel 13 – lid 3 – punt</w:t>
      </w:r>
      <w:r>
        <w:t xml:space="preserve"> b</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b)</w:t>
            </w:r>
            <w:r>
              <w:tab/>
            </w:r>
            <w:r>
              <w:rPr>
                <w:b/>
                <w:i/>
              </w:rPr>
              <w:t xml:space="preserve">bij voorkeur </w:t>
            </w:r>
            <w:r>
              <w:t>is gebaseerd op privacybevorderende technologieën die specifiek zijn ontworpen om de beginselen van de Verordeningen (EU) 2016/679 en (EU) </w:t>
            </w:r>
            <w:bookmarkStart w:id="3" w:name="_GoBack"/>
            <w:bookmarkEnd w:id="3"/>
            <w:r>
              <w:t>2018/1725 toe te passen, met bijzonde</w:t>
            </w:r>
            <w:r>
              <w:t>re aandacht voor doelbinding, gegevensminimalisering, opslagbeperking, integriteit en vertrouwelijkheid;</w:t>
            </w:r>
          </w:p>
        </w:tc>
        <w:tc>
          <w:tcPr>
            <w:tcW w:w="4876" w:type="dxa"/>
          </w:tcPr>
          <w:p w:rsidR="001232DB" w:rsidRPr="00C377DA" w:rsidRDefault="00A41B8A" w:rsidP="00586C6E">
            <w:pPr>
              <w:pStyle w:val="Normal6"/>
              <w:rPr>
                <w:szCs w:val="24"/>
              </w:rPr>
            </w:pPr>
            <w:r>
              <w:t>b)</w:t>
            </w:r>
            <w:r>
              <w:tab/>
              <w:t>is gebaseerd op privacybevorderende technologieën die specifiek zijn ontworpen om de beginselen van de Verordeningen (EU) 2016/679 en (EU) </w:t>
            </w:r>
            <w:r>
              <w:t>2018/1725</w:t>
            </w:r>
            <w:r>
              <w:t xml:space="preserve"> toe te passen, met bijzondere aandacht voor doelbinding, gegevensminimalisering, opslagbeperking, integriteit en vertrouwelijkheid;</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13</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 xml:space="preserve">Artikel 14 – </w:t>
      </w:r>
      <w:r>
        <w:t>lid 1 – punt d</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A41B8A" w:rsidP="00586C6E">
            <w:pPr>
              <w:pStyle w:val="Normal6"/>
            </w:pPr>
            <w:r>
              <w:t>d)</w:t>
            </w:r>
            <w:r>
              <w:tab/>
            </w:r>
            <w:r>
              <w:rPr>
                <w:b/>
                <w:i/>
              </w:rPr>
              <w:t>de vermindering</w:t>
            </w:r>
            <w:r>
              <w:t xml:space="preserve"> van </w:t>
            </w:r>
            <w:r>
              <w:rPr>
                <w:b/>
                <w:i/>
              </w:rPr>
              <w:t>de asymmetrieën</w:t>
            </w:r>
            <w:r>
              <w:t xml:space="preserve"> van </w:t>
            </w:r>
            <w:r>
              <w:rPr>
                <w:b/>
                <w:i/>
              </w:rPr>
              <w:t>migratiestromen</w:t>
            </w:r>
            <w:r>
              <w:t>;</w:t>
            </w:r>
          </w:p>
        </w:tc>
        <w:tc>
          <w:tcPr>
            <w:tcW w:w="4876" w:type="dxa"/>
          </w:tcPr>
          <w:p w:rsidR="001232DB" w:rsidRPr="00C377DA" w:rsidRDefault="00A41B8A" w:rsidP="00586C6E">
            <w:pPr>
              <w:pStyle w:val="Normal6"/>
              <w:rPr>
                <w:szCs w:val="24"/>
              </w:rPr>
            </w:pPr>
            <w:r>
              <w:t>d)</w:t>
            </w:r>
            <w:r>
              <w:tab/>
            </w:r>
            <w:r>
              <w:rPr>
                <w:b/>
                <w:i/>
              </w:rPr>
              <w:t>een betere vergelijkbaarheid</w:t>
            </w:r>
            <w:r>
              <w:t xml:space="preserve"> van </w:t>
            </w:r>
            <w:r>
              <w:rPr>
                <w:b/>
                <w:i/>
              </w:rPr>
              <w:t>migratiestromen en het voorkomen</w:t>
            </w:r>
            <w:r>
              <w:t xml:space="preserve"> van </w:t>
            </w:r>
            <w:r>
              <w:rPr>
                <w:b/>
                <w:i/>
              </w:rPr>
              <w:t>mogelijke risico’s van dubbeltellingen</w:t>
            </w:r>
            <w:r>
              <w:t>;</w:t>
            </w:r>
          </w:p>
        </w:tc>
      </w:tr>
    </w:tbl>
    <w:p w:rsidR="001232DB" w:rsidRPr="00C377DA" w:rsidRDefault="00A41B8A" w:rsidP="001232DB">
      <w:r>
        <w:rPr>
          <w:rStyle w:val="HideTWBExt"/>
        </w:rPr>
        <w:t>&lt;/Amend&gt;</w:t>
      </w:r>
    </w:p>
    <w:p w:rsidR="001232DB" w:rsidRPr="00C377DA" w:rsidRDefault="00A41B8A" w:rsidP="001232DB">
      <w:pPr>
        <w:pStyle w:val="AmNumberTabs"/>
      </w:pPr>
      <w:r>
        <w:rPr>
          <w:rStyle w:val="HideTWBExt"/>
          <w:b w:val="0"/>
        </w:rPr>
        <w:t>&lt;Amend&gt;</w:t>
      </w:r>
      <w:r>
        <w:t>Amendement</w:t>
      </w:r>
      <w:r>
        <w:tab/>
      </w:r>
      <w:r>
        <w:tab/>
      </w:r>
      <w:r>
        <w:rPr>
          <w:rStyle w:val="HideTWBExt"/>
          <w:b w:val="0"/>
        </w:rPr>
        <w:t>&lt;NumAm&gt;</w:t>
      </w:r>
      <w:r>
        <w:t>14</w:t>
      </w:r>
      <w:r>
        <w:rPr>
          <w:rStyle w:val="HideTWBExt"/>
          <w:b w:val="0"/>
        </w:rPr>
        <w:t>&lt;/NumAm&gt;</w:t>
      </w:r>
    </w:p>
    <w:p w:rsidR="001232DB" w:rsidRPr="00C377DA" w:rsidRDefault="001232DB" w:rsidP="001232DB"/>
    <w:p w:rsidR="001232DB" w:rsidRPr="00C377DA" w:rsidRDefault="00A41B8A" w:rsidP="001232DB">
      <w:pPr>
        <w:pStyle w:val="NormalBold"/>
        <w:keepNext/>
      </w:pPr>
      <w:r>
        <w:rPr>
          <w:rStyle w:val="HideTWBExt"/>
          <w:b w:val="0"/>
        </w:rPr>
        <w:t>&lt;DocAmend&gt;</w:t>
      </w:r>
      <w:r>
        <w:t>Voorstel voor een verordening</w:t>
      </w:r>
      <w:r>
        <w:rPr>
          <w:rStyle w:val="HideTWBExt"/>
          <w:b w:val="0"/>
        </w:rPr>
        <w:t>&lt;/DocAmend&gt;</w:t>
      </w:r>
    </w:p>
    <w:p w:rsidR="001232DB" w:rsidRPr="00C377DA" w:rsidRDefault="00A41B8A" w:rsidP="001232DB">
      <w:pPr>
        <w:pStyle w:val="NormalBold"/>
      </w:pPr>
      <w:r>
        <w:rPr>
          <w:rStyle w:val="HideTWBExt"/>
          <w:b w:val="0"/>
        </w:rPr>
        <w:t>&lt;Article&gt;</w:t>
      </w:r>
      <w:r>
        <w:t>Artikel 20 – alinea 1 – punt 3 bis (nieuw)</w:t>
      </w:r>
      <w:r>
        <w:rPr>
          <w:rStyle w:val="HideTWBExt"/>
          <w:b w:val="0"/>
        </w:rPr>
        <w:t>&lt;/Article&gt;</w:t>
      </w:r>
    </w:p>
    <w:p w:rsidR="001232DB" w:rsidRPr="00C377DA" w:rsidRDefault="00A41B8A" w:rsidP="001232DB">
      <w:pPr>
        <w:keepNext/>
      </w:pPr>
      <w:r>
        <w:rPr>
          <w:rStyle w:val="HideTWBExt"/>
        </w:rPr>
        <w:t>&lt;DocAmend2&gt;</w:t>
      </w:r>
      <w:r>
        <w:t>Verordening (EG) nr. 862/2007</w:t>
      </w:r>
      <w:r>
        <w:rPr>
          <w:rStyle w:val="HideTWBExt"/>
        </w:rPr>
        <w:t>&lt;/DocAmend2&gt;</w:t>
      </w:r>
    </w:p>
    <w:p w:rsidR="001232DB" w:rsidRPr="00C377DA" w:rsidRDefault="00A41B8A" w:rsidP="001232DB">
      <w:r>
        <w:rPr>
          <w:rStyle w:val="HideTWBExt"/>
        </w:rPr>
        <w:t>&lt;Article2&gt;</w:t>
      </w:r>
      <w:r>
        <w:t>Artikel 2 – lid 1 – punt d</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C4700" w:rsidTr="00586C6E">
        <w:trPr>
          <w:jc w:val="center"/>
        </w:trPr>
        <w:tc>
          <w:tcPr>
            <w:tcW w:w="9752" w:type="dxa"/>
            <w:gridSpan w:val="2"/>
          </w:tcPr>
          <w:p w:rsidR="001232DB" w:rsidRPr="00C377DA" w:rsidRDefault="001232DB" w:rsidP="00586C6E">
            <w:pPr>
              <w:keepNext/>
            </w:pPr>
          </w:p>
        </w:tc>
      </w:tr>
      <w:tr w:rsidR="005C4700" w:rsidTr="00586C6E">
        <w:trPr>
          <w:jc w:val="center"/>
        </w:trPr>
        <w:tc>
          <w:tcPr>
            <w:tcW w:w="4876" w:type="dxa"/>
          </w:tcPr>
          <w:p w:rsidR="001232DB" w:rsidRPr="00C377DA" w:rsidRDefault="00A41B8A" w:rsidP="00586C6E">
            <w:pPr>
              <w:pStyle w:val="ColumnHeading"/>
              <w:keepNext/>
            </w:pPr>
            <w:r>
              <w:t>Door de Commissie voorgestelde tekst</w:t>
            </w:r>
          </w:p>
        </w:tc>
        <w:tc>
          <w:tcPr>
            <w:tcW w:w="4876" w:type="dxa"/>
          </w:tcPr>
          <w:p w:rsidR="001232DB" w:rsidRPr="00C377DA" w:rsidRDefault="00A41B8A" w:rsidP="00586C6E">
            <w:pPr>
              <w:pStyle w:val="ColumnHeading"/>
              <w:keepNext/>
            </w:pPr>
            <w:r>
              <w:t>Amendement</w:t>
            </w:r>
          </w:p>
        </w:tc>
      </w:tr>
      <w:tr w:rsidR="005C4700" w:rsidTr="00586C6E">
        <w:trPr>
          <w:jc w:val="center"/>
        </w:trPr>
        <w:tc>
          <w:tcPr>
            <w:tcW w:w="4876" w:type="dxa"/>
          </w:tcPr>
          <w:p w:rsidR="001232DB" w:rsidRPr="00C377DA" w:rsidRDefault="001232DB" w:rsidP="00586C6E">
            <w:pPr>
              <w:pStyle w:val="Normal6"/>
              <w:rPr>
                <w:lang w:val="en-GB"/>
              </w:rPr>
            </w:pPr>
          </w:p>
        </w:tc>
        <w:tc>
          <w:tcPr>
            <w:tcW w:w="4876" w:type="dxa"/>
          </w:tcPr>
          <w:p w:rsidR="001232DB" w:rsidRPr="00C377DA" w:rsidRDefault="00A41B8A" w:rsidP="00586C6E">
            <w:pPr>
              <w:pStyle w:val="Normal6"/>
              <w:rPr>
                <w:szCs w:val="24"/>
              </w:rPr>
            </w:pPr>
            <w:r>
              <w:rPr>
                <w:b/>
                <w:i/>
              </w:rPr>
              <w:t>3 bis)</w:t>
            </w:r>
            <w:r>
              <w:rPr>
                <w:b/>
                <w:i/>
              </w:rPr>
              <w:tab/>
              <w:t xml:space="preserve">In artikel 2, lid 1, wordt punt d) vervangen door: “burgerschap”: burgerschap zoals gedefinieerd in artikel 2, lid 1, van Verordening (EU) XXXX/2023 van het Europees Parlement en de </w:t>
            </w:r>
            <w:r>
              <w:rPr>
                <w:b/>
                <w:i/>
              </w:rPr>
              <w:t>Raad.</w:t>
            </w:r>
            <w:r>
              <w:rPr>
                <w:b/>
                <w:i/>
                <w:vertAlign w:val="superscript"/>
              </w:rPr>
              <w:t>+</w:t>
            </w:r>
          </w:p>
        </w:tc>
      </w:tr>
      <w:tr w:rsidR="005C4700" w:rsidTr="00586C6E">
        <w:trPr>
          <w:jc w:val="center"/>
        </w:trPr>
        <w:tc>
          <w:tcPr>
            <w:tcW w:w="4876" w:type="dxa"/>
          </w:tcPr>
          <w:p w:rsidR="001232DB" w:rsidRPr="00C377DA" w:rsidRDefault="001232DB" w:rsidP="00586C6E">
            <w:pPr>
              <w:pStyle w:val="Normal6"/>
              <w:rPr>
                <w:lang w:val="en-GB"/>
              </w:rPr>
            </w:pPr>
          </w:p>
        </w:tc>
        <w:tc>
          <w:tcPr>
            <w:tcW w:w="4876" w:type="dxa"/>
          </w:tcPr>
          <w:p w:rsidR="001232DB" w:rsidRPr="00C377DA" w:rsidRDefault="00A41B8A" w:rsidP="00586C6E">
            <w:pPr>
              <w:pStyle w:val="Normal6"/>
              <w:rPr>
                <w:szCs w:val="24"/>
              </w:rPr>
            </w:pPr>
            <w:r>
              <w:rPr>
                <w:b/>
                <w:i/>
              </w:rPr>
              <w:t>__________________</w:t>
            </w:r>
          </w:p>
        </w:tc>
      </w:tr>
      <w:tr w:rsidR="005C4700" w:rsidTr="00586C6E">
        <w:trPr>
          <w:jc w:val="center"/>
        </w:trPr>
        <w:tc>
          <w:tcPr>
            <w:tcW w:w="4876" w:type="dxa"/>
          </w:tcPr>
          <w:p w:rsidR="001232DB" w:rsidRPr="00C377DA" w:rsidRDefault="001232DB" w:rsidP="00586C6E">
            <w:pPr>
              <w:pStyle w:val="Normal6"/>
              <w:rPr>
                <w:lang w:val="en-GB"/>
              </w:rPr>
            </w:pPr>
          </w:p>
        </w:tc>
        <w:tc>
          <w:tcPr>
            <w:tcW w:w="4876" w:type="dxa"/>
          </w:tcPr>
          <w:p w:rsidR="001232DB" w:rsidRPr="00C377DA" w:rsidRDefault="00A41B8A" w:rsidP="00586C6E">
            <w:pPr>
              <w:pStyle w:val="Normal6"/>
              <w:rPr>
                <w:szCs w:val="24"/>
              </w:rPr>
            </w:pPr>
            <w:r>
              <w:rPr>
                <w:vertAlign w:val="superscript"/>
              </w:rPr>
              <w:t>+</w:t>
            </w:r>
            <w:r>
              <w:t xml:space="preserve"> </w:t>
            </w:r>
            <w:r>
              <w:rPr>
                <w:b/>
                <w:i/>
              </w:rPr>
              <w:t>PB: gelieve in de tekst het nummer van de verordening in document PE-CONS (2023/0008(COD)) in te voegen en in de voetnoot het nummer, de datum, de titel en de PB-referentie van die verordening.”</w:t>
            </w:r>
          </w:p>
        </w:tc>
      </w:tr>
    </w:tbl>
    <w:p w:rsidR="001232DB" w:rsidRPr="00C377DA" w:rsidRDefault="00A41B8A" w:rsidP="001232DB">
      <w:r>
        <w:rPr>
          <w:rStyle w:val="HideTWBExt"/>
        </w:rPr>
        <w:t>&lt;/Amend&gt;</w:t>
      </w:r>
    </w:p>
    <w:p w:rsidR="001232DB" w:rsidRPr="00C377DA" w:rsidRDefault="001232DB" w:rsidP="001232DB">
      <w:pPr>
        <w:rPr>
          <w:rStyle w:val="HideTWBExt"/>
          <w:szCs w:val="20"/>
        </w:rPr>
      </w:pPr>
    </w:p>
    <w:p w:rsidR="001232DB" w:rsidRPr="00C377DA" w:rsidRDefault="00A41B8A" w:rsidP="001232DB">
      <w:r>
        <w:rPr>
          <w:rStyle w:val="HideTWBExt"/>
        </w:rPr>
        <w:t>&lt;/RepeatBlock-Amen</w:t>
      </w:r>
      <w:r>
        <w:rPr>
          <w:rStyle w:val="HideTWBExt"/>
        </w:rPr>
        <w:t>d&gt;</w:t>
      </w:r>
    </w:p>
    <w:p w:rsidR="005905FD" w:rsidRPr="005905FD" w:rsidRDefault="00A41B8A" w:rsidP="001232DB">
      <w:pPr>
        <w:pStyle w:val="Normal12a"/>
      </w:pPr>
      <w:r>
        <w:br w:type="page"/>
      </w:r>
    </w:p>
    <w:p w:rsidR="005905FD" w:rsidRDefault="00A41B8A" w:rsidP="005905FD">
      <w:pPr>
        <w:pStyle w:val="PageHeadingNotTOC"/>
      </w:pPr>
      <w:bookmarkStart w:id="4" w:name="ProcPageAD"/>
      <w:r>
        <w:lastRenderedPageBreak/>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C47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Statistieken over bevolking en huisvesting, tot wijziging van Verordening (EG) nr. 862/2007 en tot intrekking van de Verordeningen (EG) nr. 763/2008 en (EU) nr. 1260/2013</w:t>
            </w:r>
          </w:p>
        </w:tc>
      </w:tr>
      <w:tr w:rsidR="005C470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COM(2023)0031 – C9-0010/2023 – 2023/0008(COD)</w:t>
            </w:r>
          </w:p>
        </w:tc>
      </w:tr>
      <w:tr w:rsidR="005C47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Bevoegde commissie</w:t>
            </w:r>
          </w:p>
          <w:p w:rsidR="005905FD" w:rsidRDefault="00A41B8A">
            <w:pPr>
              <w:autoSpaceDE w:val="0"/>
              <w:autoSpaceDN w:val="0"/>
              <w:adjustRightInd w:val="0"/>
              <w:rPr>
                <w:color w:val="000000"/>
                <w:sz w:val="20"/>
                <w:szCs w:val="20"/>
              </w:rPr>
            </w:pPr>
            <w:r>
              <w:rPr>
                <w:color w:val="000000"/>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EMPL</w:t>
            </w:r>
          </w:p>
          <w:p w:rsidR="005905FD" w:rsidRDefault="00A41B8A">
            <w:pPr>
              <w:autoSpaceDE w:val="0"/>
              <w:autoSpaceDN w:val="0"/>
              <w:adjustRightInd w:val="0"/>
              <w:rPr>
                <w:color w:val="000000"/>
                <w:sz w:val="20"/>
                <w:szCs w:val="20"/>
              </w:rPr>
            </w:pPr>
            <w:r>
              <w:rPr>
                <w:color w:val="000000"/>
                <w:sz w:val="20"/>
              </w:rPr>
              <w:t>26.1.2023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05FD" w:rsidRDefault="005905F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05FD" w:rsidRDefault="005905F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05FD" w:rsidRDefault="005905FD">
            <w:pPr>
              <w:autoSpaceDE w:val="0"/>
              <w:autoSpaceDN w:val="0"/>
              <w:adjustRightInd w:val="0"/>
              <w:rPr>
                <w:rFonts w:ascii="sans-serif" w:hAnsi="sans-serif" w:cs="sans-serif"/>
                <w:color w:val="000000"/>
              </w:rPr>
            </w:pPr>
          </w:p>
        </w:tc>
      </w:tr>
      <w:tr w:rsidR="005C47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Advies uitgebracht door</w:t>
            </w:r>
          </w:p>
          <w:p w:rsidR="005905FD" w:rsidRDefault="00A41B8A">
            <w:pPr>
              <w:autoSpaceDE w:val="0"/>
              <w:autoSpaceDN w:val="0"/>
              <w:adjustRightInd w:val="0"/>
              <w:rPr>
                <w:color w:val="000000"/>
                <w:sz w:val="20"/>
                <w:szCs w:val="20"/>
              </w:rPr>
            </w:pPr>
            <w:r>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LIBE</w:t>
            </w:r>
          </w:p>
          <w:p w:rsidR="005905FD" w:rsidRDefault="00A41B8A">
            <w:pPr>
              <w:autoSpaceDE w:val="0"/>
              <w:autoSpaceDN w:val="0"/>
              <w:adjustRightInd w:val="0"/>
              <w:rPr>
                <w:color w:val="000000"/>
                <w:sz w:val="20"/>
                <w:szCs w:val="20"/>
              </w:rPr>
            </w:pPr>
            <w:r>
              <w:rPr>
                <w:color w:val="000000"/>
                <w:sz w:val="20"/>
              </w:rPr>
              <w:t>26.1.2023</w:t>
            </w:r>
          </w:p>
        </w:tc>
      </w:tr>
      <w:tr w:rsidR="005C470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Medeverantwoordelijke commissies - datum bekendmaking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20.4.2023</w:t>
            </w:r>
          </w:p>
        </w:tc>
      </w:tr>
      <w:tr w:rsidR="005C47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 xml:space="preserve">Rapporteur </w:t>
            </w:r>
            <w:r>
              <w:rPr>
                <w:b/>
                <w:color w:val="000000"/>
                <w:sz w:val="20"/>
              </w:rPr>
              <w:t>voor advies</w:t>
            </w:r>
          </w:p>
          <w:p w:rsidR="005905FD" w:rsidRDefault="00A41B8A">
            <w:pPr>
              <w:autoSpaceDE w:val="0"/>
              <w:autoSpaceDN w:val="0"/>
              <w:adjustRightInd w:val="0"/>
              <w:rPr>
                <w:color w:val="000000"/>
                <w:sz w:val="20"/>
                <w:szCs w:val="20"/>
              </w:rPr>
            </w:pPr>
            <w:r>
              <w:rPr>
                <w:color w:val="000000"/>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Yana Toom</w:t>
            </w:r>
          </w:p>
          <w:p w:rsidR="005905FD" w:rsidRDefault="00A41B8A">
            <w:pPr>
              <w:autoSpaceDE w:val="0"/>
              <w:autoSpaceDN w:val="0"/>
              <w:adjustRightInd w:val="0"/>
              <w:rPr>
                <w:color w:val="000000"/>
                <w:sz w:val="20"/>
                <w:szCs w:val="20"/>
              </w:rPr>
            </w:pPr>
            <w:r>
              <w:rPr>
                <w:color w:val="000000"/>
                <w:sz w:val="20"/>
              </w:rPr>
              <w:t>13.4.2023</w:t>
            </w:r>
          </w:p>
        </w:tc>
      </w:tr>
      <w:tr w:rsidR="005C47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18.7.2023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05FD" w:rsidRDefault="005905F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05FD" w:rsidRDefault="005905F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05FD" w:rsidRDefault="005905FD">
            <w:pPr>
              <w:autoSpaceDE w:val="0"/>
              <w:autoSpaceDN w:val="0"/>
              <w:adjustRightInd w:val="0"/>
              <w:rPr>
                <w:rFonts w:ascii="sans-serif" w:hAnsi="sans-serif" w:cs="sans-serif"/>
                <w:color w:val="000000"/>
              </w:rPr>
            </w:pPr>
          </w:p>
        </w:tc>
      </w:tr>
      <w:tr w:rsidR="005C47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w:t>
            </w:r>
          </w:p>
          <w:p w:rsidR="005905FD" w:rsidRDefault="00A41B8A">
            <w:pPr>
              <w:autoSpaceDE w:val="0"/>
              <w:autoSpaceDN w:val="0"/>
              <w:adjustRightInd w:val="0"/>
              <w:rPr>
                <w:color w:val="000000"/>
                <w:sz w:val="20"/>
                <w:szCs w:val="20"/>
              </w:rPr>
            </w:pPr>
            <w:r>
              <w:rPr>
                <w:color w:val="000000"/>
                <w:sz w:val="20"/>
              </w:rPr>
              <w:t>–:</w:t>
            </w:r>
          </w:p>
          <w:p w:rsidR="005905FD" w:rsidRDefault="00A41B8A">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41</w:t>
            </w:r>
          </w:p>
          <w:p w:rsidR="005905FD" w:rsidRDefault="00A41B8A">
            <w:pPr>
              <w:autoSpaceDE w:val="0"/>
              <w:autoSpaceDN w:val="0"/>
              <w:adjustRightInd w:val="0"/>
              <w:rPr>
                <w:color w:val="000000"/>
                <w:sz w:val="20"/>
                <w:szCs w:val="20"/>
              </w:rPr>
            </w:pPr>
            <w:r>
              <w:rPr>
                <w:color w:val="000000"/>
                <w:sz w:val="20"/>
              </w:rPr>
              <w:t>3</w:t>
            </w:r>
          </w:p>
          <w:p w:rsidR="005905FD" w:rsidRDefault="00A41B8A">
            <w:pPr>
              <w:autoSpaceDE w:val="0"/>
              <w:autoSpaceDN w:val="0"/>
              <w:adjustRightInd w:val="0"/>
              <w:rPr>
                <w:color w:val="000000"/>
                <w:sz w:val="20"/>
                <w:szCs w:val="20"/>
              </w:rPr>
            </w:pPr>
            <w:r>
              <w:rPr>
                <w:color w:val="000000"/>
                <w:sz w:val="20"/>
              </w:rPr>
              <w:t>5</w:t>
            </w:r>
          </w:p>
        </w:tc>
      </w:tr>
      <w:tr w:rsidR="005C470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 xml:space="preserve">Magdalena Adamowicz, Abir Al-Sahlani, Konstantinos Arvanitis, Malik Azmani, Katarina Barley, </w:t>
            </w:r>
            <w:r>
              <w:rPr>
                <w:color w:val="000000"/>
                <w:sz w:val="20"/>
              </w:rPr>
              <w:t xml:space="preserve">Pietro Bartolo, Theresa Bielowski, Vladimír Bilčík, Vasile Blaga, Karolin Braunsberger-Reinhold, Saskia Bricmont, Patricia Chagnon, Clare Daly, Lena Düpont, Nicolaus Fest, Maria Grapini, Sylvie Guillaume, Evin Incir, Sophia in ‘t Veld, Patryk Jaki, Assita </w:t>
            </w:r>
            <w:r>
              <w:rPr>
                <w:color w:val="000000"/>
                <w:sz w:val="20"/>
              </w:rPr>
              <w:t>Kanko, Fabienne Keller, Moritz Körner, Alice Kuhnke, Juan Fernando López Aguilar, Lukas Mandl, Erik Marquardt, Nadine Morano, Emil Radev, Paulo Rangel, Isabel Santos, Birgit Sippel, Tineke Strik, Ramona Strugariu, Annalisa Tardino, Yana Toom, Elena Yonchev</w:t>
            </w:r>
            <w:r>
              <w:rPr>
                <w:color w:val="000000"/>
                <w:sz w:val="20"/>
              </w:rPr>
              <w:t>a, Javier Zarzalejos</w:t>
            </w:r>
          </w:p>
        </w:tc>
      </w:tr>
      <w:tr w:rsidR="005C470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Damian Boeselager, Matjaž Nemec, Jan-Christoph Oetjen, Kostas Papadakis, Cristian Terheş, Miguel Urbán Crespo</w:t>
            </w:r>
          </w:p>
        </w:tc>
      </w:tr>
      <w:tr w:rsidR="005C470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b/>
                <w:bCs/>
                <w:color w:val="000000"/>
                <w:sz w:val="20"/>
                <w:szCs w:val="20"/>
              </w:rPr>
            </w:pPr>
            <w:r>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05FD" w:rsidRDefault="00A41B8A">
            <w:pPr>
              <w:autoSpaceDE w:val="0"/>
              <w:autoSpaceDN w:val="0"/>
              <w:adjustRightInd w:val="0"/>
              <w:rPr>
                <w:color w:val="000000"/>
                <w:sz w:val="20"/>
                <w:szCs w:val="20"/>
              </w:rPr>
            </w:pPr>
            <w:r>
              <w:rPr>
                <w:color w:val="000000"/>
                <w:sz w:val="20"/>
              </w:rPr>
              <w:t>Andrus Ansip, Robert Biedroń, Eric Minardi, Jan Olbrycht, Christian Sagartz</w:t>
            </w:r>
          </w:p>
        </w:tc>
      </w:tr>
    </w:tbl>
    <w:p w:rsidR="005905FD" w:rsidRDefault="005905FD"/>
    <w:bookmarkEnd w:id="4"/>
    <w:p w:rsidR="001232DB" w:rsidRDefault="00A41B8A">
      <w:pPr>
        <w:widowControl/>
      </w:pPr>
      <w:r>
        <w:br w:type="page"/>
      </w:r>
    </w:p>
    <w:p w:rsidR="001232DB" w:rsidRPr="00C377DA" w:rsidRDefault="00A41B8A" w:rsidP="001232DB">
      <w:pPr>
        <w:pStyle w:val="PageHeadingNotTOC"/>
      </w:pPr>
      <w:bookmarkStart w:id="5" w:name="RollCallPageAD"/>
      <w:r>
        <w:lastRenderedPageBreak/>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C4700" w:rsidTr="00586C6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232DB" w:rsidRPr="00C377DA" w:rsidRDefault="00A41B8A" w:rsidP="00586C6E">
            <w:pPr>
              <w:pStyle w:val="RollCallVotes"/>
            </w:pPr>
            <w: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232DB" w:rsidRPr="00C377DA" w:rsidRDefault="00A41B8A" w:rsidP="00586C6E">
            <w:pPr>
              <w:pStyle w:val="RollCallSymbols14pt"/>
            </w:pPr>
            <w:r>
              <w:t>+</w:t>
            </w:r>
          </w:p>
        </w:tc>
      </w:tr>
      <w:tr w:rsidR="005C4700" w:rsidTr="00586C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232DB" w:rsidRPr="00C377DA" w:rsidRDefault="00A41B8A" w:rsidP="00586C6E">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232DB" w:rsidRPr="00C377DA" w:rsidRDefault="00A41B8A" w:rsidP="00586C6E">
            <w:pPr>
              <w:pStyle w:val="RollCallTable"/>
            </w:pPr>
            <w:r>
              <w:t xml:space="preserve">Magdalena Adamowicz, Vladimír Bilčík, Vasile Blaga, Karolin Braunsberger-Reinhold, Lena Düpont, Lukas Mandl, </w:t>
            </w:r>
            <w:r>
              <w:t>Nadine Morano, Jan Olbrycht, Emil Radev, Paulo Rangel, Christian Sagartz, Javier Zarzalejos</w:t>
            </w:r>
          </w:p>
        </w:tc>
      </w:tr>
      <w:tr w:rsidR="005C4700" w:rsidTr="00586C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232DB" w:rsidRPr="00C377DA" w:rsidRDefault="00A41B8A" w:rsidP="00586C6E">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232DB" w:rsidRPr="00C377DA" w:rsidRDefault="00A41B8A" w:rsidP="00586C6E">
            <w:pPr>
              <w:pStyle w:val="RollCallTable"/>
            </w:pPr>
            <w:r>
              <w:t>Abir Al-Sahlani, Andrus Ansip, Malik Azmani, Sophia in 't Veld, Fabienne Keller, Moritz Körner, Jan-Christoph Oetjen, Ramona Strugariu, Yana Toom</w:t>
            </w:r>
          </w:p>
        </w:tc>
      </w:tr>
      <w:tr w:rsidR="005C4700" w:rsidTr="00586C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232DB" w:rsidRPr="00C377DA" w:rsidRDefault="00A41B8A" w:rsidP="00586C6E">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232DB" w:rsidRPr="00C377DA" w:rsidRDefault="00A41B8A" w:rsidP="00586C6E">
            <w:pPr>
              <w:pStyle w:val="RollCallTable"/>
            </w:pPr>
            <w:r>
              <w:t>Katarina Barley, Pietro Bartolo, Robert Biedroń, Theresa Bielowski, Maria Grapini, Sylvie Guillaume, Evin Incir, Juan Fernando López Aguilar, Matjaž Nemec, Isabel Santos, Birgit Sippel, Elena Yoncheva</w:t>
            </w:r>
          </w:p>
        </w:tc>
      </w:tr>
      <w:tr w:rsidR="005C4700" w:rsidTr="00586C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232DB" w:rsidRPr="00C377DA" w:rsidRDefault="00A41B8A" w:rsidP="00586C6E">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232DB" w:rsidRPr="00C377DA" w:rsidRDefault="00A41B8A" w:rsidP="00586C6E">
            <w:pPr>
              <w:pStyle w:val="RollCallTable"/>
            </w:pPr>
            <w:r>
              <w:t>Konstantinos Arvanitis, Clare Daly, Miguel Ur</w:t>
            </w:r>
            <w:r>
              <w:t>bán Crespo</w:t>
            </w:r>
          </w:p>
        </w:tc>
      </w:tr>
      <w:tr w:rsidR="005C4700" w:rsidTr="00586C6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232DB" w:rsidRPr="00C377DA" w:rsidRDefault="00A41B8A" w:rsidP="00586C6E">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232DB" w:rsidRPr="00C377DA" w:rsidRDefault="00A41B8A" w:rsidP="00586C6E">
            <w:pPr>
              <w:pStyle w:val="RollCallTable"/>
            </w:pPr>
            <w:r>
              <w:t>Damian Boeselager, Saskia Bricmont, Alice Kuhnke, Erik Marquardt, Tineke Strik</w:t>
            </w:r>
          </w:p>
        </w:tc>
      </w:tr>
    </w:tbl>
    <w:p w:rsidR="001232DB" w:rsidRPr="00C377DA" w:rsidRDefault="001232DB" w:rsidP="001232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C4700" w:rsidTr="00586C6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232DB" w:rsidRPr="00C377DA" w:rsidRDefault="00A41B8A" w:rsidP="00586C6E">
            <w:pPr>
              <w:pStyle w:val="RollCallVotes"/>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232DB" w:rsidRPr="00C377DA" w:rsidRDefault="00A41B8A" w:rsidP="00586C6E">
            <w:pPr>
              <w:pStyle w:val="RollCallSymbols14pt"/>
            </w:pPr>
            <w:r>
              <w:t>-</w:t>
            </w:r>
          </w:p>
        </w:tc>
      </w:tr>
      <w:tr w:rsidR="005C4700" w:rsidTr="00586C6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232DB" w:rsidRPr="00C377DA" w:rsidRDefault="00A41B8A" w:rsidP="00586C6E">
            <w:pPr>
              <w:pStyle w:val="RollCallTable"/>
            </w:pPr>
            <w:r>
              <w:t>ID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232DB" w:rsidRPr="00C377DA" w:rsidRDefault="00A41B8A" w:rsidP="00586C6E">
            <w:pPr>
              <w:pStyle w:val="RollCallTable"/>
            </w:pPr>
            <w:r>
              <w:t>Patricia Chagnon, Nicolaus Fest, Eric Minardi</w:t>
            </w:r>
          </w:p>
        </w:tc>
      </w:tr>
    </w:tbl>
    <w:p w:rsidR="001232DB" w:rsidRPr="00C377DA" w:rsidRDefault="001232DB" w:rsidP="001232DB"/>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5C4700" w:rsidTr="00586C6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1232DB" w:rsidRPr="00C377DA" w:rsidRDefault="00A41B8A" w:rsidP="00586C6E">
            <w:pPr>
              <w:pStyle w:val="RollCallVotes"/>
            </w:pPr>
            <w:r>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1232DB" w:rsidRPr="00C377DA" w:rsidRDefault="00A41B8A" w:rsidP="00586C6E">
            <w:pPr>
              <w:pStyle w:val="RollCallSymbols14pt"/>
            </w:pPr>
            <w:r>
              <w:t>0</w:t>
            </w:r>
          </w:p>
        </w:tc>
      </w:tr>
      <w:tr w:rsidR="005C4700" w:rsidTr="00586C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232DB" w:rsidRPr="00C377DA" w:rsidRDefault="00A41B8A" w:rsidP="00586C6E">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232DB" w:rsidRPr="00C377DA" w:rsidRDefault="00A41B8A" w:rsidP="00586C6E">
            <w:pPr>
              <w:pStyle w:val="RollCallTable"/>
            </w:pPr>
            <w:r>
              <w:t>Patryk Jaki, Assita Kanko, Cristian Terheş</w:t>
            </w:r>
          </w:p>
        </w:tc>
      </w:tr>
      <w:tr w:rsidR="005C4700" w:rsidTr="00586C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1232DB" w:rsidRPr="00C377DA" w:rsidRDefault="00A41B8A" w:rsidP="00586C6E">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1232DB" w:rsidRPr="00C377DA" w:rsidRDefault="00A41B8A" w:rsidP="00586C6E">
            <w:pPr>
              <w:pStyle w:val="RollCallTable"/>
            </w:pPr>
            <w:r>
              <w:t>Annalisa Tardino</w:t>
            </w:r>
          </w:p>
        </w:tc>
      </w:tr>
      <w:tr w:rsidR="005C4700" w:rsidTr="00586C6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1232DB" w:rsidRPr="00C377DA" w:rsidRDefault="00A41B8A" w:rsidP="00586C6E">
            <w:pPr>
              <w:pStyle w:val="RollCallTable"/>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1232DB" w:rsidRPr="00C377DA" w:rsidRDefault="00A41B8A" w:rsidP="00586C6E">
            <w:pPr>
              <w:pStyle w:val="RollCallTable"/>
            </w:pPr>
            <w:r>
              <w:t>Kostas Papadakis</w:t>
            </w:r>
          </w:p>
        </w:tc>
      </w:tr>
    </w:tbl>
    <w:p w:rsidR="001232DB" w:rsidRPr="00C377DA" w:rsidRDefault="001232DB" w:rsidP="001232DB">
      <w:pPr>
        <w:pStyle w:val="Normal12a"/>
      </w:pPr>
    </w:p>
    <w:p w:rsidR="001232DB" w:rsidRPr="00C377DA" w:rsidRDefault="00A41B8A" w:rsidP="001232DB">
      <w:r>
        <w:t>Verklaring van de gebruikte tekens:</w:t>
      </w:r>
    </w:p>
    <w:p w:rsidR="001232DB" w:rsidRPr="00C377DA" w:rsidRDefault="00A41B8A" w:rsidP="001232DB">
      <w:pPr>
        <w:pStyle w:val="RollCallTabs"/>
      </w:pPr>
      <w:r>
        <w:t>+</w:t>
      </w:r>
      <w:r>
        <w:tab/>
        <w:t>:</w:t>
      </w:r>
      <w:r>
        <w:tab/>
        <w:t>voor</w:t>
      </w:r>
    </w:p>
    <w:p w:rsidR="001232DB" w:rsidRPr="00C377DA" w:rsidRDefault="00A41B8A" w:rsidP="001232DB">
      <w:pPr>
        <w:pStyle w:val="RollCallTabs"/>
      </w:pPr>
      <w:r>
        <w:t>-</w:t>
      </w:r>
      <w:r>
        <w:tab/>
        <w:t>:</w:t>
      </w:r>
      <w:r>
        <w:tab/>
        <w:t>tegen</w:t>
      </w:r>
    </w:p>
    <w:p w:rsidR="001232DB" w:rsidRPr="00C377DA" w:rsidRDefault="00A41B8A" w:rsidP="001232DB">
      <w:pPr>
        <w:pStyle w:val="RollCallTabs"/>
      </w:pPr>
      <w:r>
        <w:t>0</w:t>
      </w:r>
      <w:r>
        <w:tab/>
        <w:t>:</w:t>
      </w:r>
      <w:r>
        <w:tab/>
        <w:t>onthouding</w:t>
      </w:r>
    </w:p>
    <w:p w:rsidR="001232DB" w:rsidRPr="00C377DA" w:rsidRDefault="001232DB" w:rsidP="001232DB"/>
    <w:bookmarkEnd w:id="5"/>
    <w:p w:rsidR="001232DB" w:rsidRPr="00C377DA" w:rsidRDefault="001232DB" w:rsidP="001232DB"/>
    <w:sectPr w:rsidR="001232DB" w:rsidRPr="00C377DA" w:rsidSect="005512C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41B8A">
      <w:r>
        <w:separator/>
      </w:r>
    </w:p>
  </w:endnote>
  <w:endnote w:type="continuationSeparator" w:id="0">
    <w:p w:rsidR="00000000" w:rsidRDefault="00A41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FD" w:rsidRDefault="00A41B8A" w:rsidP="005905FD">
    <w:pPr>
      <w:pStyle w:val="EPFooter"/>
    </w:pPr>
    <w:r>
      <w:t>PE</w:t>
    </w:r>
    <w:r w:rsidRPr="005905FD">
      <w:rPr>
        <w:rStyle w:val="HideTWBExt"/>
      </w:rPr>
      <w:t>&lt;NoPE&gt;</w:t>
    </w:r>
    <w:r>
      <w:t>749.075</w:t>
    </w:r>
    <w:r w:rsidRPr="005905FD">
      <w:rPr>
        <w:rStyle w:val="HideTWBExt"/>
      </w:rPr>
      <w:t>&lt;/NoPE&gt;&lt;Version&gt;</w:t>
    </w:r>
    <w:r>
      <w:t>v02-00</w:t>
    </w:r>
    <w:r w:rsidRPr="005905FD">
      <w:rPr>
        <w:rStyle w:val="HideTWBExt"/>
      </w:rPr>
      <w:t>&lt;/Version&gt;</w:t>
    </w:r>
    <w:r>
      <w:tab/>
    </w:r>
    <w:r>
      <w:fldChar w:fldCharType="begin"/>
    </w:r>
    <w:r>
      <w:instrText xml:space="preserve"> PAGE  \* MERGEFORMAT </w:instrText>
    </w:r>
    <w:r>
      <w:fldChar w:fldCharType="separate"/>
    </w:r>
    <w:r>
      <w:rPr>
        <w:noProof/>
      </w:rPr>
      <w:t>12</w:t>
    </w:r>
    <w:r>
      <w:fldChar w:fldCharType="end"/>
    </w:r>
    <w:r>
      <w:t>/</w:t>
    </w:r>
    <w:r w:rsidR="001232DB">
      <w:fldChar w:fldCharType="begin"/>
    </w:r>
    <w:r>
      <w:instrText xml:space="preserve"> NUMPAGES  \* MERGEFORMAT </w:instrText>
    </w:r>
    <w:r w:rsidR="001232DB">
      <w:fldChar w:fldCharType="separate"/>
    </w:r>
    <w:r>
      <w:rPr>
        <w:noProof/>
      </w:rPr>
      <w:t>15</w:t>
    </w:r>
    <w:r w:rsidR="001232DB">
      <w:rPr>
        <w:noProof/>
      </w:rPr>
      <w:fldChar w:fldCharType="end"/>
    </w:r>
    <w:r>
      <w:tab/>
    </w:r>
    <w:r w:rsidRPr="005905FD">
      <w:rPr>
        <w:rStyle w:val="HideTWBExt"/>
      </w:rPr>
      <w:t>&lt;PathFdR&gt;</w:t>
    </w:r>
    <w:r>
      <w:t>AD\1283110NL.docx</w:t>
    </w:r>
    <w:r w:rsidRPr="005905FD">
      <w:rPr>
        <w:rStyle w:val="HideTWBExt"/>
      </w:rPr>
      <w:t>&lt;/PathFdR&gt;</w:t>
    </w:r>
  </w:p>
  <w:p w:rsidR="007F187F" w:rsidRPr="005512C9" w:rsidRDefault="00A41B8A" w:rsidP="005905FD">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FD" w:rsidRDefault="00A41B8A" w:rsidP="005905FD">
    <w:pPr>
      <w:pStyle w:val="EPFooter"/>
    </w:pPr>
    <w:r w:rsidRPr="005905FD">
      <w:rPr>
        <w:rStyle w:val="HideTWBExt"/>
      </w:rPr>
      <w:t>&lt;PathFdR&gt;</w:t>
    </w:r>
    <w:r>
      <w:t>AD\1283110NL.docx</w:t>
    </w:r>
    <w:r w:rsidRPr="005905FD">
      <w:rPr>
        <w:rStyle w:val="HideTWBExt"/>
      </w:rPr>
      <w:t>&lt;/PathFdR&gt;</w:t>
    </w:r>
    <w:r>
      <w:tab/>
    </w:r>
    <w:r>
      <w:fldChar w:fldCharType="begin"/>
    </w:r>
    <w:r>
      <w:instrText xml:space="preserve"> PAGE  \* MERGEFORMAT </w:instrText>
    </w:r>
    <w:r>
      <w:fldChar w:fldCharType="separate"/>
    </w:r>
    <w:r>
      <w:rPr>
        <w:noProof/>
      </w:rPr>
      <w:t>13</w:t>
    </w:r>
    <w:r>
      <w:fldChar w:fldCharType="end"/>
    </w:r>
    <w:r>
      <w:t>/</w:t>
    </w:r>
    <w:r w:rsidR="001232DB">
      <w:fldChar w:fldCharType="begin"/>
    </w:r>
    <w:r>
      <w:instrText xml:space="preserve"> NUMPAGES  \* MERGEFORMAT </w:instrText>
    </w:r>
    <w:r w:rsidR="001232DB">
      <w:fldChar w:fldCharType="separate"/>
    </w:r>
    <w:r>
      <w:rPr>
        <w:noProof/>
      </w:rPr>
      <w:t>15</w:t>
    </w:r>
    <w:r w:rsidR="001232DB">
      <w:rPr>
        <w:noProof/>
      </w:rPr>
      <w:fldChar w:fldCharType="end"/>
    </w:r>
    <w:r>
      <w:tab/>
      <w:t>PE</w:t>
    </w:r>
    <w:r w:rsidRPr="005905FD">
      <w:rPr>
        <w:rStyle w:val="HideTWBExt"/>
      </w:rPr>
      <w:t>&lt;NoPE&gt;</w:t>
    </w:r>
    <w:r>
      <w:t>749.075</w:t>
    </w:r>
    <w:r w:rsidRPr="005905FD">
      <w:rPr>
        <w:rStyle w:val="HideTWBExt"/>
      </w:rPr>
      <w:t>&lt;/NoPE&gt;&lt;Version&gt;</w:t>
    </w:r>
    <w:r>
      <w:t>v02-00</w:t>
    </w:r>
    <w:r w:rsidRPr="005905FD">
      <w:rPr>
        <w:rStyle w:val="HideTWBExt"/>
      </w:rPr>
      <w:t>&lt;/Version&gt;</w:t>
    </w:r>
  </w:p>
  <w:p w:rsidR="007F187F" w:rsidRPr="005512C9" w:rsidRDefault="00A41B8A" w:rsidP="005905FD">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FD" w:rsidRDefault="00A41B8A" w:rsidP="005905FD">
    <w:pPr>
      <w:pStyle w:val="EPFooter"/>
    </w:pPr>
    <w:r w:rsidRPr="005905FD">
      <w:rPr>
        <w:rStyle w:val="HideTWBExt"/>
      </w:rPr>
      <w:t>&lt;PathFdR&gt;</w:t>
    </w:r>
    <w:r>
      <w:t>AD\1283110NL.docx</w:t>
    </w:r>
    <w:r w:rsidRPr="005905FD">
      <w:rPr>
        <w:rStyle w:val="HideTWBExt"/>
      </w:rPr>
      <w:t>&lt;/PathFdR&gt;</w:t>
    </w:r>
    <w:r>
      <w:tab/>
    </w:r>
    <w:r>
      <w:tab/>
      <w:t>PE</w:t>
    </w:r>
    <w:r w:rsidRPr="005905FD">
      <w:rPr>
        <w:rStyle w:val="HideTWBExt"/>
      </w:rPr>
      <w:t>&lt;NoPE&gt;</w:t>
    </w:r>
    <w:r>
      <w:t>749.075</w:t>
    </w:r>
    <w:r w:rsidRPr="005905FD">
      <w:rPr>
        <w:rStyle w:val="HideTWBExt"/>
      </w:rPr>
      <w:t>&lt;/NoPE&gt;&lt;Vers</w:t>
    </w:r>
    <w:r w:rsidRPr="005905FD">
      <w:rPr>
        <w:rStyle w:val="HideTWBExt"/>
      </w:rPr>
      <w:t>ion&gt;</w:t>
    </w:r>
    <w:r>
      <w:t>v02-00</w:t>
    </w:r>
    <w:r w:rsidRPr="005905FD">
      <w:rPr>
        <w:rStyle w:val="HideTWBExt"/>
      </w:rPr>
      <w:t>&lt;/Version&gt;</w:t>
    </w:r>
  </w:p>
  <w:p w:rsidR="007F187F" w:rsidRPr="005512C9" w:rsidRDefault="00A41B8A" w:rsidP="005905FD">
    <w:pPr>
      <w:pStyle w:val="EPFooter2"/>
    </w:pPr>
    <w:r>
      <w:t>NL</w:t>
    </w:r>
    <w:r>
      <w:tab/>
    </w:r>
    <w:r w:rsidRPr="005905FD">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41B8A">
      <w:r>
        <w:separator/>
      </w:r>
    </w:p>
  </w:footnote>
  <w:footnote w:type="continuationSeparator" w:id="0">
    <w:p w:rsidR="00000000" w:rsidRDefault="00A41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D72" w:rsidRDefault="00217D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D72" w:rsidRDefault="00217D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D72" w:rsidRDefault="00217D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JMNU" w:val="1"/>
    <w:docVar w:name="CODEMNU" w:val=" 1"/>
    <w:docVar w:name="COM2KEY" w:val="EMPL"/>
    <w:docVar w:name="COMKEY" w:val="LIBE"/>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86818 HideTWBInt;}}{\*\rsidtbl \rsid24658\rsid223860\rsid735077\rsid1718133\rsid2892074\rsid3565327_x000d__x000a_\rsid4666813\rsid5786818\rsid6641733\rsid7823322\rsid9636012\rsid10377208\rsid11215221\rsid11549030\rsid12154954\rsid12868634\rsid14382809\rsid14424199\rsid15204470\rsid15285974\rsid15950462\rsid16324206\rsid16662270}{\mmathPr\mmathFont34\mbrkBin0_x000d__x000a_\mbrkBinSub0\msmallFrac0\mdispDef1\mlMargin0\mrMargin0\mdefJc1\mwrapIndent1440\mintLim0\mnaryLim1}{\info{\author TOADER Maria}{\operator TOADER Maria}{\creatim\yr2023\mo5\dy16\hr10\min12}{\revtim\yr2023\mo5\dy16\hr10\min12}{\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8681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2868634 \chftnsep _x000d__x000a_\par }}{\*\ftnsepc \ltrpar \pard\plain \ltrpar\ql \li0\ri0\widctlpar\wrapdefault\aspalpha\aspnum\faauto\adjustright\rin0\lin0\itap0 \rtlch\fcs1 \af0\afs20\alang1025 \ltrch\fcs0 \fs24\lang2057\langfe2057\cgrid\langnp2057\langfenp2057 {\rtlch\fcs1 \af0 _x000d__x000a_\ltrch\fcs0 \insrsid12868634 \chftnsepc _x000d__x000a_\par }}{\*\aftnsep \ltrpar \pard\plain \ltrpar\ql \li0\ri0\widctlpar\wrapdefault\aspalpha\aspnum\faauto\adjustright\rin0\lin0\itap0 \rtlch\fcs1 \af0\afs20\alang1025 \ltrch\fcs0 \fs24\lang2057\langfe2057\cgrid\langnp2057\langfenp2057 {\rtlch\fcs1 \af0 _x000d__x000a_\ltrch\fcs0 \insrsid12868634 \chftnsep _x000d__x000a_\par }}{\*\aftnsepc \ltrpar \pard\plain \ltrpar\ql \li0\ri0\widctlpar\wrapdefault\aspalpha\aspnum\faauto\adjustright\rin0\lin0\itap0 \rtlch\fcs1 \af0\afs20\alang1025 \ltrch\fcs0 \fs24\lang2057\langfe2057\cgrid\langnp2057\langfenp2057 {\rtlch\fcs1 \af0 _x000d__x000a_\ltrch\fcs0 \insrsid128686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786818\charrsid337651 {\*\bkmkstart ReplaceBookmark}#}{\rtlch\fcs1 \af1 \ltrch\fcs0 _x000d__x000a_\cs17\v\f1\fs20\cf15\insrsid5786818\charrsid337651 &gt;&gt;&gt;CVAR@@AmendA}{\rtlch\fcs1 \af0 \ltrch\fcs0 \insrsid5786818\charrsid33765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f_x000d__x000a_a22d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11069 HideTWBExt;}{_x000d__x000a_\s18\ql \li0\ri0\sa120\nowidctlpar\wrapdefault\aspalpha\aspnum\faauto\adjustright\rin0\lin0\itap0 \rtlch\fcs1 \af0\afs20\alang1025 \ltrch\fcs0 \fs24\lang2057\langfe2057\cgrid\langnp2057\langfenp2057 \sbasedon0 \snext18 \spriority0 \styrsid13711069 _x000d__x000a_Normal6a;}{\s19\ql \li0\ri0\nowidctlpar\wrapdefault\aspalpha\aspnum\faauto\adjustright\rin0\lin0\itap0 \rtlch\fcs1 \af0\afs20\alang1025 \ltrch\fcs0 \b\fs24\lang2057\langfe2057\cgrid\langnp2057\langfenp2057 \sbasedon0 \snext19 \spriority0 \styrsid13711069 _x000d__x000a_NormalBold;}{\*\cs20 \additive \v\f1\fs20\cf15 \spriority0 \styrsid13711069 HideTWBInt;}{\s21\qr \li0\ri0\sb240\sa240\nowidctlpar\wrapdefault\aspalpha\aspnum\faauto\adjustright\rin0\lin0\itap0 \rtlch\fcs1 \af0\afs20\alang1025 \ltrch\fcs0 _x000d__x000a_\fs24\lang2057\langfe2057\cgrid\langnp2057\langfenp2057 \sbasedon0 \snext21 \spriority0 \styrsid13711069 AmOrLang;}{\s22\qc \li0\ri0\sa240\nowidctlpar\wrapdefault\aspalpha\aspnum\faauto\adjustright\rin0\lin0\itap0 \rtlch\fcs1 \af0\afs20\alang1025 _x000d__x000a_\ltrch\fcs0 \i\fs24\lang2057\langfe2057\cgrid\langnp2057\langfenp2057 \sbasedon0 \snext22 \spriority0 \styrsid1371106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11069 AmNumberTabs;}{\s24\ql \li0\ri0\sb240\nowidctlpar\wrapdefault\aspalpha\aspnum\faauto\adjustright\rin0\lin0\itap0 \rtlch\fcs1 _x000d__x000a_\af0\afs20\alang1025 \ltrch\fcs0 \b\fs24\lang2057\langfe2057\cgrid\langnp2057\langfenp2057 \sbasedon0 \snext24 \spriority0 \styrsid13711069 NormalBold12b;}}{\*\rsidtbl \rsid24658\rsid223860\rsid735077\rsid1718133\rsid2892074\rsid3541769\rsid3565327_x000d__x000a_\rsid4666813\rsid6641733\rsid7823322\rsid9636012\rsid10377208\rsid11215221\rsid11549030\rsid12154954\rsid13711069\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1106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541769 \chftnsep _x000d__x000a_\par }}{\*\ftnsepc \ltrpar \pard\plain \ltrpar\ql \li0\ri0\widctlpar\wrapdefault\aspalpha\aspnum\faauto\adjustright\rin0\lin0\itap0 \rtlch\fcs1 \af0\afs20\alang1025 \ltrch\fcs0 \fs24\lang2057\langfe2057\cgrid\langnp2057\langfenp2057 {\rtlch\fcs1 \af0 _x000d__x000a_\ltrch\fcs0 \insrsid3541769 \chftnsepc _x000d__x000a_\par }}{\*\aftnsep \ltrpar \pard\plain \ltrpar\ql \li0\ri0\widctlpar\wrapdefault\aspalpha\aspnum\faauto\adjustright\rin0\lin0\itap0 \rtlch\fcs1 \af0\afs20\alang1025 \ltrch\fcs0 \fs24\lang2057\langfe2057\cgrid\langnp2057\langfenp2057 {\rtlch\fcs1 \af0 _x000d__x000a_\ltrch\fcs0 \insrsid3541769 \chftnsep _x000d__x000a_\par }}{\*\aftnsepc \ltrpar \pard\plain \ltrpar\ql \li0\ri0\widctlpar\wrapdefault\aspalpha\aspnum\faauto\adjustright\rin0\lin0\itap0 \rtlch\fcs1 \af0\afs20\alang1025 \ltrch\fcs0 \fs24\lang2057\langfe2057\cgrid\langnp2057\langfenp2057 {\rtlch\fcs1 \af0 _x000d__x000a_\ltrch\fcs0 \insrsid35417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11069 \rtlch\fcs1 _x000d__x000a_\af0\afs20\alang1025 \ltrch\fcs0 \b\fs24\lang2057\langfe2057\cgrid\langnp2057\langfenp2057 {\rtlch\fcs1 \af0 \ltrch\fcs0 \cs17\b0\v\fs20\cf9\lang1024\langfe1024\loch\af1\hich\af1\dbch\af31501\noproof\insrsid13711069\charrsid337651 {\*\bkmkstart restartA}_x000d__x000a_\hich\af1\dbch\af31501\loch\f1 &lt;AmendA&gt;}{\rtlch\fcs1 \af0 \ltrch\fcs0 \insrsid13711069\charrsid337651 Amendment\tab \tab }{\rtlch\fcs1 \af0 \ltrch\fcs0 _x000d__x000a_\cs17\b0\v\fs20\cf9\lang1024\langfe1024\loch\af1\hich\af1\dbch\af31501\noproof\insrsid13711069\charrsid337651 \hich\af1\dbch\af31501\loch\f1 &lt;NumAmA&gt;}{\rtlch\fcs1 \af0 \ltrch\fcs0 \insrsid13711069\charrsid337651 #}{\rtlch\fcs1 \af1 \ltrch\fcs0 _x000d__x000a_\cs20\v\f1\fs20\cf15\insrsid13711069\charrsid337651 ENMIENDA@NRAM@}{\rtlch\fcs1 \af0 \ltrch\fcs0 \insrsid13711069\charrsid337651 #}{\rtlch\fcs1 \af0 \ltrch\fcs0 _x000d__x000a_\cs17\b0\v\fs20\cf9\lang1024\langfe1024\loch\af1\hich\af1\dbch\af31501\noproof\insrsid13711069\charrsid337651 \hich\af1\dbch\af31501\loch\f1 &lt;/NumAmA&gt;}{\rtlch\fcs1 \af0 \ltrch\fcs0 \insrsid13711069\charrsid337651 _x000d__x000a_\par }\pard\plain \ltrpar\s24\ql \li0\ri0\sb240\keepn\nowidctlpar\wrapdefault\aspalpha\aspnum\faauto\adjustright\rin0\lin0\itap0\pararsid13711069 \rtlch\fcs1 \af0\afs20\alang1025 \ltrch\fcs0 \b\fs24\lang2057\langfe2057\cgrid\langnp2057\langfenp2057 {_x000d__x000a_\rtlch\fcs1 \af0 \ltrch\fcs0 \cs17\b0\v\fs20\cf9\lang1024\langfe1024\loch\af1\hich\af1\dbch\af31501\noproof\insrsid13711069\charrsid337651 \hich\af1\dbch\af31501\loch\f1 &lt;DocAmend&gt;}{\rtlch\fcs1 \af0 \ltrch\fcs0 \insrsid13711069\charrsid337651 _x000d__x000a_Draft legislative resolution}{\rtlch\fcs1 \af0 \ltrch\fcs0 \cs17\b0\v\fs20\cf9\lang1024\langfe1024\loch\af1\hich\af1\dbch\af31501\noproof\insrsid13711069\charrsid337651 \hich\af1\dbch\af31501\loch\f1 &lt;/DocAmend&gt;}{\rtlch\fcs1 \af0 \ltrch\fcs0 _x000d__x000a_\insrsid13711069\charrsid337651 _x000d__x000a_\par }\pard\plain \ltrpar\s19\ql \li0\ri0\nowidctlpar\wrapdefault\aspalpha\aspnum\faauto\adjustright\rin0\lin0\itap0\pararsid13711069 \rtlch\fcs1 \af0\afs20\alang1025 \ltrch\fcs0 \b\fs24\lang2057\langfe2057\cgrid\langnp2057\langfenp2057 {\rtlch\fcs1 \af0 _x000d__x000a_\ltrch\fcs0 \cs17\b0\v\fs20\cf9\lang1024\langfe1024\loch\af1\hich\af1\dbch\af31501\noproof\insrsid13711069\charrsid337651 \hich\af1\dbch\af31501\loch\f1 &lt;Article&gt;}{\rtlch\fcs1 \af0 \ltrch\fcs0 \cf10\insrsid13711069\charrsid337651 \u9668\'3f}{\rtlch\fcs1 _x000d__x000a_\af0 \ltrch\fcs0 \insrsid13711069\charrsid337651 #}{\rtlch\fcs1 \af1 \ltrch\fcs0 \cs20\v\f1\fs20\cf15\insrsid13711069\charrsid337651 TVTRESPART@RESPART@}{\rtlch\fcs1 \af0 \ltrch\fcs0 \insrsid13711069\charrsid337651 #}{\rtlch\fcs1 \af0 \ltrch\fcs0 _x000d__x000a_\cf10\insrsid13711069\charrsid337651 \u9658\'3f}{\rtlch\fcs1 \af0 \ltrch\fcs0 \cs17\b0\v\fs20\cf9\lang1024\langfe1024\loch\af1\hich\af1\dbch\af31501\noproof\insrsid13711069\charrsid337651 \hich\af1\dbch\af31501\loch\f1 &lt;/Article&gt;}{\rtlch\fcs1 \af0 _x000d__x000a_\ltrch\fcs0 \insrsid13711069\charrsid33765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3711069\charrsid337651 Draft legislative resolution\cell Amendment\cell }\pard\plain \ltrpar_x000d__x000a_\ql \li0\ri0\widctlpar\intbl\wrapdefault\aspalpha\aspnum\faauto\adjustright\rin0\lin0 \rtlch\fcs1 \af0\afs20\alang1025 \ltrch\fcs0 \fs24\lang2057\langfe2057\cgrid\langnp2057\langfenp2057 {\rtlch\fcs1 \af0 \ltrch\fcs0 \insrsid13711069\charrsid337651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711069\charrsid337651 ##\cell ##}{\rtlch\fcs1 \af0\afs24 \ltrch\fcs0 \insrsid13711069\charrsid337651 \cell }\pard\plain \ltrpar\ql \li0\ri0\widctlpar\intbl\wrapdefault\aspalpha\aspnum\faauto\adjustright\rin0\lin0 \rtlch\fcs1 _x000d__x000a_\af0\afs20\alang1025 \ltrch\fcs0 \fs24\lang2057\langfe2057\cgrid\langnp2057\langfenp2057 {\rtlch\fcs1 \af0 \ltrch\fcs0 \insrsid13711069\charrsid33765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711069 \rtlch\fcs1 \af0\afs20\alang1025 \ltrch\fcs0 \fs24\lang2057\langfe2057\cgrid\langnp2057\langfenp2057 {\rtlch\fcs1 \af0 \ltrch\fcs0 _x000d__x000a_\insrsid13711069\charrsid337651 Or. }{\rtlch\fcs1 \af0 \ltrch\fcs0 \cs17\v\fs20\cf9\lang1024\langfe1024\loch\af1\hich\af1\dbch\af31501\noproof\insrsid13711069\charrsid337651 \hich\af1\dbch\af31501\loch\f1 &lt;Original&gt;}{\rtlch\fcs1 \af0 \ltrch\fcs0 _x000d__x000a_\insrsid13711069\charrsid337651 #}{\rtlch\fcs1 \af1 \ltrch\fcs0 \cs20\v\f1\fs20\cf15\insrsid13711069\charrsid337651 MNU[OPTORLANG][ORLANGMORE]@CHOICE@AMPLURMNU}{\rtlch\fcs1 \af0 \ltrch\fcs0 \insrsid13711069\charrsid337651 #}{\rtlch\fcs1 \af0 \ltrch\fcs0 _x000d__x000a_\cs17\v\fs20\cf9\lang1024\langfe1024\loch\af1\hich\af1\dbch\af31501\noproof\insrsid13711069\charrsid337651 \hich\af1\dbch\af31501\loch\f1 &lt;/Original&gt;}{\rtlch\fcs1 \af0 \ltrch\fcs0 \insrsid13711069\charrsid337651 _x000d__x000a_\par }\pard\plain \ltrpar\ql \li0\ri0\widctlpar\wrapdefault\aspalpha\aspnum\faauto\adjustright\rin0\lin0\itap0\pararsid13711069 \rtlch\fcs1 \af0\afs20\alang1025 \ltrch\fcs0 \fs24\lang2057\langfe2057\cgrid\langnp2057\langfenp2057 {\rtlch\fcs1 \af0 \ltrch\fcs0 _x000d__x000a_\cs17\v\fs20\cf9\lang1024\langfe1024\loch\af1\hich\af1\dbch\af31501\noproof\insrsid13711069\charrsid33765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2_x000d__x000a_bbb3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456612\rsid2892074\rsid3565327\rsid4666813\rsid6641733\rsid7823322\rsid9636012\rsid10377208_x000d__x000a_\rsid10751928\rsid11215221\rsid11549030\rsid12154954\rsid14382809\rsid14424199\rsid15204470\rsid15285974\rsid15950462\rsid16324206\rsid16662270}{\mmathPr\mmathFont34\mbrkBin0\mbrkBinSub0\msmallFrac0\mdispDef1\mlMargin0\mrMargin0\mdefJc1\mwrapIndent1440_x000d__x000a_\mintLim0\mnaryLim1}{\info{\author ROVERS Rosette}{\operator ROVERS Rosette}{\creatim\yr2023\mo7\dy24\hr8\min32}{\revtim\yr2023\mo7\dy24\hr8\min32}{\version1}{\edmins0}{\nofpages1}{\nofwords0}{\nofchars1}{\nofcharsws1}{\vern107}}{\*\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56612\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10751928 \chftnsep _x000d__x000a_\par }}{\*\ftnsepc \ltrpar \pard\plain \ltrpar\ql \li0\ri0\widctlpar\wrapdefault\aspalpha\aspnum\faauto\adjustright\rin0\lin0\itap0 \rtlch\fcs1 \af0\afs20\alang1025 \ltrch\fcs0 \fs24\lang2057\langfe2057\cgrid\langnp2057\langfenp2057 {\rtlch\fcs1 \af0 _x000d__x000a_\ltrch\fcs0 \insrsid10751928 \chftnsepc _x000d__x000a_\par }}{\*\aftnsep \ltrpar \pard\plain \ltrpar\ql \li0\ri0\widctlpar\wrapdefault\aspalpha\aspnum\faauto\adjustright\rin0\lin0\itap0 \rtlch\fcs1 \af0\afs20\alang1025 \ltrch\fcs0 \fs24\lang2057\langfe2057\cgrid\langnp2057\langfenp2057 {\rtlch\fcs1 \af0 _x000d__x000a_\ltrch\fcs0 \insrsid10751928 \chftnsep _x000d__x000a_\par }}{\*\aftnsepc \ltrpar \pard\plain \ltrpar\ql \li0\ri0\widctlpar\wrapdefault\aspalpha\aspnum\faauto\adjustright\rin0\lin0\itap0 \rtlch\fcs1 \af0\afs20\alang1025 \ltrch\fcs0 \fs24\lang2057\langfe2057\cgrid\langnp2057\langfenp2057 {\rtlch\fcs1 \af0 _x000d__x000a_\ltrch\fcs0 \insrsid107519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2456612 _x000d__x000a_\rtlch\fcs1 \af0\afs20\alang1025 \ltrch\fcs0 \fs24\lang2057\langfe2057\cgrid\langnp2057\langfenp2057 {\rtlch\fcs1 \af0 \ltrch\fcs0 \insrsid2456612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ee_x000d__x000a_e097f8b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72194 HideTWBExt;}{_x000d__x000a_\s18\ql \li0\ri0\sa120\nowidctlpar\wrapdefault\aspalpha\aspnum\faauto\adjustright\rin0\lin0\itap0 \rtlch\fcs1 \af0\afs20\alang1025 \ltrch\fcs0 \fs24\lang2057\langfe2057\cgrid\langnp2057\langfenp2057 \sbasedon0 \snext18 \spriority0 \styrsid4672194 _x000d__x000a_Normal6a;}{\s19\ql \li0\ri0\nowidctlpar\wrapdefault\aspalpha\aspnum\faauto\adjustright\rin0\lin0\itap0 \rtlch\fcs1 \af0\afs20\alang1025 \ltrch\fcs0 \b\fs24\lang2057\langfe2057\cgrid\langnp2057\langfenp2057 \sbasedon0 \snext19 \spriority0 \styrsid4672194 _x000d__x000a_NormalBold;}{\s20\ql \li0\ri0\sa240\nowidctlpar\wrapdefault\aspalpha\aspnum\faauto\adjustright\rin0\lin0\itap0 \rtlch\fcs1 \af0\afs20\alang1025 \ltrch\fcs0 \i\fs24\lang2057\langfe2057\cgrid\langnp2057\langfenp2057 _x000d__x000a_\sbasedon0 \snext20 \spriority0 \styrsid4672194 AmJustText;}{\s21\qc \li0\ri0\sb240\sa240\nowidctlpar\wrapdefault\aspalpha\aspnum\faauto\adjustright\rin0\lin0\itap0 \rtlch\fcs1 \af0\afs20\alang1025 \ltrch\fcs0 _x000d__x000a_\i\fs24\lang2057\langfe2057\cgrid\langnp2057\langfenp2057 \sbasedon0 \snext21 \spriority0 \styrsid4672194 AmCrossRef;}{\*\cs22 \additive \v\f1\fs20\cf15 \spriority0 \styrsid4672194 HideTWBInt;}{_x000d__x000a_\s23\qc \li0\ri0\sb240\sa240\keepn\nowidctlpar\wrapdefault\aspalpha\aspnum\faauto\adjustright\rin0\lin0\itap0 \rtlch\fcs1 \af0\afs20\alang1025 \ltrch\fcs0 \i\fs24\lang2057\langfe2057\cgrid\langnp2057\langfenp2057 _x000d__x000a_\sbasedon0 \snext20 \spriority0 \styrsid4672194 AmJustTitle;}{\s24\qr \li0\ri0\sb240\sa240\nowidctlpar\wrapdefault\aspalpha\aspnum\faauto\adjustright\rin0\lin0\itap0 \rtlch\fcs1 \af0\afs20\alang1025 \ltrch\fcs0 _x000d__x000a_\fs24\lang2057\langfe2057\cgrid\langnp2057\langfenp2057 \sbasedon0 \snext24 \spriority0 \styrsid4672194 AmOrLang;}{\s25\qc \li0\ri0\sa240\nowidctlpar\wrapdefault\aspalpha\aspnum\faauto\adjustright\rin0\lin0\itap0 \rtlch\fcs1 \af0\afs20\alang1025 _x000d__x000a_\ltrch\fcs0 \i\fs24\lang2057\langfe2057\cgrid\langnp2057\langfenp2057 \sbasedon0 \snext25 \spriority0 \styrsid467219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72194 AmNumberTabs;}{\s27\ql \li0\ri0\sb240\nowidctlpar\wrapdefault\aspalpha\aspnum\faauto\adjustright\rin0\lin0\itap0 \rtlch\fcs1 _x000d__x000a_\af0\afs20\alang1025 \ltrch\fcs0 \b\fs24\lang2057\langfe2057\cgrid\langnp2057\langfenp2057 \sbasedon0 \snext27 \spriority0 \styrsid4672194 NormalBold12b;}}{\*\rsidtbl \rsid24658\rsid223860\rsid735077\rsid1718133\rsid2892074\rsid3300234\rsid3565327_x000d__x000a_\rsid4666813\rsid4672194\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9}{\revtim\yr2023\mo5\dy16\hr10\min9}{\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72194\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3300234 \chftnsep _x000d__x000a_\par }}{\*\ftnsepc \ltrpar \pard\plain \ltrpar\ql \li0\ri0\widctlpar\wrapdefault\aspalpha\aspnum\faauto\adjustright\rin0\lin0\itap0 \rtlch\fcs1 \af0\afs20\alang1025 \ltrch\fcs0 \fs24\lang2057\langfe2057\cgrid\langnp2057\langfenp2057 {\rtlch\fcs1 \af0 _x000d__x000a_\ltrch\fcs0 \insrsid3300234 \chftnsepc _x000d__x000a_\par }}{\*\aftnsep \ltrpar \pard\plain \ltrpar\ql \li0\ri0\widctlpar\wrapdefault\aspalpha\aspnum\faauto\adjustright\rin0\lin0\itap0 \rtlch\fcs1 \af0\afs20\alang1025 \ltrch\fcs0 \fs24\lang2057\langfe2057\cgrid\langnp2057\langfenp2057 {\rtlch\fcs1 \af0 _x000d__x000a_\ltrch\fcs0 \insrsid3300234 \chftnsep _x000d__x000a_\par }}{\*\aftnsepc \ltrpar \pard\plain \ltrpar\ql \li0\ri0\widctlpar\wrapdefault\aspalpha\aspnum\faauto\adjustright\rin0\lin0\itap0 \rtlch\fcs1 \af0\afs20\alang1025 \ltrch\fcs0 \fs24\lang2057\langfe2057\cgrid\langnp2057\langfenp2057 {\rtlch\fcs1 \af0 _x000d__x000a_\ltrch\fcs0 \insrsid33002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672194 \rtlch\fcs1 _x000d__x000a_\af0\afs20\alang1025 \ltrch\fcs0 \b\fs24\lang2057\langfe2057\cgrid\langnp2057\langfenp2057 {\rtlch\fcs1 \af0 \ltrch\fcs0 \cs17\b0\v\fs20\cf9\lang1024\langfe1024\loch\af1\hich\af1\dbch\af31501\noproof\insrsid4672194\charrsid337651 {\*\bkmkstart restartB}_x000d__x000a_\hich\af1\dbch\af31501\loch\f1 &lt;AmendB&gt;}{\rtlch\fcs1 \af0 \ltrch\fcs0 \insrsid4672194\charrsid337651 Amendment\tab \tab }{\rtlch\fcs1 \af0 \ltrch\fcs0 _x000d__x000a_\cs17\b0\v\fs20\cf9\lang1024\langfe1024\loch\af1\hich\af1\dbch\af31501\noproof\insrsid4672194\charrsid337651 \hich\af1\dbch\af31501\loch\f1 &lt;NumAmB&gt;}{\rtlch\fcs1 \af0 \ltrch\fcs0 \insrsid4672194\charrsid337651 #}{\rtlch\fcs1 \af1 \ltrch\fcs0 _x000d__x000a_\cs22\v\f1\fs20\cf15\insrsid4672194\charrsid337651 ENMIENDA@NRAM@}{\rtlch\fcs1 \af0 \ltrch\fcs0 \insrsid4672194\charrsid337651 #}{\rtlch\fcs1 \af0 \ltrch\fcs0 _x000d__x000a_\cs17\b0\v\fs20\cf9\lang1024\langfe1024\loch\af1\hich\af1\dbch\af31501\noproof\insrsid4672194\charrsid337651 \hich\af1\dbch\af31501\loch\f1 &lt;/NumAmB&gt;}{\rtlch\fcs1 \af0 \ltrch\fcs0 \insrsid4672194\charrsid337651 _x000d__x000a_\par }\pard\plain \ltrpar\s27\ql \li0\ri0\sb240\keepn\nowidctlpar\wrapdefault\aspalpha\aspnum\faauto\adjustright\rin0\lin0\itap0\pararsid4672194 \rtlch\fcs1 \af0\afs20\alang1025 \ltrch\fcs0 \b\fs24\lang2057\langfe2057\cgrid\langnp2057\langfenp2057 {_x000d__x000a_\rtlch\fcs1 \af0 \ltrch\fcs0 \cs17\b0\v\fs20\cf9\lang1024\langfe1024\loch\af1\hich\af1\dbch\af31501\noproof\insrsid4672194\charrsid337651 \hich\af1\dbch\af31501\loch\f1 &lt;DocAmend&gt;}{\rtlch\fcs1 \af0 \ltrch\fcs0 \insrsid4672194\charrsid337651 #}{_x000d__x000a_\rtlch\fcs1 \af1 \ltrch\fcs0 \cs22\v\f1\fs20\cf15\insrsid4672194\charrsid337651 MNU[OPTPROPOSALCOD][OPTPROPOSALCNS][OPTPROPOSALNLE][OPTPROPOSALINL]@CHOICE@CODEMNU}{\rtlch\fcs1 \af0 \ltrch\fcs0 \insrsid4672194\charrsid337651 ##}{\rtlch\fcs1 \af1 _x000d__x000a_\ltrch\fcs0 \cs22\v\f1\fs20\cf15\insrsid4672194\charrsid337651 MNU[AMACTYES][NOTAPP]@CHOICE@AMACTMNU}{\rtlch\fcs1 \af0 \ltrch\fcs0 \insrsid4672194\charrsid337651 #}{\rtlch\fcs1 \af0 \ltrch\fcs0 _x000d__x000a_\cs17\b0\v\fs20\cf9\lang1024\langfe1024\loch\af1\hich\af1\dbch\af31501\noproof\insrsid4672194\charrsid337651 \hich\af1\dbch\af31501\loch\f1 &lt;/DocAmend&gt;}{\rtlch\fcs1 \af0 \ltrch\fcs0 \insrsid4672194\charrsid337651 _x000d__x000a_\par }\pard\plain \ltrpar\s19\ql \li0\ri0\keepn\nowidctlpar\wrapdefault\aspalpha\aspnum\faauto\adjustright\rin0\lin0\itap0\pararsid4672194 \rtlch\fcs1 \af0\afs20\alang1025 \ltrch\fcs0 \b\fs24\lang2057\langfe2057\cgrid\langnp2057\langfenp2057 {\rtlch\fcs1 \af0 _x000d__x000a_\ltrch\fcs0 \cs17\b0\v\fs20\cf9\lang1024\langfe1024\loch\af1\hich\af1\dbch\af31501\noproof\insrsid4672194\charrsid337651 \hich\af1\dbch\af31501\loch\f1 &lt;Article&gt;}{\rtlch\fcs1 \af0 \ltrch\fcs0 \insrsid4672194\charrsid337651 #}{\rtlch\fcs1 \af1 \ltrch\fcs0 _x000d__x000a_\cs22\v\f1\fs20\cf15\insrsid4672194\charrsid337651 MNU[AMACTPARTYES][AMACTPARTNO]@CHOICE@AMACTMNU}{\rtlch\fcs1 \af0 \ltrch\fcs0 \insrsid4672194\charrsid337651 #}{\rtlch\fcs1 \af0 \ltrch\fcs0 _x000d__x000a_\cs17\b0\v\fs20\cf9\lang1024\langfe1024\loch\af1\hich\af1\dbch\af31501\noproof\insrsid4672194\charrsid337651 \hich\af1\dbch\af31501\loch\f1 &lt;/Article&gt;}{\rtlch\fcs1 \af0 \ltrch\fcs0 \insrsid4672194\charrsid337651 _x000d__x000a_\par }\pard\plain \ltrpar\ql \li0\ri0\keepn\widctlpar\wrapdefault\aspalpha\aspnum\faauto\adjustright\rin0\lin0\itap0\pararsid4672194 \rtlch\fcs1 \af0\afs20\alang1025 \ltrch\fcs0 \fs24\lang2057\langfe2057\cgrid\langnp2057\langfenp2057 {\rtlch\fcs1 \af0 _x000d__x000a_\ltrch\fcs0 \cs17\v\fs20\cf9\lang1024\langfe1024\loch\af1\hich\af1\dbch\af31501\noproof\insrsid4672194\charrsid337651 \hich\af1\dbch\af31501\loch\f1 &lt;DocAmend2&gt;&lt;OptDel&gt;}{\rtlch\fcs1 \af0 \ltrch\fcs0 \insrsid4672194\charrsid337651 #}{\rtlch\fcs1 \af1 _x000d__x000a_\ltrch\fcs0 \cs22\v\f1\fs20\cf15\insrsid4672194\charrsid337651 MNU[OPTNRACTYES][NOTAPP]@CHOICE@AMACTMNU}{\rtlch\fcs1 \af0 \ltrch\fcs0 \insrsid4672194\charrsid337651 #}{\rtlch\fcs1 \af0 \ltrch\fcs0 _x000d__x000a_\cs17\v\fs20\cf9\lang1024\langfe1024\loch\af1\hich\af1\dbch\af31501\noproof\insrsid4672194\charrsid337651 \hich\af1\dbch\af31501\loch\f1 &lt;/OptDel&gt;&lt;/DocAmend2&gt;}{\rtlch\fcs1 \af0 \ltrch\fcs0 \insrsid4672194\charrsid337651 _x000d__x000a_\par }\pard \ltrpar\ql \li0\ri0\widctlpar\wrapdefault\aspalpha\aspnum\faauto\adjustright\rin0\lin0\itap0\pararsid4672194 {\rtlch\fcs1 \af0 \ltrch\fcs0 \cs17\v\fs20\cf9\lang1024\langfe1024\loch\af1\hich\af1\dbch\af31501\noproof\insrsid4672194\charrsid337651 _x000d__x000a_\hich\af1\dbch\af31501\loch\f1 &lt;Article2&gt;&lt;OptDel&gt;}{\rtlch\fcs1 \af0 \ltrch\fcs0 \insrsid4672194\charrsid337651 #}{\rtlch\fcs1 \af1 \ltrch\fcs0 \cs22\v\f1\fs20\cf15\insrsid4672194\charrsid337651 MNU[OPTACTPARTYES][NOTAPP]@CHOICE@AMACTMNU}{\rtlch\fcs1 \af0 _x000d__x000a_\ltrch\fcs0 \insrsid4672194\charrsid337651 #}{\rtlch\fcs1 \af0 \ltrch\fcs0 \cs17\v\fs20\cf9\lang1024\langfe1024\loch\af1\hich\af1\dbch\af31501\noproof\insrsid4672194\charrsid337651 \hich\af1\dbch\af31501\loch\f1 &lt;/OptDel&gt;&lt;/Article2&gt;}{\rtlch\fcs1 \af0 _x000d__x000a_\ltrch\fcs0 \insrsid4672194\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672194\charrsid337651 #}{\rtlch\fcs1 \af1 \ltrch\fcs0 \cs22\v\f1\fs20\cf15\insrsid4672194\charrsid337651 MNU[OPTLEFTAMACT][LEFTPROP]@CHOICE@AMACTMNU}{\rtlch\fcs1 \af0 \ltrch\fcs0 \insrsid4672194\charrsid337651 #\cell Amendment\cell _x000d__x000a_}\pard\plain \ltrpar\ql \li0\ri0\widctlpar\intbl\wrapdefault\aspalpha\aspnum\faauto\adjustright\rin0\lin0 \rtlch\fcs1 \af0\afs20\alang1025 \ltrch\fcs0 \fs24\lang2057\langfe2057\cgrid\langnp2057\langfenp2057 {\rtlch\fcs1 \af0 \ltrch\fcs0 _x000d__x000a_\insrsid4672194\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672194\charrsid337651 ##\cell ##}{\rtlch\fcs1 \af0\afs24 \ltrch\fcs0 \insrsid4672194\charrsid337651 \cell }\pard\plain \ltrpar\ql \li0\ri0\widctlpar\intbl\wrapdefault\aspalpha\aspnum\faauto\adjustright\rin0\lin0 \rtlch\fcs1 _x000d__x000a_\af0\afs20\alang1025 \ltrch\fcs0 \fs24\lang2057\langfe2057\cgrid\langnp2057\langfenp2057 {\rtlch\fcs1 \af0 \ltrch\fcs0 \insrsid4672194\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672194 \rtlch\fcs1 \af0\afs20\alang1025 \ltrch\fcs0 \fs24\lang2057\langfe2057\cgrid\langnp2057\langfenp2057 {\rtlch\fcs1 \af0 \ltrch\fcs0 _x000d__x000a_\insrsid4672194\charrsid337651 Or. }{\rtlch\fcs1 \af0 \ltrch\fcs0 \cs17\v\fs20\cf9\lang1024\langfe1024\loch\af1\hich\af1\dbch\af31501\noproof\insrsid4672194\charrsid337651 \hich\af1\dbch\af31501\loch\f1 &lt;Original&gt;}{\rtlch\fcs1 \af0 \ltrch\fcs0 _x000d__x000a_\insrsid4672194\charrsid337651 #}{\rtlch\fcs1 \af1 \ltrch\fcs0 \cs22\v\f1\fs20\cf15\insrsid4672194\charrsid337651 MNU[OPTORLANG][ORLANGMORE]@CHOICE@AMPLURMNU}{\rtlch\fcs1 \af0 \ltrch\fcs0 \insrsid4672194\charrsid337651 #}{\rtlch\fcs1 \af0 \ltrch\fcs0 _x000d__x000a_\cs17\v\fs20\cf9\lang1024\langfe1024\loch\af1\hich\af1\dbch\af31501\noproof\insrsid4672194\charrsid337651 \hich\af1\dbch\af31501\loch\f1 &lt;/Original&gt;}{\rtlch\fcs1 \af0 \ltrch\fcs0 \insrsid4672194\charrsid337651 _x000d__x000a_\par }\pard\plain \ltrpar\s21\qc \li0\ri0\sb240\sa240\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OptDel&gt;}{\rtlch\fcs1 \af0 \ltrch\fcs0 \insrsid4672194\charrsid337651 #}{\rtlch\fcs1 _x000d__x000a_\af1 \ltrch\fcs0 \cs22\v\f1\fs20\cf15\insrsid4672194\charrsid337651 MNU[CROSSREFNO][CROSSREFYES]@CHOICE@}{\rtlch\fcs1 \af0 \ltrch\fcs0 \insrsid4672194\charrsid337651 #}{\rtlch\fcs1 \af0 \ltrch\fcs0 _x000d__x000a_\cs17\i0\v\fs20\cf9\lang1024\langfe1024\loch\af1\hich\af1\dbch\af31501\noproof\insrsid4672194\charrsid337651 \hich\af1\dbch\af31501\loch\f1 &lt;/OptDel&gt;}{\rtlch\fcs1 \af0 \ltrch\fcs0 \insrsid4672194\charrsid337651 _x000d__x000a_\par }\pard\plain \ltrpar\s23\qc \li0\ri0\sb240\sa240\keepn\nowidctlpar\wrapdefault\aspalpha\aspnum\faauto\adjustright\rin0\lin0\itap0\pararsid4672194 \rtlch\fcs1 \af0\afs20\alang1025 \ltrch\fcs0 \i\fs24\lang2057\langfe2057\cgrid\langnp2057\langfenp2057 {_x000d__x000a_\rtlch\fcs1 \af0 \ltrch\fcs0 \cs17\i0\v\fs20\cf9\lang1024\langfe1024\loch\af1\hich\af1\dbch\af31501\noproof\insrsid4672194\charrsid337651 \hich\af1\dbch\af31501\loch\f1 &lt;TitreJust&gt;}{\rtlch\fcs1 \af0 \ltrch\fcs0 \insrsid4672194\charrsid337651 Justification_x000d__x000a_}{\rtlch\fcs1 \af0 \ltrch\fcs0 \cs17\i0\v\fs20\cf9\lang1024\langfe1024\loch\af1\hich\af1\dbch\af31501\noproof\insrsid4672194\charrsid337651 \hich\af1\dbch\af31501\loch\f1 &lt;/TitreJust&gt;}{\rtlch\fcs1 \af0 \ltrch\fcs0 \insrsid4672194\charrsid337651 _x000d__x000a_\par }\pard\plain \ltrpar\s20\ql \li0\ri0\sa240\nowidctlpar\wrapdefault\aspalpha\aspnum\faauto\adjustright\rin0\lin0\itap0\pararsid4672194 \rtlch\fcs1 \af0\afs20\alang1025 \ltrch\fcs0 \i\fs24\lang2057\langfe2057\cgrid\langnp2057\langfenp2057 {\rtlch\fcs1 \af0 _x000d__x000a_\ltrch\fcs0 \cs17\i0\v\fs20\cf9\lang1024\langfe1024\loch\af1\hich\af1\dbch\af31501\noproof\insrsid4672194\charrsid337651 \hich\af1\dbch\af31501\loch\f1 &lt;OptDelPrev&gt;}{\rtlch\fcs1 \af0 \ltrch\fcs0 \insrsid4672194\charrsid337651 #}{\rtlch\fcs1 \af1 _x000d__x000a_\ltrch\fcs0 \cs22\v\f1\fs20\cf15\insrsid4672194\charrsid337651 MNU[TEXTJUSTYES][TEXTJUSTNO]@CHOICE@}{\rtlch\fcs1 \af0 \ltrch\fcs0 \insrsid4672194\charrsid337651 #}{\rtlch\fcs1 \af0 \ltrch\fcs0 _x000d__x000a_\cs17\i0\v\fs20\cf9\lang1024\langfe1024\loch\af1\hich\af1\dbch\af31501\noproof\insrsid4672194\charrsid337651 \hich\af1\dbch\af31501\loch\f1 &lt;/OptDelPrev&gt;}{\rtlch\fcs1 \af0 \ltrch\fcs0 \insrsid4672194\charrsid337651 _x000d__x000a_\par }\pard\plain \ltrpar\ql \li0\ri0\widctlpar\wrapdefault\aspalpha\aspnum\faauto\adjustright\rin0\lin0\itap0\pararsid4672194 \rtlch\fcs1 \af0\afs20\alang1025 \ltrch\fcs0 \fs24\lang2057\langfe2057\cgrid\langnp2057\langfenp2057 {\rtlch\fcs1 \af0 \ltrch\fcs0 _x000d__x000a_\cs17\v\fs20\cf9\lang1024\langfe1024\loch\af1\hich\af1\dbch\af31501\noproof\insrsid4672194\charrsid33765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97_x000d__x000a_abb4cd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54922 HideTWBExt;}{_x000d__x000a_\s18\ql \li0\ri0\sa120\nowidctlpar\wrapdefault\aspalpha\aspnum\faauto\adjustright\rin0\lin0\itap0 \rtlch\fcs1 \af0\afs20\alang1025 \ltrch\fcs0 \fs24\lang2057\langfe2057\cgrid\langnp2057\langfenp2057 \sbasedon0 \snext18 \spriority0 \styrsid12854922 _x000d__x000a_Normal6a;}{\s19\ql \li0\ri0\nowidctlpar\wrapdefault\aspalpha\aspnum\faauto\adjustright\rin0\lin0\itap0 \rtlch\fcs1 \af0\afs20\alang1025 \ltrch\fcs0 \b\fs24\lang2057\langfe2057\cgrid\langnp2057\langfenp2057 \sbasedon0 \snext19 \spriority0 \styrsid12854922 _x000d__x000a_NormalBold;}{\s20\ql \li0\ri0\sa240\nowidctlpar\wrapdefault\aspalpha\aspnum\faauto\adjustright\rin0\lin0\itap0 \rtlch\fcs1 \af0\afs20\alang1025 \ltrch\fcs0 \i\fs24\lang2057\langfe2057\cgrid\langnp2057\langfenp2057 _x000d__x000a_\sbasedon0 \snext20 \spriority0 \styrsid12854922 AmJustText;}{\s21\qc \li0\ri0\sb240\sa240\nowidctlpar\wrapdefault\aspalpha\aspnum\faauto\adjustright\rin0\lin0\itap0 \rtlch\fcs1 \af0\afs20\alang1025 \ltrch\fcs0 _x000d__x000a_\i\fs24\lang2057\langfe2057\cgrid\langnp2057\langfenp2057 \sbasedon0 \snext21 \spriority0 \styrsid12854922 AmCrossRef;}{\*\cs22 \additive \v\f1\fs20\cf15 \spriority0 \styrsid12854922 HideTWBInt;}{_x000d__x000a_\s23\qc \li0\ri0\sb240\sa240\keepn\nowidctlpar\wrapdefault\aspalpha\aspnum\faauto\adjustright\rin0\lin0\itap0 \rtlch\fcs1 \af0\afs20\alang1025 \ltrch\fcs0 \i\fs24\lang2057\langfe2057\cgrid\langnp2057\langfenp2057 _x000d__x000a_\sbasedon0 \snext20 \spriority0 \styrsid12854922 AmJustTitle;}{\s24\qr \li0\ri0\sb240\sa240\nowidctlpar\wrapdefault\aspalpha\aspnum\faauto\adjustright\rin0\lin0\itap0 \rtlch\fcs1 \af0\afs20\alang1025 \ltrch\fcs0 _x000d__x000a_\fs24\lang2057\langfe2057\cgrid\langnp2057\langfenp2057 \sbasedon0 \snext24 \spriority0 \styrsid12854922 AmOrLang;}{\s25\qc \li0\ri0\sa240\nowidctlpar\wrapdefault\aspalpha\aspnum\faauto\adjustright\rin0\lin0\itap0 \rtlch\fcs1 \af0\afs20\alang1025 _x000d__x000a_\ltrch\fcs0 \i\fs24\lang2057\langfe2057\cgrid\langnp2057\langfenp2057 \sbasedon0 \snext25 \spriority0 \styrsid1285492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854922 AmNumberTabs;}{\s27\ql \li0\ri0\sb240\nowidctlpar\wrapdefault\aspalpha\aspnum\faauto\adjustright\rin0\lin0\itap0 \rtlch\fcs1 _x000d__x000a_\af0\afs20\alang1025 \ltrch\fcs0 \b\fs24\lang2057\langfe2057\cgrid\langnp2057\langfenp2057 \sbasedon0 \snext27 \spriority0 \styrsid12854922 NormalBold12b;}}{\*\rsidtbl \rsid24658\rsid223860\rsid400791\rsid735077\rsid1718133\rsid2892074\rsid3565327_x000d__x000a_\rsid4666813\rsid6641733\rsid7823322\rsid9636012\rsid10377208\rsid11215221\rsid11549030\rsid12154954\rsid12854922\rsid14382809\rsid14424199\rsid15204470\rsid15285974\rsid15950462\rsid16324206\rsid16662270}{\mmathPr\mmathFont34\mbrkBin0\mbrkBinSub0_x000d__x000a_\msmallFrac0\mdispDef1\mlMargin0\mrMargin0\mdefJc1\mwrapIndent1440\mintLim0\mnaryLim1}{\info{\author TOADER Maria}{\operator TOADER Maria}{\creatim\yr2023\mo5\dy16\hr10\min12}{\revtim\yr2023\mo5\dy16\hr10\min1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54922\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00791 \chftnsep _x000d__x000a_\par }}{\*\ftnsepc \ltrpar \pard\plain \ltrpar\ql \li0\ri0\widctlpar\wrapdefault\aspalpha\aspnum\faauto\adjustright\rin0\lin0\itap0 \rtlch\fcs1 \af0\afs20\alang1025 \ltrch\fcs0 \fs24\lang2057\langfe2057\cgrid\langnp2057\langfenp2057 {\rtlch\fcs1 \af0 _x000d__x000a_\ltrch\fcs0 \insrsid400791 \chftnsepc _x000d__x000a_\par }}{\*\aftnsep \ltrpar \pard\plain \ltrpar\ql \li0\ri0\widctlpar\wrapdefault\aspalpha\aspnum\faauto\adjustright\rin0\lin0\itap0 \rtlch\fcs1 \af0\afs20\alang1025 \ltrch\fcs0 \fs24\lang2057\langfe2057\cgrid\langnp2057\langfenp2057 {\rtlch\fcs1 \af0 _x000d__x000a_\ltrch\fcs0 \insrsid400791 \chftnsep _x000d__x000a_\par }}{\*\aftnsepc \ltrpar \pard\plain \ltrpar\ql \li0\ri0\widctlpar\wrapdefault\aspalpha\aspnum\faauto\adjustright\rin0\lin0\itap0 \rtlch\fcs1 \af0\afs20\alang1025 \ltrch\fcs0 \fs24\lang2057\langfe2057\cgrid\langnp2057\langfenp2057 {\rtlch\fcs1 \af0 _x000d__x000a_\ltrch\fcs0 \insrsid4007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854922 \rtlch\fcs1 _x000d__x000a_\af0\afs20\alang1025 \ltrch\fcs0 \b\fs24\lang2057\langfe2057\cgrid\langnp2057\langfenp2057 {\rtlch\fcs1 \af0 \ltrch\fcs0 \cs17\b0\v\fs20\cf9\lang1024\langfe1024\loch\af1\hich\af1\dbch\af31501\noproof\insrsid12854922\charrsid337651 {\*\bkmkstart restart}_x000d__x000a_\hich\af1\dbch\af31501\loch\f1 &lt;}{\rtlch\fcs1 \af0 \ltrch\fcs0 \cs17\b0\v\fs20\cf9\lang1024\langfe1024\loch\af1\hich\af1\dbch\af31501\noproof\insrsid12854922 \hich\af1\dbch\af31501\loch\f1 Amend}{\rtlch\fcs1 \af0 \ltrch\fcs0 _x000d__x000a_\cs17\b0\v\fs20\cf9\lang1024\langfe1024\loch\af1\hich\af1\dbch\af31501\noproof\insrsid12854922\charrsid337651 \hich\af1\dbch\af31501\loch\f1 &gt;}{\rtlch\fcs1 \af0 \ltrch\fcs0 \insrsid12854922\charrsid337651 Amendment\tab \tab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rtlch\fcs1 \af1 \ltrch\fcs0 _x000d__x000a_\cs22\v\f1\fs20\cf15\insrsid12854922\charrsid337651 ENMIENDA@NRAM@}{\rtlch\fcs1 \af0 \ltrch\fcs0 \insrsid12854922\charrsid337651 #}{\rtlch\fcs1 \af0 \ltrch\fcs0 _x000d__x000a_\cs17\b0\v\fs20\cf9\lang1024\langfe1024\loch\af1\hich\af1\dbch\af31501\noproof\insrsid12854922\charrsid337651 \hich\af1\dbch\af31501\loch\f1 &lt;/}{\rtlch\fcs1 \af0 \ltrch\fcs0 _x000d__x000a_\cs17\b0\v\fs20\cf9\lang1024\langfe1024\loch\af1\hich\af1\dbch\af31501\noproof\insrsid12854922 \hich\af1\dbch\af31501\loch\f1 NumAm&gt;}{\rtlch\fcs1 \af0 \ltrch\fcs0 \insrsid12854922\charrsid337651 _x000d__x000a_\par }\pard\plain \ltrpar\s27\ql \li0\ri0\sb240\keepn\nowidctlpar\wrapdefault\aspalpha\aspnum\faauto\adjustright\rin0\lin0\itap0\pararsid12854922 \rtlch\fcs1 \af0\afs20\alang1025 \ltrch\fcs0 \b\fs24\lang2057\langfe2057\cgrid\langnp2057\langfenp2057 {_x000d__x000a_\rtlch\fcs1 \af0 \ltrch\fcs0 \cs17\b0\v\fs20\cf9\lang1024\langfe1024\loch\af1\hich\af1\dbch\af31501\noproof\insrsid12854922\charrsid337651 \hich\af1\dbch\af31501\loch\f1 &lt;DocAmend&gt;}{\rtlch\fcs1 \af0 \ltrch\fcs0 \insrsid12854922\charrsid337651 #}{_x000d__x000a_\rtlch\fcs1 \af1 \ltrch\fcs0 \cs22\v\f1\fs20\cf15\insrsid12854922\charrsid337651 MNU[OPTPROPOSALCOD][OPTPROPOSALCNS][OPTPROPOSALNLE][OPTPROPOSALINL]@CHOICE@CODEMNU}{\rtlch\fcs1 \af0 \ltrch\fcs0 \insrsid12854922\charrsid337651 ##}{\rtlch\fcs1 \af1 _x000d__x000a_\ltrch\fcs0 \cs22\v\f1\fs20\cf15\insrsid12854922\charrsid337651 MNU[AMACTYES][NOTAPP]@CHOICE@AMACTMNU}{\rtlch\fcs1 \af0 \ltrch\fcs0 \insrsid12854922\charrsid337651 #}{\rtlch\fcs1 \af0 \ltrch\fcs0 _x000d__x000a_\cs17\b0\v\fs20\cf9\lang1024\langfe1024\loch\af1\hich\af1\dbch\af31501\noproof\insrsid12854922\charrsid337651 \hich\af1\dbch\af31501\loch\f1 &lt;/DocAmend&gt;}{\rtlch\fcs1 \af0 \ltrch\fcs0 \insrsid12854922\charrsid337651 _x000d__x000a_\par }\pard\plain \ltrpar\s19\ql \li0\ri0\keepn\nowidctlpar\wrapdefault\aspalpha\aspnum\faauto\adjustright\rin0\lin0\itap0\pararsid12854922 \rtlch\fcs1 \af0\afs20\alang1025 \ltrch\fcs0 \b\fs24\lang2057\langfe2057\cgrid\langnp2057\langfenp2057 {\rtlch\fcs1 _x000d__x000a_\af0 \ltrch\fcs0 \cs17\b0\v\fs20\cf9\lang1024\langfe1024\loch\af1\hich\af1\dbch\af31501\noproof\insrsid12854922\charrsid337651 \hich\af1\dbch\af31501\loch\f1 &lt;Article&gt;}{\rtlch\fcs1 \af0 \ltrch\fcs0 \insrsid12854922\charrsid337651 #}{\rtlch\fcs1 \af1 _x000d__x000a_\ltrch\fcs0 \cs22\v\f1\fs20\cf15\insrsid12854922\charrsid337651 MNU[AMACTPARTYES][AMACTPARTNO]@CHOICE@AMACTMNU}{\rtlch\fcs1 \af0 \ltrch\fcs0 \insrsid12854922\charrsid337651 #}{\rtlch\fcs1 \af0 \ltrch\fcs0 _x000d__x000a_\cs17\b0\v\fs20\cf9\lang1024\langfe1024\loch\af1\hich\af1\dbch\af31501\noproof\insrsid12854922\charrsid337651 \hich\af1\dbch\af31501\loch\f1 &lt;/Article&gt;}{\rtlch\fcs1 \af0 \ltrch\fcs0 \insrsid12854922\charrsid337651 _x000d__x000a_\par }\pard\plain \ltrpar\ql \li0\ri0\keepn\widctlpar\wrapdefault\aspalpha\aspnum\faauto\adjustright\rin0\lin0\itap0\pararsid12854922 \rtlch\fcs1 \af0\afs20\alang1025 \ltrch\fcs0 \fs24\lang2057\langfe2057\cgrid\langnp2057\langfenp2057 {\rtlch\fcs1 \af0 _x000d__x000a_\ltrch\fcs0 \cs17\v\fs20\cf9\lang1024\langfe1024\loch\af1\hich\af1\dbch\af31501\noproof\insrsid12854922\charrsid337651 \hich\af1\dbch\af31501\loch\f1 &lt;DocAmend2&gt;&lt;OptDel&gt;}{\rtlch\fcs1 \af0 \ltrch\fcs0 \insrsid12854922\charrsid337651 #}{\rtlch\fcs1 \af1 _x000d__x000a_\ltrch\fcs0 \cs22\v\f1\fs20\cf15\insrsid12854922\charrsid337651 MNU[OPTNRACTYES][NOTAPP]@CHOICE@AMACTMNU}{\rtlch\fcs1 \af0 \ltrch\fcs0 \insrsid12854922\charrsid337651 #}{\rtlch\fcs1 \af0 \ltrch\fcs0 _x000d__x000a_\cs17\v\fs20\cf9\lang1024\langfe1024\loch\af1\hich\af1\dbch\af31501\noproof\insrsid12854922\charrsid337651 \hich\af1\dbch\af31501\loch\f1 &lt;/OptDel&gt;&lt;/DocAmend2&gt;}{\rtlch\fcs1 \af0 \ltrch\fcs0 \insrsid12854922\charrsid337651 _x000d__x000a_\par }\pard \ltrpar\ql \li0\ri0\widctlpar\wrapdefault\aspalpha\aspnum\faauto\adjustright\rin0\lin0\itap0\pararsid12854922 {\rtlch\fcs1 \af0 \ltrch\fcs0 \cs17\v\fs20\cf9\lang1024\langfe1024\loch\af1\hich\af1\dbch\af31501\noproof\insrsid12854922\charrsid337651 _x000d__x000a_\hich\af1\dbch\af31501\loch\f1 &lt;Article2&gt;&lt;OptDel&gt;}{\rtlch\fcs1 \af0 \ltrch\fcs0 \insrsid12854922\charrsid337651 #}{\rtlch\fcs1 \af1 \ltrch\fcs0 \cs22\v\f1\fs20\cf15\insrsid12854922\charrsid337651 MNU[OPTACTPARTYES][NOTAPP]@CHOICE@AMACTMNU}{\rtlch\fcs1 _x000d__x000a_\af0 \ltrch\fcs0 \insrsid12854922\charrsid337651 #}{\rtlch\fcs1 \af0 \ltrch\fcs0 \cs17\v\fs20\cf9\lang1024\langfe1024\loch\af1\hich\af1\dbch\af31501\noproof\insrsid12854922\charrsid337651 \hich\af1\dbch\af31501\loch\f1 &lt;/OptDel&gt;&lt;/Article2&gt;}{\rtlch\fcs1 _x000d__x000a_\af0 \ltrch\fcs0 \insrsid12854922\charrsid33765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854922\charrsid337651 #}{\rtlch\fcs1 \af1 \ltrch\fcs0 \cs22\v\f1\fs20\cf15\insrsid12854922\charrsid337651 MNU[OPTLEFTAMACT][LEFTPROP]@CHOICE@AMACTMNU}{\rtlch\fcs1 \af0 \ltrch\fcs0 \insrsid12854922\charrsid337651 #\cell Amendment\cell _x000d__x000a_}\pard\plain \ltrpar\ql \li0\ri0\widctlpar\intbl\wrapdefault\aspalpha\aspnum\faauto\adjustright\rin0\lin0 \rtlch\fcs1 \af0\afs20\alang1025 \ltrch\fcs0 \fs24\lang2057\langfe2057\cgrid\langnp2057\langfenp2057 {\rtlch\fcs1 \af0 \ltrch\fcs0 _x000d__x000a_\insrsid12854922\charrsid33765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854922\charrsid337651 ##\cell ##}{\rtlch\fcs1 \af0\afs24 \ltrch\fcs0 \insrsid12854922\charrsid337651 \cell }\pard\plain \ltrpar\ql \li0\ri0\widctlpar\intbl\wrapdefault\aspalpha\aspnum\faauto\adjustright\rin0\lin0 \rtlch\fcs1 _x000d__x000a_\af0\afs20\alang1025 \ltrch\fcs0 \fs24\lang2057\langfe2057\cgrid\langnp2057\langfenp2057 {\rtlch\fcs1 \af0 \ltrch\fcs0 \insrsid12854922\charrsid33765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854922 \rtlch\fcs1 \af0\afs20\alang1025 \ltrch\fcs0 \fs24\lang2057\langfe2057\cgrid\langnp2057\langfenp2057 {\rtlch\fcs1 \af0 \ltrch\fcs0 _x000d__x000a_\insrsid12854922\charrsid337651 Or. }{\rtlch\fcs1 \af0 \ltrch\fcs0 \cs17\v\fs20\cf9\lang1024\langfe1024\loch\af1\hich\af1\dbch\af31501\noproof\insrsid12854922\charrsid337651 \hich\af1\dbch\af31501\loch\f1 &lt;Original&gt;}{\rtlch\fcs1 \af0 \ltrch\fcs0 _x000d__x000a_\insrsid12854922\charrsid337651 #}{\rtlch\fcs1 \af1 \ltrch\fcs0 \cs22\v\f1\fs20\cf15\insrsid12854922\charrsid337651 MNU[OPTORLANG][ORLANGMORE]@CHOICE@AMPLURMNU}{\rtlch\fcs1 \af0 \ltrch\fcs0 \insrsid12854922\charrsid337651 #}{\rtlch\fcs1 \af0 \ltrch\fcs0 _x000d__x000a_\cs17\v\fs20\cf9\lang1024\langfe1024\loch\af1\hich\af1\dbch\af31501\noproof\insrsid12854922\charrsid337651 \hich\af1\dbch\af31501\loch\f1 &lt;/Original&gt;}{\rtlch\fcs1 \af0 \ltrch\fcs0 \insrsid12854922\charrsid337651 _x000d__x000a_\par }\pard\plain \ltrpar\s21\qc \li0\ri0\sb240\sa240\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OptDel&gt;}{\rtlch\fcs1 \af0 \ltrch\fcs0 \insrsid12854922\charrsid337651 #}{_x000d__x000a_\rtlch\fcs1 \af1 \ltrch\fcs0 \cs22\v\f1\fs20\cf15\insrsid12854922\charrsid337651 MNU[CROSSREFNO][CROSSREFYES]@CHOICE@}{\rtlch\fcs1 \af0 \ltrch\fcs0 \insrsid12854922\charrsid337651 #}{\rtlch\fcs1 \af0 \ltrch\fcs0 _x000d__x000a_\cs17\i0\v\fs20\cf9\lang1024\langfe1024\loch\af1\hich\af1\dbch\af31501\noproof\insrsid12854922\charrsid337651 \hich\af1\dbch\af31501\loch\f1 &lt;/OptDel&gt;}{\rtlch\fcs1 \af0 \ltrch\fcs0 \insrsid12854922\charrsid337651 _x000d__x000a_\par }\pard\plain \ltrpar\s23\qc \li0\ri0\sb240\sa240\keepn\nowidctlpar\wrapdefault\aspalpha\aspnum\faauto\adjustright\rin0\lin0\itap0\pararsid12854922 \rtlch\fcs1 \af0\afs20\alang1025 \ltrch\fcs0 \i\fs24\lang2057\langfe2057\cgrid\langnp2057\langfenp2057 {_x000d__x000a_\rtlch\fcs1 \af0 \ltrch\fcs0 \cs17\i0\v\fs20\cf9\lang1024\langfe1024\loch\af1\hich\af1\dbch\af31501\noproof\insrsid12854922\charrsid337651 \hich\af1\dbch\af31501\loch\f1 &lt;TitreJust&gt;}{\rtlch\fcs1 \af0 \ltrch\fcs0 \insrsid12854922\charrsid337651 _x000d__x000a_Justification}{\rtlch\fcs1 \af0 \ltrch\fcs0 \cs17\i0\v\fs20\cf9\lang1024\langfe1024\loch\af1\hich\af1\dbch\af31501\noproof\insrsid12854922\charrsid337651 \hich\af1\dbch\af31501\loch\f1 &lt;/TitreJust&gt;}{\rtlch\fcs1 \af0 \ltrch\fcs0 _x000d__x000a_\insrsid12854922\charrsid337651 _x000d__x000a_\par }\pard\plain \ltrpar\s20\ql \li0\ri0\sa240\nowidctlpar\wrapdefault\aspalpha\aspnum\faauto\adjustright\rin0\lin0\itap0\pararsid12854922 \rtlch\fcs1 \af0\afs20\alang1025 \ltrch\fcs0 \i\fs24\lang2057\langfe2057\cgrid\langnp2057\langfenp2057 {\rtlch\fcs1 _x000d__x000a_\af0 \ltrch\fcs0 \cs17\i0\v\fs20\cf9\lang1024\langfe1024\loch\af1\hich\af1\dbch\af31501\noproof\insrsid12854922\charrsid337651 \hich\af1\dbch\af31501\loch\f1 &lt;OptDelPrev&gt;}{\rtlch\fcs1 \af0 \ltrch\fcs0 \insrsid12854922\charrsid337651 #}{\rtlch\fcs1 \af1 _x000d__x000a_\ltrch\fcs0 \cs22\v\f1\fs20\cf15\insrsid12854922\charrsid337651 MNU[TEXTJUSTYES][TEXTJUSTNO]@CHOICE@}{\rtlch\fcs1 \af0 \ltrch\fcs0 \insrsid12854922\charrsid337651 #}{\rtlch\fcs1 \af0 \ltrch\fcs0 _x000d__x000a_\cs17\i0\v\fs20\cf9\lang1024\langfe1024\loch\af1\hich\af1\dbch\af31501\noproof\insrsid12854922\charrsid337651 \hich\af1\dbch\af31501\loch\f1 &lt;/OptDelPrev&gt;}{\rtlch\fcs1 \af0 \ltrch\fcs0 \insrsid12854922\charrsid337651 _x000d__x000a_\par }\pard\plain \ltrpar\ql \li0\ri0\widctlpar\wrapdefault\aspalpha\aspnum\faauto\adjustright\rin0\lin0\itap0\pararsid12854922 \rtlch\fcs1 \af0\afs20\alang1025 \ltrch\fcs0 \fs24\lang2057\langfe2057\cgrid\langnp2057\langfenp2057 {\rtlch\fcs1 \af0 \ltrch\fcs0 _x000d__x000a_\cs17\v\fs20\cf9\lang1024\langfe1024\loch\af1\hich\af1\dbch\af31501\noproof\insrsid12854922\charrsid337651 \hich\af1\dbch\af31501\loch\f1 &lt;/}{\rtlch\fcs1 \af0 \ltrch\fcs0 _x000d__x000a_\cs17\v\fs20\cf9\lang1024\langfe1024\loch\af1\hich\af1\dbch\af31501\noproof\insrsid12854922 \hich\af1\dbch\af31501\loch\f1 Amend}{\rtlch\fcs1 \af0 \ltrch\fcs0 _x000d__x000a_\cs17\v\fs20\cf9\lang1024\langfe1024\loch\af1\hich\af1\dbch\af31501\noproof\insrsid12854922\charrsid33765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522ece8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10827 HideTWBExt;}{_x000d__x000a_\s18\ql \li0\ri0\sa120\nowidctlpar\wrapdefault\aspalpha\aspnum\faauto\adjustright\rin0\lin0\itap0 \rtlch\fcs1 \af0\afs20\alang1025 \ltrch\fcs0 \fs24\lang2057\langfe2057\cgrid\langnp2057\langfenp2057 \sbasedon0 \snext18 \spriority0 \styrsid11610827 _x000d__x000a_Normal6a;}{\s19\ql \li0\ri0\nowidctlpar\wrapdefault\aspalpha\aspnum\faauto\adjustright\rin0\lin0\itap0 \rtlch\fcs1 \af0\afs20\alang1025 \ltrch\fcs0 \b\fs24\lang2057\langfe2057\cgrid\langnp2057\langfenp2057 \sbasedon0 \snext19 \spriority0 \styrsid11610827 _x000d__x000a_NormalBold;}{\s20\qc \li0\ri0\sa240\nowidctlpar\wrapdefault\aspalpha\aspnum\faauto\adjustright\rin0\lin0\itap0 \rtlch\fcs1 \af0\afs20\alang1025 \ltrch\fcs0 \i\fs24\lang2057\langfe2057\cgrid\langnp2057\langfenp2057 _x000d__x000a_\sbasedon0 \snext20 \spriority0 \styrsid1161082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610827 AmNumberTabs;}{\s22\ql \li0\ri0\sb240\nowidctlpar\wrapdefault\aspalpha\aspnum\faauto\adjustright\rin0\lin0\itap0 \rtlch\fcs1 _x000d__x000a_\af0\afs20\alang1025 \ltrch\fcs0 \b\fs24\lang2057\langfe2057\cgrid\langnp2057\langfenp2057 \sbasedon0 \snext22 \spriority0 \styrsid11610827 NormalBold12b;}}{\*\rsidtbl \rsid24658\rsid223860\rsid735077\rsid1718133\rsid2892074\rsid3565327\rsid4666813_x000d__x000a_\rsid6641733\rsid7823322\rsid9636012\rsid10377208\rsid11215221\rsid11549030\rsid11610827\rsid12154954\rsid14382809\rsid14424199\rsid14556721\rsid15204470\rsid15285974\rsid15950462\rsid16324206\rsid16662270}{\mmathPr\mmathFont34\mbrkBin0\mbrkBinSub0_x000d__x000a_\msmallFrac0\mdispDef1\mlMargin0\mrMargin0\mdefJc1\mwrapIndent1440\mintLim0\mnaryLim1}{\info{\author ROVERS Rosette}{\operator ROVERS Rosette}{\creatim\yr2023\mo7\dy24\hr8\min32}{\revtim\yr2023\mo7\dy24\hr8\min32}{\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10827\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14556721 \chftnsep _x000d__x000a_\par }}{\*\ftnsepc \ltrpar \pard\plain \ltrpar\ql \li0\ri0\widctlpar\wrapdefault\aspalpha\aspnum\faauto\adjustright\rin0\lin0\itap0 \rtlch\fcs1 \af0\afs20\alang1025 \ltrch\fcs0 \fs24\lang2057\langfe2057\cgrid\langnp2057\langfenp2057 {\rtlch\fcs1 \af0 _x000d__x000a_\ltrch\fcs0 \insrsid14556721 \chftnsepc _x000d__x000a_\par }}{\*\aftnsep \ltrpar \pard\plain \ltrpar\ql \li0\ri0\widctlpar\wrapdefault\aspalpha\aspnum\faauto\adjustright\rin0\lin0\itap0 \rtlch\fcs1 \af0\afs20\alang1025 \ltrch\fcs0 \fs24\lang2057\langfe2057\cgrid\langnp2057\langfenp2057 {\rtlch\fcs1 \af0 _x000d__x000a_\ltrch\fcs0 \insrsid14556721 \chftnsep _x000d__x000a_\par }}{\*\aftnsepc \ltrpar \pard\plain \ltrpar\ql \li0\ri0\widctlpar\wrapdefault\aspalpha\aspnum\faauto\adjustright\rin0\lin0\itap0 \rtlch\fcs1 \af0\afs20\alang1025 \ltrch\fcs0 \fs24\lang2057\langfe2057\cgrid\langnp2057\langfenp2057 {\rtlch\fcs1 \af0 _x000d__x000a_\ltrch\fcs0 \insrsid145567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610827 \rtlch\fcs1 _x000d__x000a_\af0\afs20\alang1025 \ltrch\fcs0 \b\fs24\lang2057\langfe2057\cgrid\langnp2057\langfenp2057 {\rtlch\fcs1 \af0 \ltrch\fcs0 \cs17\b0\v\fs20\cf9\lang1024\langfe1024\loch\af1\hich\af1\dbch\af31501\noproof\insrsid11610827\charrsid15879488 {\*\bkmkstart restartA_x000d__x000a_}\hich\af1\dbch\af31501\loch\f1 &lt;AmendA&gt;}{\rtlch\fcs1 \af0 \ltrch\fcs0 \insrsid11610827\charrsid15879488 [ZAMENDMENT]\tab \tab }{\rtlch\fcs1 \af0 \ltrch\fcs0 _x000d__x000a_\cs17\b0\v\fs20\cf9\lang1024\langfe1024\loch\af1\hich\af1\dbch\af31501\noproof\insrsid11610827\charrsid15879488 \hich\af1\dbch\af31501\loch\f1 &lt;NumAmA&gt;}{\rtlch\fcs1 \af0 \ltrch\fcs0 \insrsid11610827\charrsid15879488 [ZNRAM]}{\rtlch\fcs1 \af0 \ltrch\fcs0 _x000d__x000a_\cs17\b0\v\fs20\cf9\lang1024\langfe1024\loch\af1\hich\af1\dbch\af31501\noproof\insrsid11610827\charrsid15879488 \hich\af1\dbch\af31501\loch\f1 &lt;/NumAmA&gt;}{\rtlch\fcs1 \af0 \ltrch\fcs0 \insrsid11610827\charrsid15879488 _x000d__x000a_\par }\pard\plain \ltrpar\s22\ql \li0\ri0\sb240\keepn\nowidctlpar\wrapdefault\aspalpha\aspnum\faauto\adjustright\rin0\lin0\itap0\pararsid11610827 \rtlch\fcs1 \af0\afs20\alang1025 \ltrch\fcs0 \b\fs24\lang2057\langfe2057\cgrid\langnp2057\langfenp2057 {_x000d__x000a_\rtlch\fcs1 \af0 \ltrch\fcs0 \cs17\b0\v\fs20\cf9\lang1024\langfe1024\loch\af1\hich\af1\dbch\af31501\noproof\langnp1036\insrsid11610827\charrsid11356624 \hich\af1\dbch\af31501\loch\f1 &lt;DocAmend&gt;}{\rtlch\fcs1 \af0 \ltrch\fcs0 _x000d__x000a_\lang1036\langfe2057\langnp1036\insrsid11610827\charrsid11356624 [ZRESOLUTION]}{\rtlch\fcs1 \af0 \ltrch\fcs0 \cs17\b0\v\fs20\cf9\lang1024\langfe1024\loch\af1\hich\af1\dbch\af31501\noproof\langnp1036\insrsid11610827\charrsid11356624 _x000d__x000a_\hich\af1\dbch\af31501\loch\f1 &lt;/DocAmend&gt;}{\rtlch\fcs1 \af0 \ltrch\fcs0 \lang1036\langfe2057\langnp1036\insrsid11610827\charrsid11356624 _x000d__x000a_\par }\pard\plain \ltrpar\s19\ql \li0\ri0\nowidctlpar\wrapdefault\aspalpha\aspnum\faauto\adjustright\rin0\lin0\itap0\pararsid11610827 \rtlch\fcs1 \af0\afs20\alang1025 \ltrch\fcs0 \b\fs24\lang2057\langfe2057\cgrid\langnp2057\langfenp2057 {\rtlch\fcs1 \af0 _x000d__x000a_\ltrch\fcs0 \cs17\b0\v\fs20\cf9\lang1024\langfe1024\loch\af1\hich\af1\dbch\af31501\noproof\langnp1036\insrsid11610827\charrsid11356624 \hich\af1\dbch\af31501\loch\f1 &lt;Article&gt;}{\rtlch\fcs1 \af0 \ltrch\fcs0 _x000d__x000a_\lang1036\langfe2057\langnp1036\insrsid11610827\charrsid11356624 [ZRESPART]}{\rtlch\fcs1 \af0 \ltrch\fcs0 \cs17\b0\v\fs20\cf9\lang1024\langfe1024\loch\af1\hich\af1\dbch\af31501\noproof\langnp1036\insrsid11610827\charrsid11356624 _x000d__x000a_\hich\af1\dbch\af31501\loch\f1 &lt;/Article&gt;}{\rtlch\fcs1 \af0 \ltrch\fcs0 \lang1036\langfe2057\langnp1036\insrsid1161082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1610827\charrsid11356624 \cell }\pard \ltrpar_x000d__x000a_\ql \li0\ri0\widctlpar\intbl\wrapdefault\aspalpha\aspnum\faauto\adjustright\rin0\lin0 {\rtlch\fcs1 \af0 \ltrch\fcs0 \insrsid1161082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1610827\charrsid15879488 [ZLEFTA]\cell [ZRIGHT]\cell }\pard\plain \ltrpar_x000d__x000a_\ql \li0\ri0\widctlpar\intbl\wrapdefault\aspalpha\aspnum\faauto\adjustright\rin0\lin0 \rtlch\fcs1 \af0\afs20\alang1025 \ltrch\fcs0 \fs24\lang2057\langfe2057\cgrid\langnp2057\langfenp2057 {\rtlch\fcs1 \af0 \ltrch\fcs0 \insrsid11610827\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610827\charrsid15879488 [ZTEXTL]\cell [ZTEXTR]}{\rtlch\fcs1 \af0\afs24 \ltrch\fcs0 \insrsid11610827\charrsid15879488 \cell }\pard\plain \ltrpar\ql \li0\ri0\widctlpar\intbl\wrapdefault\aspalpha\aspnum\faauto\adjustright\rin0\lin0 \rtlch\fcs1 _x000d__x000a_\af0\afs20\alang1025 \ltrch\fcs0 \fs24\lang2057\langfe2057\cgrid\langnp2057\langfenp2057 {\rtlch\fcs1 \af0 \ltrch\fcs0 \insrsid1161082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610827 {\rtlch\fcs1 \af0 \ltrch\fcs0 \cs17\v\fs20\cf9\lang1024\langfe1024\loch\af1\hich\af1\dbch\af31501\noproof\insrsid11610827\charrsid15879488 _x000d__x000a_\hich\af1\dbch\af31501\loch\f1 &lt;/AmendA&gt;}{\rtlch\fcs1 \af0 \ltrch\fcs0 \insrsid116108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51_x000d__x000a_f09af8b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60855 HideTWBExt;}{_x000d__x000a_\s18\ql \li0\ri0\sa120\nowidctlpar\wrapdefault\aspalpha\aspnum\faauto\adjustright\rin0\lin0\itap0 \rtlch\fcs1 \af0\afs20\alang1025 \ltrch\fcs0 \fs24\lang2057\langfe2057\cgrid\langnp2057\langfenp2057 \sbasedon0 \snext18 \spriority0 \styrsid15560855 _x000d__x000a_Normal6a;}{\s19\ql \li0\ri0\nowidctlpar\wrapdefault\aspalpha\aspnum\faauto\adjustright\rin0\lin0\itap0 \rtlch\fcs1 \af0\afs20\alang1025 \ltrch\fcs0 \b\fs24\lang2057\langfe2057\cgrid\langnp2057\langfenp2057 \sbasedon0 \snext19 \spriority0 \styrsid15560855 _x000d__x000a_NormalBold;}{\s20\ql \li0\ri0\sa240\nowidctlpar\wrapdefault\aspalpha\aspnum\faauto\adjustright\rin0\lin0\itap0 \rtlch\fcs1 \af0\afs20\alang1025 \ltrch\fcs0 \i\fs24\lang2057\langfe2057\cgrid\langnp2057\langfenp2057 _x000d__x000a_\sbasedon0 \snext20 \spriority0 \styrsid15560855 AmJustText;}{\s21\qc \li0\ri0\sb240\sa240\nowidctlpar\wrapdefault\aspalpha\aspnum\faauto\adjustright\rin0\lin0\itap0 \rtlch\fcs1 \af0\afs20\alang1025 \ltrch\fcs0 _x000d__x000a_\i\fs24\lang2057\langfe2057\cgrid\langnp2057\langfenp2057 \sbasedon0 \snext21 \spriority0 \styrsid15560855 AmCrossRef;}{\s22\qc \li0\ri0\sb240\sa240\keepn\nowidctlpar\wrapdefault\aspalpha\aspnum\faauto\adjustright\rin0\lin0\itap0 \rtlch\fcs1 _x000d__x000a_\af0\afs20\alang1025 \ltrch\fcs0 \i\fs24\lang2057\langfe2057\cgrid\langnp2057\langfenp2057 \sbasedon0 \snext20 \spriority0 \styrsid15560855 AmJustTitle;}{\s23\qc \li0\ri0\sa240\nowidctlpar\wrapdefault\aspalpha\aspnum\faauto\adjustright\rin0\lin0\itap0 _x000d__x000a_\rtlch\fcs1 \af0\afs20\alang1025 \ltrch\fcs0 \i\fs24\lang2057\langfe2057\cgrid\langnp2057\langfenp2057 \sbasedon0 \snext23 \spriority0 \styrsid1556085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560855 AmNumberTabs;}{\s25\ql \li0\ri0\sb240\nowidctlpar\wrapdefault\aspalpha\aspnum\faauto\adjustright\rin0\lin0\itap0 \rtlch\fcs1 _x000d__x000a_\af0\afs20\alang1025 \ltrch\fcs0 \b\fs24\lang2057\langfe2057\cgrid\langnp2057\langfenp2057 \sbasedon0 \snext25 \spriority0 \styrsid15560855 NormalBold12b;}}{\*\rsidtbl \rsid24658\rsid223860\rsid735077\rsid1718133\rsid2832688\rsid2892074\rsid3565327_x000d__x000a_\rsid4666813\rsid6641733\rsid7823322\rsid9636012\rsid10377208\rsid11215221\rsid11549030\rsid12154954\rsid14382809\rsid14424199\rsid15204470\rsid15285974\rsid15560855\rsid15950462\rsid16324206\rsid16662270}{\mmathPr\mmathFont34\mbrkBin0\mbrkBinSub0_x000d__x000a_\msmallFrac0\mdispDef1\mlMargin0\mrMargin0\mdefJc1\mwrapIndent1440\mintLim0\mnaryLim1}{\info{\author ROVERS Rosette}{\operator ROVERS Rosette}{\creatim\yr2023\mo7\dy24\hr8\min32}{\revtim\yr2023\mo7\dy24\hr8\min32}{\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60855\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2832688 \chftnsep _x000d__x000a_\par }}{\*\ftnsepc \ltrpar \pard\plain \ltrpar\ql \li0\ri0\widctlpar\wrapdefault\aspalpha\aspnum\faauto\adjustright\rin0\lin0\itap0 \rtlch\fcs1 \af0\afs20\alang1025 \ltrch\fcs0 \fs24\lang2057\langfe2057\cgrid\langnp2057\langfenp2057 {\rtlch\fcs1 \af0 _x000d__x000a_\ltrch\fcs0 \insrsid2832688 \chftnsepc _x000d__x000a_\par }}{\*\aftnsep \ltrpar \pard\plain \ltrpar\ql \li0\ri0\widctlpar\wrapdefault\aspalpha\aspnum\faauto\adjustright\rin0\lin0\itap0 \rtlch\fcs1 \af0\afs20\alang1025 \ltrch\fcs0 \fs24\lang2057\langfe2057\cgrid\langnp2057\langfenp2057 {\rtlch\fcs1 \af0 _x000d__x000a_\ltrch\fcs0 \insrsid2832688 \chftnsep _x000d__x000a_\par }}{\*\aftnsepc \ltrpar \pard\plain \ltrpar\ql \li0\ri0\widctlpar\wrapdefault\aspalpha\aspnum\faauto\adjustright\rin0\lin0\itap0 \rtlch\fcs1 \af0\afs20\alang1025 \ltrch\fcs0 \fs24\lang2057\langfe2057\cgrid\langnp2057\langfenp2057 {\rtlch\fcs1 \af0 _x000d__x000a_\ltrch\fcs0 \insrsid28326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560855 \rtlch\fcs1 _x000d__x000a_\af0\afs20\alang1025 \ltrch\fcs0 \b\fs24\lang2057\langfe2057\cgrid\langnp2057\langfenp2057 {\rtlch\fcs1 \af0 \ltrch\fcs0 \cs17\b0\v\fs20\cf9\lang1024\langfe1024\loch\af1\hich\af1\dbch\af31501\noproof\insrsid15560855\charrsid15879488 {\*\bkmkstart restartB_x000d__x000a_}\hich\af1\dbch\af31501\loch\f1 &lt;AmendB&gt;}{\rtlch\fcs1 \af0 \ltrch\fcs0 \insrsid15560855\charrsid15879488 [ZAMENDMENT]\tab \tab }{\rtlch\fcs1 \af0 \ltrch\fcs0 _x000d__x000a_\cs17\b0\v\fs20\cf9\lang1024\langfe1024\loch\af1\hich\af1\dbch\af31501\noproof\insrsid15560855\charrsid15879488 \hich\af1\dbch\af31501\loch\f1 &lt;NumAmB&gt;}{\rtlch\fcs1 \af0 \ltrch\fcs0 \insrsid15560855\charrsid15879488 [ZNRAM]}{\rtlch\fcs1 \af0 \ltrch\fcs0 _x000d__x000a_\cs17\b0\v\fs20\cf9\lang1024\langfe1024\loch\af1\hich\af1\dbch\af31501\noproof\insrsid15560855\charrsid15879488 \hich\af1\dbch\af31501\loch\f1 &lt;/NumAmB&gt;}{\rtlch\fcs1 \af0 \ltrch\fcs0 \insrsid15560855\charrsid15879488 _x000d__x000a_\par }\pard\plain \ltrpar\s25\ql \li0\ri0\sb240\keepn\nowidctlpar\wrapdefault\aspalpha\aspnum\faauto\adjustright\rin0\lin0\itap0\pararsid15560855 \rtlch\fcs1 \af0\afs20\alang1025 \ltrch\fcs0 \b\fs24\lang2057\langfe2057\cgrid\langnp2057\langfenp2057 {_x000d__x000a_\rtlch\fcs1 \af0 \ltrch\fcs0 \cs17\b0\v\fs20\cf9\lang1024\langfe1024\loch\af1\hich\af1\dbch\af31501\noproof\insrsid15560855\charrsid15879488 \hich\af1\dbch\af31501\loch\f1 &lt;DocAmend&gt;}{\rtlch\fcs1 \af0 \ltrch\fcs0 \insrsid15560855\charrsid15879488 _x000d__x000a_[ZPROPOSAL][ZAMACT]}{\rtlch\fcs1 \af0 \ltrch\fcs0 \cs17\b0\v\fs20\cf9\lang1024\langfe1024\loch\af1\hich\af1\dbch\af31501\noproof\insrsid15560855\charrsid15879488 \hich\af1\dbch\af31501\loch\f1 &lt;/DocAmend&gt;}{\rtlch\fcs1 \af0 \ltrch\fcs0 _x000d__x000a_\insrsid15560855\charrsid15879488 _x000d__x000a_\par }\pard\plain \ltrpar\s19\ql \li0\ri0\keepn\nowidctlpar\wrapdefault\aspalpha\aspnum\faauto\adjustright\rin0\lin0\itap0\pararsid15560855 \rtlch\fcs1 \af0\afs20\alang1025 \ltrch\fcs0 \b\fs24\lang2057\langfe2057\cgrid\langnp2057\langfenp2057 {\rtlch\fcs1 _x000d__x000a_\af0 \ltrch\fcs0 \cs17\b0\v\fs20\cf9\lang1024\langfe1024\loch\af1\hich\af1\dbch\af31501\noproof\insrsid15560855\charrsid15879488 \hich\af1\dbch\af31501\loch\f1 &lt;Article&gt;}{\rtlch\fcs1 \af0 \ltrch\fcs0 \insrsid15560855\charrsid15879488 [ZAMPART]}{_x000d__x000a_\rtlch\fcs1 \af0 \ltrch\fcs0 \cs17\b0\v\fs20\cf9\lang1024\langfe1024\loch\af1\hich\af1\dbch\af31501\noproof\insrsid15560855\charrsid15879488 \hich\af1\dbch\af31501\loch\f1 &lt;/Article&gt;}{\rtlch\fcs1 \af0 \ltrch\fcs0 \insrsid15560855\charrsid15879488 _x000d__x000a_\par }\pard\plain \ltrpar\ql \li0\ri0\keepn\widctlpar\wrapdefault\aspalpha\aspnum\faauto\adjustright\rin0\lin0\itap0\pararsid15560855 \rtlch\fcs1 \af0\afs20\alang1025 \ltrch\fcs0 \fs24\lang2057\langfe2057\cgrid\langnp2057\langfenp2057 {\rtlch\fcs1 \af0 _x000d__x000a_\ltrch\fcs0 \cs17\v\fs20\cf9\lang1024\langfe1024\loch\af1\hich\af1\dbch\af31501\noproof\insrsid15560855\charrsid15879488 \hich\af1\dbch\af31501\loch\f1 &lt;DocAmend2&gt;&lt;OptDel&gt;}{\rtlch\fcs1 \af0 \ltrch\fcs0 \insrsid15560855\charrsid15879488 [ZNRACT]}{_x000d__x000a_\rtlch\fcs1 \af0 \ltrch\fcs0 \cs17\v\fs20\cf9\lang1024\langfe1024\loch\af1\hich\af1\dbch\af31501\noproof\insrsid15560855\charrsid15879488 \hich\af1\dbch\af31501\loch\f1 &lt;/OptDel&gt;&lt;/DocAmend2&gt;}{\rtlch\fcs1 \af0 \ltrch\fcs0 \insrsid15560855\charrsid15879488 _x000d__x000a__x000d__x000a_\par }\pard \ltrpar\ql \li0\ri0\widctlpar\wrapdefault\aspalpha\aspnum\faauto\adjustright\rin0\lin0\itap0\pararsid15560855 {\rtlch\fcs1 \af0 \ltrch\fcs0 _x000d__x000a_\cs17\v\fs20\cf9\lang1024\langfe1024\loch\af1\hich\af1\dbch\af31501\noproof\langnp1036\insrsid15560855\charrsid11356624 \hich\af1\dbch\af31501\loch\f1 &lt;Article2&gt;&lt;OptDel&gt;}{\rtlch\fcs1 \af0 \ltrch\fcs0 _x000d__x000a_\lang1036\langfe2057\langnp1036\insrsid15560855\charrsid11356624 [ZACTPART]}{\rtlch\fcs1 \af0 \ltrch\fcs0 \cs17\v\fs20\cf9\lang1024\langfe1024\loch\af1\hich\af1\dbch\af31501\noproof\langnp1036\insrsid15560855\charrsid11356624 _x000d__x000a_\hich\af1\dbch\af31501\loch\f1 &lt;/OptDel&gt;&lt;/Article2&gt;}{\rtlch\fcs1 \af0 \ltrch\fcs0 \lang1036\langfe2057\langnp1036\insrsid1556085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560855\charrsid11356624 \cell }\pard \ltrpar\ql \li0\ri0\widctlpar\intbl\wrapdefault\aspalpha\aspnum\faauto\adjustright\rin0\lin0 {\rtlch\fcs1 \af0 \ltrch\fcs0 \insrsid1556085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560855\charrsid15879488 [ZLEFTB]\cell [ZRIGHT]\cell }\pard\plain \ltrpar\ql \li0\ri0\widctlpar\intbl\wrapdefault\aspalpha\aspnum\faauto\adjustright\rin0\lin0 \rtlch\fcs1 \af0\afs20\alang1025 \ltrch\fcs0 _x000d__x000a_\fs24\lang2057\langfe2057\cgrid\langnp2057\langfenp2057 {\rtlch\fcs1 \af0 \ltrch\fcs0 \insrsid1556085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560855\charrsid15879488 [ZTEXTL]\cell [ZTEXTR]}{\rtlch\fcs1 \af0\afs24 \ltrch\fcs0 \insrsid15560855\charrsid15879488 \cell }\pard\plain \ltrpar\ql \li0\ri0\widctlpar\intbl\wrapdefault\aspalpha\aspnum\faauto\adjustright\rin0\lin0 \rtlch\fcs1 _x000d__x000a_\af0\afs20\alang1025 \ltrch\fcs0 \fs24\lang2057\langfe2057\cgrid\langnp2057\langfenp2057 {\rtlch\fcs1 \af0 \ltrch\fcs0 \insrsid1556085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560855 \rtlch\fcs1 \af0\afs20\alang1025 \ltrch\fcs0 \i\fs24\lang2057\langfe2057\cgrid\langnp2057\langfenp2057 {\rtlch\fcs1 \af0 \ltrch\fcs0 _x000d__x000a_\cs17\i0\v\fs20\cf9\lang1024\langfe1024\loch\af1\hich\af1\dbch\af31501\noproof\insrsid15560855\charrsid15879488 \hich\af1\dbch\af31501\loch\f1 &lt;OptDel&gt;}{\rtlch\fcs1 \af0 \ltrch\fcs0 \insrsid15560855\charrsid15879488 [ZCROSSREF]}{\rtlch\fcs1 \af0 _x000d__x000a_\ltrch\fcs0 \cs17\i0\v\fs20\cf9\lang1024\langfe1024\loch\af1\hich\af1\dbch\af31501\noproof\insrsid15560855\charrsid15879488 \hich\af1\dbch\af31501\loch\f1 &lt;/OptDel&gt;}{\rtlch\fcs1 \af0 \ltrch\fcs0 \insrsid15560855\charrsid15879488 _x000d__x000a_\par }\pard\plain \ltrpar\s22\qc \li0\ri0\sb240\sa240\keepn\nowidctlpar\wrapdefault\aspalpha\aspnum\faauto\adjustright\rin0\lin0\itap0\pararsid15560855 \rtlch\fcs1 \af0\afs20\alang1025 \ltrch\fcs0 \i\fs24\lang2057\langfe2057\cgrid\langnp2057\langfenp2057 {_x000d__x000a_\rtlch\fcs1 \af0 \ltrch\fcs0 \cs17\i0\v\fs20\cf9\lang1024\langfe1024\loch\af1\hich\af1\dbch\af31501\noproof\insrsid15560855\charrsid15879488 \hich\af1\dbch\af31501\loch\f1 &lt;TitreJust&gt;}{\rtlch\fcs1 \af0 \ltrch\fcs0 \insrsid15560855\charrsid15879488 _x000d__x000a_[ZJUSTIFICATION]}{\rtlch\fcs1 \af0 \ltrch\fcs0 \cs17\i0\v\fs20\cf9\lang1024\langfe1024\loch\af1\hich\af1\dbch\af31501\noproof\insrsid15560855\charrsid15879488 \hich\af1\dbch\af31501\loch\f1 &lt;/TitreJust&gt;}{\rtlch\fcs1 \af0 \ltrch\fcs0 _x000d__x000a_\insrsid15560855\charrsid15879488 _x000d__x000a_\par }\pard\plain \ltrpar\s20\ql \li0\ri0\sa240\nowidctlpar\wrapdefault\aspalpha\aspnum\faauto\adjustright\rin0\lin0\itap0\pararsid15560855 \rtlch\fcs1 \af0\afs20\alang1025 \ltrch\fcs0 \i\fs24\lang2057\langfe2057\cgrid\langnp2057\langfenp2057 {\rtlch\fcs1 _x000d__x000a_\af0 \ltrch\fcs0 \cs17\i0\v\fs20\cf9\lang1024\langfe1024\loch\af1\hich\af1\dbch\af31501\noproof\insrsid15560855\charrsid15879488 \hich\af1\dbch\af31501\loch\f1 &lt;OptDelPrev&gt;}{\rtlch\fcs1 \af0 \ltrch\fcs0 \insrsid15560855\charrsid15879488 [ZTEXTJUST]}{_x000d__x000a_\rtlch\fcs1 \af0 \ltrch\fcs0 \cs17\i0\v\fs20\cf9\lang1024\langfe1024\loch\af1\hich\af1\dbch\af31501\noproof\insrsid15560855\charrsid15879488 \hich\af1\dbch\af31501\loch\f1 &lt;/OptDelPrev&gt;}{\rtlch\fcs1 \af0 \ltrch\fcs0 \insrsid15560855\charrsid15879488 _x000d__x000a__x000d__x000a_\par }\pard\plain \ltrpar\ql \li0\ri0\widctlpar\wrapdefault\aspalpha\aspnum\faauto\adjustright\rin0\lin0\itap0\pararsid15560855 \rtlch\fcs1 \af0\afs20\alang1025 \ltrch\fcs0 \fs24\lang2057\langfe2057\cgrid\langnp2057\langfenp2057 {\rtlch\fcs1 \af0 \ltrch\fcs0 _x000d__x000a_\cs17\v\fs20\cf9\lang1024\langfe1024\loch\af1\hich\af1\dbch\af31501\noproof\insrsid15560855\charrsid15879488 \hich\af1\dbch\af31501\loch\f1 &lt;/AmendB&gt;}{\rtlch\fcs1 \af0 \ltrch\fcs0 \insrsid1556085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2_x000d__x000a_789cf8b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09212 HideTWBExt;}{_x000d__x000a_\s18\ql \li0\ri0\sa120\nowidctlpar\wrapdefault\aspalpha\aspnum\faauto\adjustright\rin0\lin0\itap0 \rtlch\fcs1 \af0\afs20\alang1025 \ltrch\fcs0 \fs24\lang2057\langfe2057\cgrid\langnp2057\langfenp2057 \sbasedon0 \snext18 \spriority0 \styrsid8809212 _x000d__x000a_Normal6a;}{\s19\ql \li0\ri0\nowidctlpar\wrapdefault\aspalpha\aspnum\faauto\adjustright\rin0\lin0\itap0 \rtlch\fcs1 \af0\afs20\alang1025 \ltrch\fcs0 \b\fs24\lang2057\langfe2057\cgrid\langnp2057\langfenp2057 \sbasedon0 \snext19 \spriority0 \styrsid8809212 _x000d__x000a_NormalBold;}{\s20\ql \li0\ri0\sa240\nowidctlpar\wrapdefault\aspalpha\aspnum\faauto\adjustright\rin0\lin0\itap0 \rtlch\fcs1 \af0\afs20\alang1025 \ltrch\fcs0 \i\fs24\lang2057\langfe2057\cgrid\langnp2057\langfenp2057 _x000d__x000a_\sbasedon0 \snext20 \spriority0 \styrsid8809212 AmJustText;}{\s21\qc \li0\ri0\sb240\sa240\nowidctlpar\wrapdefault\aspalpha\aspnum\faauto\adjustright\rin0\lin0\itap0 \rtlch\fcs1 \af0\afs20\alang1025 \ltrch\fcs0 _x000d__x000a_\i\fs24\lang2057\langfe2057\cgrid\langnp2057\langfenp2057 \sbasedon0 \snext21 \spriority0 \styrsid8809212 AmCrossRef;}{\s22\qc \li0\ri0\sb240\sa240\keepn\nowidctlpar\wrapdefault\aspalpha\aspnum\faauto\adjustright\rin0\lin0\itap0 \rtlch\fcs1 _x000d__x000a_\af0\afs20\alang1025 \ltrch\fcs0 \i\fs24\lang2057\langfe2057\cgrid\langnp2057\langfenp2057 \sbasedon0 \snext20 \spriority0 \styrsid8809212 AmJustTitle;}{\s23\qc \li0\ri0\sa240\nowidctlpar\wrapdefault\aspalpha\aspnum\faauto\adjustright\rin0\lin0\itap0 _x000d__x000a_\rtlch\fcs1 \af0\afs20\alang1025 \ltrch\fcs0 \i\fs24\lang2057\langfe2057\cgrid\langnp2057\langfenp2057 \sbasedon0 \snext23 \spriority0 \styrsid88092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809212 AmNumberTabs;}{\s25\ql \li0\ri0\sb240\nowidctlpar\wrapdefault\aspalpha\aspnum\faauto\adjustright\rin0\lin0\itap0 \rtlch\fcs1 _x000d__x000a_\af0\afs20\alang1025 \ltrch\fcs0 \b\fs24\lang2057\langfe2057\cgrid\langnp2057\langfenp2057 \sbasedon0 \snext25 \spriority0 \styrsid8809212 NormalBold12b;}}{\*\rsidtbl \rsid24658\rsid223860\rsid735077\rsid1718133\rsid2892074\rsid3565327\rsid4666813_x000d__x000a_\rsid5011056\rsid6641733\rsid7823322\rsid880921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OVERS Rosette}{\operator ROVERS Rosette}{\creatim\yr2023\mo7\dy24\hr8\min32}{\revtim\yr2023\mo7\dy24\hr8\min32}{\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09212\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5011056 \chftnsep _x000d__x000a_\par }}{\*\ftnsepc \ltrpar \pard\plain \ltrpar\ql \li0\ri0\widctlpar\wrapdefault\aspalpha\aspnum\faauto\adjustright\rin0\lin0\itap0 \rtlch\fcs1 \af0\afs20\alang1025 \ltrch\fcs0 \fs24\lang2057\langfe2057\cgrid\langnp2057\langfenp2057 {\rtlch\fcs1 \af0 _x000d__x000a_\ltrch\fcs0 \insrsid5011056 \chftnsepc _x000d__x000a_\par }}{\*\aftnsep \ltrpar \pard\plain \ltrpar\ql \li0\ri0\widctlpar\wrapdefault\aspalpha\aspnum\faauto\adjustright\rin0\lin0\itap0 \rtlch\fcs1 \af0\afs20\alang1025 \ltrch\fcs0 \fs24\lang2057\langfe2057\cgrid\langnp2057\langfenp2057 {\rtlch\fcs1 \af0 _x000d__x000a_\ltrch\fcs0 \insrsid5011056 \chftnsep _x000d__x000a_\par }}{\*\aftnsepc \ltrpar \pard\plain \ltrpar\ql \li0\ri0\widctlpar\wrapdefault\aspalpha\aspnum\faauto\adjustright\rin0\lin0\itap0 \rtlch\fcs1 \af0\afs20\alang1025 \ltrch\fcs0 \fs24\lang2057\langfe2057\cgrid\langnp2057\langfenp2057 {\rtlch\fcs1 \af0 _x000d__x000a_\ltrch\fcs0 \insrsid50110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809212 \rtlch\fcs1 _x000d__x000a_\af0\afs20\alang1025 \ltrch\fcs0 \b\fs24\lang2057\langfe2057\cgrid\langnp2057\langfenp2057 {\rtlch\fcs1 \af0 \ltrch\fcs0 \cs17\b0\v\fs20\cf9\lang1024\langfe1024\loch\af1\hich\af1\dbch\af31501\noproof\insrsid8809212\charrsid15879488 {\*\bkmkstart restartB}_x000d__x000a_\hich\af1\dbch\af31501\loch\f1 &lt;AmendB&gt;}{\rtlch\fcs1 \af0 \ltrch\fcs0 \insrsid8809212\charrsid15879488 [ZAMENDMENT]\tab \tab }{\rtlch\fcs1 \af0 \ltrch\fcs0 _x000d__x000a_\cs17\b0\v\fs20\cf9\lang1024\langfe1024\loch\af1\hich\af1\dbch\af31501\noproof\insrsid8809212\charrsid15879488 \hich\af1\dbch\af31501\loch\f1 &lt;NumAmB&gt;}{\rtlch\fcs1 \af0 \ltrch\fcs0 \insrsid8809212\charrsid15879488 [ZNRAM]}{\rtlch\fcs1 \af0 \ltrch\fcs0 _x000d__x000a_\cs17\b0\v\fs20\cf9\lang1024\langfe1024\loch\af1\hich\af1\dbch\af31501\noproof\insrsid8809212\charrsid15879488 \hich\af1\dbch\af31501\loch\f1 &lt;/NumAmB&gt;}{\rtlch\fcs1 \af0 \ltrch\fcs0 \insrsid8809212\charrsid15879488 _x000d__x000a_\par }\pard\plain \ltrpar\s25\ql \li0\ri0\sb240\keepn\nowidctlpar\wrapdefault\aspalpha\aspnum\faauto\adjustright\rin0\lin0\itap0\pararsid8809212 \rtlch\fcs1 \af0\afs20\alang1025 \ltrch\fcs0 \b\fs24\lang2057\langfe2057\cgrid\langnp2057\langfenp2057 {_x000d__x000a_\rtlch\fcs1 \af0 \ltrch\fcs0 \cs17\b0\v\fs20\cf9\lang1024\langfe1024\loch\af1\hich\af1\dbch\af31501\noproof\insrsid8809212\charrsid15879488 \hich\af1\dbch\af31501\loch\f1 &lt;DocAmend&gt;}{\rtlch\fcs1 \af0 \ltrch\fcs0 \insrsid8809212\charrsid15879488 _x000d__x000a_[ZPROPOSAL][ZAMACT]}{\rtlch\fcs1 \af0 \ltrch\fcs0 \cs17\b0\v\fs20\cf9\lang1024\langfe1024\loch\af1\hich\af1\dbch\af31501\noproof\insrsid8809212\charrsid15879488 \hich\af1\dbch\af31501\loch\f1 &lt;/DocAmend&gt;}{\rtlch\fcs1 \af0 \ltrch\fcs0 _x000d__x000a_\insrsid8809212\charrsid15879488 _x000d__x000a_\par }\pard\plain \ltrpar\s19\ql \li0\ri0\keepn\nowidctlpar\wrapdefault\aspalpha\aspnum\faauto\adjustright\rin0\lin0\itap0\pararsid8809212 \rtlch\fcs1 \af0\afs20\alang1025 \ltrch\fcs0 \b\fs24\lang2057\langfe2057\cgrid\langnp2057\langfenp2057 {\rtlch\fcs1 \af0 _x000d__x000a_\ltrch\fcs0 \cs17\b0\v\fs20\cf9\lang1024\langfe1024\loch\af1\hich\af1\dbch\af31501\noproof\insrsid8809212\charrsid15879488 \hich\af1\dbch\af31501\loch\f1 &lt;Article&gt;}{\rtlch\fcs1 \af0 \ltrch\fcs0 \insrsid8809212\charrsid15879488 [ZAMPART]}{\rtlch\fcs1 \af0 _x000d__x000a_\ltrch\fcs0 \cs17\b0\v\fs20\cf9\lang1024\langfe1024\loch\af1\hich\af1\dbch\af31501\noproof\insrsid8809212\charrsid15879488 \hich\af1\dbch\af31501\loch\f1 &lt;/Article&gt;}{\rtlch\fcs1 \af0 \ltrch\fcs0 \insrsid8809212\charrsid15879488 _x000d__x000a_\par }\pard\plain \ltrpar\ql \li0\ri0\keepn\widctlpar\wrapdefault\aspalpha\aspnum\faauto\adjustright\rin0\lin0\itap0\pararsid8809212 \rtlch\fcs1 \af0\afs20\alang1025 \ltrch\fcs0 \fs24\lang2057\langfe2057\cgrid\langnp2057\langfenp2057 {\rtlch\fcs1 \af0 _x000d__x000a_\ltrch\fcs0 \cs17\v\fs20\cf9\lang1024\langfe1024\loch\af1\hich\af1\dbch\af31501\noproof\insrsid8809212\charrsid15879488 \hich\af1\dbch\af31501\loch\f1 &lt;DocAmend2&gt;&lt;OptDel&gt;}{\rtlch\fcs1 \af0 \ltrch\fcs0 \insrsid8809212\charrsid15879488 [ZNRACT]}{_x000d__x000a_\rtlch\fcs1 \af0 \ltrch\fcs0 \cs17\v\fs20\cf9\lang1024\langfe1024\loch\af1\hich\af1\dbch\af31501\noproof\insrsid8809212\charrsid15879488 \hich\af1\dbch\af31501\loch\f1 &lt;/OptDel&gt;&lt;/DocAmend2&gt;}{\rtlch\fcs1 \af0 \ltrch\fcs0 \insrsid8809212\charrsid15879488 _x000d__x000a__x000d__x000a_\par }\pard \ltrpar\ql \li0\ri0\widctlpar\wrapdefault\aspalpha\aspnum\faauto\adjustright\rin0\lin0\itap0\pararsid8809212 {\rtlch\fcs1 \af0 \ltrch\fcs0 _x000d__x000a_\cs17\v\fs20\cf9\lang1024\langfe1024\loch\af1\hich\af1\dbch\af31501\noproof\langnp1036\insrsid8809212\charrsid11356624 \hich\af1\dbch\af31501\loch\f1 &lt;Article2&gt;&lt;OptDel&gt;}{\rtlch\fcs1 \af0 \ltrch\fcs0 _x000d__x000a_\lang1036\langfe2057\langnp1036\insrsid8809212\charrsid11356624 [ZACTPART]}{\rtlch\fcs1 \af0 \ltrch\fcs0 \cs17\v\fs20\cf9\lang1024\langfe1024\loch\af1\hich\af1\dbch\af31501\noproof\langnp1036\insrsid8809212\charrsid11356624 \hich\af1\dbch\af31501\loch\f1 _x000d__x000a_&lt;/OptDel&gt;&lt;/Article2&gt;}{\rtlch\fcs1 \af0 \ltrch\fcs0 \lang1036\langfe2057\langnp1036\insrsid880921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809212\charrsid11356624 \cell }\pard \ltrpar\ql \li0\ri0\widctlpar\intbl\wrapdefault\aspalpha\aspnum\faauto\adjustright\rin0\lin0 {\rtlch\fcs1 \af0 \ltrch\fcs0 \insrsid880921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809212\charrsid15879488 [ZLEFTB]\cell [ZRIGHT]\cell }\pard\plain \ltrpar\ql \li0\ri0\widctlpar\intbl\wrapdefault\aspalpha\aspnum\faauto\adjustright\rin0\lin0 \rtlch\fcs1 \af0\afs20\alang1025 \ltrch\fcs0 _x000d__x000a_\fs24\lang2057\langfe2057\cgrid\langnp2057\langfenp2057 {\rtlch\fcs1 \af0 \ltrch\fcs0 \insrsid880921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09212\charrsid15879488 [ZTEXTL]\cell [ZTEXTR]}{\rtlch\fcs1 \af0\afs24 \ltrch\fcs0 \insrsid8809212\charrsid15879488 \cell }\pard\plain \ltrpar\ql \li0\ri0\widctlpar\intbl\wrapdefault\aspalpha\aspnum\faauto\adjustright\rin0\lin0 \rtlch\fcs1 _x000d__x000a_\af0\afs20\alang1025 \ltrch\fcs0 \fs24\lang2057\langfe2057\cgrid\langnp2057\langfenp2057 {\rtlch\fcs1 \af0 \ltrch\fcs0 \insrsid880921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809212 \rtlch\fcs1 \af0\afs20\alang1025 \ltrch\fcs0 \i\fs24\lang2057\langfe2057\cgrid\langnp2057\langfenp2057 {\rtlch\fcs1 \af0 \ltrch\fcs0 _x000d__x000a_\cs17\i0\v\fs20\cf9\lang1024\langfe1024\loch\af1\hich\af1\dbch\af31501\noproof\insrsid8809212\charrsid15879488 \hich\af1\dbch\af31501\loch\f1 &lt;OptDel&gt;}{\rtlch\fcs1 \af0 \ltrch\fcs0 \insrsid8809212\charrsid15879488 [ZCROSSREF]}{\rtlch\fcs1 \af0 _x000d__x000a_\ltrch\fcs0 \cs17\i0\v\fs20\cf9\lang1024\langfe1024\loch\af1\hich\af1\dbch\af31501\noproof\insrsid8809212\charrsid15879488 \hich\af1\dbch\af31501\loch\f1 &lt;/OptDel&gt;}{\rtlch\fcs1 \af0 \ltrch\fcs0 \insrsid8809212\charrsid15879488 _x000d__x000a_\par }\pard\plain \ltrpar\s22\qc \li0\ri0\sb240\sa240\keepn\nowidctlpar\wrapdefault\aspalpha\aspnum\faauto\adjustright\rin0\lin0\itap0\pararsid8809212 \rtlch\fcs1 \af0\afs20\alang1025 \ltrch\fcs0 \i\fs24\lang2057\langfe2057\cgrid\langnp2057\langfenp2057 {_x000d__x000a_\rtlch\fcs1 \af0 \ltrch\fcs0 \cs17\i0\v\fs20\cf9\lang1024\langfe1024\loch\af1\hich\af1\dbch\af31501\noproof\insrsid8809212\charrsid15879488 \hich\af1\dbch\af31501\loch\f1 &lt;TitreJust&gt;}{\rtlch\fcs1 \af0 \ltrch\fcs0 \insrsid8809212\charrsid15879488 _x000d__x000a_[ZJUSTIFICATION]}{\rtlch\fcs1 \af0 \ltrch\fcs0 \cs17\i0\v\fs20\cf9\lang1024\langfe1024\loch\af1\hich\af1\dbch\af31501\noproof\insrsid8809212\charrsid15879488 \hich\af1\dbch\af31501\loch\f1 &lt;/TitreJust&gt;}{\rtlch\fcs1 \af0 \ltrch\fcs0 _x000d__x000a_\insrsid8809212\charrsid15879488 _x000d__x000a_\par }\pard\plain \ltrpar\s20\ql \li0\ri0\sa240\nowidctlpar\wrapdefault\aspalpha\aspnum\faauto\adjustright\rin0\lin0\itap0\pararsid8809212 \rtlch\fcs1 \af0\afs20\alang1025 \ltrch\fcs0 \i\fs24\lang2057\langfe2057\cgrid\langnp2057\langfenp2057 {\rtlch\fcs1 \af0 _x000d__x000a_\ltrch\fcs0 \cs17\i0\v\fs20\cf9\lang1024\langfe1024\loch\af1\hich\af1\dbch\af31501\noproof\insrsid8809212\charrsid15879488 \hich\af1\dbch\af31501\loch\f1 &lt;OptDelPrev&gt;}{\rtlch\fcs1 \af0 \ltrch\fcs0 \insrsid8809212\charrsid15879488 [ZTEXTJUST]}{\rtlch\fcs1 _x000d__x000a_\af0 \ltrch\fcs0 \cs17\i0\v\fs20\cf9\lang1024\langfe1024\loch\af1\hich\af1\dbch\af31501\noproof\insrsid8809212\charrsid15879488 \hich\af1\dbch\af31501\loch\f1 &lt;/OptDelPrev&gt;}{\rtlch\fcs1 \af0 \ltrch\fcs0 \insrsid8809212\charrsid15879488 _x000d__x000a_\par }\pard\plain \ltrpar\ql \li0\ri0\widctlpar\wrapdefault\aspalpha\aspnum\faauto\adjustright\rin0\lin0\itap0\pararsid8809212 \rtlch\fcs1 \af0\afs20\alang1025 \ltrch\fcs0 \fs24\lang2057\langfe2057\cgrid\langnp2057\langfenp2057 {\rtlch\fcs1 \af0 \ltrch\fcs0 _x000d__x000a_\cs17\v\fs20\cf9\lang1024\langfe1024\loch\af1\hich\af1\dbch\af31501\noproof\insrsid8809212\charrsid15879488 \hich\af1\dbch\af31501\loch\f1 &lt;/AmendB&gt;}{\rtlch\fcs1 \af0 \ltrch\fcs0 \insrsid88092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4_x000d__x000a_5899f8b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3"/>
    <w:docVar w:name="TITLECODMNU" w:val=" 1"/>
    <w:docVar w:name="TVTAMPART" w:val="1"/>
    <w:docVar w:name="TXTLANGUE" w:val="NL"/>
    <w:docVar w:name="TXTLANGUEMIN" w:val="nl"/>
    <w:docVar w:name="TXTNRC" w:val="0010/2023"/>
    <w:docVar w:name="TXTNRCOM" w:val="(2023)0031"/>
    <w:docVar w:name="TXTNRFIRSTAM" w:val="1"/>
    <w:docVar w:name="TXTNRLASTAM" w:val="8"/>
    <w:docVar w:name="TXTNRPE" w:val="749.075"/>
    <w:docVar w:name="TXTNRPROC" w:val="2023/0008"/>
    <w:docVar w:name="TXTPEorAP" w:val="PE"/>
    <w:docVar w:name="TXTROUTE" w:val="AD\1283110NL.docx"/>
    <w:docVar w:name="TXTVERSION" w:val="02-00"/>
  </w:docVars>
  <w:rsids>
    <w:rsidRoot w:val="005559AA"/>
    <w:rsid w:val="000005D7"/>
    <w:rsid w:val="0001783C"/>
    <w:rsid w:val="00026559"/>
    <w:rsid w:val="000267C6"/>
    <w:rsid w:val="00027315"/>
    <w:rsid w:val="00027FA8"/>
    <w:rsid w:val="0004474F"/>
    <w:rsid w:val="00082EC4"/>
    <w:rsid w:val="000D44A6"/>
    <w:rsid w:val="0010065C"/>
    <w:rsid w:val="001033AF"/>
    <w:rsid w:val="00122C05"/>
    <w:rsid w:val="001232DB"/>
    <w:rsid w:val="00134974"/>
    <w:rsid w:val="00141CD7"/>
    <w:rsid w:val="001616BD"/>
    <w:rsid w:val="001820A9"/>
    <w:rsid w:val="001A0556"/>
    <w:rsid w:val="001B0A1E"/>
    <w:rsid w:val="001C0886"/>
    <w:rsid w:val="001D5154"/>
    <w:rsid w:val="001E3AC4"/>
    <w:rsid w:val="0020077A"/>
    <w:rsid w:val="00200E71"/>
    <w:rsid w:val="00217D72"/>
    <w:rsid w:val="0023131B"/>
    <w:rsid w:val="002A67EE"/>
    <w:rsid w:val="002F001A"/>
    <w:rsid w:val="00304EA8"/>
    <w:rsid w:val="0033578D"/>
    <w:rsid w:val="00341A99"/>
    <w:rsid w:val="00343DAF"/>
    <w:rsid w:val="00360FAA"/>
    <w:rsid w:val="0038294E"/>
    <w:rsid w:val="003A2F84"/>
    <w:rsid w:val="003B5565"/>
    <w:rsid w:val="003B71A2"/>
    <w:rsid w:val="003C7390"/>
    <w:rsid w:val="003D57D4"/>
    <w:rsid w:val="003E1280"/>
    <w:rsid w:val="003F128E"/>
    <w:rsid w:val="003F4B8B"/>
    <w:rsid w:val="0040055C"/>
    <w:rsid w:val="004801F8"/>
    <w:rsid w:val="00487596"/>
    <w:rsid w:val="004B3A53"/>
    <w:rsid w:val="004C2A0D"/>
    <w:rsid w:val="004F1D2F"/>
    <w:rsid w:val="00502B76"/>
    <w:rsid w:val="00504AA1"/>
    <w:rsid w:val="00513F6F"/>
    <w:rsid w:val="00522B51"/>
    <w:rsid w:val="00524707"/>
    <w:rsid w:val="00532EDA"/>
    <w:rsid w:val="005512C9"/>
    <w:rsid w:val="005539B7"/>
    <w:rsid w:val="005559AA"/>
    <w:rsid w:val="00571233"/>
    <w:rsid w:val="00577F24"/>
    <w:rsid w:val="00586C6E"/>
    <w:rsid w:val="005905FD"/>
    <w:rsid w:val="005C4700"/>
    <w:rsid w:val="00606B67"/>
    <w:rsid w:val="00613134"/>
    <w:rsid w:val="00626D52"/>
    <w:rsid w:val="00641367"/>
    <w:rsid w:val="00643DA8"/>
    <w:rsid w:val="00657D5C"/>
    <w:rsid w:val="00683DD1"/>
    <w:rsid w:val="00691B1C"/>
    <w:rsid w:val="006A0F0A"/>
    <w:rsid w:val="006A48AA"/>
    <w:rsid w:val="006B1267"/>
    <w:rsid w:val="006D292E"/>
    <w:rsid w:val="006F5D2C"/>
    <w:rsid w:val="00712462"/>
    <w:rsid w:val="00716BAA"/>
    <w:rsid w:val="00724F3E"/>
    <w:rsid w:val="0078548A"/>
    <w:rsid w:val="007A4241"/>
    <w:rsid w:val="007B7CE3"/>
    <w:rsid w:val="007F187F"/>
    <w:rsid w:val="00817D13"/>
    <w:rsid w:val="00820C7D"/>
    <w:rsid w:val="00833D11"/>
    <w:rsid w:val="00836FD3"/>
    <w:rsid w:val="008375A8"/>
    <w:rsid w:val="00846F2D"/>
    <w:rsid w:val="00872A52"/>
    <w:rsid w:val="00876A73"/>
    <w:rsid w:val="0089388A"/>
    <w:rsid w:val="008C1D31"/>
    <w:rsid w:val="008D41A4"/>
    <w:rsid w:val="008F3DB0"/>
    <w:rsid w:val="00904864"/>
    <w:rsid w:val="009052FE"/>
    <w:rsid w:val="009215FC"/>
    <w:rsid w:val="00924555"/>
    <w:rsid w:val="009368B3"/>
    <w:rsid w:val="00973A96"/>
    <w:rsid w:val="00982B83"/>
    <w:rsid w:val="009857B4"/>
    <w:rsid w:val="00997115"/>
    <w:rsid w:val="009E7319"/>
    <w:rsid w:val="00A41B8A"/>
    <w:rsid w:val="00A71228"/>
    <w:rsid w:val="00A74E25"/>
    <w:rsid w:val="00AC2A60"/>
    <w:rsid w:val="00AD49D0"/>
    <w:rsid w:val="00B00EE6"/>
    <w:rsid w:val="00B2781F"/>
    <w:rsid w:val="00B476DC"/>
    <w:rsid w:val="00B556CD"/>
    <w:rsid w:val="00B62D4B"/>
    <w:rsid w:val="00B904FA"/>
    <w:rsid w:val="00BA3E40"/>
    <w:rsid w:val="00BD1F76"/>
    <w:rsid w:val="00BD666A"/>
    <w:rsid w:val="00BE20CF"/>
    <w:rsid w:val="00C00B55"/>
    <w:rsid w:val="00C22327"/>
    <w:rsid w:val="00C335C6"/>
    <w:rsid w:val="00C377DA"/>
    <w:rsid w:val="00C41ED5"/>
    <w:rsid w:val="00C4219C"/>
    <w:rsid w:val="00C52A28"/>
    <w:rsid w:val="00C64EA8"/>
    <w:rsid w:val="00C709B7"/>
    <w:rsid w:val="00C75E98"/>
    <w:rsid w:val="00C81C5B"/>
    <w:rsid w:val="00C83B35"/>
    <w:rsid w:val="00C85D0F"/>
    <w:rsid w:val="00CA16AB"/>
    <w:rsid w:val="00CD67C9"/>
    <w:rsid w:val="00D25CF2"/>
    <w:rsid w:val="00D408D8"/>
    <w:rsid w:val="00D56CE0"/>
    <w:rsid w:val="00D6254D"/>
    <w:rsid w:val="00D67D0A"/>
    <w:rsid w:val="00D74FD1"/>
    <w:rsid w:val="00D943A5"/>
    <w:rsid w:val="00D9581F"/>
    <w:rsid w:val="00DB35A6"/>
    <w:rsid w:val="00DB56E4"/>
    <w:rsid w:val="00E27F01"/>
    <w:rsid w:val="00E63FB0"/>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CD38B"/>
  <w15:chartTrackingRefBased/>
  <w15:docId w15:val="{57FF5451-82BA-4634-A7E1-07E1473B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emos">
    <w:name w:val="Memos"/>
    <w:basedOn w:val="NoSpacing"/>
    <w:link w:val="MemosChar"/>
    <w:autoRedefine/>
    <w:qFormat/>
    <w:rsid w:val="008D41A4"/>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8D41A4"/>
    <w:rPr>
      <w:rFonts w:eastAsiaTheme="minorHAnsi"/>
      <w:sz w:val="28"/>
      <w:szCs w:val="32"/>
      <w:u w:val="single"/>
      <w:lang w:eastAsia="en-US"/>
    </w:rPr>
  </w:style>
  <w:style w:type="paragraph" w:styleId="NoSpacing">
    <w:name w:val="No Spacing"/>
    <w:uiPriority w:val="1"/>
    <w:qFormat/>
    <w:rsid w:val="008D41A4"/>
    <w:pPr>
      <w:widowControl w:val="0"/>
    </w:pPr>
    <w:rPr>
      <w:sz w:val="24"/>
      <w:szCs w:val="24"/>
    </w:rPr>
  </w:style>
  <w:style w:type="paragraph" w:customStyle="1" w:styleId="Normal6">
    <w:name w:val="Normal6"/>
    <w:basedOn w:val="Normal"/>
    <w:link w:val="Normal6Char"/>
    <w:rsid w:val="00C00B55"/>
    <w:pPr>
      <w:spacing w:after="120"/>
    </w:pPr>
    <w:rPr>
      <w:szCs w:val="20"/>
    </w:rPr>
  </w:style>
  <w:style w:type="character" w:customStyle="1" w:styleId="NormalBoldChar">
    <w:name w:val="NormalBold Char"/>
    <w:basedOn w:val="DefaultParagraphFont"/>
    <w:link w:val="NormalBold"/>
    <w:rsid w:val="00C00B55"/>
    <w:rPr>
      <w:b/>
      <w:sz w:val="24"/>
    </w:rPr>
  </w:style>
  <w:style w:type="character" w:customStyle="1" w:styleId="Normal6Char">
    <w:name w:val="Normal6 Char"/>
    <w:basedOn w:val="DefaultParagraphFont"/>
    <w:link w:val="Normal6"/>
    <w:rsid w:val="00C00B55"/>
    <w:rPr>
      <w:sz w:val="24"/>
      <w:lang w:val="nl-NL"/>
    </w:rPr>
  </w:style>
  <w:style w:type="paragraph" w:customStyle="1" w:styleId="ColumnHeading">
    <w:name w:val="ColumnHeading"/>
    <w:basedOn w:val="Normal"/>
    <w:rsid w:val="00C00B55"/>
    <w:pPr>
      <w:spacing w:after="240"/>
      <w:jc w:val="center"/>
    </w:pPr>
    <w:rPr>
      <w:i/>
      <w:szCs w:val="20"/>
    </w:rPr>
  </w:style>
  <w:style w:type="paragraph" w:customStyle="1" w:styleId="AMNumberTabs0">
    <w:name w:val="AMNumberTabs"/>
    <w:basedOn w:val="Normal"/>
    <w:rsid w:val="00C00B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C00B55"/>
    <w:pPr>
      <w:jc w:val="right"/>
    </w:pPr>
  </w:style>
  <w:style w:type="paragraph" w:styleId="Footer">
    <w:name w:val="footer"/>
    <w:basedOn w:val="Normal"/>
    <w:link w:val="FooterChar"/>
    <w:rsid w:val="0010065C"/>
    <w:pPr>
      <w:tabs>
        <w:tab w:val="center" w:pos="4513"/>
        <w:tab w:val="right" w:pos="9026"/>
      </w:tabs>
    </w:pPr>
  </w:style>
  <w:style w:type="character" w:customStyle="1" w:styleId="FooterChar">
    <w:name w:val="Footer Char"/>
    <w:basedOn w:val="DefaultParagraphFont"/>
    <w:link w:val="Footer"/>
    <w:rsid w:val="0010065C"/>
    <w:rPr>
      <w:sz w:val="24"/>
      <w:szCs w:val="24"/>
    </w:rPr>
  </w:style>
  <w:style w:type="paragraph" w:styleId="BalloonText">
    <w:name w:val="Balloon Text"/>
    <w:basedOn w:val="Normal"/>
    <w:link w:val="BalloonTextChar"/>
    <w:semiHidden/>
    <w:unhideWhenUsed/>
    <w:rsid w:val="00C41ED5"/>
    <w:rPr>
      <w:rFonts w:ascii="Segoe UI" w:hAnsi="Segoe UI" w:cs="Segoe UI"/>
      <w:sz w:val="18"/>
      <w:szCs w:val="18"/>
    </w:rPr>
  </w:style>
  <w:style w:type="character" w:customStyle="1" w:styleId="BalloonTextChar">
    <w:name w:val="Balloon Text Char"/>
    <w:basedOn w:val="DefaultParagraphFont"/>
    <w:link w:val="BalloonText"/>
    <w:semiHidden/>
    <w:rsid w:val="00C41ED5"/>
    <w:rPr>
      <w:rFonts w:ascii="Segoe UI" w:hAnsi="Segoe UI" w:cs="Segoe UI"/>
      <w:sz w:val="18"/>
      <w:szCs w:val="18"/>
    </w:rPr>
  </w:style>
  <w:style w:type="character" w:styleId="CommentReference">
    <w:name w:val="annotation reference"/>
    <w:basedOn w:val="DefaultParagraphFont"/>
    <w:rsid w:val="006F5D2C"/>
    <w:rPr>
      <w:sz w:val="16"/>
      <w:szCs w:val="16"/>
    </w:rPr>
  </w:style>
  <w:style w:type="paragraph" w:styleId="CommentText">
    <w:name w:val="annotation text"/>
    <w:basedOn w:val="Normal"/>
    <w:link w:val="CommentTextChar"/>
    <w:rsid w:val="006F5D2C"/>
    <w:rPr>
      <w:sz w:val="20"/>
      <w:szCs w:val="20"/>
    </w:rPr>
  </w:style>
  <w:style w:type="character" w:customStyle="1" w:styleId="CommentTextChar">
    <w:name w:val="Comment Text Char"/>
    <w:basedOn w:val="DefaultParagraphFont"/>
    <w:link w:val="CommentText"/>
    <w:rsid w:val="006F5D2C"/>
  </w:style>
  <w:style w:type="paragraph" w:styleId="CommentSubject">
    <w:name w:val="annotation subject"/>
    <w:basedOn w:val="CommentText"/>
    <w:next w:val="CommentText"/>
    <w:link w:val="CommentSubjectChar"/>
    <w:semiHidden/>
    <w:unhideWhenUsed/>
    <w:rsid w:val="006F5D2C"/>
    <w:rPr>
      <w:b/>
      <w:bCs/>
    </w:rPr>
  </w:style>
  <w:style w:type="character" w:customStyle="1" w:styleId="CommentSubjectChar">
    <w:name w:val="Comment Subject Char"/>
    <w:basedOn w:val="CommentTextChar"/>
    <w:link w:val="CommentSubject"/>
    <w:semiHidden/>
    <w:rsid w:val="006F5D2C"/>
    <w:rPr>
      <w:b/>
      <w:bCs/>
    </w:rPr>
  </w:style>
  <w:style w:type="paragraph" w:styleId="FootnoteText">
    <w:name w:val="footnote text"/>
    <w:basedOn w:val="Normal"/>
    <w:link w:val="FootnoteTextChar"/>
    <w:uiPriority w:val="99"/>
    <w:unhideWhenUsed/>
    <w:rsid w:val="00D408D8"/>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D408D8"/>
    <w:rPr>
      <w:rFonts w:eastAsiaTheme="minorHAnsi"/>
      <w:lang w:eastAsia="en-US"/>
    </w:rPr>
  </w:style>
  <w:style w:type="paragraph" w:customStyle="1" w:styleId="RollCallSymbols14pt">
    <w:name w:val="RollCallSymbols14pt"/>
    <w:basedOn w:val="Normal"/>
    <w:rsid w:val="001232DB"/>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232DB"/>
    <w:pPr>
      <w:tabs>
        <w:tab w:val="center" w:pos="284"/>
        <w:tab w:val="left" w:pos="426"/>
      </w:tabs>
    </w:pPr>
    <w:rPr>
      <w:snapToGrid w:val="0"/>
      <w:szCs w:val="20"/>
      <w:lang w:eastAsia="en-US"/>
    </w:rPr>
  </w:style>
  <w:style w:type="paragraph" w:customStyle="1" w:styleId="RollCallVotes">
    <w:name w:val="RollCallVotes"/>
    <w:basedOn w:val="Normal"/>
    <w:rsid w:val="001232DB"/>
    <w:pPr>
      <w:spacing w:before="120" w:after="120"/>
      <w:jc w:val="center"/>
    </w:pPr>
    <w:rPr>
      <w:b/>
      <w:bCs/>
      <w:snapToGrid w:val="0"/>
      <w:sz w:val="16"/>
      <w:szCs w:val="20"/>
      <w:lang w:eastAsia="en-US"/>
    </w:rPr>
  </w:style>
  <w:style w:type="paragraph" w:customStyle="1" w:styleId="RollCallTable">
    <w:name w:val="RollCallTable"/>
    <w:basedOn w:val="Normal"/>
    <w:rsid w:val="001232DB"/>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6436A-F336-42ED-A43D-8EC2C10D4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3847</Words>
  <Characters>23829</Characters>
  <Application>Microsoft Office Word</Application>
  <DocSecurity>0</DocSecurity>
  <Lines>823</Lines>
  <Paragraphs>200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2023-08-11T08:02:00Z</dcterms:created>
  <dcterms:modified xsi:type="dcterms:W3CDTF">2023-08-11T08:02:00Z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1283110</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- 2023/08/11 10:01</vt:lpwstr>
  </property>
  <property fmtid="{D5CDD505-2E9C-101B-9397-08002B2CF9AE}" pid="9" name="Created with">
    <vt:lpwstr>9.14.1 Build [20230301]</vt:lpwstr>
  </property>
  <property fmtid="{D5CDD505-2E9C-101B-9397-08002B2CF9AE}" pid="10" name="FooterPath">
    <vt:lpwstr>AD\1283110NL.docx</vt:lpwstr>
  </property>
  <property fmtid="{D5CDD505-2E9C-101B-9397-08002B2CF9AE}" pid="11" name="LastEdited with">
    <vt:lpwstr>9.14.1 Build [20230315]</vt:lpwstr>
  </property>
  <property fmtid="{D5CDD505-2E9C-101B-9397-08002B2CF9AE}" pid="12" name="PE number">
    <vt:lpwstr>749.075</vt:lpwstr>
  </property>
  <property fmtid="{D5CDD505-2E9C-101B-9397-08002B2CF9AE}" pid="13" name="SDLStudio">
    <vt:lpwstr/>
  </property>
  <property fmtid="{D5CDD505-2E9C-101B-9397-08002B2CF9AE}" pid="14" name="SendToEpades">
    <vt:lpwstr>OK - 2023/05/17 09:38</vt:lpwstr>
  </property>
</Properties>
</file>