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00C6" w:rsidRPr="002522B7" w:rsidTr="00823CA1">
        <w:trPr>
          <w:trHeight w:hRule="exact" w:val="1418"/>
        </w:trPr>
        <w:tc>
          <w:tcPr>
            <w:tcW w:w="6804" w:type="dxa"/>
            <w:shd w:val="clear" w:color="auto" w:fill="auto"/>
            <w:vAlign w:val="center"/>
          </w:tcPr>
          <w:p w:rsidR="00BA3E40" w:rsidRPr="002522B7" w:rsidRDefault="0032033D" w:rsidP="00823CA1">
            <w:pPr>
              <w:pStyle w:val="EPName"/>
            </w:pPr>
            <w:r w:rsidRPr="002522B7">
              <w:t>Europa-Parlamentet</w:t>
            </w:r>
          </w:p>
          <w:p w:rsidR="00BA3E40" w:rsidRPr="002522B7" w:rsidRDefault="0032033D" w:rsidP="007D7414">
            <w:pPr>
              <w:pStyle w:val="EPTerm"/>
            </w:pPr>
            <w:r w:rsidRPr="002522B7">
              <w:t>2019-2024</w:t>
            </w:r>
          </w:p>
        </w:tc>
        <w:tc>
          <w:tcPr>
            <w:tcW w:w="2268" w:type="dxa"/>
            <w:shd w:val="clear" w:color="auto" w:fill="auto"/>
          </w:tcPr>
          <w:p w:rsidR="00BA3E40" w:rsidRPr="002522B7" w:rsidRDefault="0032033D" w:rsidP="00823CA1">
            <w:pPr>
              <w:pStyle w:val="EPLogo"/>
            </w:pPr>
            <w:r w:rsidRPr="002522B7">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522B7" w:rsidRDefault="00F24D40" w:rsidP="00F24D40">
      <w:pPr>
        <w:pStyle w:val="LineTop"/>
      </w:pPr>
    </w:p>
    <w:p w:rsidR="00F24D40" w:rsidRPr="002522B7" w:rsidRDefault="0032033D" w:rsidP="00F24D40">
      <w:pPr>
        <w:pStyle w:val="EPBody"/>
      </w:pPr>
      <w:r w:rsidRPr="002522B7">
        <w:rPr>
          <w:rStyle w:val="HideTWBExt"/>
          <w:noProof w:val="0"/>
        </w:rPr>
        <w:t>&lt;</w:t>
      </w:r>
      <w:r w:rsidRPr="002522B7">
        <w:rPr>
          <w:rStyle w:val="HideTWBExt"/>
          <w:i w:val="0"/>
          <w:noProof w:val="0"/>
        </w:rPr>
        <w:t>Commission</w:t>
      </w:r>
      <w:r w:rsidRPr="002522B7">
        <w:rPr>
          <w:rStyle w:val="HideTWBExt"/>
          <w:noProof w:val="0"/>
        </w:rPr>
        <w:t>&gt;</w:t>
      </w:r>
      <w:r w:rsidRPr="002522B7">
        <w:rPr>
          <w:rStyle w:val="HideTWBInt"/>
          <w:color w:val="auto"/>
        </w:rPr>
        <w:t>{LIBE}</w:t>
      </w:r>
      <w:r w:rsidRPr="002522B7">
        <w:t>Udvalget om Borgernes Rettigheder og Retlige og Indre Anliggender</w:t>
      </w:r>
      <w:r w:rsidRPr="002522B7">
        <w:rPr>
          <w:rStyle w:val="HideTWBExt"/>
          <w:noProof w:val="0"/>
        </w:rPr>
        <w:t>&lt;/</w:t>
      </w:r>
      <w:r w:rsidRPr="002522B7">
        <w:rPr>
          <w:rStyle w:val="HideTWBExt"/>
          <w:i w:val="0"/>
          <w:noProof w:val="0"/>
        </w:rPr>
        <w:t>Commission</w:t>
      </w:r>
      <w:r w:rsidRPr="002522B7">
        <w:rPr>
          <w:rStyle w:val="HideTWBExt"/>
          <w:noProof w:val="0"/>
        </w:rPr>
        <w:t>&gt;</w:t>
      </w:r>
    </w:p>
    <w:p w:rsidR="00F24D40" w:rsidRPr="002522B7" w:rsidRDefault="00F24D40" w:rsidP="00F24D40">
      <w:pPr>
        <w:pStyle w:val="LineBottom"/>
      </w:pPr>
    </w:p>
    <w:p w:rsidR="00DB56E4" w:rsidRPr="002522B7" w:rsidRDefault="0032033D" w:rsidP="00DB56E4">
      <w:pPr>
        <w:pStyle w:val="CoverReference"/>
      </w:pPr>
      <w:r w:rsidRPr="002522B7">
        <w:rPr>
          <w:rStyle w:val="HideTWBExt"/>
          <w:b w:val="0"/>
          <w:noProof w:val="0"/>
        </w:rPr>
        <w:t>&lt;RefProc&gt;</w:t>
      </w:r>
      <w:r w:rsidRPr="002522B7">
        <w:t>2022/0400</w:t>
      </w:r>
      <w:r w:rsidRPr="002522B7">
        <w:rPr>
          <w:rStyle w:val="HideTWBExt"/>
          <w:b w:val="0"/>
          <w:noProof w:val="0"/>
        </w:rPr>
        <w:t>&lt;/RefProc&gt;&lt;RefTypeProc&gt;</w:t>
      </w:r>
      <w:r w:rsidRPr="002522B7">
        <w:t>(COD)</w:t>
      </w:r>
      <w:r w:rsidRPr="002522B7">
        <w:rPr>
          <w:rStyle w:val="HideTWBExt"/>
          <w:b w:val="0"/>
          <w:noProof w:val="0"/>
        </w:rPr>
        <w:t>&lt;/RefTypeProc&gt;</w:t>
      </w:r>
    </w:p>
    <w:p w:rsidR="00DB56E4" w:rsidRPr="002522B7" w:rsidRDefault="0032033D" w:rsidP="00DB56E4">
      <w:pPr>
        <w:pStyle w:val="CoverDate"/>
      </w:pPr>
      <w:r w:rsidRPr="002522B7">
        <w:rPr>
          <w:rStyle w:val="HideTWBExt"/>
          <w:noProof w:val="0"/>
        </w:rPr>
        <w:t>&lt;Date&gt;</w:t>
      </w:r>
      <w:r w:rsidRPr="002522B7">
        <w:rPr>
          <w:rStyle w:val="HideTWBInt"/>
          <w:color w:val="auto"/>
        </w:rPr>
        <w:t>{12/10/2023}</w:t>
      </w:r>
      <w:r w:rsidRPr="002522B7">
        <w:t>12.10.2023</w:t>
      </w:r>
      <w:r w:rsidRPr="002522B7">
        <w:rPr>
          <w:rStyle w:val="HideTWBExt"/>
          <w:noProof w:val="0"/>
        </w:rPr>
        <w:t>&lt;/Date&gt;</w:t>
      </w:r>
    </w:p>
    <w:p w:rsidR="00DB56E4" w:rsidRPr="002522B7" w:rsidRDefault="0032033D" w:rsidP="00DB56E4">
      <w:pPr>
        <w:pStyle w:val="CoverDocType24a"/>
      </w:pPr>
      <w:r w:rsidRPr="002522B7">
        <w:rPr>
          <w:rStyle w:val="HideTWBExt"/>
          <w:b w:val="0"/>
          <w:noProof w:val="0"/>
        </w:rPr>
        <w:t>&lt;TitreType&gt;</w:t>
      </w:r>
      <w:r w:rsidRPr="002522B7">
        <w:t>UDTALELSE</w:t>
      </w:r>
      <w:r w:rsidRPr="002522B7">
        <w:rPr>
          <w:rStyle w:val="HideTWBExt"/>
          <w:b w:val="0"/>
          <w:noProof w:val="0"/>
        </w:rPr>
        <w:t>&lt;/TitreType&gt;</w:t>
      </w:r>
    </w:p>
    <w:p w:rsidR="00DB56E4" w:rsidRPr="002522B7" w:rsidRDefault="0032033D" w:rsidP="00DB56E4">
      <w:pPr>
        <w:pStyle w:val="CoverNormal24a"/>
      </w:pPr>
      <w:r w:rsidRPr="002522B7">
        <w:rPr>
          <w:rStyle w:val="HideTWBExt"/>
          <w:noProof w:val="0"/>
        </w:rPr>
        <w:t>&lt;CommissionResp&gt;</w:t>
      </w:r>
      <w:r w:rsidRPr="002522B7">
        <w:t>fra Udvalget om Borgernes Rettigheder og Retlige og Indre Anliggender</w:t>
      </w:r>
      <w:r w:rsidRPr="002522B7">
        <w:rPr>
          <w:rStyle w:val="HideTWBExt"/>
          <w:noProof w:val="0"/>
        </w:rPr>
        <w:t>&lt;/CommissionResp&gt;</w:t>
      </w:r>
    </w:p>
    <w:p w:rsidR="00DB56E4" w:rsidRPr="002522B7" w:rsidRDefault="0032033D" w:rsidP="00DB56E4">
      <w:pPr>
        <w:pStyle w:val="CoverNormal24a"/>
      </w:pPr>
      <w:r w:rsidRPr="002522B7">
        <w:rPr>
          <w:rStyle w:val="HideTWBExt"/>
          <w:noProof w:val="0"/>
        </w:rPr>
        <w:t>&lt;CommissionInt&gt;</w:t>
      </w:r>
      <w:r w:rsidRPr="002522B7">
        <w:t>for Udvalget om Beskæftigelse og Sociale Anliggender og Udvalget om Kvinders Rettigheder og Ligestilling</w:t>
      </w:r>
      <w:r w:rsidRPr="002522B7">
        <w:rPr>
          <w:rStyle w:val="HideTWBExt"/>
          <w:noProof w:val="0"/>
        </w:rPr>
        <w:t>&lt;/CommissionInt&gt;</w:t>
      </w:r>
    </w:p>
    <w:p w:rsidR="00DB56E4" w:rsidRPr="002522B7" w:rsidRDefault="0032033D" w:rsidP="00DB56E4">
      <w:pPr>
        <w:pStyle w:val="CoverNormal"/>
      </w:pPr>
      <w:r w:rsidRPr="002522B7">
        <w:rPr>
          <w:rStyle w:val="HideTWBExt"/>
          <w:noProof w:val="0"/>
        </w:rPr>
        <w:t>&lt;Tit</w:t>
      </w:r>
      <w:r w:rsidRPr="002522B7">
        <w:rPr>
          <w:rStyle w:val="HideTWBExt"/>
          <w:noProof w:val="0"/>
        </w:rPr>
        <w:t>re&gt;</w:t>
      </w:r>
      <w:r w:rsidRPr="002522B7">
        <w:t>om forslag til Europa-Parlamentets og Rådets direktiv om standarder for ligestillingsorganer på området ligebehandling af og lige muligheder for kvinder og mænd i forbindelse med beskæftigelse og erhverv og om ophævelse af artikel 20 i direktiv 2006/54/</w:t>
      </w:r>
      <w:r w:rsidRPr="002522B7">
        <w:t>EF og artikel 11 i direktiv 2010/41/EU</w:t>
      </w:r>
      <w:r w:rsidRPr="002522B7">
        <w:rPr>
          <w:rStyle w:val="HideTWBExt"/>
          <w:noProof w:val="0"/>
        </w:rPr>
        <w:t>&lt;/Titre&gt;</w:t>
      </w:r>
    </w:p>
    <w:p w:rsidR="00DB56E4" w:rsidRPr="002522B7" w:rsidRDefault="0032033D" w:rsidP="00DB56E4">
      <w:pPr>
        <w:pStyle w:val="CoverNormal24a"/>
      </w:pPr>
      <w:r w:rsidRPr="002522B7">
        <w:rPr>
          <w:rStyle w:val="HideTWBExt"/>
          <w:noProof w:val="0"/>
        </w:rPr>
        <w:t>&lt;DocRef&gt;</w:t>
      </w:r>
      <w:r w:rsidRPr="002522B7">
        <w:t>(COM(2022)0688 – C9</w:t>
      </w:r>
      <w:r w:rsidRPr="002522B7">
        <w:noBreakHyphen/>
        <w:t>0409/2022 – 2022/0400(COD))</w:t>
      </w:r>
      <w:r w:rsidRPr="002522B7">
        <w:rPr>
          <w:rStyle w:val="HideTWBExt"/>
          <w:noProof w:val="0"/>
        </w:rPr>
        <w:t>&lt;/DocRef&gt;</w:t>
      </w:r>
    </w:p>
    <w:p w:rsidR="00DB56E4" w:rsidRPr="002522B7" w:rsidRDefault="0032033D" w:rsidP="00DB56E4">
      <w:pPr>
        <w:pStyle w:val="CoverNormal24a"/>
      </w:pPr>
      <w:r w:rsidRPr="002522B7">
        <w:t xml:space="preserve">Ordfører for udtalelse: </w:t>
      </w:r>
      <w:r w:rsidRPr="002522B7">
        <w:rPr>
          <w:rStyle w:val="HideTWBExt"/>
          <w:noProof w:val="0"/>
        </w:rPr>
        <w:t>&lt;Depute&gt;</w:t>
      </w:r>
      <w:r w:rsidRPr="002522B7">
        <w:t>Alice Kuhnke</w:t>
      </w:r>
      <w:r w:rsidRPr="002522B7">
        <w:rPr>
          <w:rStyle w:val="HideTWBExt"/>
          <w:noProof w:val="0"/>
        </w:rPr>
        <w:t>&lt;/Depute&gt;</w:t>
      </w:r>
    </w:p>
    <w:p w:rsidR="00487596" w:rsidRPr="002522B7" w:rsidRDefault="00487596" w:rsidP="00487596">
      <w:pPr>
        <w:pStyle w:val="CoverNormal"/>
      </w:pPr>
    </w:p>
    <w:p w:rsidR="00DB56E4" w:rsidRPr="002522B7" w:rsidRDefault="0032033D" w:rsidP="0004474F">
      <w:pPr>
        <w:tabs>
          <w:tab w:val="center" w:pos="4677"/>
        </w:tabs>
      </w:pPr>
      <w:r w:rsidRPr="002522B7">
        <w:br w:type="page"/>
      </w:r>
      <w:r w:rsidRPr="002522B7">
        <w:lastRenderedPageBreak/>
        <w:t>PA_Legam</w:t>
      </w:r>
    </w:p>
    <w:p w:rsidR="00DB56E4" w:rsidRPr="002522B7" w:rsidRDefault="0032033D" w:rsidP="007D7414">
      <w:pPr>
        <w:pStyle w:val="AmHeadingPA"/>
      </w:pPr>
      <w:r w:rsidRPr="002522B7">
        <w:br w:type="page"/>
      </w:r>
      <w:r w:rsidRPr="002522B7">
        <w:lastRenderedPageBreak/>
        <w:t>ÆNDRINGSFORSLAG</w:t>
      </w:r>
    </w:p>
    <w:p w:rsidR="001320E6" w:rsidRPr="002522B7" w:rsidRDefault="0032033D" w:rsidP="0097124D">
      <w:pPr>
        <w:pStyle w:val="Normal12a"/>
      </w:pPr>
      <w:bookmarkStart w:id="0" w:name="IntroA"/>
      <w:r w:rsidRPr="002522B7">
        <w:t xml:space="preserve">Udvalget om Borgernes Rettigheder og Retlige og Indre </w:t>
      </w:r>
      <w:r w:rsidRPr="002522B7">
        <w:t>Anliggender opfordrer Udvalget om Beskæftigelse og Sociale Anliggender og Udvalget om Kvinders Rettigheder og Ligestilling, som de ansvarlige udvalg, til at tage hensyn til følgende:</w:t>
      </w:r>
      <w:bookmarkStart w:id="1" w:name="PasteOldAMStart"/>
      <w:bookmarkEnd w:id="0"/>
      <w:bookmarkEnd w:id="1"/>
    </w:p>
    <w:p w:rsidR="008429B6" w:rsidRPr="002522B7" w:rsidRDefault="0032033D" w:rsidP="008429B6">
      <w:bookmarkStart w:id="2" w:name="PasteOldAMEnd"/>
      <w:bookmarkEnd w:id="2"/>
      <w:r w:rsidRPr="002522B7">
        <w:rPr>
          <w:rStyle w:val="HideTWBExt"/>
          <w:noProof w:val="0"/>
        </w:rPr>
        <w:t>&lt;</w:t>
      </w:r>
      <w:r w:rsidRPr="002522B7">
        <w:rPr>
          <w:rStyle w:val="HideTWBExt"/>
          <w:noProof w:val="0"/>
        </w:rPr>
        <w:t>RepeatBlock-Amend&gt;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t xml:space="preserve">I traktaterne og Den Europæiske Unions charter om grundlæggende rettigheder anerkendes retten til lighed og retten til ikkeforskelsbehandling som </w:t>
            </w:r>
            <w:r w:rsidRPr="002522B7">
              <w:t>Unionens grundlæggende værdier</w:t>
            </w:r>
            <w:r w:rsidRPr="002522B7">
              <w:rPr>
                <w:vertAlign w:val="superscript"/>
              </w:rPr>
              <w:t>57</w:t>
            </w:r>
            <w:r w:rsidRPr="002522B7">
              <w:t>, og Unionen har allerede vedtaget flere direktiver om forbud mod forskelsbehandling.</w:t>
            </w:r>
          </w:p>
        </w:tc>
        <w:tc>
          <w:tcPr>
            <w:tcW w:w="4876" w:type="dxa"/>
            <w:hideMark/>
          </w:tcPr>
          <w:p w:rsidR="008429B6" w:rsidRPr="002522B7" w:rsidRDefault="0032033D" w:rsidP="00334B3E">
            <w:pPr>
              <w:pStyle w:val="Normal6"/>
              <w:rPr>
                <w:szCs w:val="24"/>
              </w:rPr>
            </w:pPr>
            <w:r w:rsidRPr="002522B7">
              <w:t>(1)</w:t>
            </w:r>
            <w:r w:rsidRPr="002522B7">
              <w:tab/>
              <w:t>I traktaterne og Den Europæiske Unions charter om grundlæggende rettigheder anerkendes retten til lighed og retten til ikkeforskelsbeh</w:t>
            </w:r>
            <w:r w:rsidRPr="002522B7">
              <w:t>andling som Unionens grundlæggende værdier</w:t>
            </w:r>
            <w:r w:rsidRPr="002522B7">
              <w:rPr>
                <w:vertAlign w:val="superscript"/>
              </w:rPr>
              <w:t>57</w:t>
            </w:r>
            <w:r w:rsidRPr="002522B7">
              <w:t>, og Unionen har allerede vedtaget flere direktiver om forbud mod forskelsbehandling</w:t>
            </w:r>
            <w:r w:rsidRPr="002522B7">
              <w:rPr>
                <w:b/>
                <w:i/>
              </w:rPr>
              <w:t>, men den mangler stadig at vedtage et horisontalt direktiv om ligebehandling uden for beskæftigelses- og erhvervsområdet, som d</w:t>
            </w:r>
            <w:r w:rsidRPr="002522B7">
              <w:rPr>
                <w:b/>
                <w:i/>
              </w:rPr>
              <w:t>ækker alle beskyttede grunde</w:t>
            </w:r>
            <w:r w:rsidRPr="002522B7">
              <w:t xml:space="preserve">. </w:t>
            </w:r>
          </w:p>
        </w:tc>
      </w:tr>
      <w:tr w:rsidR="003700C6" w:rsidRPr="002522B7" w:rsidTr="00823CA1">
        <w:trPr>
          <w:jc w:val="center"/>
        </w:trPr>
        <w:tc>
          <w:tcPr>
            <w:tcW w:w="4876" w:type="dxa"/>
            <w:hideMark/>
          </w:tcPr>
          <w:p w:rsidR="008429B6" w:rsidRPr="002522B7" w:rsidRDefault="0032033D" w:rsidP="00823CA1">
            <w:pPr>
              <w:pStyle w:val="Normal6"/>
            </w:pPr>
            <w:r w:rsidRPr="002522B7">
              <w:t>__________________</w:t>
            </w:r>
          </w:p>
        </w:tc>
        <w:tc>
          <w:tcPr>
            <w:tcW w:w="4876" w:type="dxa"/>
            <w:hideMark/>
          </w:tcPr>
          <w:p w:rsidR="008429B6" w:rsidRPr="002522B7" w:rsidRDefault="0032033D" w:rsidP="00823CA1">
            <w:pPr>
              <w:pStyle w:val="Normal6"/>
              <w:rPr>
                <w:szCs w:val="24"/>
              </w:rPr>
            </w:pPr>
            <w:r w:rsidRPr="002522B7">
              <w:t>__________________</w:t>
            </w:r>
          </w:p>
        </w:tc>
      </w:tr>
      <w:tr w:rsidR="003700C6" w:rsidRPr="002522B7" w:rsidTr="00823CA1">
        <w:trPr>
          <w:jc w:val="center"/>
        </w:trPr>
        <w:tc>
          <w:tcPr>
            <w:tcW w:w="4876" w:type="dxa"/>
            <w:hideMark/>
          </w:tcPr>
          <w:p w:rsidR="008429B6" w:rsidRPr="002522B7" w:rsidRDefault="0032033D" w:rsidP="00823CA1">
            <w:pPr>
              <w:pStyle w:val="Normal6"/>
            </w:pPr>
            <w:r w:rsidRPr="002522B7">
              <w:rPr>
                <w:vertAlign w:val="superscript"/>
              </w:rPr>
              <w:t>57</w:t>
            </w:r>
            <w:r w:rsidRPr="002522B7">
              <w:t xml:space="preserve"> Artikel 2 og 3 i traktaten om Den Europæiske Union ("TEU"), artikel 8 og 10 i traktaten om Den Europæiske Unions funktionsmåde ("TEUF") samt chartrets artikel 21, 23 og 26.</w:t>
            </w:r>
          </w:p>
        </w:tc>
        <w:tc>
          <w:tcPr>
            <w:tcW w:w="4876" w:type="dxa"/>
            <w:hideMark/>
          </w:tcPr>
          <w:p w:rsidR="008429B6" w:rsidRPr="002522B7" w:rsidRDefault="0032033D" w:rsidP="00823CA1">
            <w:pPr>
              <w:pStyle w:val="Normal6"/>
              <w:rPr>
                <w:szCs w:val="24"/>
              </w:rPr>
            </w:pPr>
            <w:r w:rsidRPr="002522B7">
              <w:rPr>
                <w:vertAlign w:val="superscript"/>
              </w:rPr>
              <w:t>57</w:t>
            </w:r>
            <w:r w:rsidRPr="002522B7">
              <w:t xml:space="preserve"> Artike</w:t>
            </w:r>
            <w:r w:rsidRPr="002522B7">
              <w:t>l 2 og 3 i traktaten om Den Europæiske Union ("TEU"), artikel 8 og 10 i traktaten om Den Europæiske Unions funktionsmåde ("TEUF") samt chartrets artikel 21, 23 og 26.</w:t>
            </w:r>
          </w:p>
        </w:tc>
      </w:tr>
    </w:tbl>
    <w:p w:rsidR="008429B6" w:rsidRPr="002522B7" w:rsidRDefault="0032033D" w:rsidP="008429B6">
      <w:r w:rsidRPr="002522B7">
        <w:rPr>
          <w:rStyle w:val="HideTWBExt"/>
          <w:noProof w:val="0"/>
        </w:rPr>
        <w:t>&lt;/Amend&gt;</w:t>
      </w:r>
    </w:p>
    <w:p w:rsidR="00DB7EE6" w:rsidRPr="002522B7" w:rsidRDefault="0032033D" w:rsidP="00DB7EE6">
      <w:pPr>
        <w:pStyle w:val="AMNumberTabs0"/>
        <w:keepNext/>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w:t>
      </w:r>
      <w:r w:rsidRPr="002522B7">
        <w:rPr>
          <w:rStyle w:val="HideTWBExt"/>
          <w:b w:val="0"/>
          <w:noProof w:val="0"/>
        </w:rPr>
        <w:t>&lt;/NumAm&gt;</w:t>
      </w:r>
    </w:p>
    <w:p w:rsidR="00DB7EE6" w:rsidRPr="002522B7" w:rsidRDefault="00DB7EE6" w:rsidP="00DB7EE6">
      <w:pPr>
        <w:pStyle w:val="NormalBold"/>
      </w:pPr>
    </w:p>
    <w:p w:rsidR="00DB7EE6" w:rsidRPr="002522B7" w:rsidRDefault="0032033D" w:rsidP="00DB7EE6">
      <w:pPr>
        <w:pStyle w:val="NormalBold"/>
        <w:keepNext/>
      </w:pPr>
      <w:r w:rsidRPr="002522B7">
        <w:rPr>
          <w:rStyle w:val="HideTWBExt"/>
          <w:b w:val="0"/>
          <w:noProof w:val="0"/>
        </w:rPr>
        <w:t>&lt;DocAmend&gt;</w:t>
      </w:r>
      <w:r w:rsidRPr="002522B7">
        <w:t>Forslag til direktiv</w:t>
      </w:r>
      <w:r w:rsidRPr="002522B7">
        <w:rPr>
          <w:rStyle w:val="HideTWBExt"/>
          <w:b w:val="0"/>
          <w:noProof w:val="0"/>
        </w:rPr>
        <w:t>&lt;/DocAm</w:t>
      </w:r>
      <w:r w:rsidRPr="002522B7">
        <w:rPr>
          <w:rStyle w:val="HideTWBExt"/>
          <w:b w:val="0"/>
          <w:noProof w:val="0"/>
        </w:rPr>
        <w:t>end&gt;</w:t>
      </w:r>
    </w:p>
    <w:p w:rsidR="00DB7EE6" w:rsidRPr="002522B7" w:rsidRDefault="0032033D" w:rsidP="00DB7EE6">
      <w:pPr>
        <w:pStyle w:val="NormalBold"/>
      </w:pPr>
      <w:r w:rsidRPr="002522B7">
        <w:rPr>
          <w:rStyle w:val="HideTWBExt"/>
          <w:b w:val="0"/>
          <w:noProof w:val="0"/>
        </w:rPr>
        <w:t>&lt;Article&gt;</w:t>
      </w:r>
      <w:r w:rsidRPr="002522B7">
        <w:t>Betragtning 1 a (ny)</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DB7EE6">
        <w:trPr>
          <w:jc w:val="center"/>
        </w:trPr>
        <w:tc>
          <w:tcPr>
            <w:tcW w:w="9752" w:type="dxa"/>
            <w:gridSpan w:val="2"/>
          </w:tcPr>
          <w:p w:rsidR="00DB7EE6" w:rsidRPr="002522B7" w:rsidRDefault="00DB7EE6">
            <w:pPr>
              <w:keepNext/>
            </w:pPr>
          </w:p>
        </w:tc>
      </w:tr>
      <w:tr w:rsidR="003700C6" w:rsidRPr="002522B7" w:rsidTr="00DB7EE6">
        <w:trPr>
          <w:jc w:val="center"/>
        </w:trPr>
        <w:tc>
          <w:tcPr>
            <w:tcW w:w="4876" w:type="dxa"/>
            <w:hideMark/>
          </w:tcPr>
          <w:p w:rsidR="00DB7EE6" w:rsidRPr="002522B7" w:rsidRDefault="0032033D">
            <w:pPr>
              <w:pStyle w:val="ColumnHeading"/>
              <w:keepNext/>
            </w:pPr>
            <w:r w:rsidRPr="002522B7">
              <w:t>Kommissionens forslag</w:t>
            </w:r>
          </w:p>
        </w:tc>
        <w:tc>
          <w:tcPr>
            <w:tcW w:w="4876" w:type="dxa"/>
            <w:hideMark/>
          </w:tcPr>
          <w:p w:rsidR="00DB7EE6" w:rsidRPr="002522B7" w:rsidRDefault="0032033D">
            <w:pPr>
              <w:pStyle w:val="ColumnHeading"/>
              <w:keepNext/>
            </w:pPr>
            <w:r w:rsidRPr="002522B7">
              <w:t>Ændringsforslag</w:t>
            </w:r>
          </w:p>
        </w:tc>
      </w:tr>
      <w:tr w:rsidR="003700C6" w:rsidRPr="002522B7" w:rsidTr="00DB7EE6">
        <w:trPr>
          <w:jc w:val="center"/>
        </w:trPr>
        <w:tc>
          <w:tcPr>
            <w:tcW w:w="4876" w:type="dxa"/>
          </w:tcPr>
          <w:p w:rsidR="00DB7EE6" w:rsidRPr="002522B7" w:rsidRDefault="00DB7EE6">
            <w:pPr>
              <w:pStyle w:val="Normal6"/>
            </w:pPr>
          </w:p>
        </w:tc>
        <w:tc>
          <w:tcPr>
            <w:tcW w:w="4876" w:type="dxa"/>
            <w:hideMark/>
          </w:tcPr>
          <w:p w:rsidR="00DB7EE6" w:rsidRPr="002522B7" w:rsidRDefault="0032033D">
            <w:pPr>
              <w:pStyle w:val="Normal6"/>
              <w:rPr>
                <w:szCs w:val="24"/>
              </w:rPr>
            </w:pPr>
            <w:r w:rsidRPr="002522B7">
              <w:rPr>
                <w:b/>
                <w:i/>
              </w:rPr>
              <w:t>(1a)</w:t>
            </w:r>
            <w:r w:rsidRPr="002522B7">
              <w:rPr>
                <w:b/>
                <w:i/>
              </w:rPr>
              <w:tab/>
              <w:t xml:space="preserve">Ifølge Domstolen kan anvendelsesområdet for princippet om ligebehandling af mænd og kvinder ikke indskrænkes til at omfatte forbud mod den forskelsbehandling, som </w:t>
            </w:r>
            <w:r w:rsidRPr="002522B7">
              <w:rPr>
                <w:b/>
                <w:i/>
              </w:rPr>
              <w:t xml:space="preserve">følger af, at den pågældende tilhører det ene eller det </w:t>
            </w:r>
            <w:r w:rsidRPr="002522B7">
              <w:rPr>
                <w:b/>
                <w:i/>
              </w:rPr>
              <w:lastRenderedPageBreak/>
              <w:t xml:space="preserve">andet køn. Som følge af hensigten med princippet og arten af de rettigheder, det søger at sikre, finder det også anvendelse på den forskelsbehandling, der udspringer af den pågældendes kønsidentitet, </w:t>
            </w:r>
            <w:r w:rsidRPr="002522B7">
              <w:rPr>
                <w:b/>
                <w:i/>
              </w:rPr>
              <w:t xml:space="preserve">kønsudtryk eller kønsspecifikke træk. </w:t>
            </w:r>
          </w:p>
        </w:tc>
      </w:tr>
    </w:tbl>
    <w:p w:rsidR="00DB7EE6" w:rsidRPr="002522B7" w:rsidRDefault="0032033D" w:rsidP="00DB7EE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6</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(6)</w:t>
            </w:r>
            <w:r w:rsidRPr="002522B7">
              <w:tab/>
              <w:t xml:space="preserve">I henhold til direktiv 2006/54/EF og </w:t>
            </w:r>
            <w:r w:rsidRPr="002522B7">
              <w:t>2010/41/EU skal medlemsstaterne udpege et eller flere organer, der skal fremme, herunder evaluere, overvåge og støtte, ligebehandling af alle personer uden forskelsbehandling af de grunde, der er nævnt i de respektive direktiver (herefter "ligestillingsorg</w:t>
            </w:r>
            <w:r w:rsidRPr="002522B7">
              <w:t>aner"). Medlemsstaterne skal i henhold til direktiverne sikre, at disse organer også har kompetence til at give ofre uvildig bistand, foretage uvildige undersøgelser af forskelsbehandling, offentliggøre uvildige rapporter og fremsætte henstillinger om ethv</w:t>
            </w:r>
            <w:r w:rsidRPr="002522B7">
              <w:t xml:space="preserve">ert spørgsmål vedrørende forskelsbehandling. I henhold til direktiverne skal medlemsstaterne sikre, at organernes opgaver omfatter udveksling af oplysninger med tilsvarende europæiske organer, f.eks. Det Europæiske Institut for Ligestilling mellem Mænd og </w:t>
            </w:r>
            <w:r w:rsidRPr="002522B7">
              <w:t>Kvinder.</w:t>
            </w:r>
          </w:p>
        </w:tc>
        <w:tc>
          <w:tcPr>
            <w:tcW w:w="4876" w:type="dxa"/>
            <w:hideMark/>
          </w:tcPr>
          <w:p w:rsidR="008429B6" w:rsidRPr="002522B7" w:rsidRDefault="0032033D" w:rsidP="00823CA1">
            <w:pPr>
              <w:pStyle w:val="Normal6"/>
              <w:rPr>
                <w:szCs w:val="24"/>
              </w:rPr>
            </w:pPr>
            <w:r w:rsidRPr="002522B7">
              <w:t>(6)</w:t>
            </w:r>
            <w:r w:rsidRPr="002522B7">
              <w:tab/>
              <w:t>I henhold til direktiv 2006/54/EF og 2010/41/EU skal medlemsstaterne udpege et eller flere organer, der skal fremme, herunder evaluere, overvåge og støtte, ligebehandling af alle personer uden forskelsbehandling af de grunde, der er nævnt i de</w:t>
            </w:r>
            <w:r w:rsidRPr="002522B7">
              <w:t xml:space="preserve"> respektive direktiver (herefter "ligestillingsorganer"). Medlemsstaterne skal i henhold til direktiverne sikre, at disse organer også har kompetence til at give ofre uvildig bistand, foretage uvildige undersøgelser af forskelsbehandling, offentliggøre uvi</w:t>
            </w:r>
            <w:r w:rsidRPr="002522B7">
              <w:t>ldige rapporter og fremsætte henstillinger om ethvert spørgsmål vedrørende forskelsbehandling. I henhold til direktiverne skal medlemsstaterne sikre, at organernes opgaver omfatter udveksling af oplysninger med tilsvarende europæiske organer, f.eks. Det Eu</w:t>
            </w:r>
            <w:r w:rsidRPr="002522B7">
              <w:t>ropæiske Institut for Ligestilling mellem Mænd og Kvinder</w:t>
            </w:r>
            <w:r w:rsidRPr="002522B7">
              <w:rPr>
                <w:b/>
                <w:i/>
              </w:rPr>
              <w:t xml:space="preserve"> og Den Europæiske Unions Agentur for Grundlæggende Rettigheder (FRA)</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9</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(9)</w:t>
            </w:r>
            <w:r w:rsidRPr="002522B7">
              <w:tab/>
              <w:t xml:space="preserve">Direktiv 2006/54/EF og </w:t>
            </w:r>
            <w:r w:rsidRPr="002522B7">
              <w:lastRenderedPageBreak/>
              <w:t>2010/41/EU giver medlemsstaterne en bred skønsmargen med hensyn til ligestillingsorganernes opbygning og funktion. Dette resulterer i betydelige forskelle mellem medlemsstaternes ligestilli</w:t>
            </w:r>
            <w:r w:rsidRPr="002522B7">
              <w:t>ngsorganer, for så vidt angår deres mandater, kompetencer, strukturer, ressourcer og operationelle funktion. Dette betyder også, at beskyttelsen mod forskelsbehandling varierer fra medlemsstat til medlemsstat.</w:t>
            </w:r>
          </w:p>
        </w:tc>
        <w:tc>
          <w:tcPr>
            <w:tcW w:w="4876" w:type="dxa"/>
            <w:hideMark/>
          </w:tcPr>
          <w:p w:rsidR="008429B6" w:rsidRPr="002522B7" w:rsidRDefault="0032033D" w:rsidP="00823CA1">
            <w:pPr>
              <w:pStyle w:val="Normal6"/>
              <w:rPr>
                <w:szCs w:val="24"/>
              </w:rPr>
            </w:pPr>
            <w:r w:rsidRPr="002522B7">
              <w:lastRenderedPageBreak/>
              <w:t>(9)</w:t>
            </w:r>
            <w:r w:rsidRPr="002522B7">
              <w:tab/>
              <w:t xml:space="preserve">Direktiv 2006/54/EF og </w:t>
            </w:r>
            <w:r w:rsidRPr="002522B7">
              <w:lastRenderedPageBreak/>
              <w:t>2010/41/EU giver me</w:t>
            </w:r>
            <w:r w:rsidRPr="002522B7">
              <w:t>dlemsstaterne en bred skønsmargen med hensyn til ligestillingsorganernes opbygning og funktion. Dette resulterer i betydelige forskelle mellem medlemsstaternes ligestillingsorganer, for så vidt angår deres mandater, kompetencer, strukturer, ressourcer og o</w:t>
            </w:r>
            <w:r w:rsidRPr="002522B7">
              <w:t>perationelle funktion. Dette betyder også, at beskyttelsen mod forskelsbehandling varierer fra medlemsstat til medlemsstat</w:t>
            </w:r>
            <w:r w:rsidRPr="002522B7">
              <w:rPr>
                <w:b/>
                <w:i/>
              </w:rPr>
              <w:t xml:space="preserve">, hvilket resulterer i en ulige beskyttelse af ofre for forskelsbehandling i EU og en utilstrækkelig gennemførelse af EU's lovgivning </w:t>
            </w:r>
            <w:r w:rsidRPr="002522B7">
              <w:rPr>
                <w:b/>
                <w:i/>
              </w:rPr>
              <w:t>om ligebehandling</w:t>
            </w:r>
            <w:r w:rsidRPr="002522B7">
              <w:t>.</w:t>
            </w:r>
            <w:r w:rsidRPr="002522B7">
              <w:rPr>
                <w:b/>
                <w:i/>
              </w:rPr>
              <w:t xml:space="preserve"> Med henblik på at sikre en holistisk, effektiv og omfattende beskyttelse mod forskelsbehandling bør medlemsstaterne fremme og finansiere ligestillingsorganer med henblik på at dække alle grunde til forskelsbehandling i overensstemmelse m</w:t>
            </w:r>
            <w:r w:rsidRPr="002522B7">
              <w:rPr>
                <w:b/>
                <w:i/>
              </w:rPr>
              <w:t xml:space="preserve">ed den åbne karakter af chartrets artikel 21. </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(12)</w:t>
            </w:r>
            <w:r w:rsidRPr="002522B7">
              <w:tab/>
              <w:t>Dette direktiv bør finde anvendelse</w:t>
            </w:r>
            <w:r w:rsidRPr="002522B7">
              <w:t xml:space="preserve"> på ligestillingsorganernes indsats på de områder, der er omfattet af direktiv 2006/54/EF og 2010/41/EU. Standarderne bør kun vedrøre ligestillingsorganernes funktion og bør ikke udvide disse direktivers materielle eller personelle anvendelsesområde.</w:t>
            </w:r>
          </w:p>
        </w:tc>
        <w:tc>
          <w:tcPr>
            <w:tcW w:w="4876" w:type="dxa"/>
            <w:hideMark/>
          </w:tcPr>
          <w:p w:rsidR="008429B6" w:rsidRPr="002522B7" w:rsidRDefault="0032033D" w:rsidP="00334B3E">
            <w:pPr>
              <w:pStyle w:val="Normal6"/>
              <w:rPr>
                <w:szCs w:val="24"/>
              </w:rPr>
            </w:pPr>
            <w:r w:rsidRPr="002522B7">
              <w:t>(12)</w:t>
            </w:r>
            <w:r w:rsidRPr="002522B7">
              <w:tab/>
            </w:r>
            <w:r w:rsidRPr="002522B7">
              <w:t xml:space="preserve">Dette direktiv bør finde anvendelse på ligestillingsorganernes indsats på de områder, der er omfattet af direktiv 2006/54/EF og 2010/41/EU. Standarderne bør kun vedrøre ligestillingsorganernes funktion og bør ikke udvide disse direktivers materielle eller </w:t>
            </w:r>
            <w:r w:rsidRPr="002522B7">
              <w:t>personelle anvendelsesområde.</w:t>
            </w:r>
            <w:r w:rsidRPr="002522B7">
              <w:rPr>
                <w:b/>
                <w:i/>
              </w:rPr>
              <w:t xml:space="preserve"> I en række medlemsstater, som en god praksis og i henhold til Domstolens brede fortolkning af grunden "køn", har ligestillingsorganer også kompetence til at fremme ligestilling og bekæmpe forskelsbehandling på grund af </w:t>
            </w:r>
            <w:r w:rsidRPr="002522B7">
              <w:rPr>
                <w:b/>
                <w:i/>
              </w:rPr>
              <w:t>kønsidentitet og kønsudtryk og kønsspecifikke træk</w:t>
            </w:r>
            <w:r w:rsidRPr="002522B7">
              <w:rPr>
                <w:b/>
                <w:i/>
                <w:vertAlign w:val="superscript"/>
              </w:rPr>
              <w:t>13a</w:t>
            </w:r>
            <w:r w:rsidRPr="002522B7">
              <w:rPr>
                <w:b/>
                <w:i/>
              </w:rPr>
              <w:t xml:space="preserve">. Dette er imidlertid ikke tilfældet i alle medlemsstater, hvilket </w:t>
            </w:r>
            <w:r w:rsidRPr="002522B7">
              <w:rPr>
                <w:b/>
                <w:i/>
              </w:rPr>
              <w:lastRenderedPageBreak/>
              <w:t>fører til forskellige niveauer af beskyttelse mod forskelsbehandling for så vidt angår de områder, der er omfattet af disse direktiver i</w:t>
            </w:r>
            <w:r w:rsidRPr="002522B7">
              <w:rPr>
                <w:b/>
                <w:i/>
              </w:rPr>
              <w:t xml:space="preserve"> Unionen. </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t>__________________</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vertAlign w:val="superscript"/>
              </w:rPr>
              <w:t>13a</w:t>
            </w:r>
            <w:r w:rsidRPr="002522B7">
              <w:rPr>
                <w:b/>
                <w:i/>
              </w:rPr>
              <w:t xml:space="preserve"> Domstolens dom af 30. april 1994, P mod S, sag C-13/94, ECLI:EU:C: 1996:170; Domstolens dom af 7. januar 2004, K.B, sag C-117/01, ECLI:EU:C:2004:7; Domstolens dom af 27. april 2006, Richards, sag C-423/04, ECLI:EU:C:20</w:t>
            </w:r>
            <w:r w:rsidRPr="002522B7">
              <w:rPr>
                <w:b/>
                <w:i/>
              </w:rPr>
              <w:t>06:256; Domstolens dom af 26. juni 2018, MB, sag C-451/16, ECLI:EU:C: 2018:492.</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14</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(14)</w:t>
            </w:r>
            <w:r w:rsidRPr="002522B7">
              <w:tab/>
            </w:r>
            <w:r w:rsidRPr="002522B7">
              <w:rPr>
                <w:b/>
                <w:i/>
              </w:rPr>
              <w:t xml:space="preserve">Det foreslåede </w:t>
            </w:r>
            <w:r w:rsidRPr="002522B7">
              <w:t xml:space="preserve">direktiv </w:t>
            </w:r>
            <w:r w:rsidRPr="002522B7">
              <w:rPr>
                <w:b/>
                <w:i/>
              </w:rPr>
              <w:t>om styrkelse af anvendelsen af princippet om lige løn til mænd og kvinder for samme arbejde eller arbejde af samme værdi ved hjælp af løngennemsigtighed og håndhævelsesmekanismer</w:t>
            </w:r>
            <w:r w:rsidRPr="002522B7">
              <w:rPr>
                <w:b/>
                <w:i/>
                <w:vertAlign w:val="superscript"/>
              </w:rPr>
              <w:t>69</w:t>
            </w:r>
            <w:r w:rsidRPr="002522B7">
              <w:t xml:space="preserve"> bør betragtes som lex specialis til bestemmelserne </w:t>
            </w:r>
            <w:r w:rsidRPr="002522B7">
              <w:t xml:space="preserve">om håndhævelse i direktiv 2006/54/EF, der erstattes af dette direktiv. Hvis der fastsættes højere minimumsstandarder i </w:t>
            </w:r>
            <w:r w:rsidRPr="002522B7">
              <w:rPr>
                <w:b/>
                <w:i/>
              </w:rPr>
              <w:t>det kommende direktiv</w:t>
            </w:r>
            <w:r w:rsidRPr="002522B7">
              <w:t xml:space="preserve"> om løngennemsigtighed for ligestillingsorganer i spørgsmål vedrørende lige løn for samme arbejde eller arbejde af s</w:t>
            </w:r>
            <w:r w:rsidRPr="002522B7">
              <w:t>amme værdi, herunder om løngennemsigtighed, i forhold til dem, der fastsættes i dette direktiv, bør disse have forrang for dem, der fastsættes i dette direktiv.</w:t>
            </w:r>
          </w:p>
        </w:tc>
        <w:tc>
          <w:tcPr>
            <w:tcW w:w="4876" w:type="dxa"/>
            <w:hideMark/>
          </w:tcPr>
          <w:p w:rsidR="008429B6" w:rsidRPr="002522B7" w:rsidRDefault="0032033D" w:rsidP="00823CA1">
            <w:pPr>
              <w:pStyle w:val="Normal6"/>
              <w:rPr>
                <w:szCs w:val="24"/>
              </w:rPr>
            </w:pPr>
            <w:r w:rsidRPr="002522B7">
              <w:t>(14)</w:t>
            </w:r>
            <w:r w:rsidRPr="002522B7">
              <w:tab/>
              <w:t xml:space="preserve">Direktiv </w:t>
            </w:r>
            <w:r w:rsidRPr="002522B7">
              <w:rPr>
                <w:b/>
                <w:i/>
              </w:rPr>
              <w:t>(EU) 2023/970</w:t>
            </w:r>
            <w:r w:rsidRPr="002522B7">
              <w:t xml:space="preserve"> </w:t>
            </w:r>
            <w:r w:rsidRPr="002522B7">
              <w:rPr>
                <w:b/>
                <w:i/>
                <w:vertAlign w:val="superscript"/>
              </w:rPr>
              <w:t>14a</w:t>
            </w:r>
            <w:r w:rsidRPr="002522B7">
              <w:t xml:space="preserve"> bør betragtes som lex specialis til bestemmelserne om håndhævel</w:t>
            </w:r>
            <w:r w:rsidRPr="002522B7">
              <w:t xml:space="preserve">se i direktiv 2006/54/EF, der erstattes af dette direktiv. Hvis der fastsættes højere minimumsstandarder i </w:t>
            </w:r>
            <w:r w:rsidRPr="002522B7">
              <w:rPr>
                <w:b/>
                <w:i/>
              </w:rPr>
              <w:t>direktivet</w:t>
            </w:r>
            <w:r w:rsidRPr="002522B7">
              <w:t xml:space="preserve"> om løngennemsigtighed for ligestillingsorganer i spørgsmål vedrørende lige løn for samme arbejde eller arbejde af samme værdi, herunder om</w:t>
            </w:r>
            <w:r w:rsidRPr="002522B7">
              <w:t xml:space="preserve"> løngennemsigtighed, i forhold til dem, der fastsættes i dette direktiv, bør disse have forrang for dem, der fastsættes i dette direktiv.</w:t>
            </w:r>
          </w:p>
        </w:tc>
      </w:tr>
      <w:tr w:rsidR="003700C6" w:rsidRPr="002522B7" w:rsidTr="00823CA1">
        <w:trPr>
          <w:jc w:val="center"/>
        </w:trPr>
        <w:tc>
          <w:tcPr>
            <w:tcW w:w="4876" w:type="dxa"/>
            <w:hideMark/>
          </w:tcPr>
          <w:p w:rsidR="008429B6" w:rsidRPr="002522B7" w:rsidRDefault="0032033D" w:rsidP="00823CA1">
            <w:pPr>
              <w:pStyle w:val="Normal6"/>
            </w:pPr>
            <w:r w:rsidRPr="002522B7">
              <w:t>__________________</w:t>
            </w:r>
          </w:p>
        </w:tc>
        <w:tc>
          <w:tcPr>
            <w:tcW w:w="4876" w:type="dxa"/>
            <w:hideMark/>
          </w:tcPr>
          <w:p w:rsidR="008429B6" w:rsidRPr="002522B7" w:rsidRDefault="0032033D" w:rsidP="00823CA1">
            <w:pPr>
              <w:pStyle w:val="Normal6"/>
              <w:rPr>
                <w:szCs w:val="24"/>
              </w:rPr>
            </w:pPr>
            <w:r w:rsidRPr="002522B7">
              <w:t>__________________</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vertAlign w:val="superscript"/>
              </w:rPr>
              <w:t>14a</w:t>
            </w:r>
            <w:r w:rsidRPr="002522B7">
              <w:rPr>
                <w:b/>
                <w:i/>
              </w:rPr>
              <w:t xml:space="preserve"> Europa-Parlamentets og Rådets direktiv (EU) 2023/970 af 10. maj 2023 om s</w:t>
            </w:r>
            <w:r w:rsidRPr="002522B7">
              <w:rPr>
                <w:b/>
                <w:i/>
              </w:rPr>
              <w:t xml:space="preserve">tyrkelse af anvendelsen af princippet om lige løn til mænd og kvinder for </w:t>
            </w:r>
            <w:r w:rsidRPr="002522B7">
              <w:rPr>
                <w:b/>
                <w:i/>
              </w:rPr>
              <w:lastRenderedPageBreak/>
              <w:t>samme arbejde eller arbejde af samme værdi ved hjælp af løngennemsigtighed og håndhævelsesmekanismer (EUT L 132 af 17.5.2023, s. 21).</w:t>
            </w:r>
          </w:p>
        </w:tc>
      </w:tr>
      <w:tr w:rsidR="003700C6" w:rsidRPr="002522B7" w:rsidTr="00823CA1">
        <w:trPr>
          <w:jc w:val="center"/>
        </w:trPr>
        <w:tc>
          <w:tcPr>
            <w:tcW w:w="4876" w:type="dxa"/>
            <w:hideMark/>
          </w:tcPr>
          <w:p w:rsidR="008429B6" w:rsidRPr="002522B7" w:rsidRDefault="0032033D" w:rsidP="00823CA1">
            <w:pPr>
              <w:pStyle w:val="Normal6"/>
            </w:pPr>
            <w:r w:rsidRPr="002522B7">
              <w:rPr>
                <w:b/>
                <w:i/>
                <w:vertAlign w:val="superscript"/>
              </w:rPr>
              <w:lastRenderedPageBreak/>
              <w:t>69</w:t>
            </w:r>
            <w:r w:rsidRPr="002522B7">
              <w:rPr>
                <w:b/>
                <w:i/>
              </w:rPr>
              <w:t xml:space="preserve"> Forslag til Europa-Parlamentets og Rådets direktiv om styrkelse af anvendelsen af princippet om lige løn til mænd og kvinder for samme arbejde eller arbejde af samme værdi ved hjælp af løngennemsigtighed og håndhævelsesmekanismer (COM(2021) 93 final).</w:t>
            </w:r>
          </w:p>
        </w:tc>
        <w:tc>
          <w:tcPr>
            <w:tcW w:w="4876" w:type="dxa"/>
          </w:tcPr>
          <w:p w:rsidR="008429B6" w:rsidRPr="002522B7" w:rsidRDefault="008429B6" w:rsidP="00823CA1">
            <w:pPr>
              <w:pStyle w:val="Normal6"/>
              <w:rPr>
                <w:szCs w:val="24"/>
              </w:rPr>
            </w:pPr>
          </w:p>
        </w:tc>
      </w:tr>
    </w:tbl>
    <w:p w:rsidR="008429B6" w:rsidRPr="002522B7" w:rsidRDefault="0032033D" w:rsidP="008429B6">
      <w:r w:rsidRPr="002522B7">
        <w:rPr>
          <w:rStyle w:val="HideTWBExt"/>
          <w:noProof w:val="0"/>
        </w:rPr>
        <w:t>&lt;</w:t>
      </w:r>
      <w:r w:rsidRPr="002522B7">
        <w:rPr>
          <w:rStyle w:val="HideTWBExt"/>
          <w:noProof w:val="0"/>
        </w:rPr>
        <w: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15</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(15)</w:t>
            </w:r>
            <w:r w:rsidRPr="002522B7">
              <w:tab/>
              <w:t xml:space="preserve">I forbindelse med fremme af ligebehandling, forebyggelse af forskelsbehandling og </w:t>
            </w:r>
            <w:r w:rsidRPr="002522B7">
              <w:t>bistand til ofre for forskelsbehandling bør ligestillingsorganer være særligt opmærksomme på forskelsbehandling på grund af flere af de grunde, der er beskyttet af direktiv 79/7/EØF, 2000/43/EF, 2000/78/EF, 2004/113/EF, 2006/54/EF og 2010/41/EU.</w:t>
            </w:r>
          </w:p>
        </w:tc>
        <w:tc>
          <w:tcPr>
            <w:tcW w:w="4876" w:type="dxa"/>
            <w:hideMark/>
          </w:tcPr>
          <w:p w:rsidR="008429B6" w:rsidRPr="002522B7" w:rsidRDefault="0032033D" w:rsidP="00823CA1">
            <w:pPr>
              <w:pStyle w:val="Normal6"/>
              <w:rPr>
                <w:szCs w:val="24"/>
              </w:rPr>
            </w:pPr>
            <w:r w:rsidRPr="002522B7">
              <w:t>(15)</w:t>
            </w:r>
            <w:r w:rsidRPr="002522B7">
              <w:tab/>
              <w:t>I for</w:t>
            </w:r>
            <w:r w:rsidRPr="002522B7">
              <w:t xml:space="preserve">bindelse med fremme af ligebehandling, forebyggelse af forskelsbehandling og bistand til ofre for forskelsbehandling bør ligestillingsorganer være særligt opmærksomme på </w:t>
            </w:r>
            <w:r w:rsidRPr="002522B7">
              <w:rPr>
                <w:b/>
                <w:i/>
              </w:rPr>
              <w:t>mangeartet og intersektionel forskelsbehandling på grundlag af en kombination af flere</w:t>
            </w:r>
            <w:r w:rsidRPr="002522B7">
              <w:rPr>
                <w:b/>
                <w:i/>
              </w:rPr>
              <w:t xml:space="preserve"> grunde og intersektionel </w:t>
            </w:r>
            <w:r w:rsidRPr="002522B7">
              <w:t>forskelsbehandling på grund af flere af de grunde, der er beskyttet af direktiv 79/7/EØF, 2000/43/EF, 2000/78/EF, 2004/113/EF, 2006/54/EF og 2010/41/EU</w:t>
            </w:r>
            <w:r w:rsidRPr="002522B7">
              <w:rPr>
                <w:b/>
                <w:i/>
              </w:rPr>
              <w:t xml:space="preserve"> og i chartret, idet man anerkender, at forskelsbehandling ofte berører persone</w:t>
            </w:r>
            <w:r w:rsidRPr="002522B7">
              <w:rPr>
                <w:b/>
                <w:i/>
              </w:rPr>
              <w:t>r af mere end én grund, og at dette medfører en særlig ulempe</w:t>
            </w:r>
            <w:r w:rsidRPr="002522B7">
              <w:t xml:space="preserve">. </w:t>
            </w:r>
            <w:r w:rsidRPr="002522B7">
              <w:rPr>
                <w:b/>
                <w:i/>
              </w:rPr>
              <w:t>Medtagelse af en intersektionel tilgang er afgørende for at forstå sociale uligheder, udstødelse og forskelsbehandling ud fra et omfattende, systemisk og strukturelt perspektiv og samtidig over</w:t>
            </w:r>
            <w:r w:rsidRPr="002522B7">
              <w:rPr>
                <w:b/>
                <w:i/>
              </w:rPr>
              <w:t>vinde en ensidet tilgang til forskelsbehandling, som nedtoner de institutionelle og historiske dimensioner. Ligestillingsorganer bør sikre et klart og passende fokus på hver af de grunde, der er omfattet, og på krydsfelterne mellem dem. Bestemmelserne om i</w:t>
            </w:r>
            <w:r w:rsidRPr="002522B7">
              <w:rPr>
                <w:b/>
                <w:i/>
              </w:rPr>
              <w:t xml:space="preserve">ntersektionel </w:t>
            </w:r>
            <w:r w:rsidRPr="002522B7">
              <w:rPr>
                <w:b/>
                <w:i/>
              </w:rPr>
              <w:lastRenderedPageBreak/>
              <w:t xml:space="preserve">forskelsbehandling i direktiv (EU) 2023/970 bør tages i betragtning ved gennemførelsen af dette direktiv. </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16</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(16)</w:t>
            </w:r>
            <w:r w:rsidRPr="002522B7">
              <w:tab/>
              <w:t>Ligestillingsorganer kan kun spille deres rolle effektivt, hvis de er i stand til at handle i fuld uafhængighed uden at være underlagt udefrakommende indflydelse. Med henblik herpå bør medlemsstaterne tage hensyn</w:t>
            </w:r>
            <w:r w:rsidRPr="002522B7">
              <w:t xml:space="preserve"> til en række kriterier</w:t>
            </w:r>
            <w:r w:rsidRPr="002522B7">
              <w:rPr>
                <w:b/>
                <w:i/>
              </w:rPr>
              <w:t>, der bidrager til</w:t>
            </w:r>
            <w:r w:rsidRPr="002522B7">
              <w:t xml:space="preserve"> ligestillingsorganernes uafhængighed. Ligestillingsorganer bør ikke oprettes som en del af et ministerium eller et organ, der modtager instrukser direkte fra regeringen. Enhver medarbejder eller person, der har en </w:t>
            </w:r>
            <w:r w:rsidRPr="002522B7">
              <w:t xml:space="preserve">ledende stilling — f.eks. som medlem af bestyrelsen for ligestillingsorganet, leder af ligestillingsorganet, stedfortræder eller midlertidigt ansat — bør </w:t>
            </w:r>
            <w:r w:rsidRPr="002522B7">
              <w:rPr>
                <w:b/>
                <w:i/>
              </w:rPr>
              <w:t>være uafhængig</w:t>
            </w:r>
            <w:r w:rsidRPr="002522B7">
              <w:t xml:space="preserve">, </w:t>
            </w:r>
            <w:r w:rsidRPr="002522B7">
              <w:rPr>
                <w:b/>
                <w:i/>
              </w:rPr>
              <w:t>kvalificeret til sin stilling og udvalgt gennem en gennemsigtig procedure.</w:t>
            </w:r>
            <w:r w:rsidRPr="002522B7">
              <w:t xml:space="preserve"> </w:t>
            </w:r>
            <w:r w:rsidRPr="002522B7">
              <w:rPr>
                <w:b/>
                <w:i/>
              </w:rPr>
              <w:t>Ligestillin</w:t>
            </w:r>
            <w:r w:rsidRPr="002522B7">
              <w:rPr>
                <w:b/>
                <w:i/>
              </w:rPr>
              <w:t>gsorganer bør kunne forvalte</w:t>
            </w:r>
            <w:r w:rsidRPr="002522B7">
              <w:t xml:space="preserve"> deres eget budget og egne ressourcer, herunder ved at udvælge og forvalte deres eget personale, og de bør kunne fastsætte deres egne prioriteter.</w:t>
            </w:r>
          </w:p>
        </w:tc>
        <w:tc>
          <w:tcPr>
            <w:tcW w:w="4876" w:type="dxa"/>
            <w:hideMark/>
          </w:tcPr>
          <w:p w:rsidR="008429B6" w:rsidRPr="002522B7" w:rsidRDefault="0032033D" w:rsidP="00823CA1">
            <w:pPr>
              <w:pStyle w:val="Normal6"/>
              <w:rPr>
                <w:szCs w:val="24"/>
              </w:rPr>
            </w:pPr>
            <w:r w:rsidRPr="002522B7">
              <w:t>(16)</w:t>
            </w:r>
            <w:r w:rsidRPr="002522B7">
              <w:tab/>
              <w:t>Ligestillingsorganer kan kun spille deres rolle effektivt, hvis de er i stan</w:t>
            </w:r>
            <w:r w:rsidRPr="002522B7">
              <w:t xml:space="preserve">d til at </w:t>
            </w:r>
            <w:r w:rsidRPr="002522B7">
              <w:rPr>
                <w:b/>
                <w:i/>
              </w:rPr>
              <w:t xml:space="preserve">træffe beslutninger og </w:t>
            </w:r>
            <w:r w:rsidRPr="002522B7">
              <w:t>handle i fuld uafhængighed uden at være underlagt udefrakommende indflydelse</w:t>
            </w:r>
            <w:r w:rsidRPr="002522B7">
              <w:rPr>
                <w:b/>
                <w:i/>
              </w:rPr>
              <w:t>, i særdeleshed politisk indflydelse</w:t>
            </w:r>
            <w:r w:rsidRPr="002522B7">
              <w:t>. Med henblik herpå bør medlemsstaterne tage hensyn til en række kriterier</w:t>
            </w:r>
            <w:r w:rsidRPr="002522B7">
              <w:rPr>
                <w:b/>
                <w:i/>
              </w:rPr>
              <w:t xml:space="preserve"> for at sikre</w:t>
            </w:r>
            <w:r w:rsidRPr="002522B7">
              <w:t xml:space="preserve"> ligestillingsorganernes </w:t>
            </w:r>
            <w:r w:rsidRPr="002522B7">
              <w:t>uafhængighed. Ligestillingsorganer bør ikke oprettes som en del af et ministerium eller et organ, der modtager instrukser direkte fra regeringen. Enhver medarbejder eller person, der har en ledende stilling — f.eks. som medlem af bestyrelsen for ligestilli</w:t>
            </w:r>
            <w:r w:rsidRPr="002522B7">
              <w:t xml:space="preserve">ngsorganet, leder af ligestillingsorganet, stedfortræder eller midlertidigt ansat — bør </w:t>
            </w:r>
            <w:r w:rsidRPr="002522B7">
              <w:rPr>
                <w:b/>
                <w:i/>
              </w:rPr>
              <w:t>udvælges ved meritbaserede</w:t>
            </w:r>
            <w:r w:rsidRPr="002522B7">
              <w:t xml:space="preserve">, </w:t>
            </w:r>
            <w:r w:rsidRPr="002522B7">
              <w:rPr>
                <w:b/>
                <w:i/>
              </w:rPr>
              <w:t>gennemsigtige og åbne udvælgelsesprocedurer.</w:t>
            </w:r>
            <w:r w:rsidRPr="002522B7">
              <w:t xml:space="preserve"> </w:t>
            </w:r>
            <w:r w:rsidRPr="002522B7">
              <w:rPr>
                <w:b/>
                <w:i/>
              </w:rPr>
              <w:t>Ligestillingsorganer bør kunne træffe beslutning om deres interne struktur og forvaltningen af</w:t>
            </w:r>
            <w:r w:rsidRPr="002522B7">
              <w:t xml:space="preserve"> </w:t>
            </w:r>
            <w:r w:rsidRPr="002522B7">
              <w:t>deres eget budget og egne ressourcer, herunder ved at udvælge og forvalte deres eget personale, og de bør kunne fastsætte deres egne prioriteter</w:t>
            </w:r>
            <w:r w:rsidRPr="002522B7">
              <w:rPr>
                <w:b/>
                <w:i/>
              </w:rPr>
              <w:t xml:space="preserve"> under hensyntagen til EU's prioriteter vedrørende ligestilling mellem mænd og kvinder</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17</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(17)</w:t>
            </w:r>
            <w:r w:rsidRPr="002522B7">
              <w:tab/>
            </w:r>
            <w:r w:rsidRPr="002522B7">
              <w:t xml:space="preserve">For at sikre, at ligestillingsorganerne kan udøve alle deres kompetencer og udføre alle deres opgaver, bør </w:t>
            </w:r>
            <w:r w:rsidRPr="002522B7">
              <w:rPr>
                <w:b/>
                <w:i/>
              </w:rPr>
              <w:t>medlemsstaterne sikre, at ligestillingsorganernes</w:t>
            </w:r>
            <w:r w:rsidRPr="002522B7">
              <w:t xml:space="preserve"> interne struktur giver dem mulighed for</w:t>
            </w:r>
            <w:r w:rsidRPr="002522B7">
              <w:rPr>
                <w:b/>
                <w:i/>
              </w:rPr>
              <w:t>,</w:t>
            </w:r>
            <w:r w:rsidRPr="002522B7">
              <w:t xml:space="preserve"> at udøve deres forskellige kompetencer uafhængigt. Der bør</w:t>
            </w:r>
            <w:r w:rsidRPr="002522B7">
              <w:t xml:space="preserve"> lægges særlig vægt på situationer, hvor organer både skal være upartiske og yde støtte til ofre. Dette er navnlig relevant, hvis ligestillingsorganet har bindende beslutningsbeføjelser, der kræver upartiskhed, eller er en del af et organ med flere mandate</w:t>
            </w:r>
            <w:r w:rsidRPr="002522B7">
              <w:t>r, hvor et andet mandat kræver upartiskhed. En intern struktur, der sikrer en streng adskillelse mellem de relevante kompetencer og opgaver, bør sikre, at ligestillingsorganet kan udøve dem effektivt.</w:t>
            </w:r>
          </w:p>
        </w:tc>
        <w:tc>
          <w:tcPr>
            <w:tcW w:w="4876" w:type="dxa"/>
            <w:hideMark/>
          </w:tcPr>
          <w:p w:rsidR="008429B6" w:rsidRPr="002522B7" w:rsidRDefault="0032033D" w:rsidP="00823CA1">
            <w:pPr>
              <w:pStyle w:val="Normal6"/>
              <w:rPr>
                <w:szCs w:val="24"/>
              </w:rPr>
            </w:pPr>
            <w:r w:rsidRPr="002522B7">
              <w:t>(17)</w:t>
            </w:r>
            <w:r w:rsidRPr="002522B7">
              <w:tab/>
              <w:t xml:space="preserve">For at sikre, at ligestillingsorganerne kan udøve </w:t>
            </w:r>
            <w:r w:rsidRPr="002522B7">
              <w:t xml:space="preserve">alle deres kompetencer og udføre alle deres opgaver, bør </w:t>
            </w:r>
            <w:r w:rsidRPr="002522B7">
              <w:rPr>
                <w:b/>
                <w:i/>
              </w:rPr>
              <w:t>de kunne fastlægge deres</w:t>
            </w:r>
            <w:r w:rsidRPr="002522B7">
              <w:t xml:space="preserve"> interne struktur </w:t>
            </w:r>
            <w:r w:rsidRPr="002522B7">
              <w:rPr>
                <w:b/>
                <w:i/>
              </w:rPr>
              <w:t xml:space="preserve">på en måde, der </w:t>
            </w:r>
            <w:r w:rsidRPr="002522B7">
              <w:t>giver dem mulighed for at udøve deres forskellige kompetencer uafhængigt</w:t>
            </w:r>
            <w:r w:rsidRPr="002522B7">
              <w:rPr>
                <w:b/>
                <w:i/>
              </w:rPr>
              <w:t>, herunder beslutningskompetencer, og idet det omfatter fuld udøvelse</w:t>
            </w:r>
            <w:r w:rsidRPr="002522B7">
              <w:rPr>
                <w:b/>
                <w:i/>
              </w:rPr>
              <w:t xml:space="preserve"> af kompetencer med hensyn til fremme, forebyggelse, støtte og retssager i deres videste forstand.</w:t>
            </w:r>
            <w:r w:rsidRPr="002522B7">
              <w:t xml:space="preserve"> Der bør lægges særlig vægt på situationer, hvor organer både skal være upartiske og yde støtte til ofre. Dette er navnlig relevant, hvis ligestillingsorganet</w:t>
            </w:r>
            <w:r w:rsidRPr="002522B7">
              <w:t xml:space="preserve"> har bindende beslutningsbeføjelser, der kræver upartiskhed, eller er en del af et organ med flere mandater, hvor et andet mandat kræver upartiskhed. En intern struktur, der sikrer en streng adskillelse mellem de relevante kompetencer og opgaver, bør sikre</w:t>
            </w:r>
            <w:r w:rsidRPr="002522B7">
              <w:t>, at ligestillingsorganet kan udøve dem effektivt.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18</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(18)</w:t>
            </w:r>
            <w:r w:rsidRPr="002522B7">
              <w:tab/>
              <w:t xml:space="preserve">Manglen på tilstrækkelige </w:t>
            </w:r>
            <w:r w:rsidRPr="002522B7">
              <w:t>ressourcer er et centralt spørgsmål, der hæmmer ligestillingsorganernes evne til at udføre deres opgaver på passende vis. Medlemsstaterne bør derfor sikre, at ligestillingsorganerne modtager tilstrækkelig finansiering, kan ansætte kvalificeret personale og</w:t>
            </w:r>
            <w:r w:rsidRPr="002522B7">
              <w:t xml:space="preserve"> har passende lokaler og infrastruktur til at udføre hver af deres opgaver effektivt, inden for en rimelig frist og inden for de frister, der er fastsat i national ret. Deres budgettildeling bør være stabil, undtagen i tilfælde af øgede kompetencer, planlæ</w:t>
            </w:r>
            <w:r w:rsidRPr="002522B7">
              <w:t xml:space="preserve">gges på et </w:t>
            </w:r>
            <w:r w:rsidRPr="002522B7">
              <w:lastRenderedPageBreak/>
              <w:t>flerårigt grundlag og sætte dem i stand til at dække omkostninger, der kan være vanskelige at forudse, f.eks. omkostninger i forbindelse med retssager. For at sikre, at ligestillingsorganerne får tilstrækkelige ressourcer, bør deres budget f.eks</w:t>
            </w:r>
            <w:r w:rsidRPr="002522B7">
              <w:t xml:space="preserve">. ikke udsættes for nedskæringer, </w:t>
            </w:r>
            <w:r w:rsidRPr="002522B7">
              <w:rPr>
                <w:b/>
                <w:i/>
              </w:rPr>
              <w:t>der er betydeligt højere end de gennemsnitlige nedskæringer for andre offentlige enheder; tilsvarende bør</w:t>
            </w:r>
            <w:r w:rsidRPr="002522B7">
              <w:t xml:space="preserve"> deres årlige vækst som minimum knyttes til den gennemsnitlige vækst i finansiering til andre enheder. Ressourcerne b</w:t>
            </w:r>
            <w:r w:rsidRPr="002522B7">
              <w:t>ør øges forholdsmæssigt, hvis ligestillingsorganernes opgaver og mandat udvides.</w:t>
            </w:r>
          </w:p>
        </w:tc>
        <w:tc>
          <w:tcPr>
            <w:tcW w:w="4876" w:type="dxa"/>
            <w:hideMark/>
          </w:tcPr>
          <w:p w:rsidR="008429B6" w:rsidRPr="002522B7" w:rsidRDefault="0032033D" w:rsidP="00823CA1">
            <w:pPr>
              <w:pStyle w:val="Normal6"/>
              <w:rPr>
                <w:szCs w:val="24"/>
              </w:rPr>
            </w:pPr>
            <w:r w:rsidRPr="002522B7">
              <w:lastRenderedPageBreak/>
              <w:t>(18)</w:t>
            </w:r>
            <w:r w:rsidRPr="002522B7">
              <w:tab/>
              <w:t>Manglen på tilstrækkelige</w:t>
            </w:r>
            <w:r w:rsidRPr="002522B7">
              <w:rPr>
                <w:b/>
                <w:i/>
              </w:rPr>
              <w:t xml:space="preserve"> finansielle og menneskelige</w:t>
            </w:r>
            <w:r w:rsidRPr="002522B7">
              <w:t xml:space="preserve"> ressourcer er et centralt spørgsmål, der hæmmer ligestillingsorganernes evne til at udføre deres opgaver på passende</w:t>
            </w:r>
            <w:r w:rsidRPr="002522B7">
              <w:t xml:space="preserve"> vis. Medlemsstaterne bør derfor sikre, at ligestillingsorganerne modtager tilstrækkelig finansiering</w:t>
            </w:r>
            <w:r w:rsidRPr="002522B7">
              <w:rPr>
                <w:b/>
                <w:i/>
              </w:rPr>
              <w:t xml:space="preserve"> til at udføre deres opgaver</w:t>
            </w:r>
            <w:r w:rsidRPr="002522B7">
              <w:t>,</w:t>
            </w:r>
            <w:r w:rsidRPr="002522B7">
              <w:rPr>
                <w:b/>
                <w:i/>
              </w:rPr>
              <w:t xml:space="preserve"> og at de</w:t>
            </w:r>
            <w:r w:rsidRPr="002522B7">
              <w:t xml:space="preserve"> kan ansætte kvalificeret personale og har passende lokaler og infrastruktur til at udføre hver af deres opgaver effe</w:t>
            </w:r>
            <w:r w:rsidRPr="002522B7">
              <w:t xml:space="preserve">ktivt, inden for en rimelig frist og inden for de frister, der er fastsat i national ret. Deres budgettildeling </w:t>
            </w:r>
            <w:r w:rsidRPr="002522B7">
              <w:lastRenderedPageBreak/>
              <w:t>bør være stabil, undtagen i tilfælde af øgede kompetencer</w:t>
            </w:r>
            <w:r w:rsidRPr="002522B7">
              <w:rPr>
                <w:b/>
                <w:i/>
              </w:rPr>
              <w:t xml:space="preserve"> eller mere personale</w:t>
            </w:r>
            <w:r w:rsidRPr="002522B7">
              <w:t xml:space="preserve">, planlægges på et flerårigt grundlag og sætte dem i stand til at </w:t>
            </w:r>
            <w:r w:rsidRPr="002522B7">
              <w:t xml:space="preserve">dække omkostninger, der kan være vanskelige at forudse, f.eks. omkostninger i forbindelse med retssager. </w:t>
            </w:r>
            <w:r w:rsidRPr="002522B7">
              <w:rPr>
                <w:b/>
                <w:i/>
              </w:rPr>
              <w:t>I tilfælde, hvor ligestillingsorganernes kompetencer øges, skal medlemsstaterne sikre, at deres budgetter tilpasses i overensstemmelse med dette.</w:t>
            </w:r>
            <w:r w:rsidRPr="002522B7">
              <w:t xml:space="preserve"> For a</w:t>
            </w:r>
            <w:r w:rsidRPr="002522B7">
              <w:t xml:space="preserve">t sikre, at ligestillingsorganerne får tilstrækkelige ressourcer, bør deres budget f.eks. ikke udsættes for nedskæringer, </w:t>
            </w:r>
            <w:r w:rsidRPr="002522B7">
              <w:rPr>
                <w:b/>
                <w:i/>
              </w:rPr>
              <w:t>og</w:t>
            </w:r>
            <w:r w:rsidRPr="002522B7">
              <w:t xml:space="preserve"> deres årlige vækst</w:t>
            </w:r>
            <w:r w:rsidRPr="002522B7">
              <w:rPr>
                <w:b/>
                <w:i/>
              </w:rPr>
              <w:t xml:space="preserve"> bør</w:t>
            </w:r>
            <w:r w:rsidRPr="002522B7">
              <w:t xml:space="preserve"> som minimum knyttes til den gennemsnitlige vækst i finansiering til andre enheder. Ressourcerne bør øges for</w:t>
            </w:r>
            <w:r w:rsidRPr="002522B7">
              <w:t>holdsmæssigt, hvis ligestillingsorganernes opgaver og mandat udvides.</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19</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(19)</w:t>
            </w:r>
            <w:r w:rsidRPr="002522B7">
              <w:tab/>
            </w:r>
            <w:r w:rsidRPr="002522B7">
              <w:t xml:space="preserve">Automatiserede systemer, herunder kunstig intelligens, </w:t>
            </w:r>
            <w:r w:rsidRPr="002522B7">
              <w:rPr>
                <w:b/>
                <w:i/>
              </w:rPr>
              <w:t>er et nyttigt</w:t>
            </w:r>
            <w:r w:rsidRPr="002522B7">
              <w:t xml:space="preserve"> redskab til at identificere mønstre for forskelsbehandling</w:t>
            </w:r>
            <w:r w:rsidRPr="002522B7">
              <w:rPr>
                <w:b/>
                <w:i/>
              </w:rPr>
              <w:t>, men</w:t>
            </w:r>
            <w:r w:rsidRPr="002522B7">
              <w:t xml:space="preserve"> algoritmisk forskelsbehandling </w:t>
            </w:r>
            <w:r w:rsidRPr="002522B7">
              <w:rPr>
                <w:b/>
                <w:i/>
              </w:rPr>
              <w:t>er også en risiko</w:t>
            </w:r>
            <w:r w:rsidRPr="002522B7">
              <w:t xml:space="preserve">. Ligestillingsorganer bør derfor </w:t>
            </w:r>
            <w:r w:rsidRPr="002522B7">
              <w:rPr>
                <w:b/>
                <w:i/>
              </w:rPr>
              <w:t>have adgang til</w:t>
            </w:r>
            <w:r w:rsidRPr="002522B7">
              <w:t xml:space="preserve"> kvalificeret personale el</w:t>
            </w:r>
            <w:r w:rsidRPr="002522B7">
              <w:t xml:space="preserve">ler tjenester, </w:t>
            </w:r>
            <w:r w:rsidRPr="002522B7">
              <w:rPr>
                <w:b/>
                <w:i/>
              </w:rPr>
              <w:t>der på den ene side kan anvende automatiserede systemer</w:t>
            </w:r>
            <w:r w:rsidRPr="002522B7">
              <w:t xml:space="preserve"> til </w:t>
            </w:r>
            <w:r w:rsidRPr="002522B7">
              <w:rPr>
                <w:b/>
                <w:i/>
              </w:rPr>
              <w:t>deres arbejde og på den anden side vurdere, om de overholder reglerne om ikkeforskelsbehandling</w:t>
            </w:r>
            <w:r w:rsidRPr="002522B7">
              <w:t xml:space="preserve">. Der bør lægges særlig vægt på at udstyre ligestillingsorganer med passende digitale </w:t>
            </w:r>
            <w:r w:rsidRPr="002522B7">
              <w:t>ressourcer, hvad enten det er direkte eller gennem underentreprise.</w:t>
            </w:r>
          </w:p>
        </w:tc>
        <w:tc>
          <w:tcPr>
            <w:tcW w:w="4876" w:type="dxa"/>
            <w:hideMark/>
          </w:tcPr>
          <w:p w:rsidR="008429B6" w:rsidRPr="002522B7" w:rsidRDefault="0032033D" w:rsidP="00823CA1">
            <w:pPr>
              <w:pStyle w:val="Normal6"/>
              <w:rPr>
                <w:szCs w:val="24"/>
              </w:rPr>
            </w:pPr>
            <w:r w:rsidRPr="002522B7">
              <w:t>(19)</w:t>
            </w:r>
            <w:r w:rsidRPr="002522B7">
              <w:tab/>
              <w:t xml:space="preserve">Automatiserede systemer, herunder kunstig intelligens, </w:t>
            </w:r>
            <w:r w:rsidRPr="002522B7">
              <w:rPr>
                <w:b/>
                <w:i/>
              </w:rPr>
              <w:t>kan føre og fører til algoritmisk forskelsbehandling, men de kan også være et</w:t>
            </w:r>
            <w:r w:rsidRPr="002522B7">
              <w:t xml:space="preserve"> redskab til at identificere mønstre for forskelsbe</w:t>
            </w:r>
            <w:r w:rsidRPr="002522B7">
              <w:t>handling</w:t>
            </w:r>
            <w:r w:rsidRPr="002522B7">
              <w:rPr>
                <w:b/>
                <w:i/>
              </w:rPr>
              <w:t>.</w:t>
            </w:r>
            <w:r w:rsidRPr="002522B7">
              <w:t xml:space="preserve"> Algoritmisk forskelsbehandling </w:t>
            </w:r>
            <w:r w:rsidRPr="002522B7">
              <w:rPr>
                <w:b/>
                <w:i/>
              </w:rPr>
              <w:t>risikerer at fastholde og forværre eksisterende uligheder, forskelsbehandling, udstødelse og fattigdom</w:t>
            </w:r>
            <w:r w:rsidRPr="002522B7">
              <w:t xml:space="preserve">. Ligestillingsorganer bør derfor </w:t>
            </w:r>
            <w:r w:rsidRPr="002522B7">
              <w:rPr>
                <w:b/>
                <w:i/>
              </w:rPr>
              <w:t>være udstyret med eksperter,</w:t>
            </w:r>
            <w:r w:rsidRPr="002522B7">
              <w:t xml:space="preserve"> kvalificeret personale eller tjenester, </w:t>
            </w:r>
            <w:r w:rsidRPr="002522B7">
              <w:rPr>
                <w:b/>
                <w:i/>
              </w:rPr>
              <w:t>kunne fors</w:t>
            </w:r>
            <w:r w:rsidRPr="002522B7">
              <w:rPr>
                <w:b/>
                <w:i/>
              </w:rPr>
              <w:t>tå, hvordan automatiserede systemer fungerer og kan føre</w:t>
            </w:r>
            <w:r w:rsidRPr="002522B7">
              <w:t xml:space="preserve"> til </w:t>
            </w:r>
            <w:r w:rsidRPr="002522B7">
              <w:rPr>
                <w:b/>
                <w:i/>
              </w:rPr>
              <w:t>algoritmisk forskelsbehandling, vurdere, forebygge dens potentielle konsekvenser for enkeltpersoner og yde støtte til ofre for denne form for forskelsbehandling</w:t>
            </w:r>
            <w:r w:rsidRPr="002522B7">
              <w:t xml:space="preserve">. Der bør lægges særlig vægt på at </w:t>
            </w:r>
            <w:r w:rsidRPr="002522B7">
              <w:t>udstyre ligestillingsorganer med passende digitale ressourcer</w:t>
            </w:r>
            <w:r w:rsidRPr="002522B7">
              <w:rPr>
                <w:b/>
                <w:i/>
              </w:rPr>
              <w:t xml:space="preserve"> og personale, der er uddannet i </w:t>
            </w:r>
            <w:r w:rsidRPr="002522B7">
              <w:rPr>
                <w:b/>
                <w:i/>
              </w:rPr>
              <w:lastRenderedPageBreak/>
              <w:t>brug af automatiserede systemer</w:t>
            </w:r>
            <w:r w:rsidRPr="002522B7">
              <w:t>, hvad enten det er direkte eller gennem underentreprise.</w:t>
            </w:r>
            <w:r w:rsidRPr="002522B7">
              <w:rPr>
                <w:b/>
                <w:i/>
              </w:rPr>
              <w:t xml:space="preserve"> Ligestillingsorganer bør også sikre, at automatiserede systemer overholde</w:t>
            </w:r>
            <w:r w:rsidRPr="002522B7">
              <w:rPr>
                <w:b/>
                <w:i/>
              </w:rPr>
              <w:t>r tilgængelighedskravene for personer med handicap som fastsat i bilag I til direktiv (EU) 2019/882.</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20</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(20)</w:t>
            </w:r>
            <w:r w:rsidRPr="002522B7">
              <w:tab/>
              <w:t>Ligestillingsorganer spiller sammen med andre aktører en central rolle i forebyggelsen af forskelsbehandling og fremme af ligestilling. For at tackle de strukturelle aspekter af forskelsbehandling og bidrage til sociale forandringer b</w:t>
            </w:r>
            <w:r w:rsidRPr="002522B7">
              <w:t xml:space="preserve">ør de fremme ligestillingsforpligtelser, god praksis, positiv særbehandling og integration af ligestillingsaspektet blandt offentlige og private enheder og give dem relevant uddannelse, information, rådgivning, vejledning og støtte. De bør kommunikere med </w:t>
            </w:r>
            <w:r w:rsidRPr="002522B7">
              <w:t>offentlige og private enheder og grupper, der er i risiko for forskelsbehandling, og deltage i den offentlige debat med henblik på at bekæmpe stereotyper og øge bevidstheden om mangfoldighed og dens fordele, som er en central søjle i Unionens ligestillings</w:t>
            </w:r>
            <w:r w:rsidRPr="002522B7">
              <w:t>strategier.</w:t>
            </w:r>
          </w:p>
        </w:tc>
        <w:tc>
          <w:tcPr>
            <w:tcW w:w="4876" w:type="dxa"/>
            <w:hideMark/>
          </w:tcPr>
          <w:p w:rsidR="008429B6" w:rsidRPr="002522B7" w:rsidRDefault="0032033D" w:rsidP="00823CA1">
            <w:pPr>
              <w:pStyle w:val="Normal6"/>
              <w:rPr>
                <w:szCs w:val="24"/>
              </w:rPr>
            </w:pPr>
            <w:r w:rsidRPr="002522B7">
              <w:t>(20)</w:t>
            </w:r>
            <w:r w:rsidRPr="002522B7">
              <w:tab/>
              <w:t>Ligestillingsorganer spiller sammen med andre aktører</w:t>
            </w:r>
            <w:r w:rsidRPr="002522B7">
              <w:rPr>
                <w:b/>
                <w:i/>
              </w:rPr>
              <w:t xml:space="preserve"> såsom arbejdsmarkedets parter og civilsamfundsorganisationer</w:t>
            </w:r>
            <w:r w:rsidRPr="002522B7">
              <w:t xml:space="preserve"> en central rolle i forebyggelsen af forskelsbehandling og fremme af ligestilling. For at tackle de strukturelle aspekter af </w:t>
            </w:r>
            <w:r w:rsidRPr="002522B7">
              <w:t>forskelsbehandling og bidrage til sociale forandringer bør de fremme ligestillingsforpligtelser, god praksis, positiv særbehandling og integration af ligestillingsaspektet blandt offentlige og private enheder og give dem relevant uddannelse, information, r</w:t>
            </w:r>
            <w:r w:rsidRPr="002522B7">
              <w:t>ådgivning, vejledning og støtte. De bør kommunikere med offentlige og private enheder og grupper, der er i risiko for forskelsbehandling, og deltage i den offentlige debat med henblik på at bekæmpe stereotyper og øge bevidstheden om mangfoldighed og dens f</w:t>
            </w:r>
            <w:r w:rsidRPr="002522B7">
              <w:t>ordele, som er en central søjle i Unionens ligestillingsstrategier.</w:t>
            </w:r>
            <w:r w:rsidRPr="002522B7">
              <w:rPr>
                <w:b/>
                <w:i/>
              </w:rPr>
              <w:t xml:space="preserve"> Ligestillingsorganer bør også øge bevidstheden om intersektionel forskelsbehandling og vigtigheden af at anvende en intersektionel tilgang i forbindelse med udformningen af politikker, pro</w:t>
            </w:r>
            <w:r w:rsidRPr="002522B7">
              <w:rPr>
                <w:b/>
                <w:i/>
              </w:rPr>
              <w:t>grammer, fonde og aktiviteter.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lastRenderedPageBreak/>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(21)</w:t>
            </w:r>
            <w:r w:rsidRPr="002522B7">
              <w:tab/>
              <w:t xml:space="preserve">Ud over forebyggelse er det en central opgave for </w:t>
            </w:r>
            <w:r w:rsidRPr="002522B7">
              <w:t xml:space="preserve">ligestillingsorganerne at yde bistand til ofre for forskelsbehandling. Denne bistand bør </w:t>
            </w:r>
            <w:r w:rsidRPr="002522B7">
              <w:rPr>
                <w:b/>
                <w:i/>
              </w:rPr>
              <w:t>altid omfatte meddelelse af vigtige oplysninger til klagere</w:t>
            </w:r>
            <w:r w:rsidRPr="002522B7">
              <w:t xml:space="preserve"> og </w:t>
            </w:r>
            <w:r w:rsidRPr="002522B7">
              <w:rPr>
                <w:b/>
                <w:i/>
              </w:rPr>
              <w:t>en foreløbig vurdering af deres klage på grundlag</w:t>
            </w:r>
            <w:r w:rsidRPr="002522B7">
              <w:t xml:space="preserve"> af </w:t>
            </w:r>
            <w:r w:rsidRPr="002522B7">
              <w:rPr>
                <w:b/>
                <w:i/>
              </w:rPr>
              <w:t xml:space="preserve">de indledende </w:t>
            </w:r>
            <w:r w:rsidRPr="002522B7">
              <w:t>oplysninger</w:t>
            </w:r>
            <w:r w:rsidRPr="002522B7">
              <w:rPr>
                <w:b/>
                <w:i/>
              </w:rPr>
              <w:t>, der er indsamlet fra par</w:t>
            </w:r>
            <w:r w:rsidRPr="002522B7">
              <w:rPr>
                <w:b/>
                <w:i/>
              </w:rPr>
              <w:t>terne på et frivilligt grundlagt. Medlemsstaterne bør være ansvarlige for at fastlægge de nærmere regler for, hvordan ligestillingsorganet skal foretage denne vurdering</w:t>
            </w:r>
            <w:r w:rsidRPr="002522B7">
              <w:t xml:space="preserve">, herunder </w:t>
            </w:r>
            <w:r w:rsidRPr="002522B7">
              <w:rPr>
                <w:b/>
                <w:i/>
              </w:rPr>
              <w:t>tidsrammen for processen eller retssikkerhedsgarantier mod gentagne eller uri</w:t>
            </w:r>
            <w:r w:rsidRPr="002522B7">
              <w:rPr>
                <w:b/>
                <w:i/>
              </w:rPr>
              <w:t>melige klager</w:t>
            </w:r>
            <w:r w:rsidRPr="002522B7">
              <w:t>.</w:t>
            </w:r>
          </w:p>
        </w:tc>
        <w:tc>
          <w:tcPr>
            <w:tcW w:w="4876" w:type="dxa"/>
            <w:hideMark/>
          </w:tcPr>
          <w:p w:rsidR="008429B6" w:rsidRPr="002522B7" w:rsidRDefault="0032033D" w:rsidP="00823CA1">
            <w:pPr>
              <w:pStyle w:val="Normal6"/>
              <w:rPr>
                <w:szCs w:val="24"/>
              </w:rPr>
            </w:pPr>
            <w:r w:rsidRPr="002522B7">
              <w:t>(21)</w:t>
            </w:r>
            <w:r w:rsidRPr="002522B7">
              <w:tab/>
              <w:t xml:space="preserve">Ud over forebyggelse er det en central opgave for ligestillingsorganerne at yde </w:t>
            </w:r>
            <w:r w:rsidRPr="002522B7">
              <w:rPr>
                <w:b/>
                <w:i/>
              </w:rPr>
              <w:t xml:space="preserve">omfattende støtte og </w:t>
            </w:r>
            <w:r w:rsidRPr="002522B7">
              <w:t xml:space="preserve">bistand til ofre for forskelsbehandling. Denne </w:t>
            </w:r>
            <w:r w:rsidRPr="002522B7">
              <w:rPr>
                <w:b/>
                <w:i/>
              </w:rPr>
              <w:t xml:space="preserve">støtte og </w:t>
            </w:r>
            <w:r w:rsidRPr="002522B7">
              <w:t xml:space="preserve">bistand bør </w:t>
            </w:r>
            <w:r w:rsidRPr="002522B7">
              <w:rPr>
                <w:b/>
                <w:i/>
              </w:rPr>
              <w:t>være gratis</w:t>
            </w:r>
            <w:r w:rsidRPr="002522B7">
              <w:t xml:space="preserve"> og </w:t>
            </w:r>
            <w:r w:rsidRPr="002522B7">
              <w:rPr>
                <w:b/>
                <w:i/>
              </w:rPr>
              <w:t>som minimum omfatte meddelelse</w:t>
            </w:r>
            <w:r w:rsidRPr="002522B7">
              <w:t xml:space="preserve"> af oplysninger</w:t>
            </w:r>
            <w:r w:rsidRPr="002522B7">
              <w:rPr>
                <w:b/>
                <w:i/>
              </w:rPr>
              <w:t xml:space="preserve"> til k</w:t>
            </w:r>
            <w:r w:rsidRPr="002522B7">
              <w:rPr>
                <w:b/>
                <w:i/>
              </w:rPr>
              <w:t>lagere, herunder juridisk rådgivning, rådgivning målrettet ofrenes specifikke behov og oplysninger vedrørende proceduremæssige aspekter</w:t>
            </w:r>
            <w:r w:rsidRPr="002522B7">
              <w:t xml:space="preserve">, herunder </w:t>
            </w:r>
            <w:r w:rsidRPr="002522B7">
              <w:rPr>
                <w:b/>
                <w:i/>
              </w:rPr>
              <w:t>hvordan man anlægger sag ved en domstol og andre retsmidler</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(22)</w:t>
            </w:r>
            <w:r w:rsidRPr="002522B7">
              <w:tab/>
              <w:t>For at sikre, at alle ofre kan klage, bør det være muligt at indgive klager på forskellige måder. Medlemsstaterne bør også t</w:t>
            </w:r>
            <w:r w:rsidRPr="002522B7">
              <w:t xml:space="preserve">age behørigt hensyn til Kommissionens henstilling 2018/951 </w:t>
            </w:r>
            <w:r w:rsidRPr="002522B7">
              <w:rPr>
                <w:b/>
                <w:i/>
              </w:rPr>
              <w:t>om</w:t>
            </w:r>
            <w:r w:rsidRPr="002522B7">
              <w:t xml:space="preserve">, at det </w:t>
            </w:r>
            <w:r w:rsidRPr="002522B7">
              <w:rPr>
                <w:b/>
                <w:i/>
              </w:rPr>
              <w:t>bør være</w:t>
            </w:r>
            <w:r w:rsidRPr="002522B7">
              <w:t xml:space="preserve"> muligt at indgive klager til ligestillingsorganer på et sprog, som klageren </w:t>
            </w:r>
            <w:r w:rsidRPr="002522B7">
              <w:rPr>
                <w:b/>
                <w:i/>
              </w:rPr>
              <w:t>har valgt</w:t>
            </w:r>
            <w:r w:rsidRPr="002522B7">
              <w:t xml:space="preserve">, </w:t>
            </w:r>
            <w:r w:rsidRPr="002522B7">
              <w:rPr>
                <w:b/>
                <w:i/>
              </w:rPr>
              <w:t>og</w:t>
            </w:r>
            <w:r w:rsidRPr="002522B7">
              <w:t xml:space="preserve"> som almindeligvis anvendes</w:t>
            </w:r>
            <w:r w:rsidRPr="002522B7">
              <w:rPr>
                <w:b/>
                <w:i/>
              </w:rPr>
              <w:t xml:space="preserve"> i den medlemsstat</w:t>
            </w:r>
            <w:r w:rsidRPr="002522B7">
              <w:t xml:space="preserve">, hvor ligestillingsorganet er beliggende. </w:t>
            </w:r>
            <w:r w:rsidRPr="002522B7">
              <w:t>For at afhjælpe en af årsagerne til manglende anmeldelse, nemlig frygt for repressalier, og uden at det berører direktiv (EU) 2019/1937 om beskyttelse af personer, der indberetter overtrædelser af EU-retten</w:t>
            </w:r>
            <w:r w:rsidRPr="002522B7">
              <w:rPr>
                <w:vertAlign w:val="superscript"/>
              </w:rPr>
              <w:t>70</w:t>
            </w:r>
            <w:r w:rsidRPr="002522B7">
              <w:t>, bør vidner</w:t>
            </w:r>
            <w:r w:rsidRPr="002522B7">
              <w:rPr>
                <w:b/>
                <w:i/>
              </w:rPr>
              <w:t xml:space="preserve"> og</w:t>
            </w:r>
            <w:r w:rsidRPr="002522B7">
              <w:t xml:space="preserve"> whistleblowere samt</w:t>
            </w:r>
            <w:r w:rsidRPr="002522B7">
              <w:rPr>
                <w:b/>
                <w:i/>
              </w:rPr>
              <w:t xml:space="preserve"> så vidt muligt</w:t>
            </w:r>
            <w:r w:rsidRPr="002522B7">
              <w:t xml:space="preserve"> klagere tilbydes fortrolighed.</w:t>
            </w:r>
          </w:p>
        </w:tc>
        <w:tc>
          <w:tcPr>
            <w:tcW w:w="4876" w:type="dxa"/>
            <w:hideMark/>
          </w:tcPr>
          <w:p w:rsidR="008429B6" w:rsidRPr="002522B7" w:rsidRDefault="0032033D" w:rsidP="00823CA1">
            <w:pPr>
              <w:pStyle w:val="Normal6"/>
              <w:rPr>
                <w:szCs w:val="24"/>
              </w:rPr>
            </w:pPr>
            <w:r w:rsidRPr="002522B7">
              <w:t>(22)</w:t>
            </w:r>
            <w:r w:rsidRPr="002522B7">
              <w:tab/>
              <w:t>For at sikre, at alle ofre kan klage, bør det være muligt at indgive klager på forskellige måder</w:t>
            </w:r>
            <w:r w:rsidRPr="002522B7">
              <w:rPr>
                <w:b/>
                <w:i/>
              </w:rPr>
              <w:t>, bl.a. i kraft af regionale eller lokale kontorer eller digitale værktøjer og platforme</w:t>
            </w:r>
            <w:r w:rsidRPr="002522B7">
              <w:t xml:space="preserve">. </w:t>
            </w:r>
            <w:r w:rsidRPr="002522B7">
              <w:t xml:space="preserve">Medlemsstaterne bør også tage behørigt hensyn til Kommissionens henstilling 2018/951 </w:t>
            </w:r>
            <w:r w:rsidRPr="002522B7">
              <w:rPr>
                <w:b/>
                <w:i/>
              </w:rPr>
              <w:t>og sikre</w:t>
            </w:r>
            <w:r w:rsidRPr="002522B7">
              <w:t xml:space="preserve">, at det </w:t>
            </w:r>
            <w:r w:rsidRPr="002522B7">
              <w:rPr>
                <w:b/>
                <w:i/>
              </w:rPr>
              <w:t>er</w:t>
            </w:r>
            <w:r w:rsidRPr="002522B7">
              <w:t xml:space="preserve"> muligt at indgive klager til ligestillingsorganer på et sprog, som klageren </w:t>
            </w:r>
            <w:r w:rsidRPr="002522B7">
              <w:rPr>
                <w:b/>
                <w:i/>
              </w:rPr>
              <w:t>kan forstå</w:t>
            </w:r>
            <w:r w:rsidRPr="002522B7">
              <w:t xml:space="preserve">, </w:t>
            </w:r>
            <w:r w:rsidRPr="002522B7">
              <w:rPr>
                <w:b/>
                <w:i/>
              </w:rPr>
              <w:t>herunder et sprog</w:t>
            </w:r>
            <w:r w:rsidRPr="002522B7">
              <w:t xml:space="preserve"> som almindeligvis anvendes, hvor ligestilling</w:t>
            </w:r>
            <w:r w:rsidRPr="002522B7">
              <w:t>sorganet er beliggende</w:t>
            </w:r>
            <w:r w:rsidRPr="002522B7">
              <w:rPr>
                <w:b/>
                <w:i/>
              </w:rPr>
              <w:t>, eller et sprog, der angives af ligestillingsorganet</w:t>
            </w:r>
            <w:r w:rsidRPr="002522B7">
              <w:t>. For at afhjælpe en af årsagerne til manglende anmeldelse, nemlig frygt for repressalier, og uden at det berører direktiv (EU) 2019/1937 om beskyttelse af personer, der indberetter</w:t>
            </w:r>
            <w:r w:rsidRPr="002522B7">
              <w:t xml:space="preserve"> overtrædelser af EU-retten</w:t>
            </w:r>
            <w:r w:rsidRPr="002522B7">
              <w:rPr>
                <w:vertAlign w:val="superscript"/>
              </w:rPr>
              <w:t>70</w:t>
            </w:r>
            <w:r w:rsidRPr="002522B7">
              <w:t>, bør vidner</w:t>
            </w:r>
            <w:r w:rsidRPr="002522B7">
              <w:rPr>
                <w:b/>
                <w:i/>
              </w:rPr>
              <w:t>,</w:t>
            </w:r>
            <w:r w:rsidRPr="002522B7">
              <w:t xml:space="preserve"> whistleblowere </w:t>
            </w:r>
            <w:r w:rsidRPr="002522B7">
              <w:lastRenderedPageBreak/>
              <w:t>samt klagere tilbydes fortrolighed.</w:t>
            </w:r>
          </w:p>
        </w:tc>
      </w:tr>
      <w:tr w:rsidR="003700C6" w:rsidRPr="002522B7" w:rsidTr="00823CA1">
        <w:trPr>
          <w:jc w:val="center"/>
        </w:trPr>
        <w:tc>
          <w:tcPr>
            <w:tcW w:w="4876" w:type="dxa"/>
            <w:hideMark/>
          </w:tcPr>
          <w:p w:rsidR="008429B6" w:rsidRPr="002522B7" w:rsidRDefault="0032033D" w:rsidP="00823CA1">
            <w:pPr>
              <w:pStyle w:val="Normal6"/>
            </w:pPr>
            <w:r w:rsidRPr="002522B7">
              <w:lastRenderedPageBreak/>
              <w:t>__________________</w:t>
            </w:r>
          </w:p>
        </w:tc>
        <w:tc>
          <w:tcPr>
            <w:tcW w:w="4876" w:type="dxa"/>
            <w:hideMark/>
          </w:tcPr>
          <w:p w:rsidR="008429B6" w:rsidRPr="002522B7" w:rsidRDefault="0032033D" w:rsidP="00823CA1">
            <w:pPr>
              <w:pStyle w:val="Normal6"/>
              <w:rPr>
                <w:szCs w:val="24"/>
              </w:rPr>
            </w:pPr>
            <w:r w:rsidRPr="002522B7">
              <w:t>__________________</w:t>
            </w:r>
          </w:p>
        </w:tc>
      </w:tr>
      <w:tr w:rsidR="003700C6" w:rsidRPr="002522B7" w:rsidTr="00823CA1">
        <w:trPr>
          <w:jc w:val="center"/>
        </w:trPr>
        <w:tc>
          <w:tcPr>
            <w:tcW w:w="4876" w:type="dxa"/>
            <w:hideMark/>
          </w:tcPr>
          <w:p w:rsidR="008429B6" w:rsidRPr="002522B7" w:rsidRDefault="0032033D" w:rsidP="00823CA1">
            <w:pPr>
              <w:pStyle w:val="Normal6"/>
            </w:pPr>
            <w:r w:rsidRPr="002522B7">
              <w:rPr>
                <w:vertAlign w:val="superscript"/>
              </w:rPr>
              <w:t>70</w:t>
            </w:r>
            <w:r w:rsidRPr="002522B7">
              <w:t xml:space="preserve"> Europa-Parlamentets og Rådets direktiv (EU) 2019/1937 af 23. oktober 2019 om beskyttelse af personer, der indberetter o</w:t>
            </w:r>
            <w:r w:rsidRPr="002522B7">
              <w:t>vertrædelser af EU-retten (EUT L 305 af 26.11.2019, s. 17).</w:t>
            </w:r>
          </w:p>
        </w:tc>
        <w:tc>
          <w:tcPr>
            <w:tcW w:w="4876" w:type="dxa"/>
            <w:hideMark/>
          </w:tcPr>
          <w:p w:rsidR="008429B6" w:rsidRPr="002522B7" w:rsidRDefault="0032033D" w:rsidP="00823CA1">
            <w:pPr>
              <w:pStyle w:val="Normal6"/>
              <w:rPr>
                <w:szCs w:val="24"/>
              </w:rPr>
            </w:pPr>
            <w:r w:rsidRPr="002522B7">
              <w:rPr>
                <w:vertAlign w:val="superscript"/>
              </w:rPr>
              <w:t>70</w:t>
            </w:r>
            <w:r w:rsidRPr="002522B7">
              <w:t xml:space="preserve"> Europa-Parlamentets og Rådets direktiv (EU) 2019/1937 af 23. oktober 2019 om beskyttelse af personer, der indberetter overtrædelser af EU-retten (EUT L 305 af 26.11.2019, s. 17).</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w:t>
      </w:r>
      <w:r w:rsidRPr="002522B7">
        <w:rPr>
          <w:rStyle w:val="HideTWBExt"/>
          <w:b w:val="0"/>
          <w:noProof w:val="0"/>
        </w:rPr>
        <w:t>nd&gt;</w:t>
      </w:r>
      <w:r w:rsidRPr="002522B7">
        <w:t>Ændringsforslag</w:t>
      </w:r>
      <w:r w:rsidRPr="002522B7">
        <w:tab/>
      </w:r>
      <w:r w:rsidRPr="002522B7">
        <w:tab/>
      </w:r>
      <w:r w:rsidRPr="002522B7">
        <w:rPr>
          <w:rStyle w:val="HideTWBExt"/>
          <w:b w:val="0"/>
          <w:noProof w:val="0"/>
        </w:rPr>
        <w:t>&lt;NumAm&gt;</w:t>
      </w:r>
      <w:r w:rsidRPr="002522B7">
        <w:t>15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22 a (ny)</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(22 a)</w:t>
            </w:r>
            <w:r w:rsidRPr="002522B7">
              <w:rPr>
                <w:b/>
                <w:i/>
              </w:rPr>
              <w:tab/>
              <w:t>Medlemsstaternes forpligtelser og ligestillingsorganernes opgaver i henhold til dette</w:t>
            </w:r>
            <w:r w:rsidRPr="002522B7">
              <w:rPr>
                <w:b/>
                <w:i/>
              </w:rPr>
              <w:t xml:space="preserve"> direktiv skal for så vidt angår bistand til ofre ses i sammenhæng med medlemsstaternes forpligtelser og ofrenes rettigheder som fastsat i direktiv 2012/29/EU.</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23</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(23)</w:t>
            </w:r>
            <w:r w:rsidRPr="002522B7">
              <w:tab/>
              <w:t xml:space="preserve">For at give mulighed for hurtig og økonomisk overkommelig udenretslig løsning af tvister bør medlemsstaterne give parterne mulighed for at søge en forligsmæssig løsning af </w:t>
            </w:r>
            <w:r w:rsidRPr="002522B7">
              <w:t>deres tvister gennem ligestillingsorganet eller en anden eksisterende særlig enhed. De bør fastlægge de nærmere bestemmelser for proceduren for forligsmæssig løsning af tvister i henhold til national ret.</w:t>
            </w:r>
          </w:p>
        </w:tc>
        <w:tc>
          <w:tcPr>
            <w:tcW w:w="4876" w:type="dxa"/>
            <w:hideMark/>
          </w:tcPr>
          <w:p w:rsidR="008429B6" w:rsidRPr="002522B7" w:rsidRDefault="0032033D" w:rsidP="00823CA1">
            <w:pPr>
              <w:pStyle w:val="Normal6"/>
              <w:rPr>
                <w:szCs w:val="24"/>
              </w:rPr>
            </w:pPr>
            <w:r w:rsidRPr="002522B7">
              <w:t>(23)</w:t>
            </w:r>
            <w:r w:rsidRPr="002522B7">
              <w:tab/>
              <w:t>For at give mulighed for hurtig og økonomisk o</w:t>
            </w:r>
            <w:r w:rsidRPr="002522B7">
              <w:t>verkommelig udenretslig løsning af tvister bør medlemsstaterne give parterne mulighed for at søge en forligsmæssig løsning af deres tvister gennem ligestillingsorganet eller en anden eksisterende særlig enhed. De bør fastlægge de nærmere bestemmelser for p</w:t>
            </w:r>
            <w:r w:rsidRPr="002522B7">
              <w:t>roceduren for forligsmæssig løsning af tvister i henhold til national ret.</w:t>
            </w:r>
            <w:r w:rsidRPr="002522B7">
              <w:rPr>
                <w:b/>
                <w:i/>
              </w:rPr>
              <w:t xml:space="preserve"> Parterne bør være enige om at indlede en forligs- og mæglingsproces, og dette må ikke hindre en part i at udøve sin ret til adgang til domstolsprøvelse, hvis den pågældende part ikk</w:t>
            </w:r>
            <w:r w:rsidRPr="002522B7">
              <w:rPr>
                <w:b/>
                <w:i/>
              </w:rPr>
              <w:t xml:space="preserve">e accepterer forligs- og </w:t>
            </w:r>
            <w:r w:rsidRPr="002522B7">
              <w:rPr>
                <w:b/>
                <w:i/>
              </w:rPr>
              <w:lastRenderedPageBreak/>
              <w:t>mæglingspanelets afgørelse.</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25</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(25)</w:t>
            </w:r>
            <w:r w:rsidRPr="002522B7">
              <w:tab/>
              <w:t xml:space="preserve">Bevismateriale er vigtigt </w:t>
            </w:r>
            <w:r w:rsidRPr="002522B7">
              <w:t xml:space="preserve">for at afgøre, om forskelsbehandling har fundet sted, og det findes ofte hos den formodede gerningsmand. Ligestillingsorganerne bør derfor kunne få adgang til de oplysninger, der er nødvendige for at </w:t>
            </w:r>
            <w:r w:rsidRPr="002522B7">
              <w:rPr>
                <w:b/>
                <w:i/>
              </w:rPr>
              <w:t>fastslå</w:t>
            </w:r>
            <w:r w:rsidRPr="002522B7">
              <w:t>, om der er tale om forskelsbehandling, og samarb</w:t>
            </w:r>
            <w:r w:rsidRPr="002522B7">
              <w:t>ejde med de relevante offentlige tjenester, f.eks. arbejdstilsyn eller uddannelsestilsyn. Medlemsstaterne bør fastlægge en passende ramme for udøvelsen af denne kompetence i overensstemmelse med nationale regler og procedurer.</w:t>
            </w:r>
          </w:p>
        </w:tc>
        <w:tc>
          <w:tcPr>
            <w:tcW w:w="4876" w:type="dxa"/>
            <w:hideMark/>
          </w:tcPr>
          <w:p w:rsidR="008429B6" w:rsidRPr="002522B7" w:rsidRDefault="0032033D" w:rsidP="00823CA1">
            <w:pPr>
              <w:pStyle w:val="Normal6"/>
              <w:rPr>
                <w:szCs w:val="24"/>
              </w:rPr>
            </w:pPr>
            <w:r w:rsidRPr="002522B7">
              <w:t>(25)</w:t>
            </w:r>
            <w:r w:rsidRPr="002522B7">
              <w:tab/>
              <w:t>Bevismateriale er vigtig</w:t>
            </w:r>
            <w:r w:rsidRPr="002522B7">
              <w:t xml:space="preserve">t for at afgøre, om forskelsbehandling har fundet sted, og det findes ofte hos den formodede gerningsmand. Ligestillingsorganerne bør derfor kunne få adgang til de oplysninger, der er nødvendige for at </w:t>
            </w:r>
            <w:r w:rsidRPr="002522B7">
              <w:rPr>
                <w:b/>
                <w:i/>
              </w:rPr>
              <w:t>afgøre</w:t>
            </w:r>
            <w:r w:rsidRPr="002522B7">
              <w:t>, om der er tale om forskelsbehandling, og samar</w:t>
            </w:r>
            <w:r w:rsidRPr="002522B7">
              <w:t>bejde med de relevante offentlige tjenester, f.eks. arbejdstilsyn eller uddannelsestilsyn. Medlemsstaterne bør fastlægge en passende ramme for udøvelsen af denne kompetence i overensstemmelse med nationale regler og procedurer.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26</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(26)</w:t>
            </w:r>
            <w:r w:rsidRPr="002522B7">
              <w:tab/>
              <w:t>På grundlag af det bevismateriale, der er indsamlet</w:t>
            </w:r>
            <w:r w:rsidRPr="002522B7">
              <w:rPr>
                <w:b/>
                <w:i/>
              </w:rPr>
              <w:t xml:space="preserve"> frivilligt eller gennem en undersøgelse, bør l</w:t>
            </w:r>
            <w:r w:rsidRPr="002522B7">
              <w:rPr>
                <w:b/>
                <w:i/>
              </w:rPr>
              <w:t>igestillingsorganerne</w:t>
            </w:r>
            <w:r w:rsidRPr="002522B7">
              <w:t xml:space="preserve"> forelægge deres vurdering for klageren og den påståede gerningsmand. </w:t>
            </w:r>
            <w:r w:rsidRPr="002522B7">
              <w:rPr>
                <w:b/>
                <w:i/>
              </w:rPr>
              <w:t>Medlemsstaterne</w:t>
            </w:r>
            <w:r w:rsidRPr="002522B7">
              <w:t xml:space="preserve"> bør fastsætte den juridiske værdi af denne vurdering, som kan være en ikkebindende udtalelse eller en retligt bindende afgørelse. </w:t>
            </w:r>
            <w:r w:rsidRPr="002522B7">
              <w:rPr>
                <w:b/>
                <w:i/>
              </w:rPr>
              <w:t>Begge</w:t>
            </w:r>
            <w:r w:rsidRPr="002522B7">
              <w:t xml:space="preserve"> bør omfatte e</w:t>
            </w:r>
            <w:r w:rsidRPr="002522B7">
              <w:t>n begrundelse for vurderingen og om nødvendigt omfatte foranstaltninger til at afhjælpe enhver konstateret overtrædelse og forebygge yderligere tilfælde. For at sikre, at ligestillingsorganernes arbejde er effektivt, bør medlemsstaterne træffe passende for</w:t>
            </w:r>
            <w:r w:rsidRPr="002522B7">
              <w:t xml:space="preserve">anstaltninger til følge op på </w:t>
            </w:r>
            <w:r w:rsidRPr="002522B7">
              <w:lastRenderedPageBreak/>
              <w:t>udtalelser og fuldbyrde afgørelser.</w:t>
            </w:r>
          </w:p>
        </w:tc>
        <w:tc>
          <w:tcPr>
            <w:tcW w:w="4876" w:type="dxa"/>
            <w:hideMark/>
          </w:tcPr>
          <w:p w:rsidR="008429B6" w:rsidRPr="002522B7" w:rsidRDefault="0032033D" w:rsidP="00823CA1">
            <w:pPr>
              <w:pStyle w:val="Normal6"/>
              <w:rPr>
                <w:szCs w:val="24"/>
              </w:rPr>
            </w:pPr>
            <w:r w:rsidRPr="002522B7">
              <w:lastRenderedPageBreak/>
              <w:t>(26)</w:t>
            </w:r>
            <w:r w:rsidRPr="002522B7">
              <w:tab/>
              <w:t>På grundlag af det bevismateriale, der er indsamlet</w:t>
            </w:r>
            <w:r w:rsidRPr="002522B7">
              <w:rPr>
                <w:b/>
                <w:i/>
              </w:rPr>
              <w:t>, bør ligestillingsorganerne have beføjelse til at</w:t>
            </w:r>
            <w:r w:rsidRPr="002522B7">
              <w:t xml:space="preserve"> forelægge deres vurdering for klageren og den påståede gerningsmand. </w:t>
            </w:r>
            <w:r w:rsidRPr="002522B7">
              <w:rPr>
                <w:b/>
                <w:i/>
              </w:rPr>
              <w:t>Ligestillingso</w:t>
            </w:r>
            <w:r w:rsidRPr="002522B7">
              <w:rPr>
                <w:b/>
                <w:i/>
              </w:rPr>
              <w:t>rganerne</w:t>
            </w:r>
            <w:r w:rsidRPr="002522B7">
              <w:t xml:space="preserve"> bør fastsætte den juridiske værdi af denne vurdering, som kan være en ikkebindende udtalelse eller en retligt bindende afgørelse. </w:t>
            </w:r>
            <w:r w:rsidRPr="002522B7">
              <w:rPr>
                <w:b/>
                <w:i/>
              </w:rPr>
              <w:t>Både udtalelser og afgørelser</w:t>
            </w:r>
            <w:r w:rsidRPr="002522B7">
              <w:t xml:space="preserve"> bør omfatte en begrundelse for vurderingen og om nødvendigt omfatte foranstaltninger ti</w:t>
            </w:r>
            <w:r w:rsidRPr="002522B7">
              <w:t>l at afhjælpe enhver konstateret overtrædelse og forebygge yderligere tilfælde</w:t>
            </w:r>
            <w:r w:rsidRPr="002522B7">
              <w:rPr>
                <w:b/>
                <w:i/>
              </w:rPr>
              <w:t>. Retligt bindende afgørelser kan indeholde sanktioner</w:t>
            </w:r>
            <w:r w:rsidRPr="002522B7">
              <w:t xml:space="preserve">. For at sikre, at </w:t>
            </w:r>
            <w:r w:rsidRPr="002522B7">
              <w:lastRenderedPageBreak/>
              <w:t>ligestillingsorganernes arbejde er effektivt, bør medlemsstaterne træffe passende foranstaltninger til fø</w:t>
            </w:r>
            <w:r w:rsidRPr="002522B7">
              <w:t>lge op på udtalelser og fuldbyrde afgørelser.</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19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27</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(27)</w:t>
            </w:r>
            <w:r w:rsidRPr="002522B7">
              <w:tab/>
            </w:r>
            <w:r w:rsidRPr="002522B7">
              <w:t xml:space="preserve">Ligestillingsorganerne bør kunne offentliggøre </w:t>
            </w:r>
            <w:r w:rsidRPr="002522B7">
              <w:rPr>
                <w:b/>
                <w:i/>
              </w:rPr>
              <w:t xml:space="preserve">et sammendrag af </w:t>
            </w:r>
            <w:r w:rsidRPr="002522B7">
              <w:t>deres udtalelser og afgørelser uden videregivelse af personoplysninger for at fremme deres arbejde og ligestillingsretten.</w:t>
            </w:r>
          </w:p>
        </w:tc>
        <w:tc>
          <w:tcPr>
            <w:tcW w:w="4876" w:type="dxa"/>
            <w:hideMark/>
          </w:tcPr>
          <w:p w:rsidR="008429B6" w:rsidRPr="002522B7" w:rsidRDefault="0032033D" w:rsidP="00823CA1">
            <w:pPr>
              <w:pStyle w:val="Normal6"/>
              <w:rPr>
                <w:szCs w:val="24"/>
              </w:rPr>
            </w:pPr>
            <w:r w:rsidRPr="002522B7">
              <w:t>(27)</w:t>
            </w:r>
            <w:r w:rsidRPr="002522B7">
              <w:tab/>
              <w:t xml:space="preserve">Ligestillingsorganerne bør kunne offentliggøre deres udtalelser </w:t>
            </w:r>
            <w:r w:rsidRPr="002522B7">
              <w:t>og afgørelser</w:t>
            </w:r>
            <w:r w:rsidRPr="002522B7">
              <w:rPr>
                <w:b/>
                <w:i/>
              </w:rPr>
              <w:t>, herunder et sammendrag heraf,</w:t>
            </w:r>
            <w:r w:rsidRPr="002522B7">
              <w:t xml:space="preserve"> uden videregivelse af personoplysninger for at fremme deres arbejde og ligestillingsretten.</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28</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(28)</w:t>
            </w:r>
            <w:r w:rsidRPr="002522B7">
              <w:tab/>
              <w:t>Ligestillingsorganerne bør have ret til at handle i retssager i civilretlige eller administrative sager for at bidrage til at sikre overholdelse af princippet om ligebehandling som fastsat i direktiv</w:t>
            </w:r>
            <w:r w:rsidRPr="002522B7">
              <w:t xml:space="preserve"> 2006/54/EF og 2010/41/EU. Selv om disse retssager bør være underlagt national procesret, herunder nationale regler om antagelse af søgsmål til realitetsbehandling, kan sådanne regler og navnlig enhver betingelse om legitim interesse ikke anvendes på en må</w:t>
            </w:r>
            <w:r w:rsidRPr="002522B7">
              <w:t>de, der undergraver effektiviteten af ligestillingsorganernes ret til at handle. De undersøgelses- og beslutningsbeføjelser og den ret til at handle i retssager, som ligestillingsorganer tildeles i medfør af dette direktiv, vil fremme den praktiske gennemf</w:t>
            </w:r>
            <w:r w:rsidRPr="002522B7">
              <w:t xml:space="preserve">ørelse af de nuværende bestemmelser i direktiv 2000/43/EF, 2000/78/EF og 2004/113/EF om bevisbyrde og forsvar af rettigheder. </w:t>
            </w:r>
            <w:r w:rsidRPr="002522B7">
              <w:lastRenderedPageBreak/>
              <w:t>Ligestillingsorganer vil på de betingelser, der fastsættes i dette direktiv, kunne fastslå faktiske omstændigheder "som giver anle</w:t>
            </w:r>
            <w:r w:rsidRPr="002522B7">
              <w:t>dning til at formode, at der er udøvet direkte eller indirekte forskelsbehandling", og dermed kunne opfylde betingelserne i artikel 8 i direktiv 2000/43/EF, artikel 10 i direktiv 2000/78/EF og artikel 9 i direktiv 2004/113/EF. Deres støtte vil derfor lette</w:t>
            </w:r>
            <w:r w:rsidRPr="002522B7">
              <w:t xml:space="preserve"> ofres adgang til domstolsprøvelse.</w:t>
            </w:r>
          </w:p>
        </w:tc>
        <w:tc>
          <w:tcPr>
            <w:tcW w:w="4876" w:type="dxa"/>
            <w:hideMark/>
          </w:tcPr>
          <w:p w:rsidR="008429B6" w:rsidRPr="002522B7" w:rsidRDefault="0032033D" w:rsidP="00823CA1">
            <w:pPr>
              <w:pStyle w:val="Normal6"/>
              <w:rPr>
                <w:szCs w:val="24"/>
              </w:rPr>
            </w:pPr>
            <w:r w:rsidRPr="002522B7">
              <w:lastRenderedPageBreak/>
              <w:t>(28)</w:t>
            </w:r>
            <w:r w:rsidRPr="002522B7">
              <w:tab/>
              <w:t xml:space="preserve">Ligestillingsorganerne bør have ret til at handle </w:t>
            </w:r>
            <w:r w:rsidRPr="002522B7">
              <w:rPr>
                <w:b/>
                <w:i/>
              </w:rPr>
              <w:t xml:space="preserve">ved institutioner og kompetente instanser og </w:t>
            </w:r>
            <w:r w:rsidRPr="002522B7">
              <w:t xml:space="preserve">i retssager i civilretlige eller administrative sager for at bidrage til at sikre overholdelse af princippet om </w:t>
            </w:r>
            <w:r w:rsidRPr="002522B7">
              <w:t>ligebehandling som fastsat i direktiv 2006/54/EF og 2010/41/EU. Selv om disse retssager bør være underlagt national procesret, herunder nationale regler om antagelse af søgsmål til realitetsbehandling, kan sådanne regler og navnlig enhver betingelse om leg</w:t>
            </w:r>
            <w:r w:rsidRPr="002522B7">
              <w:t>itim interesse ikke anvendes på en måde, der undergraver effektiviteten af ligestillingsorganernes ret til at handle. De undersøgelses- og beslutningsbeføjelser og den ret til at handle</w:t>
            </w:r>
            <w:r w:rsidRPr="002522B7">
              <w:rPr>
                <w:b/>
                <w:i/>
              </w:rPr>
              <w:t xml:space="preserve"> ved institutioner og kompetente instanser og</w:t>
            </w:r>
            <w:r w:rsidRPr="002522B7">
              <w:t xml:space="preserve"> i retssager, som ligestil</w:t>
            </w:r>
            <w:r w:rsidRPr="002522B7">
              <w:t xml:space="preserve">lingsorganer tildeles i medfør af dette direktiv, vil fremme den praktiske gennemførelse af de nuværende </w:t>
            </w:r>
            <w:r w:rsidRPr="002522B7">
              <w:lastRenderedPageBreak/>
              <w:t xml:space="preserve">bestemmelser i direktiv 2000/43/EF, 2000/78/EF og 2004/113/EF om bevisbyrde og forsvar af rettigheder. Ligestillingsorganer vil på de betingelser, der </w:t>
            </w:r>
            <w:r w:rsidRPr="002522B7">
              <w:t>fastsættes i dette direktiv, kunne fastslå faktiske omstændigheder "som giver anledning til at formode, at der er udøvet direkte eller indirekte forskelsbehandling", og dermed kunne opfylde betingelserne i artikel 8 i direktiv 2000/43/EF, artikel 10 i dire</w:t>
            </w:r>
            <w:r w:rsidRPr="002522B7">
              <w:t>ktiv 2000/78/EF og artikel 9 i direktiv 2004/113/EF. Deres støtte vil derfor lette ofres adgang til domstolsprøvelse.</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29</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w:t>
            </w:r>
            <w:r w:rsidRPr="002522B7">
              <w:t>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(29)</w:t>
            </w:r>
            <w:r w:rsidRPr="002522B7">
              <w:tab/>
              <w:t xml:space="preserve">Søgsmålskompetence gør det muligt for ligestillingsorganer at handle på vegne af eller til støtte for ofre, som får adgang til domstolsprøvelse, hvor de ellers ofte afskrækkes af proceduremæssige og økonomiske </w:t>
            </w:r>
            <w:r w:rsidRPr="002522B7">
              <w:t>hindringer eller frygt for viktimisering. Søgsmålskompetence giver også ligestillingsorganerne mulighed for strategisk at udvælge de sager, de beslutter at forfølge ved de nationale domstole, og at bidrage til en korrekt fortolkning og anvendelse af lovgiv</w:t>
            </w:r>
            <w:r w:rsidRPr="002522B7">
              <w:t>ningen om ligebehandling.</w:t>
            </w:r>
          </w:p>
        </w:tc>
        <w:tc>
          <w:tcPr>
            <w:tcW w:w="4876" w:type="dxa"/>
            <w:hideMark/>
          </w:tcPr>
          <w:p w:rsidR="008429B6" w:rsidRPr="002522B7" w:rsidRDefault="0032033D" w:rsidP="004E7856">
            <w:pPr>
              <w:pStyle w:val="Normal6"/>
              <w:rPr>
                <w:szCs w:val="24"/>
              </w:rPr>
            </w:pPr>
            <w:r w:rsidRPr="002522B7">
              <w:t>(29)</w:t>
            </w:r>
            <w:r w:rsidRPr="002522B7">
              <w:tab/>
              <w:t>Søgsmålskompetence gør det muligt for ligestillingsorganer at handle på vegne af eller til støtte for ofre, som får adgang til domstolsprøvelse, hvor de ellers ofte afskrækkes af proceduremæssige og økonomiske hindringer elle</w:t>
            </w:r>
            <w:r w:rsidRPr="002522B7">
              <w:t>r frygt for viktimisering. Søgsmålskompetence giver også ligestillingsorganerne mulighed for strategisk at udvælge de sager, de beslutter at forfølge ved de nationale domstole, og at bidrage til en korrekt fortolkning og anvendelse af lovgivningen om ligeb</w:t>
            </w:r>
            <w:r w:rsidRPr="002522B7">
              <w:t>ehandling</w:t>
            </w:r>
            <w:r w:rsidRPr="002522B7">
              <w:rPr>
                <w:b/>
                <w:i/>
              </w:rPr>
              <w:t xml:space="preserve"> og til at udarbejde forslag til forbedring og ajourføring af gældende lovgivning</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30</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(30)</w:t>
            </w:r>
            <w:r w:rsidRPr="002522B7">
              <w:tab/>
              <w:t xml:space="preserve">Nogle tilfælde af forskelsbehandling er vanskelige at </w:t>
            </w:r>
            <w:r w:rsidRPr="002522B7">
              <w:lastRenderedPageBreak/>
              <w:t>bekæmpe, fordi der ikke er nogen klager, der selv forfølger sagen. Domstolen bekræftede i sin dom i sag C-54/07 (Feryn)</w:t>
            </w:r>
            <w:r w:rsidRPr="002522B7">
              <w:rPr>
                <w:vertAlign w:val="superscript"/>
              </w:rPr>
              <w:t>71</w:t>
            </w:r>
            <w:r w:rsidRPr="002522B7">
              <w:t xml:space="preserve">, som blev anlagt af et ligestillingsorgan i eget navn, at </w:t>
            </w:r>
            <w:r w:rsidRPr="002522B7">
              <w:t xml:space="preserve">der kan </w:t>
            </w:r>
            <w:r w:rsidRPr="002522B7">
              <w:rPr>
                <w:b/>
                <w:i/>
              </w:rPr>
              <w:t>konstateres</w:t>
            </w:r>
            <w:r w:rsidRPr="002522B7">
              <w:t xml:space="preserve"> forskelsbehandling, selv om der ikke </w:t>
            </w:r>
            <w:r w:rsidRPr="002522B7">
              <w:rPr>
                <w:b/>
                <w:i/>
              </w:rPr>
              <w:t>findes et konkret offer</w:t>
            </w:r>
            <w:r w:rsidRPr="002522B7">
              <w:t>. Det er derfor vigtigt, at ligestillingsorganer kan handle i eget navn for at forsvare samfundets interesser.</w:t>
            </w:r>
          </w:p>
        </w:tc>
        <w:tc>
          <w:tcPr>
            <w:tcW w:w="4876" w:type="dxa"/>
            <w:hideMark/>
          </w:tcPr>
          <w:p w:rsidR="008429B6" w:rsidRPr="002522B7" w:rsidRDefault="0032033D" w:rsidP="00823CA1">
            <w:pPr>
              <w:pStyle w:val="Normal6"/>
              <w:rPr>
                <w:szCs w:val="24"/>
              </w:rPr>
            </w:pPr>
            <w:r w:rsidRPr="002522B7">
              <w:lastRenderedPageBreak/>
              <w:t>(30)</w:t>
            </w:r>
            <w:r w:rsidRPr="002522B7">
              <w:tab/>
              <w:t xml:space="preserve">Nogle tilfælde af forskelsbehandling er vanskelige at </w:t>
            </w:r>
            <w:r w:rsidRPr="002522B7">
              <w:lastRenderedPageBreak/>
              <w:t>bekæmp</w:t>
            </w:r>
            <w:r w:rsidRPr="002522B7">
              <w:t>e, fordi der ikke er nogen klager, der selv forfølger sagen. Domstolen bekræftede i sin dom i sag C-54/07 (Feryn)</w:t>
            </w:r>
            <w:r w:rsidRPr="002522B7">
              <w:rPr>
                <w:vertAlign w:val="superscript"/>
              </w:rPr>
              <w:t>71</w:t>
            </w:r>
            <w:r w:rsidRPr="002522B7">
              <w:t xml:space="preserve">, som blev anlagt af et ligestillingsorgan i eget navn, at der kan </w:t>
            </w:r>
            <w:r w:rsidRPr="002522B7">
              <w:rPr>
                <w:b/>
                <w:i/>
              </w:rPr>
              <w:t>forekomme</w:t>
            </w:r>
            <w:r w:rsidRPr="002522B7">
              <w:t xml:space="preserve"> forskelsbehandling, selv om der ikke </w:t>
            </w:r>
            <w:r w:rsidRPr="002522B7">
              <w:rPr>
                <w:b/>
                <w:i/>
              </w:rPr>
              <w:t>kan identificeres en klager</w:t>
            </w:r>
            <w:r w:rsidRPr="002522B7">
              <w:rPr>
                <w:b/>
                <w:i/>
              </w:rPr>
              <w:t>, f.eks. i tilfælde af strukturel eller systemisk forskelsbehandling</w:t>
            </w:r>
            <w:r w:rsidRPr="002522B7">
              <w:t xml:space="preserve">. Det er derfor vigtigt, at ligestillingsorganer kan handle </w:t>
            </w:r>
            <w:r w:rsidRPr="002522B7">
              <w:rPr>
                <w:b/>
                <w:i/>
              </w:rPr>
              <w:t xml:space="preserve">og anlægge retssager </w:t>
            </w:r>
            <w:r w:rsidRPr="002522B7">
              <w:t>i eget navn for at forsvare samfundets interesser</w:t>
            </w:r>
            <w:r w:rsidRPr="002522B7">
              <w:rPr>
                <w:b/>
                <w:i/>
              </w:rPr>
              <w:t>, når der er afsløret forskelsbehandling, uden at en enkel</w:t>
            </w:r>
            <w:r w:rsidRPr="002522B7">
              <w:rPr>
                <w:b/>
                <w:i/>
              </w:rPr>
              <w:t>tperson, der er blevet udpeget som offer, er til stede.</w:t>
            </w:r>
            <w:r w:rsidRPr="002522B7">
              <w:t xml:space="preserve"> </w:t>
            </w:r>
            <w:r w:rsidRPr="002522B7">
              <w:rPr>
                <w:b/>
                <w:i/>
              </w:rPr>
              <w:t>Det er også vigtigt, at de kan handle i sager med gruppesøgsmål.</w:t>
            </w:r>
          </w:p>
        </w:tc>
      </w:tr>
      <w:tr w:rsidR="003700C6" w:rsidRPr="002522B7" w:rsidTr="00823CA1">
        <w:trPr>
          <w:jc w:val="center"/>
        </w:trPr>
        <w:tc>
          <w:tcPr>
            <w:tcW w:w="4876" w:type="dxa"/>
            <w:hideMark/>
          </w:tcPr>
          <w:p w:rsidR="008429B6" w:rsidRPr="002522B7" w:rsidRDefault="0032033D" w:rsidP="00823CA1">
            <w:pPr>
              <w:pStyle w:val="Normal6"/>
            </w:pPr>
            <w:r w:rsidRPr="002522B7">
              <w:lastRenderedPageBreak/>
              <w:t>__________________</w:t>
            </w:r>
          </w:p>
        </w:tc>
        <w:tc>
          <w:tcPr>
            <w:tcW w:w="4876" w:type="dxa"/>
            <w:hideMark/>
          </w:tcPr>
          <w:p w:rsidR="008429B6" w:rsidRPr="002522B7" w:rsidRDefault="0032033D" w:rsidP="00823CA1">
            <w:pPr>
              <w:pStyle w:val="Normal6"/>
              <w:rPr>
                <w:szCs w:val="24"/>
              </w:rPr>
            </w:pPr>
            <w:r w:rsidRPr="002522B7">
              <w:t>__________________</w:t>
            </w:r>
          </w:p>
        </w:tc>
      </w:tr>
      <w:tr w:rsidR="003700C6" w:rsidRPr="002522B7" w:rsidTr="00823CA1">
        <w:trPr>
          <w:jc w:val="center"/>
        </w:trPr>
        <w:tc>
          <w:tcPr>
            <w:tcW w:w="4876" w:type="dxa"/>
            <w:hideMark/>
          </w:tcPr>
          <w:p w:rsidR="008429B6" w:rsidRPr="002522B7" w:rsidRDefault="0032033D" w:rsidP="00823CA1">
            <w:pPr>
              <w:pStyle w:val="Normal6"/>
            </w:pPr>
            <w:r w:rsidRPr="002522B7">
              <w:rPr>
                <w:vertAlign w:val="superscript"/>
              </w:rPr>
              <w:t>71</w:t>
            </w:r>
            <w:r w:rsidRPr="002522B7">
              <w:t xml:space="preserve"> Dom af 10.7.2008 i sagen Feryn (C-54/07, ECLI:EU:C:2008:397).</w:t>
            </w:r>
          </w:p>
        </w:tc>
        <w:tc>
          <w:tcPr>
            <w:tcW w:w="4876" w:type="dxa"/>
            <w:hideMark/>
          </w:tcPr>
          <w:p w:rsidR="008429B6" w:rsidRPr="002522B7" w:rsidRDefault="0032033D" w:rsidP="00823CA1">
            <w:pPr>
              <w:pStyle w:val="Normal6"/>
              <w:rPr>
                <w:szCs w:val="24"/>
              </w:rPr>
            </w:pPr>
            <w:r w:rsidRPr="002522B7">
              <w:rPr>
                <w:vertAlign w:val="superscript"/>
              </w:rPr>
              <w:t>71</w:t>
            </w:r>
            <w:r w:rsidRPr="002522B7">
              <w:t xml:space="preserve"> Dom af 10.7.2008 i sagen Fe</w:t>
            </w:r>
            <w:r w:rsidRPr="002522B7">
              <w:t>ryn (C-54/07, ECLI:EU:C:2008:397).</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30 a (ny)</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(30a)</w:t>
            </w:r>
            <w:r w:rsidRPr="002522B7">
              <w:rPr>
                <w:b/>
                <w:i/>
              </w:rPr>
              <w:tab/>
              <w:t>Dette direktiv har også til formål at</w:t>
            </w:r>
            <w:r w:rsidRPr="002522B7">
              <w:rPr>
                <w:b/>
                <w:i/>
              </w:rPr>
              <w:t xml:space="preserve"> imødegå tilfælde af forskelsbehandling, der omfatter procedurer, rutiner og organisatorisk kultur i private eller offentlige organisationer, heriblandt retshåndhævende myndigheder, som bidrager til, at bestemte befolkningsgrupper opnår mindre gunstige res</w:t>
            </w:r>
            <w:r w:rsidRPr="002522B7">
              <w:rPr>
                <w:b/>
                <w:i/>
              </w:rPr>
              <w:t>ultater. Ligestillingsorganer bør kunne intensivere foranstaltninger for at forebygge institutionel forskelsbehandling og udvikle systemiske midler, der åbner mulighed for en sammenhængende reaktion på strukturel eller systemisk forskelsbehandling på tværs</w:t>
            </w:r>
            <w:r w:rsidRPr="002522B7">
              <w:rPr>
                <w:b/>
                <w:i/>
              </w:rPr>
              <w:t xml:space="preserve"> af alle sektorer.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(31)</w:t>
            </w:r>
            <w:r w:rsidRPr="002522B7">
              <w:tab/>
              <w:t xml:space="preserve">Ligestillingsorganerne bør kunne indgive mundtlige eller </w:t>
            </w:r>
            <w:r w:rsidRPr="002522B7">
              <w:t>skriftlige erklæringer til domstolene — f.eks. amicus curiae — som en mere direkte metode til at underbygge deres sager med ekspertudtalelser.</w:t>
            </w:r>
          </w:p>
        </w:tc>
        <w:tc>
          <w:tcPr>
            <w:tcW w:w="4876" w:type="dxa"/>
            <w:hideMark/>
          </w:tcPr>
          <w:p w:rsidR="008429B6" w:rsidRPr="002522B7" w:rsidRDefault="0032033D" w:rsidP="00823CA1">
            <w:pPr>
              <w:pStyle w:val="Normal6"/>
              <w:rPr>
                <w:szCs w:val="24"/>
              </w:rPr>
            </w:pPr>
            <w:r w:rsidRPr="002522B7">
              <w:t>(31)</w:t>
            </w:r>
            <w:r w:rsidRPr="002522B7">
              <w:tab/>
              <w:t>Ligestillingsorganerne bør kunne indgive mundtlige eller skriftlige erklæringer til domstolene</w:t>
            </w:r>
            <w:r w:rsidRPr="002522B7">
              <w:rPr>
                <w:b/>
                <w:i/>
              </w:rPr>
              <w:t>, institutione</w:t>
            </w:r>
            <w:r w:rsidRPr="002522B7">
              <w:rPr>
                <w:b/>
                <w:i/>
              </w:rPr>
              <w:t>rne og de kompetente instanser</w:t>
            </w:r>
            <w:r w:rsidRPr="002522B7">
              <w:t xml:space="preserve"> — f.eks.</w:t>
            </w:r>
            <w:r w:rsidRPr="002522B7">
              <w:rPr>
                <w:b/>
                <w:i/>
              </w:rPr>
              <w:t xml:space="preserve"> som</w:t>
            </w:r>
            <w:r w:rsidRPr="002522B7">
              <w:t xml:space="preserve"> amicus curiae</w:t>
            </w:r>
            <w:r w:rsidRPr="002522B7">
              <w:rPr>
                <w:b/>
                <w:i/>
              </w:rPr>
              <w:t>, tredjepart eller ekspert</w:t>
            </w:r>
            <w:r w:rsidRPr="002522B7">
              <w:t xml:space="preserve"> — som en mere direkte metode til at underbygge deres sager med ekspertudtalelser.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(32)</w:t>
            </w:r>
            <w:r w:rsidRPr="002522B7">
              <w:tab/>
              <w:t xml:space="preserve">Ligestillingsorganernes ret til at handle i en retssag skal udøves i overensstemmelse med princippet om retfærdig rettergang og ligestilling af parterne. Medmindre </w:t>
            </w:r>
            <w:r w:rsidRPr="002522B7">
              <w:t>ligestillingsorganet handler som part i sager om fuldbyrdelse eller domstolsprøvelse af en egen afgørelse eller fungerer som amicus curiae, bør ligestillingsorganet ikke have tilladelse til at fremlægge bevismateriale i retten, som er indhentet gennem tidl</w:t>
            </w:r>
            <w:r w:rsidRPr="002522B7">
              <w:t>igere undersøgelser af samme sag, og som den påståede gerningsmand eller en tredjepart var retligt forpligtet til at fremlægge.</w:t>
            </w:r>
          </w:p>
        </w:tc>
        <w:tc>
          <w:tcPr>
            <w:tcW w:w="4876" w:type="dxa"/>
            <w:hideMark/>
          </w:tcPr>
          <w:p w:rsidR="008429B6" w:rsidRPr="002522B7" w:rsidRDefault="0032033D" w:rsidP="00823CA1">
            <w:pPr>
              <w:pStyle w:val="Normal6"/>
              <w:rPr>
                <w:szCs w:val="24"/>
              </w:rPr>
            </w:pPr>
            <w:r w:rsidRPr="002522B7">
              <w:t>(32)</w:t>
            </w:r>
            <w:r w:rsidRPr="002522B7">
              <w:tab/>
              <w:t xml:space="preserve">Ligestillingsorganernes ret til at handle </w:t>
            </w:r>
            <w:r w:rsidRPr="002522B7">
              <w:rPr>
                <w:b/>
                <w:i/>
              </w:rPr>
              <w:t xml:space="preserve">over for institutioner og de kompetente instanser og </w:t>
            </w:r>
            <w:r w:rsidRPr="002522B7">
              <w:t>i en retssag skal udøves i o</w:t>
            </w:r>
            <w:r w:rsidRPr="002522B7">
              <w:t>verensstemmelse med princippet om retfærdig rettergang og ligestilling af parterne. Medmindre ligestillingsorganet handler som part i sager om fuldbyrdelse eller domstolsprøvelse af en egen afgørelse eller fungerer som amicus curiae, bør ligestillingsorgan</w:t>
            </w:r>
            <w:r w:rsidRPr="002522B7">
              <w:t>et ikke have tilladelse til at fremlægge bevismateriale i retten, som er indhentet gennem tidligere undersøgelser af samme sag, og som den påståede gerningsmand eller en tredjepart var retligt forpligtet til at fremlægge.</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34</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(34)</w:t>
            </w:r>
            <w:r w:rsidRPr="002522B7">
              <w:tab/>
              <w:t xml:space="preserve">Bestemmelserne om </w:t>
            </w:r>
            <w:r w:rsidRPr="002522B7">
              <w:lastRenderedPageBreak/>
              <w:t>ligestillingsorganernes ret til at handle i retssager ændrer ikke rettighederne for ofre og samme</w:t>
            </w:r>
            <w:r w:rsidRPr="002522B7">
              <w:t>nslutninger, organisationer eller andre juridiske personer, som håndhæver ofres rettigheder, og som i henhold til direktiv 2006/54/EF og 2010/41/EU har en legitim interesse i at sikre, at nævnte direktiver overholdes.</w:t>
            </w:r>
          </w:p>
        </w:tc>
        <w:tc>
          <w:tcPr>
            <w:tcW w:w="4876" w:type="dxa"/>
            <w:hideMark/>
          </w:tcPr>
          <w:p w:rsidR="008429B6" w:rsidRPr="002522B7" w:rsidRDefault="0032033D" w:rsidP="00823CA1">
            <w:pPr>
              <w:pStyle w:val="Normal6"/>
              <w:rPr>
                <w:szCs w:val="24"/>
              </w:rPr>
            </w:pPr>
            <w:r w:rsidRPr="002522B7">
              <w:lastRenderedPageBreak/>
              <w:t>(34)</w:t>
            </w:r>
            <w:r w:rsidRPr="002522B7">
              <w:tab/>
            </w:r>
            <w:r w:rsidRPr="002522B7">
              <w:t xml:space="preserve">Bestemmelserne om </w:t>
            </w:r>
            <w:r w:rsidRPr="002522B7">
              <w:lastRenderedPageBreak/>
              <w:t xml:space="preserve">ligestillingsorganernes ret til at handle </w:t>
            </w:r>
            <w:r w:rsidRPr="002522B7">
              <w:rPr>
                <w:b/>
                <w:i/>
              </w:rPr>
              <w:t xml:space="preserve">ved institutioner, kompetente instanser og </w:t>
            </w:r>
            <w:r w:rsidRPr="002522B7">
              <w:t>i retssager ændrer ikke rettighederne for ofre og sammenslutninger, organisationer eller andre juridiske personer, som håndhæver ofres rettigheder, og so</w:t>
            </w:r>
            <w:r w:rsidRPr="002522B7">
              <w:t>m i henhold til direktiv 2006/54/EF og 2010/41/EU har en legitim interesse i at sikre, at nævnte direktiver overholdes.</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36</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w:t>
            </w:r>
            <w:r w:rsidRPr="002522B7">
              <w:t>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(36)</w:t>
            </w:r>
            <w:r w:rsidRPr="002522B7">
              <w:tab/>
              <w:t xml:space="preserve">Alle bør på lige fod sikres adgang til ligestillingsorganernes tjenester og publikationer. Derfor bør potentielle hindringer for adgang til ligestillingsorganers tjenester kortlægges og imødegås. Tjenesterne bør være </w:t>
            </w:r>
            <w:r w:rsidRPr="002522B7">
              <w:t>gratis for klagere. Medlemsstaterne bør også sikre, at ligestillingsorganernes tjenester er tilgængelige for alle potentielle ofre på hele deres område, f.eks. gennem oprettelse af lokale kontorer, herunder mobile kontorer, tilrettelæggelse af lokale kampa</w:t>
            </w:r>
            <w:r w:rsidRPr="002522B7">
              <w:t>gner eller samarbejde med lokale delegerede eller civilsamfundsorganisationer.</w:t>
            </w:r>
          </w:p>
        </w:tc>
        <w:tc>
          <w:tcPr>
            <w:tcW w:w="4876" w:type="dxa"/>
            <w:hideMark/>
          </w:tcPr>
          <w:p w:rsidR="008429B6" w:rsidRPr="002522B7" w:rsidRDefault="0032033D" w:rsidP="00823CA1">
            <w:pPr>
              <w:pStyle w:val="Normal6"/>
              <w:rPr>
                <w:szCs w:val="24"/>
              </w:rPr>
            </w:pPr>
            <w:r w:rsidRPr="002522B7">
              <w:t>(36)</w:t>
            </w:r>
            <w:r w:rsidRPr="002522B7">
              <w:tab/>
              <w:t>Alle bør på lige fod sikres adgang til ligestillingsorganernes tjenester og publikationer</w:t>
            </w:r>
            <w:r w:rsidRPr="002522B7">
              <w:rPr>
                <w:b/>
                <w:i/>
              </w:rPr>
              <w:t>, herunder online</w:t>
            </w:r>
            <w:r w:rsidRPr="002522B7">
              <w:t>. Derfor bør potentielle hindringer for adgang til ligestillingsor</w:t>
            </w:r>
            <w:r w:rsidRPr="002522B7">
              <w:t xml:space="preserve">ganers tjenester kortlægges og imødegås. Tjenesterne bør være gratis for klagere. Medlemsstaterne bør også </w:t>
            </w:r>
            <w:r w:rsidRPr="002522B7">
              <w:rPr>
                <w:b/>
                <w:i/>
              </w:rPr>
              <w:t xml:space="preserve">på linje med regionale og lokale myndigheders beføjelser </w:t>
            </w:r>
            <w:r w:rsidRPr="002522B7">
              <w:t>sikre, at ligestillingsorganernes tjenester er tilgængelige for alle potentielle ofre på hel</w:t>
            </w:r>
            <w:r w:rsidRPr="002522B7">
              <w:t>e deres område, f.eks. gennem oprettelse</w:t>
            </w:r>
            <w:r w:rsidRPr="002522B7">
              <w:rPr>
                <w:b/>
                <w:i/>
              </w:rPr>
              <w:t>, hvor det er nødvendigt,</w:t>
            </w:r>
            <w:r w:rsidRPr="002522B7">
              <w:t xml:space="preserve"> af lokale</w:t>
            </w:r>
            <w:r w:rsidRPr="002522B7">
              <w:rPr>
                <w:b/>
                <w:i/>
              </w:rPr>
              <w:t xml:space="preserve"> og regionale</w:t>
            </w:r>
            <w:r w:rsidRPr="002522B7">
              <w:t xml:space="preserve"> kontorer, herunder mobile kontorer, tilrettelæggelse af lokale kampagner eller samarbejde med lokale delegerede eller civilsamfundsorganisationer. </w:t>
            </w:r>
            <w:r w:rsidRPr="002522B7">
              <w:rPr>
                <w:b/>
                <w:i/>
              </w:rPr>
              <w:t>Der skal rettes særl</w:t>
            </w:r>
            <w:r w:rsidRPr="002522B7">
              <w:rPr>
                <w:b/>
                <w:i/>
              </w:rPr>
              <w:t>ig opmærksomhed mod at sikre adgang for dårligt stillede grupper.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37</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(37)</w:t>
            </w:r>
            <w:r w:rsidRPr="002522B7">
              <w:tab/>
              <w:t>Unionen og alle</w:t>
            </w:r>
            <w:r w:rsidRPr="002522B7">
              <w:t xml:space="preserve"> medlemsstaterne er </w:t>
            </w:r>
            <w:r w:rsidRPr="002522B7">
              <w:lastRenderedPageBreak/>
              <w:t>parter i FN's konvention om rettigheder for personer med handicap</w:t>
            </w:r>
            <w:r w:rsidRPr="002522B7">
              <w:rPr>
                <w:vertAlign w:val="superscript"/>
              </w:rPr>
              <w:t>73</w:t>
            </w:r>
            <w:r w:rsidRPr="002522B7">
              <w:t xml:space="preserve"> (FN's handicapkonvention), som omfatter en forpligtelse til at forbyde forskelsbehandling på grund af handicap og til at garantere personer med handicap lige og effekti</w:t>
            </w:r>
            <w:r w:rsidRPr="002522B7">
              <w:t>v retsbeskyttelse mod forskelsbehandling af enhver grund. Dette direktiv bør fortolkes i overensstemmelse med FN's handicapkonvention. For at sikre lige og effektiv retsbeskyttelse og adgang for personer med handicap til alle ligestillingsorganers tjeneste</w:t>
            </w:r>
            <w:r w:rsidRPr="002522B7">
              <w:t>r og aktiviteter er det nødvendigt at sikre tilgængelighed i overensstemmelse med kravene i direktiv (EU) 2019/882 og tilpasninger i rimeligt omfang. Ligestillingsorganerne bør sikre fysisk og digital</w:t>
            </w:r>
            <w:r w:rsidRPr="002522B7">
              <w:rPr>
                <w:vertAlign w:val="superscript"/>
              </w:rPr>
              <w:t>74</w:t>
            </w:r>
            <w:r w:rsidRPr="002522B7">
              <w:t xml:space="preserve"> tilgængelighed ved at forebygge og fjerne hindringer,</w:t>
            </w:r>
            <w:r w:rsidRPr="002522B7">
              <w:t xml:space="preserve"> som personer med handicap kan stå over for i forbindelse med adgang til deres tjenester og oplysninger, og sørge for tilpasninger i rimeligt omfang, idet der foretages nødvendige og passende ændringer og tilpasninger, hvis det er nødvendigt i et konkret t</w:t>
            </w:r>
            <w:r w:rsidRPr="002522B7">
              <w:t>ilfælde.</w:t>
            </w:r>
          </w:p>
        </w:tc>
        <w:tc>
          <w:tcPr>
            <w:tcW w:w="4876" w:type="dxa"/>
            <w:hideMark/>
          </w:tcPr>
          <w:p w:rsidR="008429B6" w:rsidRPr="002522B7" w:rsidRDefault="0032033D" w:rsidP="00823CA1">
            <w:pPr>
              <w:pStyle w:val="Normal6"/>
              <w:rPr>
                <w:szCs w:val="24"/>
              </w:rPr>
            </w:pPr>
            <w:r w:rsidRPr="002522B7">
              <w:lastRenderedPageBreak/>
              <w:t>(37)</w:t>
            </w:r>
            <w:r w:rsidRPr="002522B7">
              <w:tab/>
              <w:t xml:space="preserve">Unionen og alle medlemsstaterne er </w:t>
            </w:r>
            <w:r w:rsidRPr="002522B7">
              <w:lastRenderedPageBreak/>
              <w:t>parter i FN's konvention om rettigheder for personer med handicap</w:t>
            </w:r>
            <w:r w:rsidRPr="002522B7">
              <w:rPr>
                <w:vertAlign w:val="superscript"/>
              </w:rPr>
              <w:t>73</w:t>
            </w:r>
            <w:r w:rsidRPr="002522B7">
              <w:t xml:space="preserve"> (FN's handicapkonvention), som omfatter en forpligtelse til at forbyde forskelsbehandling på grund af handicap og til at garantere personer</w:t>
            </w:r>
            <w:r w:rsidRPr="002522B7">
              <w:t xml:space="preserve"> med handicap lige og effektiv retsbeskyttelse mod forskelsbehandling af enhver grund. Dette direktiv bør fortolkes i overensstemmelse med FN's handicapkonvention. For at sikre lige og effektiv retsbeskyttelse og adgang for personer med handicap til alle l</w:t>
            </w:r>
            <w:r w:rsidRPr="002522B7">
              <w:t>igestillingsorganers tjenester og aktiviteter er det nødvendigt at sikre tilgængelighed i overensstemmelse med kravene i direktiv (EU) 2019/882 og tilpasninger i rimeligt omfang. Ligestillingsorganerne bør sikre fysisk og digital</w:t>
            </w:r>
            <w:r w:rsidRPr="002522B7">
              <w:rPr>
                <w:vertAlign w:val="superscript"/>
              </w:rPr>
              <w:t>74</w:t>
            </w:r>
            <w:r w:rsidRPr="002522B7">
              <w:t xml:space="preserve"> tilgængelighed ved at fo</w:t>
            </w:r>
            <w:r w:rsidRPr="002522B7">
              <w:t>rebygge og fjerne hindringer, som personer med handicap kan stå over for i forbindelse med adgang til deres tjenester og oplysninger, og sørge for tilpasninger i rimeligt omfang, idet der foretages nødvendige og passende ændringer og tilpasninger, hvis det</w:t>
            </w:r>
            <w:r w:rsidRPr="002522B7">
              <w:t xml:space="preserve"> er nødvendigt i et konkret tilfælde.</w:t>
            </w:r>
            <w:r w:rsidRPr="002522B7">
              <w:rPr>
                <w:b/>
                <w:i/>
              </w:rPr>
              <w:t xml:space="preserve"> I henhold til deres mandat bør ligestillingsorganerne dække alle former for forskelsbehandling, der rammer personer med handicap i henhold til UNCRPD, herunder direkte og indirekte forskelsbehandling, nægtelse af tilpa</w:t>
            </w:r>
            <w:r w:rsidRPr="002522B7">
              <w:rPr>
                <w:b/>
                <w:i/>
              </w:rPr>
              <w:t>sninger i rimeligt omfang, forskelsbehandling på grund af tilknytning, chikane, instruks om forskelsbehandling samt diskrimination og hadefuld tale.</w:t>
            </w:r>
          </w:p>
        </w:tc>
      </w:tr>
      <w:tr w:rsidR="003700C6" w:rsidRPr="002522B7" w:rsidTr="00823CA1">
        <w:trPr>
          <w:jc w:val="center"/>
        </w:trPr>
        <w:tc>
          <w:tcPr>
            <w:tcW w:w="4876" w:type="dxa"/>
            <w:hideMark/>
          </w:tcPr>
          <w:p w:rsidR="008429B6" w:rsidRPr="002522B7" w:rsidRDefault="0032033D" w:rsidP="00823CA1">
            <w:pPr>
              <w:pStyle w:val="Normal6"/>
            </w:pPr>
            <w:r w:rsidRPr="002522B7">
              <w:lastRenderedPageBreak/>
              <w:t>__________________</w:t>
            </w:r>
          </w:p>
        </w:tc>
        <w:tc>
          <w:tcPr>
            <w:tcW w:w="4876" w:type="dxa"/>
            <w:hideMark/>
          </w:tcPr>
          <w:p w:rsidR="008429B6" w:rsidRPr="002522B7" w:rsidRDefault="0032033D" w:rsidP="00823CA1">
            <w:pPr>
              <w:pStyle w:val="Normal6"/>
              <w:rPr>
                <w:szCs w:val="24"/>
              </w:rPr>
            </w:pPr>
            <w:r w:rsidRPr="002522B7">
              <w:t>__________________</w:t>
            </w:r>
          </w:p>
        </w:tc>
      </w:tr>
      <w:tr w:rsidR="003700C6" w:rsidRPr="002522B7" w:rsidTr="00823CA1">
        <w:trPr>
          <w:jc w:val="center"/>
        </w:trPr>
        <w:tc>
          <w:tcPr>
            <w:tcW w:w="4876" w:type="dxa"/>
            <w:hideMark/>
          </w:tcPr>
          <w:p w:rsidR="008429B6" w:rsidRPr="002522B7" w:rsidRDefault="0032033D" w:rsidP="00823CA1">
            <w:pPr>
              <w:pStyle w:val="Normal6"/>
            </w:pPr>
            <w:r w:rsidRPr="002522B7">
              <w:rPr>
                <w:vertAlign w:val="superscript"/>
              </w:rPr>
              <w:t>73</w:t>
            </w:r>
            <w:r w:rsidRPr="002522B7">
              <w:t xml:space="preserve"> EUT L 23 af 27.1.2010, s. 37.</w:t>
            </w:r>
          </w:p>
        </w:tc>
        <w:tc>
          <w:tcPr>
            <w:tcW w:w="4876" w:type="dxa"/>
            <w:hideMark/>
          </w:tcPr>
          <w:p w:rsidR="008429B6" w:rsidRPr="002522B7" w:rsidRDefault="0032033D" w:rsidP="00823CA1">
            <w:pPr>
              <w:pStyle w:val="Normal6"/>
              <w:rPr>
                <w:szCs w:val="24"/>
              </w:rPr>
            </w:pPr>
            <w:r w:rsidRPr="002522B7">
              <w:rPr>
                <w:vertAlign w:val="superscript"/>
              </w:rPr>
              <w:t>73</w:t>
            </w:r>
            <w:r w:rsidRPr="002522B7">
              <w:t xml:space="preserve"> EUT L 23 af 27.1.2010, s. 37.</w:t>
            </w:r>
          </w:p>
        </w:tc>
      </w:tr>
      <w:tr w:rsidR="003700C6" w:rsidRPr="002522B7" w:rsidTr="00823CA1">
        <w:trPr>
          <w:jc w:val="center"/>
        </w:trPr>
        <w:tc>
          <w:tcPr>
            <w:tcW w:w="4876" w:type="dxa"/>
            <w:hideMark/>
          </w:tcPr>
          <w:p w:rsidR="008429B6" w:rsidRPr="002522B7" w:rsidRDefault="0032033D" w:rsidP="00823CA1">
            <w:pPr>
              <w:pStyle w:val="Normal6"/>
            </w:pPr>
            <w:r w:rsidRPr="002522B7">
              <w:t xml:space="preserve"> </w:t>
            </w:r>
            <w:r w:rsidRPr="002522B7">
              <w:rPr>
                <w:vertAlign w:val="superscript"/>
              </w:rPr>
              <w:t>74</w:t>
            </w:r>
            <w:r w:rsidRPr="002522B7">
              <w:t xml:space="preserve"> Se Europa-Parlamentets og Rådets direktiv (EU) 2016/2102 af 26. oktober 2016 om tilgængeligheden af offentlige organers websteder og mobilapplikationer (EUT L 327 af 2.12.2016, s. 1) og den tilhørende gennemførelsesafgørelse.</w:t>
            </w:r>
          </w:p>
        </w:tc>
        <w:tc>
          <w:tcPr>
            <w:tcW w:w="4876" w:type="dxa"/>
            <w:hideMark/>
          </w:tcPr>
          <w:p w:rsidR="008429B6" w:rsidRPr="002522B7" w:rsidRDefault="0032033D" w:rsidP="00823CA1">
            <w:pPr>
              <w:pStyle w:val="Normal6"/>
              <w:rPr>
                <w:szCs w:val="24"/>
              </w:rPr>
            </w:pPr>
            <w:r w:rsidRPr="002522B7">
              <w:t xml:space="preserve"> </w:t>
            </w:r>
            <w:r w:rsidRPr="002522B7">
              <w:rPr>
                <w:vertAlign w:val="superscript"/>
              </w:rPr>
              <w:t>74</w:t>
            </w:r>
            <w:r w:rsidRPr="002522B7">
              <w:t xml:space="preserve"> Se Europa-Parlamentets</w:t>
            </w:r>
            <w:r w:rsidRPr="002522B7">
              <w:t xml:space="preserve"> og Rådets direktiv (EU) 2016/2102 af 26. oktober 2016 om tilgængeligheden af offentlige organers websteder og mobilapplikationer (EUT L 327 af 2.12.2016, s. 1) og den tilhørende gennemførelsesafgørelse.</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29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38</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(38)</w:t>
            </w:r>
            <w:r w:rsidRPr="002522B7">
              <w:tab/>
              <w:t xml:space="preserve">Muligheden for, at ligestillingsorganer regelmæssigt og på et langsigtet grundlag kan koordinere og samarbejde på forskellige </w:t>
            </w:r>
            <w:r w:rsidRPr="002522B7">
              <w:t xml:space="preserve">niveauer, er afgørende for gensidig læring, sammenhæng og konsekvens, og det kan udvide rækkevidden og virkningen af deres arbejde. Ligestillingsorganer bør </w:t>
            </w:r>
            <w:r w:rsidRPr="002522B7">
              <w:rPr>
                <w:b/>
                <w:i/>
              </w:rPr>
              <w:t>navnlig</w:t>
            </w:r>
            <w:r w:rsidRPr="002522B7">
              <w:t xml:space="preserve"> samarbejde med andre ligestillingsorganer i samme medlemsstat og i andre medlemsstater — he</w:t>
            </w:r>
            <w:r w:rsidRPr="002522B7">
              <w:t>runder inden for rammerne af det europæiske netværk for nationale ligestillingsorganer (Equinet) — og med offentlige og private enheder på lokalt, regionalt, nationalt og internationalt plan samt EU-plan, f.eks. civilsamfundsorganisationer, databeskyttelse</w:t>
            </w:r>
            <w:r w:rsidRPr="002522B7">
              <w:t>smyndigheder, fagforeninger, arbejds- og uddannelsestilsyn, retshåndhævende organer, agenturer med ansvar på nationalt plan for forsvar af menneskerettighederne, myndigheder, der forvalter EU-midler, nationale romakontaktpunkter, forbrugerorganisationer og</w:t>
            </w:r>
            <w:r w:rsidRPr="002522B7">
              <w:t xml:space="preserve"> nationale uafhængige mekanismer til fremme, beskyttelse og overvågning af FN's handicapkonvention. Et sådant samarbejde bør ikke omfatte udveksling af personoplysninger (dvs. ligestillingsdata i en form, hvor enkeltpersoner kan identificeres).</w:t>
            </w:r>
          </w:p>
        </w:tc>
        <w:tc>
          <w:tcPr>
            <w:tcW w:w="4876" w:type="dxa"/>
            <w:hideMark/>
          </w:tcPr>
          <w:p w:rsidR="008429B6" w:rsidRPr="002522B7" w:rsidRDefault="0032033D" w:rsidP="00823CA1">
            <w:pPr>
              <w:pStyle w:val="Normal6"/>
              <w:rPr>
                <w:szCs w:val="24"/>
              </w:rPr>
            </w:pPr>
            <w:r w:rsidRPr="002522B7">
              <w:t>(38)</w:t>
            </w:r>
            <w:r w:rsidRPr="002522B7">
              <w:tab/>
              <w:t>Muligh</w:t>
            </w:r>
            <w:r w:rsidRPr="002522B7">
              <w:t xml:space="preserve">eden for, at ligestillingsorganer regelmæssigt og på et langsigtet grundlag kan koordinere og samarbejde på forskellige niveauer, er afgørende for gensidig læring, sammenhæng og konsekvens, og det kan udvide rækkevidden og virkningen af deres arbejde. </w:t>
            </w:r>
            <w:r w:rsidRPr="002522B7">
              <w:rPr>
                <w:b/>
                <w:i/>
              </w:rPr>
              <w:t>Hvis</w:t>
            </w:r>
            <w:r w:rsidRPr="002522B7">
              <w:rPr>
                <w:b/>
                <w:i/>
              </w:rPr>
              <w:t xml:space="preserve"> der findes forskellige ligestillingsorganer, bør deres kompetencer og beføjelser styrkes, og koordinering med henblik på at håndtere overlapninger, muliggøre en fælles indsats og optimere anvendelsen af ressourcer bør sikres.</w:t>
            </w:r>
            <w:r w:rsidRPr="002522B7">
              <w:t xml:space="preserve"> Ligestillingsorganer bør sama</w:t>
            </w:r>
            <w:r w:rsidRPr="002522B7">
              <w:t>rbejde med andre ligestillingsorganer i samme medlemsstat og i andre medlemsstater — herunder inden for rammerne af det europæiske netværk for nationale ligestillingsorganer (Equinet) — og med offentlige og private enheder på lokalt, regionalt, nationalt o</w:t>
            </w:r>
            <w:r w:rsidRPr="002522B7">
              <w:t>g internationalt plan samt EU-plan, f.eks.</w:t>
            </w:r>
            <w:r w:rsidRPr="002522B7">
              <w:rPr>
                <w:b/>
                <w:i/>
              </w:rPr>
              <w:t xml:space="preserve"> arbejdsmarkedets parter,</w:t>
            </w:r>
            <w:r w:rsidRPr="002522B7">
              <w:t xml:space="preserve"> civilsamfundsorganisationer, databeskyttelsesmyndigheder, fagforeninger, arbejds- og uddannelsestilsyn, retshåndhævende organer, agenturer med ansvar på nationalt plan for forsvar af menne</w:t>
            </w:r>
            <w:r w:rsidRPr="002522B7">
              <w:t>skerettighederne, myndigheder, der forvalter EU-midler, nationale romakontaktpunkter, forbrugerorganisationer og nationale uafhængige mekanismer til fremme, beskyttelse og overvågning af FN's handicapkonvention. Et sådant samarbejde bør ikke omfatte udveks</w:t>
            </w:r>
            <w:r w:rsidRPr="002522B7">
              <w:t xml:space="preserve">ling af personoplysninger (dvs. ligestillingsdata i en form, hvor enkeltpersoner kan identificeres). </w:t>
            </w:r>
            <w:r w:rsidRPr="002522B7">
              <w:rPr>
                <w:b/>
                <w:i/>
              </w:rPr>
              <w:t>Desuden bør ligestillingsorganers involvering i spørgsmål vedrørende arbejdspladsen respektere arbejdsmarkedets parters autonomi, kompetencer og prærogativ</w:t>
            </w:r>
            <w:r w:rsidRPr="002522B7">
              <w:rPr>
                <w:b/>
                <w:i/>
              </w:rPr>
              <w:t xml:space="preserve">er </w:t>
            </w:r>
            <w:r w:rsidRPr="002522B7">
              <w:rPr>
                <w:b/>
                <w:i/>
              </w:rPr>
              <w:lastRenderedPageBreak/>
              <w:t>og de anerkendte kompetencer hos alle relevante statslige agenturer, herunder arbejdstilsyn samt nationale domstole og retter, i overensstemmelse med national ret og praksis. Deres tilstedeværelse bør dog ikke forhindre ligestillingsorganerne i at udfør</w:t>
            </w:r>
            <w:r w:rsidRPr="002522B7">
              <w:rPr>
                <w:b/>
                <w:i/>
              </w:rPr>
              <w:t>e deres opgaver i overensstemmelse med deres beføjelser.</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39</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(39)</w:t>
            </w:r>
            <w:r w:rsidRPr="002522B7">
              <w:tab/>
              <w:t>Ligestillingsorganer kan</w:t>
            </w:r>
            <w:r w:rsidRPr="002522B7">
              <w:t xml:space="preserve"> ikke fuldt ud udfylde deres rolle som eksperter i ligebehandling, hvis de ikke høres tilstrækkeligt tidligt i den politiske beslutningsproces om spørgsmål vedrørende rettigheder og forpligtelser i henhold til direktiv 2006/54/EF og 2010/41/EU. Medlemsstat</w:t>
            </w:r>
            <w:r w:rsidRPr="002522B7">
              <w:t xml:space="preserve">erne bør derfor indføre gennemsigtige procedurer for at sikre rettidig høring. De bør også gøre det muligt for ligestillingsorganer at fremsætte henstillinger og </w:t>
            </w:r>
            <w:r w:rsidRPr="002522B7">
              <w:rPr>
                <w:b/>
                <w:i/>
              </w:rPr>
              <w:t>offentliggøre dem</w:t>
            </w:r>
            <w:r w:rsidRPr="002522B7">
              <w:t>.</w:t>
            </w:r>
          </w:p>
        </w:tc>
        <w:tc>
          <w:tcPr>
            <w:tcW w:w="4876" w:type="dxa"/>
            <w:hideMark/>
          </w:tcPr>
          <w:p w:rsidR="008429B6" w:rsidRPr="002522B7" w:rsidRDefault="0032033D" w:rsidP="00823CA1">
            <w:pPr>
              <w:pStyle w:val="Normal6"/>
              <w:rPr>
                <w:szCs w:val="24"/>
              </w:rPr>
            </w:pPr>
            <w:r w:rsidRPr="002522B7">
              <w:t>(39)</w:t>
            </w:r>
            <w:r w:rsidRPr="002522B7">
              <w:tab/>
              <w:t>Ligestillingsorganer kan ikke fuldt ud udfylde deres rolle som ekspert</w:t>
            </w:r>
            <w:r w:rsidRPr="002522B7">
              <w:t>er i ligebehandling, hvis de ikke høres tilstrækkeligt tidligt i den politiske beslutningsproces om spørgsmål vedrørende rettigheder og forpligtelser i henhold til direktiv 2006/54/EF og 2010/41/EU. Medlemsstaterne bør derfor indføre gennemsigtige procedur</w:t>
            </w:r>
            <w:r w:rsidRPr="002522B7">
              <w:t xml:space="preserve">er for at sikre rettidig høring. De bør også gøre det muligt for ligestillingsorganer at fremsætte </w:t>
            </w:r>
            <w:r w:rsidRPr="002522B7">
              <w:rPr>
                <w:b/>
                <w:i/>
              </w:rPr>
              <w:t xml:space="preserve">og offentliggøre </w:t>
            </w:r>
            <w:r w:rsidRPr="002522B7">
              <w:t>henstillinger</w:t>
            </w:r>
            <w:r w:rsidRPr="002522B7">
              <w:rPr>
                <w:b/>
                <w:i/>
              </w:rPr>
              <w:t>, ligesom organerne bør kunne kræve, at myndigheder</w:t>
            </w:r>
            <w:r w:rsidRPr="002522B7">
              <w:t xml:space="preserve"> og </w:t>
            </w:r>
            <w:r w:rsidRPr="002522B7">
              <w:rPr>
                <w:b/>
                <w:i/>
              </w:rPr>
              <w:t>ansvarshavende personer reagerer inden for et rimeligt tidsrum</w:t>
            </w:r>
            <w:r w:rsidRPr="002522B7">
              <w:t>.</w:t>
            </w:r>
          </w:p>
        </w:tc>
      </w:tr>
    </w:tbl>
    <w:p w:rsidR="008429B6" w:rsidRPr="002522B7" w:rsidRDefault="0032033D" w:rsidP="008429B6">
      <w:r w:rsidRPr="002522B7">
        <w:rPr>
          <w:rStyle w:val="HideTWBExt"/>
          <w:noProof w:val="0"/>
        </w:rPr>
        <w:t>&lt;/Amend</w:t>
      </w:r>
      <w:r w:rsidRPr="002522B7">
        <w:rPr>
          <w:rStyle w:val="HideTWBExt"/>
          <w:noProof w:val="0"/>
        </w:rPr>
        <w:t>&gt;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40</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(40)</w:t>
            </w:r>
            <w:r w:rsidRPr="002522B7">
              <w:tab/>
              <w:t xml:space="preserve">Ligestillingsdata er afgørende for at øge bevidstheden, bevidstgøre folk, kvantificere </w:t>
            </w:r>
            <w:r w:rsidRPr="002522B7">
              <w:t xml:space="preserve">forskelsbehandling, vise tendenser over tid, bevise eksistensen af forskelsbehandling, evaluere gennemførelsen af ligestillingslovgivningen, påvise behovet </w:t>
            </w:r>
            <w:r w:rsidRPr="002522B7">
              <w:lastRenderedPageBreak/>
              <w:t>for positiv særbehandling og bidrage til evidensbaseret politikudformning</w:t>
            </w:r>
            <w:r w:rsidRPr="002522B7">
              <w:rPr>
                <w:vertAlign w:val="superscript"/>
              </w:rPr>
              <w:t>75</w:t>
            </w:r>
            <w:r w:rsidRPr="002522B7">
              <w:t>. Ligestillingsorganer sp</w:t>
            </w:r>
            <w:r w:rsidRPr="002522B7">
              <w:t>iller en rolle med hensyn til at bidrage til udviklingen af relevante ligestillingsdata til disse formål, f.eks. ved at tilrettelægge regelmæssige rundbordsdiskussioner, som samler alle relevante enheder. De bør også indsamle og analysere data om deres egn</w:t>
            </w:r>
            <w:r w:rsidRPr="002522B7">
              <w:t>e aktiviteter eller gennemføre undersøgelser, og de bør kunne få adgang til og gøre brug af statistiske oplysninger, der er indsamlet af andre offentlige eller private enheder — såsom de nationale statistiske kontorer, nationale domstole, arbejds- og uddan</w:t>
            </w:r>
            <w:r w:rsidRPr="002522B7">
              <w:t>nelsestilsyn, fagforeninger eller civilsamfundsorganisationer — vedrørende de spørgsmål, de har fået overdraget i henhold til direktiv 2006/54/EF og 2010/41/EU. Disse statistiske oplysninger bør ikke indeholde personoplysninger.</w:t>
            </w:r>
          </w:p>
        </w:tc>
        <w:tc>
          <w:tcPr>
            <w:tcW w:w="4876" w:type="dxa"/>
            <w:hideMark/>
          </w:tcPr>
          <w:p w:rsidR="008429B6" w:rsidRPr="002522B7" w:rsidRDefault="0032033D" w:rsidP="00823CA1">
            <w:pPr>
              <w:pStyle w:val="Normal6"/>
              <w:rPr>
                <w:szCs w:val="24"/>
              </w:rPr>
            </w:pPr>
            <w:r w:rsidRPr="002522B7">
              <w:lastRenderedPageBreak/>
              <w:t>(40)</w:t>
            </w:r>
            <w:r w:rsidRPr="002522B7">
              <w:tab/>
              <w:t>Ligestillingsdata er a</w:t>
            </w:r>
            <w:r w:rsidRPr="002522B7">
              <w:t xml:space="preserve">fgørende for at øge bevidstheden, bevidstgøre folk, kvantificere forskelsbehandling, vise tendenser over tid, bevise eksistensen af forskelsbehandling, evaluere gennemførelsen af ligestillingslovgivningen, påvise behovet </w:t>
            </w:r>
            <w:r w:rsidRPr="002522B7">
              <w:lastRenderedPageBreak/>
              <w:t>for positiv særbehandling og bidrag</w:t>
            </w:r>
            <w:r w:rsidRPr="002522B7">
              <w:t>e til evidensbaseret politikudformning</w:t>
            </w:r>
            <w:r w:rsidRPr="002522B7">
              <w:rPr>
                <w:vertAlign w:val="superscript"/>
              </w:rPr>
              <w:t>75</w:t>
            </w:r>
            <w:r w:rsidRPr="002522B7">
              <w:t>. Ligestillingsorganer spiller en rolle med hensyn til at bidrage til udviklingen af relevante ligestillingsdata til disse formål, f.eks. ved at tilrettelægge regelmæssige rundbordsdiskussioner, som samler alle relev</w:t>
            </w:r>
            <w:r w:rsidRPr="002522B7">
              <w:t>ante enheder. De bør også indsamle og analysere data om deres egne aktiviteter eller gennemføre undersøgelser, og de bør kunne få adgang til og gøre brug af statistiske oplysninger, der er indsamlet af andre offentlige eller private enheder — såsom de nati</w:t>
            </w:r>
            <w:r w:rsidRPr="002522B7">
              <w:t xml:space="preserve">onale statistiske kontorer, nationale domstole, arbejds- og uddannelsestilsyn, fagforeninger eller civilsamfundsorganisationer — vedrørende de spørgsmål, de har fået overdraget i henhold til direktiv 2006/54/EF og 2010/41/EU. Disse statistiske oplysninger </w:t>
            </w:r>
            <w:r w:rsidRPr="002522B7">
              <w:t>bør ikke indeholde personoplysninger</w:t>
            </w:r>
            <w:r w:rsidRPr="002522B7">
              <w:rPr>
                <w:b/>
                <w:i/>
              </w:rPr>
              <w:t>, og de bør stilles til rådighed i et tilgængeligt format, så ligestillingsorganerne let kan bruge dem.</w:t>
            </w:r>
            <w:r w:rsidRPr="002522B7">
              <w:t xml:space="preserve"> </w:t>
            </w:r>
            <w:r w:rsidRPr="002522B7">
              <w:rPr>
                <w:b/>
                <w:i/>
              </w:rPr>
              <w:t>Ligestillingsorganers arbejde med ligestillingsdata bør tage hensyn til eksisterende vejledninger og ressourcer vedr</w:t>
            </w:r>
            <w:r w:rsidRPr="002522B7">
              <w:rPr>
                <w:b/>
                <w:i/>
              </w:rPr>
              <w:t>ørende ligestillingsdata, herunder dem der er udarbejdet inden for rammerne af undergruppen om ligestillingsdata under EU's gruppe på højt niveau om ikkeforskelsbehandling, ligebehandling og mangfoldighed.</w:t>
            </w:r>
          </w:p>
        </w:tc>
      </w:tr>
      <w:tr w:rsidR="003700C6" w:rsidRPr="002522B7" w:rsidTr="00823CA1">
        <w:trPr>
          <w:jc w:val="center"/>
        </w:trPr>
        <w:tc>
          <w:tcPr>
            <w:tcW w:w="4876" w:type="dxa"/>
            <w:hideMark/>
          </w:tcPr>
          <w:p w:rsidR="008429B6" w:rsidRPr="002522B7" w:rsidRDefault="0032033D" w:rsidP="00823CA1">
            <w:pPr>
              <w:pStyle w:val="Normal6"/>
            </w:pPr>
            <w:r w:rsidRPr="002522B7">
              <w:lastRenderedPageBreak/>
              <w:t>__________________</w:t>
            </w:r>
          </w:p>
        </w:tc>
        <w:tc>
          <w:tcPr>
            <w:tcW w:w="4876" w:type="dxa"/>
            <w:hideMark/>
          </w:tcPr>
          <w:p w:rsidR="008429B6" w:rsidRPr="002522B7" w:rsidRDefault="0032033D" w:rsidP="00823CA1">
            <w:pPr>
              <w:pStyle w:val="Normal6"/>
              <w:rPr>
                <w:szCs w:val="24"/>
              </w:rPr>
            </w:pPr>
            <w:r w:rsidRPr="002522B7">
              <w:t>__________________</w:t>
            </w:r>
          </w:p>
        </w:tc>
      </w:tr>
      <w:tr w:rsidR="003700C6" w:rsidRPr="002522B7" w:rsidTr="00823CA1">
        <w:trPr>
          <w:jc w:val="center"/>
        </w:trPr>
        <w:tc>
          <w:tcPr>
            <w:tcW w:w="4876" w:type="dxa"/>
            <w:hideMark/>
          </w:tcPr>
          <w:p w:rsidR="008429B6" w:rsidRPr="002522B7" w:rsidRDefault="0032033D" w:rsidP="00823CA1">
            <w:pPr>
              <w:pStyle w:val="Normal6"/>
            </w:pPr>
            <w:r w:rsidRPr="002522B7">
              <w:rPr>
                <w:vertAlign w:val="superscript"/>
              </w:rPr>
              <w:t>75</w:t>
            </w:r>
            <w:r w:rsidRPr="002522B7">
              <w:t xml:space="preserve"> Beretning fra Kommissionen til Europa-Parlamentet og Rådet om anvendelsen af Rådets direktiv 2000/43/EF om gennemførelse af princippet om ligebehandling af alle uanset race eller etnisk oprindelse ("direktivet om racelighed") og Rådets direktiv 2000/78/EF</w:t>
            </w:r>
            <w:r w:rsidRPr="002522B7">
              <w:t xml:space="preserve"> om generelle rammebestemmelser om ligebehandling med hensyn til beskæftigelse og erhverv ("direktivet om ligebehandling på beskæftigelsesområdet") (SWD(2021) 63 final).</w:t>
            </w:r>
          </w:p>
        </w:tc>
        <w:tc>
          <w:tcPr>
            <w:tcW w:w="4876" w:type="dxa"/>
            <w:hideMark/>
          </w:tcPr>
          <w:p w:rsidR="008429B6" w:rsidRPr="002522B7" w:rsidRDefault="0032033D" w:rsidP="00823CA1">
            <w:pPr>
              <w:pStyle w:val="Normal6"/>
              <w:rPr>
                <w:szCs w:val="24"/>
              </w:rPr>
            </w:pPr>
            <w:r w:rsidRPr="002522B7">
              <w:rPr>
                <w:vertAlign w:val="superscript"/>
              </w:rPr>
              <w:t>75</w:t>
            </w:r>
            <w:r w:rsidRPr="002522B7">
              <w:t xml:space="preserve"> Beretning fra Kommissionen til Europa-Parlamentet og Rådet om anvendelsen af Rådets</w:t>
            </w:r>
            <w:r w:rsidRPr="002522B7">
              <w:t xml:space="preserve"> direktiv 2000/43/EF om gennemførelse af princippet om ligebehandling af alle uanset race eller etnisk oprindelse ("direktivet om racelighed") og Rådets direktiv 2000/78/EF om generelle rammebestemmelser om ligebehandling med hensyn til beskæftigelse og er</w:t>
            </w:r>
            <w:r w:rsidRPr="002522B7">
              <w:t>hverv ("direktivet om ligebehandling på beskæftigelsesområdet") (SWD(2021) 63 final).</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41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(41)</w:t>
            </w:r>
            <w:r w:rsidRPr="002522B7">
              <w:tab/>
              <w:t xml:space="preserve">Ud over at offentliggøre en årlig rapport om deres aktiviteter bør ligestillingsorganerne </w:t>
            </w:r>
            <w:r w:rsidRPr="002522B7">
              <w:rPr>
                <w:b/>
                <w:i/>
              </w:rPr>
              <w:t>regelmæssigt</w:t>
            </w:r>
            <w:r w:rsidRPr="002522B7">
              <w:t xml:space="preserve"> offentliggøre en rapport med en samlet vurdering af situationen med hensyn til forskelsbehandling, der falder ind under deres mandat i medlemsstaten</w:t>
            </w:r>
            <w:r w:rsidRPr="002522B7">
              <w:t>. Denne rapport bør indeholde oplysninger til offentlige og private enheder og tjene som rettesnor for fastlæggelsen af ligestillingsorganernes prioriteter for fremtiden. Rapporterne bør ikke indeholde personoplysninger.</w:t>
            </w:r>
          </w:p>
        </w:tc>
        <w:tc>
          <w:tcPr>
            <w:tcW w:w="4876" w:type="dxa"/>
            <w:hideMark/>
          </w:tcPr>
          <w:p w:rsidR="008429B6" w:rsidRPr="002522B7" w:rsidRDefault="0032033D" w:rsidP="00823CA1">
            <w:pPr>
              <w:pStyle w:val="Normal6"/>
              <w:rPr>
                <w:szCs w:val="24"/>
              </w:rPr>
            </w:pPr>
            <w:r w:rsidRPr="002522B7">
              <w:t>(41)</w:t>
            </w:r>
            <w:r w:rsidRPr="002522B7">
              <w:tab/>
              <w:t>Ud over at offentliggøre en år</w:t>
            </w:r>
            <w:r w:rsidRPr="002522B7">
              <w:t xml:space="preserve">lig rapport om deres aktiviteter bør ligestillingsorganerne </w:t>
            </w:r>
            <w:r w:rsidRPr="002522B7">
              <w:rPr>
                <w:b/>
                <w:i/>
              </w:rPr>
              <w:t>hvert andet år</w:t>
            </w:r>
            <w:r w:rsidRPr="002522B7">
              <w:t xml:space="preserve"> offentliggøre en rapport med en samlet vurdering af situationen med hensyn til forskelsbehandling, der falder ind under deres mandat i medlemsstaten. Denne rapport bør indeholde opl</w:t>
            </w:r>
            <w:r w:rsidRPr="002522B7">
              <w:t>ysninger</w:t>
            </w:r>
            <w:r w:rsidRPr="002522B7">
              <w:rPr>
                <w:b/>
                <w:i/>
              </w:rPr>
              <w:t>, henstillinger og opfølgninger herpå</w:t>
            </w:r>
            <w:r w:rsidRPr="002522B7">
              <w:t xml:space="preserve"> til offentlige og private enheder og tjene som rettesnor for fastlæggelsen af ligestillingsorganernes prioriteter for fremtiden. Rapporterne bør ikke indeholde personoplysninger. </w:t>
            </w:r>
            <w:r w:rsidRPr="002522B7">
              <w:rPr>
                <w:b/>
                <w:i/>
              </w:rPr>
              <w:t>Ligestillingsorganer bør have t</w:t>
            </w:r>
            <w:r w:rsidRPr="002522B7">
              <w:rPr>
                <w:b/>
                <w:i/>
              </w:rPr>
              <w:t>ilstrækkelige ressourcer til at opfylde de rapporteringsopgaver, som de har fået overdraget.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42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(42)</w:t>
            </w:r>
            <w:r w:rsidRPr="002522B7">
              <w:tab/>
              <w:t>For at fastlægge deres vision for fremtiden og identificere deres organisations mål og målsætninger bør ligestillingsorganerne vedtage et flerårigt program. Dette bør gøre det muligt for dem at sikre sammenhæng mellem deres forskellig</w:t>
            </w:r>
            <w:r w:rsidRPr="002522B7">
              <w:t>e arbejdsområder over tid og tage fat på systemiske problemer med forskelsbehandling, der falder ind under deres mandat, som led i en langsigtet handlingsplan.</w:t>
            </w:r>
          </w:p>
        </w:tc>
        <w:tc>
          <w:tcPr>
            <w:tcW w:w="4876" w:type="dxa"/>
            <w:hideMark/>
          </w:tcPr>
          <w:p w:rsidR="008429B6" w:rsidRPr="002522B7" w:rsidRDefault="0032033D" w:rsidP="00823CA1">
            <w:pPr>
              <w:pStyle w:val="Normal6"/>
              <w:rPr>
                <w:szCs w:val="24"/>
              </w:rPr>
            </w:pPr>
            <w:r w:rsidRPr="002522B7">
              <w:t>(42)</w:t>
            </w:r>
            <w:r w:rsidRPr="002522B7">
              <w:tab/>
              <w:t>For at fastlægge deres vision for fremtiden og identificere deres organisations mål og måls</w:t>
            </w:r>
            <w:r w:rsidRPr="002522B7">
              <w:t xml:space="preserve">ætninger bør ligestillingsorganerne vedtage et flerårigt program. Dette bør gøre det muligt for dem at sikre sammenhæng mellem deres forskellige arbejdsområder over tid og tage fat på </w:t>
            </w:r>
            <w:r w:rsidRPr="002522B7">
              <w:rPr>
                <w:b/>
                <w:i/>
              </w:rPr>
              <w:t xml:space="preserve">strukturelle og </w:t>
            </w:r>
            <w:r w:rsidRPr="002522B7">
              <w:t>systemiske problemer med forskelsbehandling</w:t>
            </w:r>
            <w:r w:rsidRPr="002522B7">
              <w:rPr>
                <w:b/>
                <w:i/>
              </w:rPr>
              <w:t>, herunder on</w:t>
            </w:r>
            <w:r w:rsidRPr="002522B7">
              <w:rPr>
                <w:b/>
                <w:i/>
              </w:rPr>
              <w:t>line</w:t>
            </w:r>
            <w:r w:rsidRPr="002522B7">
              <w:t xml:space="preserve">, der falder ind under deres mandat, som led i en langsigtet handlingsplan. </w:t>
            </w:r>
            <w:r w:rsidRPr="002522B7">
              <w:rPr>
                <w:b/>
                <w:i/>
              </w:rPr>
              <w:t>De kompetencer og beføjelser, der er tilknyttet alle mandater i en sådan institution, bør harmoniseres og styrkes, så hvert mandat så vidt muligt har de bredeste kompetencer og</w:t>
            </w:r>
            <w:r w:rsidRPr="002522B7">
              <w:rPr>
                <w:b/>
                <w:i/>
              </w:rPr>
              <w:t xml:space="preserve"> beføjelser, som er til rådighed for alle de andre </w:t>
            </w:r>
            <w:r w:rsidRPr="002522B7">
              <w:rPr>
                <w:b/>
                <w:i/>
              </w:rPr>
              <w:lastRenderedPageBreak/>
              <w:t>mandater.</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43</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(43)</w:t>
            </w:r>
            <w:r w:rsidRPr="002522B7">
              <w:tab/>
              <w:t>For at vurdere, hvor</w:t>
            </w:r>
            <w:r w:rsidRPr="002522B7">
              <w:t xml:space="preserve"> effektivitet dette direktiv er, er det nødvendigt at indføre en mekanisme til overvågning af dets anvendelse og ud over overvågning af overholdelsen at vurdere dets praktiske virkninger Kommissionen bør være ansvarlig for denne overvågning og regelmæssigt</w:t>
            </w:r>
            <w:r w:rsidRPr="002522B7">
              <w:t xml:space="preserve"> udarbejde en rapport om anvendelsen. For at sikre ensartede betingelser for gennemførelsen af medlemsstaternes rapporteringsforpligtelser i henhold til artikel 16, stk. 2, for så vidt angår direktivets praktiske virkninger, bør Kommissionen tillægges </w:t>
            </w:r>
            <w:r w:rsidRPr="002522B7">
              <w:rPr>
                <w:b/>
                <w:i/>
              </w:rPr>
              <w:t>genn</w:t>
            </w:r>
            <w:r w:rsidRPr="002522B7">
              <w:rPr>
                <w:b/>
                <w:i/>
              </w:rPr>
              <w:t>emførelsesbeføjelser</w:t>
            </w:r>
            <w:r w:rsidRPr="002522B7">
              <w:t xml:space="preserve"> til at opstille en liste over relevante indikatorer, på grundlag af hvilke der bør indsamles data. Denne overvågning bør ikke indebære behandling af personoplysninger.</w:t>
            </w:r>
          </w:p>
        </w:tc>
        <w:tc>
          <w:tcPr>
            <w:tcW w:w="4876" w:type="dxa"/>
            <w:hideMark/>
          </w:tcPr>
          <w:p w:rsidR="008429B6" w:rsidRPr="002522B7" w:rsidRDefault="0032033D" w:rsidP="00823CA1">
            <w:pPr>
              <w:pStyle w:val="Normal6"/>
              <w:rPr>
                <w:szCs w:val="24"/>
              </w:rPr>
            </w:pPr>
            <w:r w:rsidRPr="002522B7">
              <w:t>(43)</w:t>
            </w:r>
            <w:r w:rsidRPr="002522B7">
              <w:tab/>
              <w:t xml:space="preserve">For at vurdere, hvor effektivitet dette direktiv er, er det </w:t>
            </w:r>
            <w:r w:rsidRPr="002522B7">
              <w:t xml:space="preserve">nødvendigt at indføre en mekanisme til overvågning af dets anvendelse og ud over overvågning af overholdelsen at vurdere dets praktiske virkninger Kommissionen bør være ansvarlig for denne overvågning og regelmæssigt </w:t>
            </w:r>
            <w:r w:rsidRPr="002522B7">
              <w:rPr>
                <w:b/>
                <w:i/>
              </w:rPr>
              <w:t xml:space="preserve">hvert tredje år </w:t>
            </w:r>
            <w:r w:rsidRPr="002522B7">
              <w:t>udarbejde en rapport om</w:t>
            </w:r>
            <w:r w:rsidRPr="002522B7">
              <w:t xml:space="preserve"> anvendelsen</w:t>
            </w:r>
            <w:r w:rsidRPr="002522B7">
              <w:rPr>
                <w:b/>
                <w:i/>
              </w:rPr>
              <w:t xml:space="preserve"> baseret på oplysninger, som Den Europæiske Unions Agentur for Grundlæggende Rettigheder og Det Europæiske Institut for Ligestilling mellem Mænd og Kvinder har modtaget fra medlemsstaterne, og supplerende relevante data indsamlet på nationalt p</w:t>
            </w:r>
            <w:r w:rsidRPr="002522B7">
              <w:rPr>
                <w:b/>
                <w:i/>
              </w:rPr>
              <w:t>lan og på EU-plan samt fra ligestillingsorganer og andre interessenter</w:t>
            </w:r>
            <w:r w:rsidRPr="002522B7">
              <w:t>. For at sikre ensartede betingelser for gennemførelsen af medlemsstaternes rapporteringsforpligtelser i henhold til artikel 16, stk. 2, for så vidt angår direktivets praktiske virkninge</w:t>
            </w:r>
            <w:r w:rsidRPr="002522B7">
              <w:t xml:space="preserve">r, bør Kommissionen tillægges </w:t>
            </w:r>
            <w:r w:rsidRPr="002522B7">
              <w:rPr>
                <w:b/>
                <w:i/>
              </w:rPr>
              <w:t>delegerede beføjelser</w:t>
            </w:r>
            <w:r w:rsidRPr="002522B7">
              <w:t xml:space="preserve"> til at opstille en liste over relevante indikatorer, på grundlag af hvilke der bør indsamles data. </w:t>
            </w:r>
            <w:r w:rsidRPr="002522B7">
              <w:rPr>
                <w:b/>
                <w:i/>
              </w:rPr>
              <w:t>Rapporten kan indeholde en specifik vurdering med henblik på at evaluere ligestillingsorganernes uafhængi</w:t>
            </w:r>
            <w:r w:rsidRPr="002522B7">
              <w:rPr>
                <w:b/>
                <w:i/>
              </w:rPr>
              <w:t xml:space="preserve">ge funktion. </w:t>
            </w:r>
            <w:r w:rsidRPr="002522B7">
              <w:t xml:space="preserve">Denne overvågning bør ikke indebære behandling af personoplysninger. </w:t>
            </w:r>
            <w:r w:rsidRPr="002522B7">
              <w:rPr>
                <w:b/>
                <w:i/>
              </w:rPr>
              <w:t>Det bør være muligt at indgive klager til Kommissionen over påstået uberettiget indblanding i ligestillingsorganernes uafhængighed.</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lastRenderedPageBreak/>
        <w:t>&lt;Amend&gt;</w:t>
      </w:r>
      <w:r w:rsidRPr="002522B7">
        <w:t>Ændringsforslag</w:t>
      </w:r>
      <w:r w:rsidRPr="002522B7">
        <w:tab/>
      </w:r>
      <w:r w:rsidRPr="002522B7">
        <w:tab/>
      </w:r>
      <w:r w:rsidRPr="002522B7">
        <w:rPr>
          <w:rStyle w:val="HideTWBExt"/>
          <w:b w:val="0"/>
          <w:noProof w:val="0"/>
        </w:rPr>
        <w:t>&lt;NumAm&gt;</w:t>
      </w:r>
      <w:r w:rsidRPr="002522B7">
        <w:t>3</w:t>
      </w:r>
      <w:r w:rsidRPr="002522B7">
        <w:t>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Betragtning 44</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(44)</w:t>
            </w:r>
            <w:r w:rsidRPr="002522B7">
              <w:tab/>
              <w:t xml:space="preserve">Dette direktiv fastsætter minimumskrav og </w:t>
            </w:r>
            <w:r w:rsidRPr="002522B7">
              <w:rPr>
                <w:b/>
                <w:i/>
              </w:rPr>
              <w:t>giver således medlemsstaterne mulighed for</w:t>
            </w:r>
            <w:r w:rsidRPr="002522B7">
              <w:t xml:space="preserve"> at indføre eller opretholde gunstigere bestemmelser. Gennemførelsen af dette direktiv bør </w:t>
            </w:r>
            <w:r w:rsidRPr="002522B7">
              <w:rPr>
                <w:b/>
                <w:i/>
              </w:rPr>
              <w:t>ikke</w:t>
            </w:r>
            <w:r w:rsidRPr="002522B7">
              <w:t xml:space="preserve"> tjene som begrundelse for en forringelse af de eksisterende vilkår på dette felt i de enkelte medlemsstater.</w:t>
            </w:r>
          </w:p>
        </w:tc>
        <w:tc>
          <w:tcPr>
            <w:tcW w:w="4876" w:type="dxa"/>
            <w:hideMark/>
          </w:tcPr>
          <w:p w:rsidR="008429B6" w:rsidRPr="002522B7" w:rsidRDefault="0032033D" w:rsidP="00823CA1">
            <w:pPr>
              <w:pStyle w:val="Normal6"/>
              <w:rPr>
                <w:szCs w:val="24"/>
              </w:rPr>
            </w:pPr>
            <w:r w:rsidRPr="002522B7">
              <w:t>(44)</w:t>
            </w:r>
            <w:r w:rsidRPr="002522B7">
              <w:tab/>
              <w:t>Dette direktiv fastsætter minimumskrav</w:t>
            </w:r>
            <w:r w:rsidRPr="002522B7">
              <w:rPr>
                <w:b/>
                <w:i/>
              </w:rPr>
              <w:t>,</w:t>
            </w:r>
            <w:r w:rsidRPr="002522B7">
              <w:t xml:space="preserve"> og </w:t>
            </w:r>
            <w:r w:rsidRPr="002522B7">
              <w:rPr>
                <w:b/>
                <w:i/>
              </w:rPr>
              <w:t>med</w:t>
            </w:r>
            <w:r w:rsidRPr="002522B7">
              <w:rPr>
                <w:b/>
                <w:i/>
              </w:rPr>
              <w:t>lemsstaterne opfordres derfor til</w:t>
            </w:r>
            <w:r w:rsidRPr="002522B7">
              <w:t xml:space="preserve"> at indføre eller opretholde gunstigere bestemmelser. Gennemførelsen af dette direktiv bør </w:t>
            </w:r>
            <w:r w:rsidRPr="002522B7">
              <w:rPr>
                <w:b/>
                <w:i/>
              </w:rPr>
              <w:t>under ingen omstændigheder</w:t>
            </w:r>
            <w:r w:rsidRPr="002522B7">
              <w:t xml:space="preserve"> tjene som begrundelse for en forringelse af de eksisterende vilkår på dette felt i de enkelte medlemsstat</w:t>
            </w:r>
            <w:r w:rsidRPr="002522B7">
              <w:t>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t xml:space="preserve">Dette direktiv fastsætter minimumskrav til ligestillingsorganers funktion </w:t>
            </w:r>
            <w:r w:rsidRPr="002522B7">
              <w:t>for at gøre dem mere effektive og sikre deres uafhængighed med henblik på at styrke anvendelsen af princippet om ligebehandling, jf. direktiv 2006/54/EF og 2010/41/EU.</w:t>
            </w:r>
          </w:p>
        </w:tc>
        <w:tc>
          <w:tcPr>
            <w:tcW w:w="4876" w:type="dxa"/>
            <w:hideMark/>
          </w:tcPr>
          <w:p w:rsidR="008429B6" w:rsidRPr="002522B7" w:rsidRDefault="0032033D" w:rsidP="00823CA1">
            <w:pPr>
              <w:pStyle w:val="Normal6"/>
              <w:rPr>
                <w:szCs w:val="24"/>
              </w:rPr>
            </w:pPr>
            <w:r w:rsidRPr="002522B7">
              <w:t>1.</w:t>
            </w:r>
            <w:r w:rsidRPr="002522B7">
              <w:tab/>
              <w:t>Dette direktiv fastsætter minimumskrav til ligestillingsorganers funktion for at gøre</w:t>
            </w:r>
            <w:r w:rsidRPr="002522B7">
              <w:t xml:space="preserve"> dem mere effektive og sikre deres uafhængighed med henblik på at styrke </w:t>
            </w:r>
            <w:r w:rsidRPr="002522B7">
              <w:rPr>
                <w:b/>
                <w:i/>
              </w:rPr>
              <w:t xml:space="preserve">både retligt og konkret </w:t>
            </w:r>
            <w:r w:rsidRPr="002522B7">
              <w:t>anvendelsen af princippet om ligebehandling, jf. direktiv 2006/54/EF og 2010/41/EU.</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 xml:space="preserve">Forslag til </w:t>
      </w:r>
      <w:r w:rsidRPr="002522B7">
        <w:t>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w:t>
            </w:r>
            <w:r w:rsidRPr="002522B7">
              <w:tab/>
              <w:t xml:space="preserve">Medlemsstaternes forpligtelser og ligestillingsorganernes opgaver i henhold til dette direktiv omfatter de rettigheder og forpligtelser, der følger af </w:t>
            </w:r>
            <w:r w:rsidRPr="002522B7">
              <w:t>direktiv 2006/54/EF og 2010/41/EU.</w:t>
            </w:r>
          </w:p>
        </w:tc>
        <w:tc>
          <w:tcPr>
            <w:tcW w:w="4876" w:type="dxa"/>
            <w:hideMark/>
          </w:tcPr>
          <w:p w:rsidR="008429B6" w:rsidRPr="002522B7" w:rsidRDefault="0032033D" w:rsidP="00823CA1">
            <w:pPr>
              <w:pStyle w:val="Normal6"/>
              <w:rPr>
                <w:szCs w:val="24"/>
              </w:rPr>
            </w:pPr>
            <w:r w:rsidRPr="002522B7">
              <w:t>2.</w:t>
            </w:r>
            <w:r w:rsidRPr="002522B7">
              <w:tab/>
              <w:t>Medlemsstaternes forpligtelser og ligestillingsorganernes opgaver i henhold til dette direktiv omfatter de rettigheder og forpligtelser, der følger af direktiv 2006/54/EF og 2010/41/EU</w:t>
            </w:r>
            <w:r w:rsidRPr="002522B7">
              <w:rPr>
                <w:b/>
                <w:i/>
              </w:rPr>
              <w:t>, samt tilfælde af strukturel elle</w:t>
            </w:r>
            <w:r w:rsidRPr="002522B7">
              <w:rPr>
                <w:b/>
                <w:i/>
              </w:rPr>
              <w:t xml:space="preserve">r systemisk </w:t>
            </w:r>
            <w:r w:rsidRPr="002522B7">
              <w:rPr>
                <w:b/>
                <w:i/>
              </w:rPr>
              <w:lastRenderedPageBreak/>
              <w:t>forskelsbehandling i den private og offentlige sektor, herunder inden for uddannelse, erhvervsuddannelse, bolig, sundhed, socialsikring og retshåndhævende myndigheder</w:t>
            </w:r>
            <w:r w:rsidRPr="002522B7">
              <w:t xml:space="preserve">. </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 xml:space="preserve">Forslag til </w:t>
      </w:r>
      <w:r w:rsidRPr="002522B7">
        <w:t>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 a (ny)</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jc w:val="center"/>
              <w:rPr>
                <w:szCs w:val="24"/>
              </w:rPr>
            </w:pPr>
            <w:r w:rsidRPr="002522B7">
              <w:rPr>
                <w:b/>
                <w:i/>
              </w:rPr>
              <w:t>Artikel 1a</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jc w:val="center"/>
              <w:rPr>
                <w:szCs w:val="24"/>
              </w:rPr>
            </w:pPr>
            <w:r w:rsidRPr="002522B7">
              <w:rPr>
                <w:b/>
                <w:i/>
              </w:rPr>
              <w:t>Definitioner</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1. I dette direktiv forstås ved:</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 xml:space="preserve">a) "strukturel eller systemisk forskelsbehandling": regler, normer, rutiner samt holdnings- og </w:t>
            </w:r>
            <w:r w:rsidRPr="002522B7">
              <w:rPr>
                <w:b/>
                <w:i/>
              </w:rPr>
              <w:t xml:space="preserve">adfærdsmønstre i institutioner og andre samfundsmæssige strukturer, som bevidst eller ubevidst forhindrer grupper eller enkeltpersoner i at få adgang til de samme rettigheder og muligheder som andre, og som bidrager til, at de opnår ringere resultater end </w:t>
            </w:r>
            <w:r w:rsidRPr="002522B7">
              <w:rPr>
                <w:b/>
                <w:i/>
              </w:rPr>
              <w:t>flertallet af befolkningen</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b) "intersektionel forskelsbehandling": den situation, hvor forskelsbehandling finder sted på grundlag af to eller flere grunde, der er beskyttet af direktiv 79/7/EØF, 2000/43/EF, 2000/78/EF, 2004/113/EF, 2006/54/EF og 2010/41/</w:t>
            </w:r>
            <w:r w:rsidRPr="002522B7">
              <w:rPr>
                <w:b/>
                <w:i/>
              </w:rPr>
              <w:t>EU, der opererer og interagerer med hinanden på samme tid på en sådan måde, at de er uadskillelige og medfører særskilte og specifikke former for forskelsbehandling.</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39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w:t>
      </w:r>
      <w:r w:rsidRPr="002522B7">
        <w:rPr>
          <w:rStyle w:val="HideTWBExt"/>
          <w:b w:val="0"/>
          <w:noProof w:val="0"/>
        </w:rPr>
        <w:t>end&gt;</w:t>
      </w:r>
    </w:p>
    <w:p w:rsidR="008429B6" w:rsidRPr="002522B7" w:rsidRDefault="0032033D" w:rsidP="008429B6">
      <w:pPr>
        <w:pStyle w:val="NormalBold"/>
      </w:pPr>
      <w:r w:rsidRPr="002522B7">
        <w:rPr>
          <w:rStyle w:val="HideTWBExt"/>
          <w:b w:val="0"/>
          <w:noProof w:val="0"/>
        </w:rPr>
        <w:t>&lt;Article&gt;</w:t>
      </w:r>
      <w:r w:rsidRPr="002522B7">
        <w:t>Artikel 2 – overskrift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Udpegelse af ligestillingsorganer</w:t>
            </w:r>
          </w:p>
        </w:tc>
        <w:tc>
          <w:tcPr>
            <w:tcW w:w="4876" w:type="dxa"/>
            <w:hideMark/>
          </w:tcPr>
          <w:p w:rsidR="008429B6" w:rsidRPr="002522B7" w:rsidRDefault="0032033D" w:rsidP="00823CA1">
            <w:pPr>
              <w:pStyle w:val="Normal6"/>
              <w:rPr>
                <w:szCs w:val="24"/>
              </w:rPr>
            </w:pPr>
            <w:r w:rsidRPr="002522B7">
              <w:t>Udpegelse af ligestillingsorganer</w:t>
            </w:r>
            <w:r w:rsidRPr="002522B7">
              <w:rPr>
                <w:b/>
                <w:i/>
              </w:rPr>
              <w:t xml:space="preserve"> og deres struktur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 xml:space="preserve">Forslag til </w:t>
      </w:r>
      <w:r w:rsidRPr="002522B7">
        <w:t>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2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 xml:space="preserve">Medlemsstaterne udpeger et eller flere organer (i det følgende benævnt "ligestillingsorganer"), der skal udøve de kompetencer, der er fastlagt i dette </w:t>
            </w:r>
            <w:r w:rsidRPr="002522B7">
              <w:t>direktiv.</w:t>
            </w:r>
          </w:p>
        </w:tc>
        <w:tc>
          <w:tcPr>
            <w:tcW w:w="4876" w:type="dxa"/>
            <w:hideMark/>
          </w:tcPr>
          <w:p w:rsidR="008429B6" w:rsidRPr="002522B7" w:rsidRDefault="0032033D" w:rsidP="00823CA1">
            <w:pPr>
              <w:pStyle w:val="Normal6"/>
              <w:rPr>
                <w:szCs w:val="24"/>
              </w:rPr>
            </w:pPr>
            <w:r w:rsidRPr="002522B7">
              <w:t xml:space="preserve">Medlemsstaterne udpeger </w:t>
            </w:r>
            <w:r w:rsidRPr="002522B7">
              <w:rPr>
                <w:b/>
                <w:i/>
              </w:rPr>
              <w:t xml:space="preserve">og sikrer de fornødne ressourcer til </w:t>
            </w:r>
            <w:r w:rsidRPr="002522B7">
              <w:t>et eller flere organer (i det følgende benævnt "ligestillingsorganer"), der skal udøve de kompetencer, der er fastlagt i dette direktiv.</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41</w:t>
      </w:r>
      <w:r w:rsidRPr="002522B7">
        <w:rPr>
          <w:rStyle w:val="HideTWBExt"/>
          <w:b w:val="0"/>
          <w:noProof w:val="0"/>
        </w:rPr>
        <w:t>&lt;/Num</w:t>
      </w:r>
      <w:r w:rsidRPr="002522B7">
        <w:rPr>
          <w:rStyle w:val="HideTWBExt"/>
          <w:b w:val="0"/>
          <w:noProof w:val="0"/>
        </w:rPr>
        <w:t>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2 – stk. 1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 xml:space="preserve">1a. Ligestillingsorganer kan have ansvar for én eller flere grunde. Hvis et ligestillingsorgan har ansvar for flere </w:t>
            </w:r>
            <w:r w:rsidRPr="002522B7">
              <w:rPr>
                <w:b/>
                <w:i/>
              </w:rPr>
              <w:t>grunde, sikrer medlemsstaterne et klart og hensigtsmæssigt fokus på hver af grundene. De kompetencer og beføjelser, der er tilknyttet alle mandater i en sådan institution, skal harmoniseres og styrkes, så hvert mandat så vidt muligt har de bredeste kompete</w:t>
            </w:r>
            <w:r w:rsidRPr="002522B7">
              <w:rPr>
                <w:b/>
                <w:i/>
              </w:rPr>
              <w:t>ncer og beføjelser, som er til rådighed for alle de andre mandater.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2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 xml:space="preserve">Ligestillingsorganer kan være en del af de institutioner, der på nationalt plan har til opgave at </w:t>
            </w:r>
            <w:r w:rsidRPr="002522B7">
              <w:rPr>
                <w:b/>
                <w:i/>
              </w:rPr>
              <w:t>forsvare</w:t>
            </w:r>
            <w:r w:rsidRPr="002522B7">
              <w:t xml:space="preserve"> menneskerettighederne eller </w:t>
            </w:r>
            <w:r w:rsidRPr="002522B7">
              <w:rPr>
                <w:b/>
                <w:i/>
              </w:rPr>
              <w:t>beskytte enkeltpersoners rettigheder</w:t>
            </w:r>
            <w:r w:rsidRPr="002522B7">
              <w:t>.</w:t>
            </w:r>
          </w:p>
        </w:tc>
        <w:tc>
          <w:tcPr>
            <w:tcW w:w="4876" w:type="dxa"/>
            <w:hideMark/>
          </w:tcPr>
          <w:p w:rsidR="008429B6" w:rsidRPr="002522B7" w:rsidRDefault="0032033D" w:rsidP="00823CA1">
            <w:pPr>
              <w:pStyle w:val="Normal6"/>
              <w:rPr>
                <w:szCs w:val="24"/>
              </w:rPr>
            </w:pPr>
            <w:r w:rsidRPr="002522B7">
              <w:rPr>
                <w:b/>
                <w:i/>
              </w:rPr>
              <w:t>2.</w:t>
            </w:r>
            <w:r w:rsidRPr="002522B7">
              <w:t xml:space="preserve"> Ligestillingsorganer kan være en del af de institutioner, der på nationalt plan </w:t>
            </w:r>
            <w:r w:rsidRPr="002522B7">
              <w:t xml:space="preserve">har til opgave at </w:t>
            </w:r>
            <w:r w:rsidRPr="002522B7">
              <w:rPr>
                <w:b/>
                <w:i/>
              </w:rPr>
              <w:t>beskytte og fremme</w:t>
            </w:r>
            <w:r w:rsidRPr="002522B7">
              <w:t xml:space="preserve"> menneskerettighederne</w:t>
            </w:r>
            <w:r w:rsidRPr="002522B7">
              <w:rPr>
                <w:b/>
                <w:i/>
              </w:rPr>
              <w:t>, for så vidt som dette ikke underminerer enten ligestillingsorganets</w:t>
            </w:r>
            <w:r w:rsidRPr="002522B7">
              <w:t xml:space="preserve"> eller </w:t>
            </w:r>
            <w:r w:rsidRPr="002522B7">
              <w:rPr>
                <w:b/>
                <w:i/>
              </w:rPr>
              <w:t>de pågældende institutioners kapacitet til at udføre sit/deres arbejde. Denne struktur skal sikre synlighed og inddragelse</w:t>
            </w:r>
            <w:r w:rsidRPr="002522B7">
              <w:rPr>
                <w:b/>
                <w:i/>
              </w:rPr>
              <w:t xml:space="preserve"> af ligestillingsorganet i alle faser og åbne mulighed for fuld gennemsigtighed og ansvarlighed i processen</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2 – stk. 2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w:t>
            </w:r>
            <w:r w:rsidRPr="002522B7">
              <w:t>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2a. Ligestillingsorganerne sikrer kønsbalance i leder- og toplederstillinger og tilskyndes til at afspejle mangfoldigheden i samfundet som helhed.</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 xml:space="preserve">Forslag </w:t>
      </w:r>
      <w:r w:rsidRPr="002522B7">
        <w:t>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3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r>
            <w:r w:rsidRPr="002522B7">
              <w:t>Medlemsstaterne træffer foranstaltninger til at sikre, at ligestillingsorganerne er uafhængige og ikke er underlagt udefrakommende indflydelse under udførelsen af deres opgaver og udøvelsen af deres kompetencer, navnlig for så vidt angår deres retlige stru</w:t>
            </w:r>
            <w:r w:rsidRPr="002522B7">
              <w:t xml:space="preserve">ktur, ansvarlighed, budget, personale og </w:t>
            </w:r>
            <w:r w:rsidRPr="002522B7">
              <w:rPr>
                <w:b/>
                <w:i/>
              </w:rPr>
              <w:t>organisatoriske anliggender</w:t>
            </w:r>
            <w:r w:rsidRPr="002522B7">
              <w:t>.</w:t>
            </w:r>
          </w:p>
        </w:tc>
        <w:tc>
          <w:tcPr>
            <w:tcW w:w="4876" w:type="dxa"/>
            <w:hideMark/>
          </w:tcPr>
          <w:p w:rsidR="008429B6" w:rsidRPr="002522B7" w:rsidRDefault="0032033D" w:rsidP="00823CA1">
            <w:pPr>
              <w:pStyle w:val="Normal6"/>
              <w:rPr>
                <w:szCs w:val="24"/>
              </w:rPr>
            </w:pPr>
            <w:r w:rsidRPr="002522B7">
              <w:t>1.</w:t>
            </w:r>
            <w:r w:rsidRPr="002522B7">
              <w:tab/>
              <w:t xml:space="preserve">Medlemsstaterne træffer foranstaltninger til at sikre, at ligestillingsorganerne er </w:t>
            </w:r>
            <w:r w:rsidRPr="002522B7">
              <w:rPr>
                <w:b/>
                <w:i/>
              </w:rPr>
              <w:t xml:space="preserve">fuldt </w:t>
            </w:r>
            <w:r w:rsidRPr="002522B7">
              <w:t>uafhængige</w:t>
            </w:r>
            <w:r w:rsidRPr="002522B7">
              <w:rPr>
                <w:b/>
                <w:i/>
              </w:rPr>
              <w:t>, selvstændige</w:t>
            </w:r>
            <w:r w:rsidRPr="002522B7">
              <w:t xml:space="preserve"> og ikke er underlagt udefrakommende indflydelse under udførelsen af </w:t>
            </w:r>
            <w:r w:rsidRPr="002522B7">
              <w:t>deres opgaver</w:t>
            </w:r>
            <w:r w:rsidRPr="002522B7">
              <w:rPr>
                <w:b/>
                <w:i/>
              </w:rPr>
              <w:t>, i beslutninger om deres arbejdsprogram</w:t>
            </w:r>
            <w:r w:rsidRPr="002522B7">
              <w:t xml:space="preserve"> og </w:t>
            </w:r>
            <w:r w:rsidRPr="002522B7">
              <w:rPr>
                <w:b/>
                <w:i/>
              </w:rPr>
              <w:t xml:space="preserve">handlinger og under </w:t>
            </w:r>
            <w:r w:rsidRPr="002522B7">
              <w:t xml:space="preserve">udøvelsen af deres kompetencer, navnlig for så vidt angår deres retlige struktur, ansvarlighed, budget, personale </w:t>
            </w:r>
            <w:r w:rsidRPr="002522B7">
              <w:lastRenderedPageBreak/>
              <w:t xml:space="preserve">og </w:t>
            </w:r>
            <w:r w:rsidRPr="002522B7">
              <w:rPr>
                <w:b/>
                <w:i/>
              </w:rPr>
              <w:t>beslutningstagende funktioner.</w:t>
            </w:r>
            <w:r w:rsidRPr="002522B7">
              <w:t xml:space="preserve"> </w:t>
            </w:r>
            <w:r w:rsidRPr="002522B7">
              <w:rPr>
                <w:b/>
                <w:i/>
              </w:rPr>
              <w:t>Ligestillingsorganer oprettes i</w:t>
            </w:r>
            <w:r w:rsidRPr="002522B7">
              <w:rPr>
                <w:b/>
                <w:i/>
              </w:rPr>
              <w:t>kke som en del af et ministerium eller et organ, der modtager instrukser direkte fra statsmagten.</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3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w:t>
            </w:r>
            <w:r w:rsidRPr="002522B7">
              <w:tab/>
              <w:t>Medlemsstaterne fastsætter gennemsigtige regler og garantier med hensyn til udvælgelse, udpegelse, tilbagekaldelse og potentielle interessekonflikter for ligestillingsorganernes personale</w:t>
            </w:r>
            <w:r w:rsidRPr="002522B7">
              <w:rPr>
                <w:b/>
                <w:i/>
              </w:rPr>
              <w:t>, navnlig for</w:t>
            </w:r>
            <w:r w:rsidRPr="002522B7">
              <w:t xml:space="preserve"> personer i ledende stillinger, med </w:t>
            </w:r>
            <w:r w:rsidRPr="002522B7">
              <w:t xml:space="preserve">henblik på at garantere </w:t>
            </w:r>
            <w:r w:rsidRPr="002522B7">
              <w:rPr>
                <w:b/>
                <w:i/>
              </w:rPr>
              <w:t>deres</w:t>
            </w:r>
            <w:r w:rsidRPr="002522B7">
              <w:t xml:space="preserve"> kompetence og uafhængighed.</w:t>
            </w:r>
          </w:p>
        </w:tc>
        <w:tc>
          <w:tcPr>
            <w:tcW w:w="4876" w:type="dxa"/>
            <w:hideMark/>
          </w:tcPr>
          <w:p w:rsidR="008429B6" w:rsidRPr="002522B7" w:rsidRDefault="0032033D" w:rsidP="00823CA1">
            <w:pPr>
              <w:pStyle w:val="Normal6"/>
              <w:rPr>
                <w:szCs w:val="24"/>
              </w:rPr>
            </w:pPr>
            <w:r w:rsidRPr="002522B7">
              <w:t>2.</w:t>
            </w:r>
            <w:r w:rsidRPr="002522B7">
              <w:tab/>
              <w:t xml:space="preserve">Medlemsstaterne fastsætter gennemsigtige </w:t>
            </w:r>
            <w:r w:rsidRPr="002522B7">
              <w:rPr>
                <w:b/>
                <w:i/>
              </w:rPr>
              <w:t xml:space="preserve">og klare </w:t>
            </w:r>
            <w:r w:rsidRPr="002522B7">
              <w:t xml:space="preserve">regler og garantier med hensyn til udvælgelse, udpegelse, </w:t>
            </w:r>
            <w:r w:rsidRPr="002522B7">
              <w:rPr>
                <w:b/>
                <w:i/>
              </w:rPr>
              <w:t xml:space="preserve">forfremmelse, </w:t>
            </w:r>
            <w:r w:rsidRPr="002522B7">
              <w:t>tilbagekaldelse og potentielle interessekonflikter for ligestillingsorgan</w:t>
            </w:r>
            <w:r w:rsidRPr="002522B7">
              <w:t>ernes personale</w:t>
            </w:r>
            <w:r w:rsidRPr="002522B7">
              <w:rPr>
                <w:b/>
                <w:i/>
              </w:rPr>
              <w:t xml:space="preserve"> og bestyrelse. Disse regler og garantier vedrører navnlig</w:t>
            </w:r>
            <w:r w:rsidRPr="002522B7">
              <w:t xml:space="preserve"> personer i ledende stillinger</w:t>
            </w:r>
            <w:r w:rsidRPr="002522B7">
              <w:rPr>
                <w:b/>
                <w:i/>
              </w:rPr>
              <w:t xml:space="preserve"> og sikrer gennemsigtige</w:t>
            </w:r>
            <w:r w:rsidRPr="002522B7">
              <w:t xml:space="preserve">, </w:t>
            </w:r>
            <w:r w:rsidRPr="002522B7">
              <w:rPr>
                <w:b/>
                <w:i/>
              </w:rPr>
              <w:t xml:space="preserve">meritbaserede og deltagelsesbaserede procedurer </w:t>
            </w:r>
            <w:r w:rsidRPr="002522B7">
              <w:t xml:space="preserve">med henblik på at garantere </w:t>
            </w:r>
            <w:r w:rsidRPr="002522B7">
              <w:rPr>
                <w:b/>
                <w:i/>
              </w:rPr>
              <w:t>ligestillingsorganernes</w:t>
            </w:r>
            <w:r w:rsidRPr="002522B7">
              <w:t xml:space="preserve"> kompetence</w:t>
            </w:r>
            <w:r w:rsidRPr="002522B7">
              <w:rPr>
                <w:b/>
                <w:i/>
              </w:rPr>
              <w:t>, autonomi</w:t>
            </w:r>
            <w:r w:rsidRPr="002522B7">
              <w:t xml:space="preserve"> og uaf</w:t>
            </w:r>
            <w:r w:rsidRPr="002522B7">
              <w:t>hængighed</w:t>
            </w:r>
            <w:r w:rsidRPr="002522B7">
              <w:rPr>
                <w:b/>
                <w:i/>
              </w:rPr>
              <w:t>, navnlig med henblik på at undgå indblanding fra statsmagtens side</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3 – stk. 3</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w:t>
            </w:r>
            <w:r w:rsidRPr="002522B7">
              <w:tab/>
            </w:r>
            <w:r w:rsidRPr="002522B7">
              <w:t xml:space="preserve">Medlemsstaterne sikrer, at der indføres </w:t>
            </w:r>
            <w:r w:rsidRPr="002522B7">
              <w:rPr>
                <w:b/>
                <w:i/>
              </w:rPr>
              <w:t>passende</w:t>
            </w:r>
            <w:r w:rsidRPr="002522B7">
              <w:t xml:space="preserve"> garantier, navnlig i ligestillingsorganernes interne struktur, der sikrer en uafhængig udøvelse af deres kompetencer, særligt når nogle kræver upartiskhed, og andre fokuserer på støtte til ofre.</w:t>
            </w:r>
          </w:p>
        </w:tc>
        <w:tc>
          <w:tcPr>
            <w:tcW w:w="4876" w:type="dxa"/>
            <w:hideMark/>
          </w:tcPr>
          <w:p w:rsidR="008429B6" w:rsidRPr="002522B7" w:rsidRDefault="0032033D" w:rsidP="004E7856">
            <w:pPr>
              <w:pStyle w:val="Normal6"/>
              <w:rPr>
                <w:szCs w:val="24"/>
              </w:rPr>
            </w:pPr>
            <w:r w:rsidRPr="002522B7">
              <w:t>3.</w:t>
            </w:r>
            <w:r w:rsidRPr="002522B7">
              <w:tab/>
              <w:t>Medlemsst</w:t>
            </w:r>
            <w:r w:rsidRPr="002522B7">
              <w:t xml:space="preserve">aterne sikrer, at der indføres </w:t>
            </w:r>
            <w:r w:rsidRPr="002522B7">
              <w:rPr>
                <w:b/>
                <w:i/>
              </w:rPr>
              <w:t>hensigtsmæssige og tilstrækkelige</w:t>
            </w:r>
            <w:r w:rsidRPr="002522B7">
              <w:t xml:space="preserve"> garantier, navnlig i ligestillingsorganernes interne struktur, der sikrer en uafhængig udøvelse af </w:t>
            </w:r>
            <w:r w:rsidRPr="002522B7">
              <w:rPr>
                <w:b/>
                <w:i/>
              </w:rPr>
              <w:t xml:space="preserve">alle </w:t>
            </w:r>
            <w:r w:rsidRPr="002522B7">
              <w:t xml:space="preserve">deres kompetencer, </w:t>
            </w:r>
            <w:r w:rsidRPr="002522B7">
              <w:rPr>
                <w:b/>
                <w:i/>
              </w:rPr>
              <w:t xml:space="preserve">samtidig med, at de stadig fremmer sammenhæng, </w:t>
            </w:r>
            <w:r w:rsidRPr="002522B7">
              <w:t>særligt når nogle kræ</w:t>
            </w:r>
            <w:r w:rsidRPr="002522B7">
              <w:t>ver upartiskhed, og andre fokuserer på støtte til ofre</w:t>
            </w:r>
            <w:r w:rsidRPr="002522B7">
              <w:rPr>
                <w:b/>
                <w:i/>
              </w:rPr>
              <w:t xml:space="preserve">, samtidig med at der gives mulighed for samarbejde og koordinering mellem </w:t>
            </w:r>
            <w:r w:rsidRPr="002522B7">
              <w:rPr>
                <w:b/>
                <w:i/>
              </w:rPr>
              <w:lastRenderedPageBreak/>
              <w:t>mandaterne og delt personale med henblik på fremme af sammenhæng og effektivitet</w:t>
            </w:r>
            <w:r w:rsidRPr="002522B7">
              <w:t xml:space="preserve">. </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47</w:t>
      </w:r>
      <w:r w:rsidRPr="002522B7">
        <w:rPr>
          <w:rStyle w:val="HideTWBExt"/>
          <w:b w:val="0"/>
          <w:noProof w:val="0"/>
        </w:rPr>
        <w:t>&lt;</w:t>
      </w:r>
      <w:r w:rsidRPr="002522B7">
        <w:rPr>
          <w:rStyle w:val="HideTWBExt"/>
          <w:b w:val="0"/>
          <w:noProof w:val="0"/>
        </w:rPr>
        <w: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3 – stk. 4</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4.</w:t>
            </w:r>
            <w:r w:rsidRPr="002522B7">
              <w:tab/>
              <w:t xml:space="preserve">Medlemsstaterne sikrer, at der indføres </w:t>
            </w:r>
            <w:r w:rsidRPr="002522B7">
              <w:rPr>
                <w:b/>
                <w:i/>
              </w:rPr>
              <w:t>passende</w:t>
            </w:r>
            <w:r w:rsidRPr="002522B7">
              <w:t xml:space="preserve"> garantier i den interne struktur for organer med flere mandater for at sikre selvstændig udøvelse af ligestillingsmandatet.</w:t>
            </w:r>
          </w:p>
        </w:tc>
        <w:tc>
          <w:tcPr>
            <w:tcW w:w="4876" w:type="dxa"/>
            <w:hideMark/>
          </w:tcPr>
          <w:p w:rsidR="008429B6" w:rsidRPr="002522B7" w:rsidRDefault="0032033D" w:rsidP="00823CA1">
            <w:pPr>
              <w:pStyle w:val="Normal6"/>
              <w:rPr>
                <w:szCs w:val="24"/>
              </w:rPr>
            </w:pPr>
            <w:r w:rsidRPr="002522B7">
              <w:t>4.</w:t>
            </w:r>
            <w:r w:rsidRPr="002522B7">
              <w:tab/>
              <w:t xml:space="preserve">Medlemsstaterne sikrer, at der indføres </w:t>
            </w:r>
            <w:r w:rsidRPr="002522B7">
              <w:rPr>
                <w:b/>
                <w:i/>
              </w:rPr>
              <w:t>hensigtsmæssige og tilstrækkelige</w:t>
            </w:r>
            <w:r w:rsidRPr="002522B7">
              <w:t xml:space="preserve"> garantier i den interne struktur for organer med flere</w:t>
            </w:r>
            <w:r w:rsidRPr="002522B7">
              <w:t xml:space="preserve"> mandater for at sikre selvstændig udøvelse af ligestillingsmandatet.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3 – stk. 4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4a.</w:t>
            </w:r>
            <w:r w:rsidRPr="002522B7">
              <w:rPr>
                <w:b/>
                <w:i/>
              </w:rPr>
              <w:tab/>
              <w:t>Ligestillingsorganer som er organer med flere mandater kan træffe foranstaltninger til at etablere en intern struktur, der sikrer selvstændig udøvelse af deres forskellige mandater, hvis det er hensigtsmæssigt.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49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3 – stk. 4 b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4b.</w:t>
            </w:r>
            <w:r w:rsidRPr="002522B7">
              <w:rPr>
                <w:b/>
                <w:i/>
              </w:rPr>
              <w:tab/>
              <w:t xml:space="preserve">Ligestillingsorganerne har ret til at offentliggøre udtalelser og udarbejde og offentliggøre forskning, </w:t>
            </w:r>
            <w:r w:rsidRPr="002522B7">
              <w:rPr>
                <w:b/>
                <w:i/>
              </w:rPr>
              <w:t>henstillinger og rapporter uden forudgående tilladelse fra, godkendelse ved eller underretning af statsmagten eller nogen institution eller tredjepart.</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4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t xml:space="preserve">Medlemsstaterne sikrer, at hvert ligestillingsorgan råder over de menneskelige, tekniske og finansielle ressourcer, der er nødvendige for at varetage alle dets opgaver og udøve alle </w:t>
            </w:r>
            <w:r w:rsidRPr="002522B7">
              <w:t>dets kompetencer effektivt, af alle de grunde og på alle de områder, der er omfattet af direktiv 2006/54/EF og 2010/41/EU</w:t>
            </w:r>
            <w:r w:rsidRPr="002522B7">
              <w:rPr>
                <w:b/>
                <w:i/>
              </w:rPr>
              <w:t>, herunder i tilfælde af øgede kompetencer, flere klager og sagsomkostninger og anvendelse af automatiserede systemer</w:t>
            </w:r>
            <w:r w:rsidRPr="002522B7">
              <w:t>.</w:t>
            </w:r>
          </w:p>
        </w:tc>
        <w:tc>
          <w:tcPr>
            <w:tcW w:w="4876" w:type="dxa"/>
            <w:hideMark/>
          </w:tcPr>
          <w:p w:rsidR="008429B6" w:rsidRPr="002522B7" w:rsidRDefault="0032033D" w:rsidP="00823CA1">
            <w:pPr>
              <w:pStyle w:val="Normal6"/>
              <w:rPr>
                <w:szCs w:val="24"/>
              </w:rPr>
            </w:pPr>
            <w:r w:rsidRPr="002522B7">
              <w:t>1.</w:t>
            </w:r>
            <w:r w:rsidRPr="002522B7">
              <w:tab/>
              <w:t>Medlemsstater</w:t>
            </w:r>
            <w:r w:rsidRPr="002522B7">
              <w:t>ne sikrer</w:t>
            </w:r>
            <w:r w:rsidRPr="002522B7">
              <w:rPr>
                <w:b/>
                <w:i/>
              </w:rPr>
              <w:t xml:space="preserve"> i overensstemmelse med deres nationale budgetprocedurer</w:t>
            </w:r>
            <w:r w:rsidRPr="002522B7">
              <w:t>, at hvert ligestillingsorgan råder over de menneskelige, tekniske og finansielle ressourcer</w:t>
            </w:r>
            <w:r w:rsidRPr="002522B7">
              <w:rPr>
                <w:b/>
                <w:i/>
              </w:rPr>
              <w:t xml:space="preserve"> og de eksperter</w:t>
            </w:r>
            <w:r w:rsidRPr="002522B7">
              <w:t>, der er nødvendige for at varetage alle dets opgaver og udøve alle dets kompetence</w:t>
            </w:r>
            <w:r w:rsidRPr="002522B7">
              <w:t>r effektivt</w:t>
            </w:r>
            <w:r w:rsidRPr="002522B7">
              <w:rPr>
                <w:b/>
                <w:i/>
              </w:rPr>
              <w:t xml:space="preserve"> og med reel virkning</w:t>
            </w:r>
            <w:r w:rsidRPr="002522B7">
              <w:t>, af alle de grunde og på alle de områder, der er omfattet af direktiv 2006/54/EF og 2010/41/EU.</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4 – stk. 1 a (n</w:t>
      </w:r>
      <w:r w:rsidRPr="002522B7">
        <w:t>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1a.</w:t>
            </w:r>
            <w:r w:rsidRPr="002522B7">
              <w:rPr>
                <w:b/>
                <w:i/>
              </w:rPr>
              <w:tab/>
              <w:t xml:space="preserve">Medlemsstaterne sikrer, at budgettildelingen til ligestillingsorganerne er stabil og planlægges på et flerårigt grundlag, og at der i tilstrækkelig grad tages højde for uforudsete udgifter. Hvis </w:t>
            </w:r>
            <w:r w:rsidRPr="002522B7">
              <w:rPr>
                <w:b/>
                <w:i/>
              </w:rPr>
              <w:t>en medlemsstat stiller sådanne ressourcer til rådighed for et ligestillingsorgan, pålægger det ikke på nogen måde ligestillingsorganet en implicit eller direkte forpligtelse over for medlemsstaten, dennes statsmagt eller ansvarlige minister, som stiller re</w:t>
            </w:r>
            <w:r w:rsidRPr="002522B7">
              <w:rPr>
                <w:b/>
                <w:i/>
              </w:rPr>
              <w:t>ssourcerne til rådighed.</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lastRenderedPageBreak/>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4 – stk. 1 b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1b.</w:t>
            </w:r>
            <w:r w:rsidRPr="002522B7">
              <w:rPr>
                <w:b/>
                <w:i/>
              </w:rPr>
              <w:tab/>
              <w:t xml:space="preserve">Medlemsstaterne sikrer, at </w:t>
            </w:r>
            <w:r w:rsidRPr="002522B7">
              <w:rPr>
                <w:b/>
                <w:i/>
              </w:rPr>
              <w:t>ligestillingsorganerne i tilfælde af øgede kompetencer, flere klager eller sagsomkostninger eller øgede andre tilknyttede omkostninger udstyres med det kvalificerede personale, tjenester eller digitale ressourcer, der er brug for til udførelsen af deres op</w:t>
            </w:r>
            <w:r w:rsidRPr="002522B7">
              <w:rPr>
                <w:b/>
                <w:i/>
              </w:rPr>
              <w:t>gaver, herunder forskning, overvågning, rapportering og brug af automatiserede systemer. Til dette formål udstyres ligestillingsorganerne med den nødvendige forhøjelse af deres budget. Der skal ikke ske nogen reduktion i ligestillingsorganernes budget.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4 – stk. 1 c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1c.</w:t>
            </w:r>
            <w:r w:rsidRPr="002522B7">
              <w:rPr>
                <w:b/>
                <w:i/>
              </w:rPr>
              <w:tab/>
              <w:t xml:space="preserve">Medlemsstaterne sikrer, at ligestillingsorganerne er i stand til at </w:t>
            </w:r>
            <w:r w:rsidRPr="002522B7">
              <w:rPr>
                <w:b/>
                <w:i/>
              </w:rPr>
              <w:t>give feedback til Equinet, så det kan høres i henhold til artikel 13 i dette direktiv om lovgivning, politik, procedurer og programmer på EU-plan.</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w:t>
      </w:r>
      <w:r w:rsidRPr="002522B7">
        <w:t>el 4 – stk. 1 d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1d.</w:t>
            </w:r>
            <w:r w:rsidRPr="002522B7">
              <w:rPr>
                <w:b/>
                <w:i/>
              </w:rPr>
              <w:tab/>
              <w:t xml:space="preserve">Medlemsstaterne sikrer en særlig og uafhængig budgettildeling til dækning af sagsomkostningerne, som justeres årligt på grundlag af det faktiske omfang af retssager, der </w:t>
            </w:r>
            <w:r w:rsidRPr="002522B7">
              <w:rPr>
                <w:b/>
                <w:i/>
              </w:rPr>
              <w:t xml:space="preserve">forfølges af </w:t>
            </w:r>
            <w:r w:rsidRPr="002522B7">
              <w:rPr>
                <w:b/>
                <w:i/>
              </w:rPr>
              <w:lastRenderedPageBreak/>
              <w:t>ligestillingsorganet, og som i betydelig grad medfinansieres af EU's finansieringsprogrammer.</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5 – stk. 1 – litra a</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a)</w:t>
            </w:r>
            <w:r w:rsidRPr="002522B7">
              <w:tab/>
              <w:t>vedtage en strategi for at øge bevidstheden blandt befolkningen i hele deres område med særlig vægt på enkeltpersoner og grupper, der er i risiko for forskelsbehandling, om rettighederne i henhold til direktiv 2006</w:t>
            </w:r>
            <w:r w:rsidRPr="002522B7">
              <w:t>/54/EF og 2010/41/EU og om eksistensen af ligestillingsorganer og deres tjenester</w:t>
            </w:r>
          </w:p>
        </w:tc>
        <w:tc>
          <w:tcPr>
            <w:tcW w:w="4876" w:type="dxa"/>
            <w:hideMark/>
          </w:tcPr>
          <w:p w:rsidR="008429B6" w:rsidRPr="002522B7" w:rsidRDefault="0032033D" w:rsidP="00823CA1">
            <w:pPr>
              <w:pStyle w:val="Normal6"/>
              <w:rPr>
                <w:szCs w:val="24"/>
              </w:rPr>
            </w:pPr>
            <w:r w:rsidRPr="002522B7">
              <w:t>a)</w:t>
            </w:r>
            <w:r w:rsidRPr="002522B7">
              <w:tab/>
              <w:t xml:space="preserve">vedtage en </w:t>
            </w:r>
            <w:r w:rsidRPr="002522B7">
              <w:rPr>
                <w:b/>
                <w:i/>
              </w:rPr>
              <w:t xml:space="preserve">national </w:t>
            </w:r>
            <w:r w:rsidRPr="002522B7">
              <w:t xml:space="preserve">strategi </w:t>
            </w:r>
            <w:r w:rsidRPr="002522B7">
              <w:rPr>
                <w:b/>
                <w:i/>
              </w:rPr>
              <w:t xml:space="preserve">efter høring af repræsentanter </w:t>
            </w:r>
            <w:r w:rsidRPr="002522B7">
              <w:t xml:space="preserve">for </w:t>
            </w:r>
            <w:r w:rsidRPr="002522B7">
              <w:rPr>
                <w:b/>
                <w:i/>
              </w:rPr>
              <w:t xml:space="preserve">civilsamfundet og arbejdsmarkedets parter, for regelmæssigt </w:t>
            </w:r>
            <w:r w:rsidRPr="002522B7">
              <w:t>at</w:t>
            </w:r>
            <w:r w:rsidRPr="002522B7">
              <w:rPr>
                <w:b/>
                <w:i/>
              </w:rPr>
              <w:t xml:space="preserve"> informere om og</w:t>
            </w:r>
            <w:r w:rsidRPr="002522B7">
              <w:t xml:space="preserve"> øge bevidstheden blandt befo</w:t>
            </w:r>
            <w:r w:rsidRPr="002522B7">
              <w:t>lkningen i hele deres område med særlig vægt på enkeltpersoner og grupper, der er i risiko for forskelsbehandling, om rettighederne i henhold til direktiv 2006/54/EF og 2010/41/EU</w:t>
            </w:r>
            <w:r w:rsidRPr="002522B7">
              <w:rPr>
                <w:b/>
                <w:i/>
              </w:rPr>
              <w:t xml:space="preserve"> og evnen til at udøve dem</w:t>
            </w:r>
            <w:r w:rsidRPr="002522B7">
              <w:t xml:space="preserve"> og om eksistensen af </w:t>
            </w:r>
            <w:r w:rsidRPr="002522B7">
              <w:rPr>
                <w:b/>
                <w:i/>
              </w:rPr>
              <w:t xml:space="preserve">de forskellige </w:t>
            </w:r>
            <w:r w:rsidRPr="002522B7">
              <w:t>ligestillingso</w:t>
            </w:r>
            <w:r w:rsidRPr="002522B7">
              <w:t xml:space="preserve">rganer og deres </w:t>
            </w:r>
            <w:r w:rsidRPr="002522B7">
              <w:rPr>
                <w:b/>
                <w:i/>
              </w:rPr>
              <w:t xml:space="preserve">beføjelser, rolle, tilgængelighed og </w:t>
            </w:r>
            <w:r w:rsidRPr="002522B7">
              <w:t xml:space="preserve">tjenester. </w:t>
            </w:r>
            <w:r w:rsidRPr="002522B7">
              <w:rPr>
                <w:b/>
                <w:i/>
              </w:rPr>
              <w:t>Denne nationale strategi skal omfatte oplysningskampagner, hvor der gøres brug af forskellige kommunikationsværktøjer, herunder sociale medier. Den skal også omfatte, men er ikke begrænset til</w:t>
            </w:r>
            <w:r w:rsidRPr="002522B7">
              <w:rPr>
                <w:b/>
                <w:i/>
              </w:rPr>
              <w:t>, en plan for formidling af information, rådgivning, oplæring, støtte og vejledning til personer i alle aldre og både private og offentlige institutioner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5 – stk. 1 – litra a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(aa)</w:t>
            </w:r>
            <w:r w:rsidRPr="002522B7">
              <w:rPr>
                <w:b/>
                <w:i/>
              </w:rPr>
              <w:tab/>
              <w:t xml:space="preserve">sikre, at medarbejderne på de enkelte ligestillingsorganer har modtaget særlig uddannelse vedrørende alle de grunde til forskelsbehandling, der er </w:t>
            </w:r>
            <w:r w:rsidRPr="002522B7">
              <w:rPr>
                <w:b/>
                <w:i/>
              </w:rPr>
              <w:lastRenderedPageBreak/>
              <w:t>omhandlet i direktiv 2006/54/EF og 2010/41/EU, og om alle former for kønsbaseret vold.</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5 – stk. 1 – litra b</w:t>
      </w:r>
      <w:r w:rsidRPr="002522B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2C1D57">
        <w:trPr>
          <w:jc w:val="center"/>
        </w:trPr>
        <w:tc>
          <w:tcPr>
            <w:tcW w:w="9752" w:type="dxa"/>
            <w:gridSpan w:val="2"/>
          </w:tcPr>
          <w:p w:rsidR="008429B6" w:rsidRPr="002522B7" w:rsidRDefault="008429B6" w:rsidP="00823CA1">
            <w:pPr>
              <w:keepNext/>
            </w:pPr>
          </w:p>
        </w:tc>
      </w:tr>
      <w:tr w:rsidR="003700C6" w:rsidRPr="002522B7" w:rsidTr="002C1D57">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2C1D57">
        <w:trPr>
          <w:jc w:val="center"/>
        </w:trPr>
        <w:tc>
          <w:tcPr>
            <w:tcW w:w="4876" w:type="dxa"/>
            <w:hideMark/>
          </w:tcPr>
          <w:p w:rsidR="008429B6" w:rsidRPr="002522B7" w:rsidRDefault="0032033D" w:rsidP="00823CA1">
            <w:pPr>
              <w:pStyle w:val="Normal6"/>
            </w:pPr>
            <w:r w:rsidRPr="002522B7">
              <w:t>b)</w:t>
            </w:r>
            <w:r w:rsidRPr="002522B7">
              <w:tab/>
              <w:t xml:space="preserve">sikre, at ligestillingsorganerne </w:t>
            </w:r>
            <w:r w:rsidRPr="002522B7">
              <w:rPr>
                <w:b/>
                <w:i/>
              </w:rPr>
              <w:t>engagerer sig i forebyggelse af forskelsbehandling og fremme af ligebehandling og vedtager en strategi, der fastsætter, hvordan de vil indgå i offentlig dialog, kommunikere med personer og grupper, der</w:t>
            </w:r>
            <w:r w:rsidRPr="002522B7">
              <w:t xml:space="preserve"> er i </w:t>
            </w:r>
            <w:r w:rsidRPr="002522B7">
              <w:rPr>
                <w:b/>
                <w:i/>
              </w:rPr>
              <w:t>risiko forskelsbehandling, tilbyde uddannelse og vejledning og fremme ligestillingsopgaver, integration af ligestilling og positiv særbehandling blandt offentlige og private enheder.</w:t>
            </w:r>
          </w:p>
        </w:tc>
        <w:tc>
          <w:tcPr>
            <w:tcW w:w="4876" w:type="dxa"/>
            <w:hideMark/>
          </w:tcPr>
          <w:p w:rsidR="008429B6" w:rsidRPr="002522B7" w:rsidRDefault="0032033D" w:rsidP="00823CA1">
            <w:pPr>
              <w:pStyle w:val="Normal6"/>
              <w:rPr>
                <w:szCs w:val="24"/>
              </w:rPr>
            </w:pPr>
            <w:r w:rsidRPr="002522B7">
              <w:t>b)</w:t>
            </w:r>
            <w:r w:rsidRPr="002522B7">
              <w:tab/>
              <w:t xml:space="preserve">sikre, at ligestillingsorganerne </w:t>
            </w:r>
            <w:r w:rsidRPr="002522B7">
              <w:rPr>
                <w:b/>
                <w:i/>
              </w:rPr>
              <w:t>som minimum</w:t>
            </w:r>
            <w:r w:rsidRPr="002522B7">
              <w:t xml:space="preserve"> er i </w:t>
            </w:r>
            <w:r w:rsidRPr="002522B7">
              <w:rPr>
                <w:b/>
                <w:i/>
              </w:rPr>
              <w:t xml:space="preserve">stand til at: </w:t>
            </w:r>
          </w:p>
        </w:tc>
      </w:tr>
      <w:tr w:rsidR="003700C6" w:rsidRPr="002522B7" w:rsidTr="002C1D57">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i)</w:t>
            </w:r>
            <w:r w:rsidRPr="002522B7">
              <w:t xml:space="preserve"> </w:t>
            </w:r>
            <w:r w:rsidRPr="002522B7">
              <w:rPr>
                <w:b/>
                <w:i/>
              </w:rPr>
              <w:t>engagere sig i forebyggelse af forskelsbehandling, herunder intersektionel forskelsbehandling, og fremme af ligebehandling</w:t>
            </w:r>
          </w:p>
        </w:tc>
      </w:tr>
      <w:tr w:rsidR="003700C6" w:rsidRPr="002522B7" w:rsidTr="002C1D57">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ii)</w:t>
            </w:r>
            <w:r w:rsidRPr="002522B7">
              <w:t xml:space="preserve"> </w:t>
            </w:r>
            <w:r w:rsidRPr="002522B7">
              <w:rPr>
                <w:b/>
                <w:i/>
              </w:rPr>
              <w:t>vedtage en strategi, der skitserer de foranstaltninger, som vil blive truffet for at indgå i offentlig dialog</w:t>
            </w:r>
          </w:p>
        </w:tc>
      </w:tr>
      <w:tr w:rsidR="003700C6" w:rsidRPr="002522B7" w:rsidTr="002C1D57">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iii) sama</w:t>
            </w:r>
            <w:r w:rsidRPr="002522B7">
              <w:rPr>
                <w:b/>
                <w:i/>
              </w:rPr>
              <w:t>rbejde og kommunikere med personer og grupper, der er i risiko for forskelsbehandling, og med civilsamfundsorganisationer, der arbejder for ligestilling mellem kønnene og ikkeforskelsbehandling</w:t>
            </w:r>
          </w:p>
        </w:tc>
      </w:tr>
      <w:tr w:rsidR="003700C6" w:rsidRPr="002522B7" w:rsidTr="002C1D57">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4E7856">
            <w:pPr>
              <w:pStyle w:val="Normal6"/>
              <w:rPr>
                <w:szCs w:val="24"/>
              </w:rPr>
            </w:pPr>
            <w:r w:rsidRPr="002522B7">
              <w:rPr>
                <w:b/>
                <w:i/>
              </w:rPr>
              <w:t>iv)</w:t>
            </w:r>
            <w:r w:rsidRPr="002522B7">
              <w:t xml:space="preserve"> </w:t>
            </w:r>
            <w:r w:rsidRPr="002522B7">
              <w:rPr>
                <w:b/>
                <w:i/>
              </w:rPr>
              <w:t>give personer og institutioner i den offentlige og den p</w:t>
            </w:r>
            <w:r w:rsidRPr="002522B7">
              <w:rPr>
                <w:b/>
                <w:i/>
              </w:rPr>
              <w:t>rivate sektor information, rådgivning, uddannelse, støtte og vejledning i forbindelse med fremme og opnåelse af ligestilling og forebyggelse af forskelsbehandling</w:t>
            </w:r>
          </w:p>
        </w:tc>
      </w:tr>
      <w:tr w:rsidR="003700C6" w:rsidRPr="002522B7" w:rsidTr="002C1D57">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v)</w:t>
            </w:r>
            <w:r w:rsidRPr="002522B7">
              <w:t xml:space="preserve"> </w:t>
            </w:r>
            <w:r w:rsidRPr="002522B7">
              <w:rPr>
                <w:b/>
                <w:i/>
              </w:rPr>
              <w:t xml:space="preserve">fremme og støtte gennemførelsen af ligestillingsopgaver, integration af ligestilling og </w:t>
            </w:r>
            <w:r w:rsidRPr="002522B7">
              <w:rPr>
                <w:b/>
                <w:i/>
              </w:rPr>
              <w:t xml:space="preserve">positiv særbehandling </w:t>
            </w:r>
            <w:r w:rsidRPr="002522B7">
              <w:rPr>
                <w:b/>
                <w:i/>
              </w:rPr>
              <w:lastRenderedPageBreak/>
              <w:t>blandt offentlige og private enheder</w:t>
            </w:r>
          </w:p>
        </w:tc>
      </w:tr>
      <w:tr w:rsidR="003700C6" w:rsidRPr="002522B7" w:rsidTr="002C1D57">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vi) forske i forskelsbehandling, herunder strukturel eller systemisk forskelsbehandling og intersektionel forskelsbehandling, samt forskelsbehandling online, herunder algoritmisk forskelsbehandli</w:t>
            </w:r>
            <w:r w:rsidRPr="002522B7">
              <w:rPr>
                <w:b/>
                <w:i/>
              </w:rPr>
              <w:t>ng.</w:t>
            </w:r>
          </w:p>
        </w:tc>
      </w:tr>
      <w:tr w:rsidR="003700C6" w:rsidRPr="002522B7" w:rsidTr="002C1D57">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vii) samarbejde om uddannelse i ikkeforskelsbehandling og grundlæggende rettigheder rettet mod tilsynsmyndighedernes personale for at sikre korrekt anvendelse af EU-retten om bekæmpelse af forskelsbehandling og grundlæggende rettigheder, herunder ind</w:t>
            </w:r>
            <w:r w:rsidRPr="002522B7">
              <w:rPr>
                <w:b/>
                <w:i/>
              </w:rPr>
              <w:t>en for algoritmisk forskelsbehandling.</w:t>
            </w:r>
          </w:p>
        </w:tc>
      </w:tr>
    </w:tbl>
    <w:p w:rsidR="008429B6" w:rsidRPr="002522B7" w:rsidRDefault="0032033D" w:rsidP="008429B6">
      <w:r w:rsidRPr="002522B7">
        <w:rPr>
          <w:rStyle w:val="HideTWBExt"/>
          <w:noProof w:val="0"/>
        </w:rPr>
        <w:t>&lt;/Amend&gt;</w:t>
      </w:r>
    </w:p>
    <w:p w:rsidR="0042492D" w:rsidRPr="002522B7" w:rsidRDefault="0032033D" w:rsidP="0042492D">
      <w:pPr>
        <w:pStyle w:val="AMNumberTabs0"/>
        <w:keepNext/>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58</w:t>
      </w:r>
      <w:r w:rsidRPr="002522B7">
        <w:rPr>
          <w:rStyle w:val="HideTWBExt"/>
          <w:b w:val="0"/>
          <w:noProof w:val="0"/>
        </w:rPr>
        <w:t>&lt;/NumAm&gt;</w:t>
      </w:r>
    </w:p>
    <w:p w:rsidR="0042492D" w:rsidRPr="002522B7" w:rsidRDefault="0042492D" w:rsidP="0042492D"/>
    <w:p w:rsidR="0042492D" w:rsidRPr="002522B7" w:rsidRDefault="0032033D" w:rsidP="0042492D">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42492D" w:rsidRPr="002522B7" w:rsidRDefault="0032033D" w:rsidP="0042492D">
      <w:pPr>
        <w:pStyle w:val="NormalBold"/>
      </w:pPr>
      <w:r w:rsidRPr="002522B7">
        <w:rPr>
          <w:rStyle w:val="HideTWBExt"/>
          <w:b w:val="0"/>
          <w:noProof w:val="0"/>
        </w:rPr>
        <w:t>&lt;Article&gt;</w:t>
      </w:r>
      <w:r w:rsidRPr="002522B7">
        <w:t>Artikel 5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42492D">
        <w:trPr>
          <w:jc w:val="center"/>
        </w:trPr>
        <w:tc>
          <w:tcPr>
            <w:tcW w:w="9752" w:type="dxa"/>
            <w:gridSpan w:val="2"/>
          </w:tcPr>
          <w:p w:rsidR="0042492D" w:rsidRPr="002522B7" w:rsidRDefault="0042492D">
            <w:pPr>
              <w:keepNext/>
            </w:pPr>
          </w:p>
        </w:tc>
      </w:tr>
      <w:tr w:rsidR="003700C6" w:rsidRPr="002522B7" w:rsidTr="0042492D">
        <w:trPr>
          <w:jc w:val="center"/>
        </w:trPr>
        <w:tc>
          <w:tcPr>
            <w:tcW w:w="4876" w:type="dxa"/>
            <w:hideMark/>
          </w:tcPr>
          <w:p w:rsidR="0042492D" w:rsidRPr="002522B7" w:rsidRDefault="0032033D">
            <w:pPr>
              <w:pStyle w:val="ColumnHeading"/>
              <w:keepNext/>
            </w:pPr>
            <w:r w:rsidRPr="002522B7">
              <w:t>Kommissionens forslag</w:t>
            </w:r>
          </w:p>
        </w:tc>
        <w:tc>
          <w:tcPr>
            <w:tcW w:w="4876" w:type="dxa"/>
            <w:hideMark/>
          </w:tcPr>
          <w:p w:rsidR="0042492D" w:rsidRPr="002522B7" w:rsidRDefault="0032033D">
            <w:pPr>
              <w:pStyle w:val="ColumnHeading"/>
              <w:keepNext/>
            </w:pPr>
            <w:r w:rsidRPr="002522B7">
              <w:t>Ændringsforslag</w:t>
            </w:r>
          </w:p>
        </w:tc>
      </w:tr>
      <w:tr w:rsidR="003700C6" w:rsidRPr="002522B7" w:rsidTr="0042492D">
        <w:trPr>
          <w:jc w:val="center"/>
        </w:trPr>
        <w:tc>
          <w:tcPr>
            <w:tcW w:w="4876" w:type="dxa"/>
            <w:hideMark/>
          </w:tcPr>
          <w:p w:rsidR="0042492D" w:rsidRPr="002522B7" w:rsidRDefault="0032033D">
            <w:pPr>
              <w:pStyle w:val="Normal6"/>
            </w:pPr>
            <w:r w:rsidRPr="002522B7">
              <w:t xml:space="preserve">I den forbindelse tager medlemsstaterne og </w:t>
            </w:r>
            <w:r w:rsidRPr="002522B7">
              <w:t>ligestillingsorganerne hensyn til, hvilke kommunikationsværktøjer og -formater der er mest hensigtsmæssige for den enkelte målgruppe. De fokuserer navnlig på dårligt stillede grupper, hvis adgang til disse oplysninger kan være vanskelig, f.eks. på grund af</w:t>
            </w:r>
            <w:r w:rsidRPr="002522B7">
              <w:t xml:space="preserve"> deres økonomiske status, alder, handicap, færdigheder, nationalitet</w:t>
            </w:r>
            <w:r w:rsidRPr="002522B7">
              <w:rPr>
                <w:b/>
                <w:i/>
              </w:rPr>
              <w:t xml:space="preserve"> eller</w:t>
            </w:r>
            <w:r w:rsidRPr="002522B7">
              <w:t xml:space="preserve"> opholdsstatus eller manglende adgang til onlineværktøjer.</w:t>
            </w:r>
          </w:p>
        </w:tc>
        <w:tc>
          <w:tcPr>
            <w:tcW w:w="4876" w:type="dxa"/>
            <w:hideMark/>
          </w:tcPr>
          <w:p w:rsidR="0042492D" w:rsidRPr="002522B7" w:rsidRDefault="0032033D">
            <w:pPr>
              <w:pStyle w:val="Normal6"/>
              <w:rPr>
                <w:szCs w:val="24"/>
              </w:rPr>
            </w:pPr>
            <w:r w:rsidRPr="002522B7">
              <w:t>I den forbindelse tager medlemsstaterne og ligestillingsorganerne hensyn til, hvilke kommunikationsværktøjer og -formater d</w:t>
            </w:r>
            <w:r w:rsidRPr="002522B7">
              <w:t xml:space="preserve">er er mest hensigtsmæssige for den enkelte målgruppe. De fokuserer navnlig på dårligt stillede grupper, hvis adgang til disse oplysninger kan være vanskelig, f.eks. på grund af deres økonomiske status, alder, handicap, </w:t>
            </w:r>
            <w:r w:rsidRPr="002522B7">
              <w:rPr>
                <w:b/>
                <w:i/>
              </w:rPr>
              <w:t xml:space="preserve">sundhedstilstand, </w:t>
            </w:r>
            <w:r w:rsidRPr="002522B7">
              <w:t>færdigheder, nation</w:t>
            </w:r>
            <w:r w:rsidRPr="002522B7">
              <w:t>alitet</w:t>
            </w:r>
            <w:r w:rsidRPr="002522B7">
              <w:rPr>
                <w:b/>
                <w:i/>
              </w:rPr>
              <w:t>, etnicitet,</w:t>
            </w:r>
            <w:r w:rsidRPr="002522B7">
              <w:t xml:space="preserve"> opholdsstatus eller manglende adgang til onlineværktøjer</w:t>
            </w:r>
            <w:r w:rsidRPr="002522B7">
              <w:rPr>
                <w:b/>
                <w:i/>
              </w:rPr>
              <w:t>, idet de tager hensyn til disse gruppers særlige behov i en given medlemsstat</w:t>
            </w:r>
            <w:r w:rsidRPr="002522B7">
              <w:t xml:space="preserve">. </w:t>
            </w:r>
          </w:p>
        </w:tc>
      </w:tr>
    </w:tbl>
    <w:p w:rsidR="0042492D" w:rsidRPr="002522B7" w:rsidRDefault="0032033D" w:rsidP="002C1D57">
      <w:pPr>
        <w:rPr>
          <w:rStyle w:val="HideTWBExt"/>
          <w:noProof w:val="0"/>
        </w:rPr>
      </w:pPr>
      <w:r w:rsidRPr="002522B7">
        <w:rPr>
          <w:rStyle w:val="HideTWBExt"/>
          <w:noProof w:val="0"/>
        </w:rPr>
        <w:t>&lt;/Amend&gt;</w:t>
      </w:r>
    </w:p>
    <w:p w:rsidR="0042492D" w:rsidRPr="002522B7" w:rsidRDefault="0032033D" w:rsidP="0042492D">
      <w:pPr>
        <w:pStyle w:val="AMNumberTabs0"/>
        <w:keepNext/>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59</w:t>
      </w:r>
      <w:r w:rsidRPr="002522B7">
        <w:rPr>
          <w:rStyle w:val="HideTWBExt"/>
          <w:b w:val="0"/>
          <w:noProof w:val="0"/>
        </w:rPr>
        <w:t>&lt;/NumAm&gt;</w:t>
      </w:r>
    </w:p>
    <w:p w:rsidR="0042492D" w:rsidRPr="002522B7" w:rsidRDefault="0042492D" w:rsidP="0042492D"/>
    <w:p w:rsidR="0042492D" w:rsidRPr="002522B7" w:rsidRDefault="0032033D" w:rsidP="0042492D">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42492D" w:rsidRPr="002522B7" w:rsidRDefault="0032033D" w:rsidP="0042492D">
      <w:pPr>
        <w:pStyle w:val="NormalBold"/>
      </w:pPr>
      <w:r w:rsidRPr="002522B7">
        <w:rPr>
          <w:rStyle w:val="HideTWBExt"/>
          <w:b w:val="0"/>
          <w:noProof w:val="0"/>
        </w:rPr>
        <w:t>&lt;Arti</w:t>
      </w:r>
      <w:r w:rsidRPr="002522B7">
        <w:rPr>
          <w:rStyle w:val="HideTWBExt"/>
          <w:b w:val="0"/>
          <w:noProof w:val="0"/>
        </w:rPr>
        <w:t>cle&gt;</w:t>
      </w:r>
      <w:r w:rsidRPr="002522B7">
        <w:t>Artikel 5 – stk. 2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42492D">
        <w:trPr>
          <w:jc w:val="center"/>
        </w:trPr>
        <w:tc>
          <w:tcPr>
            <w:tcW w:w="9752" w:type="dxa"/>
            <w:gridSpan w:val="2"/>
          </w:tcPr>
          <w:p w:rsidR="0042492D" w:rsidRPr="002522B7" w:rsidRDefault="0042492D">
            <w:pPr>
              <w:keepNext/>
            </w:pPr>
          </w:p>
        </w:tc>
      </w:tr>
      <w:tr w:rsidR="003700C6" w:rsidRPr="002522B7" w:rsidTr="0042492D">
        <w:trPr>
          <w:jc w:val="center"/>
        </w:trPr>
        <w:tc>
          <w:tcPr>
            <w:tcW w:w="4876" w:type="dxa"/>
            <w:hideMark/>
          </w:tcPr>
          <w:p w:rsidR="0042492D" w:rsidRPr="002522B7" w:rsidRDefault="0032033D">
            <w:pPr>
              <w:pStyle w:val="ColumnHeading"/>
              <w:keepNext/>
            </w:pPr>
            <w:r w:rsidRPr="002522B7">
              <w:t>Kommissionens forslag</w:t>
            </w:r>
          </w:p>
        </w:tc>
        <w:tc>
          <w:tcPr>
            <w:tcW w:w="4876" w:type="dxa"/>
            <w:hideMark/>
          </w:tcPr>
          <w:p w:rsidR="0042492D" w:rsidRPr="002522B7" w:rsidRDefault="0032033D">
            <w:pPr>
              <w:pStyle w:val="ColumnHeading"/>
              <w:keepNext/>
            </w:pPr>
            <w:r w:rsidRPr="002522B7">
              <w:t>Ændringsforslag</w:t>
            </w:r>
          </w:p>
        </w:tc>
      </w:tr>
      <w:tr w:rsidR="003700C6" w:rsidRPr="002522B7" w:rsidTr="0042492D">
        <w:trPr>
          <w:jc w:val="center"/>
        </w:trPr>
        <w:tc>
          <w:tcPr>
            <w:tcW w:w="4876" w:type="dxa"/>
          </w:tcPr>
          <w:p w:rsidR="0042492D" w:rsidRPr="002522B7" w:rsidRDefault="0042492D">
            <w:pPr>
              <w:pStyle w:val="Normal6"/>
            </w:pPr>
          </w:p>
        </w:tc>
        <w:tc>
          <w:tcPr>
            <w:tcW w:w="4876" w:type="dxa"/>
            <w:hideMark/>
          </w:tcPr>
          <w:p w:rsidR="0042492D" w:rsidRPr="002522B7" w:rsidRDefault="0032033D">
            <w:pPr>
              <w:pStyle w:val="Normal6"/>
              <w:rPr>
                <w:szCs w:val="24"/>
              </w:rPr>
            </w:pPr>
            <w:r w:rsidRPr="002522B7">
              <w:rPr>
                <w:b/>
                <w:i/>
              </w:rPr>
              <w:t>(2a)</w:t>
            </w:r>
            <w:r w:rsidRPr="002522B7">
              <w:rPr>
                <w:b/>
                <w:i/>
              </w:rPr>
              <w:tab/>
              <w:t xml:space="preserve">Kommissionen udsteder retningslinjer for begge disse strategier </w:t>
            </w:r>
            <w:r w:rsidRPr="002522B7">
              <w:rPr>
                <w:b/>
                <w:i/>
              </w:rPr>
              <w:lastRenderedPageBreak/>
              <w:t xml:space="preserve">seks måneder efter vedtagelsen af dette direktiv, afgiver en udtalelse om strategiernes kvalitet og </w:t>
            </w:r>
            <w:r w:rsidRPr="002522B7">
              <w:rPr>
                <w:b/>
                <w:i/>
              </w:rPr>
              <w:t>effektivitet og overvåger gennemførelsen af dem, herunder offentliggørelsen af halvårlige rapport om de fremskridt, der gøres med gennemførelsen.</w:t>
            </w:r>
          </w:p>
        </w:tc>
      </w:tr>
    </w:tbl>
    <w:p w:rsidR="0042492D" w:rsidRPr="002522B7" w:rsidRDefault="0032033D" w:rsidP="0042492D">
      <w:pPr>
        <w:rPr>
          <w:rStyle w:val="HideTWBExt"/>
          <w:noProof w:val="0"/>
        </w:rPr>
      </w:pPr>
      <w:r w:rsidRPr="002522B7">
        <w:rPr>
          <w:rStyle w:val="HideTWBExt"/>
          <w:noProof w:val="0"/>
        </w:rPr>
        <w:lastRenderedPageBreak/>
        <w:t>&lt;/Amend&gt;</w:t>
      </w:r>
    </w:p>
    <w:p w:rsidR="0042492D" w:rsidRPr="002522B7" w:rsidRDefault="0042492D" w:rsidP="002C1D57">
      <w:pPr>
        <w:rPr>
          <w:rStyle w:val="HideTWBExt"/>
          <w:noProof w:val="0"/>
        </w:rPr>
      </w:pPr>
    </w:p>
    <w:p w:rsidR="00DB7EE6" w:rsidRPr="002522B7" w:rsidRDefault="0032033D" w:rsidP="002C1D57">
      <w:r w:rsidRPr="002522B7">
        <w:rPr>
          <w:rStyle w:val="HideTWBExt"/>
          <w:b/>
          <w:noProof w:val="0"/>
        </w:rPr>
        <w:t>&lt;Amend&gt;</w:t>
      </w:r>
      <w:r w:rsidRPr="002522B7">
        <w:t>Ændringsforslag</w:t>
      </w:r>
      <w:r w:rsidRPr="002522B7">
        <w:tab/>
      </w:r>
      <w:r w:rsidRPr="002522B7">
        <w:tab/>
      </w:r>
      <w:r w:rsidRPr="002522B7">
        <w:rPr>
          <w:rStyle w:val="HideTWBExt"/>
          <w:b/>
          <w:noProof w:val="0"/>
        </w:rPr>
        <w:t>&lt;NumAm&gt;</w:t>
      </w:r>
      <w:r w:rsidRPr="002522B7">
        <w:t>60</w:t>
      </w:r>
      <w:r w:rsidRPr="002522B7">
        <w:rPr>
          <w:rStyle w:val="HideTWBExt"/>
          <w:b/>
          <w:noProof w:val="0"/>
        </w:rPr>
        <w:t>&lt;/NumAm&gt;</w:t>
      </w:r>
    </w:p>
    <w:p w:rsidR="00DB7EE6" w:rsidRPr="002522B7" w:rsidRDefault="00DB7EE6" w:rsidP="00DB7EE6"/>
    <w:p w:rsidR="00DB7EE6" w:rsidRPr="002522B7" w:rsidRDefault="0032033D" w:rsidP="00DB7EE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DB7EE6" w:rsidRPr="002522B7" w:rsidRDefault="0032033D" w:rsidP="00DB7EE6">
      <w:pPr>
        <w:pStyle w:val="NormalBold"/>
      </w:pPr>
      <w:r w:rsidRPr="002522B7">
        <w:rPr>
          <w:rStyle w:val="HideTWBExt"/>
          <w:b w:val="0"/>
          <w:noProof w:val="0"/>
        </w:rPr>
        <w:t>&lt;Article&gt;</w:t>
      </w:r>
      <w:r w:rsidRPr="002522B7">
        <w:t>Artikel 6 – overskrift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DB7EE6">
        <w:trPr>
          <w:jc w:val="center"/>
        </w:trPr>
        <w:tc>
          <w:tcPr>
            <w:tcW w:w="9752" w:type="dxa"/>
            <w:gridSpan w:val="2"/>
          </w:tcPr>
          <w:p w:rsidR="00DB7EE6" w:rsidRPr="002522B7" w:rsidRDefault="00DB7EE6">
            <w:pPr>
              <w:keepNext/>
            </w:pPr>
          </w:p>
        </w:tc>
      </w:tr>
      <w:tr w:rsidR="003700C6" w:rsidRPr="002522B7" w:rsidTr="00DB7EE6">
        <w:trPr>
          <w:jc w:val="center"/>
        </w:trPr>
        <w:tc>
          <w:tcPr>
            <w:tcW w:w="4876" w:type="dxa"/>
            <w:hideMark/>
          </w:tcPr>
          <w:p w:rsidR="00DB7EE6" w:rsidRPr="002522B7" w:rsidRDefault="0032033D">
            <w:pPr>
              <w:pStyle w:val="ColumnHeading"/>
              <w:keepNext/>
            </w:pPr>
            <w:r w:rsidRPr="002522B7">
              <w:t>Kommissionens forslag</w:t>
            </w:r>
          </w:p>
        </w:tc>
        <w:tc>
          <w:tcPr>
            <w:tcW w:w="4876" w:type="dxa"/>
            <w:hideMark/>
          </w:tcPr>
          <w:p w:rsidR="00DB7EE6" w:rsidRPr="002522B7" w:rsidRDefault="0032033D">
            <w:pPr>
              <w:pStyle w:val="ColumnHeading"/>
              <w:keepNext/>
            </w:pPr>
            <w:r w:rsidRPr="002522B7">
              <w:t>Ændringsforslag</w:t>
            </w:r>
          </w:p>
        </w:tc>
      </w:tr>
      <w:tr w:rsidR="003700C6" w:rsidRPr="002522B7" w:rsidTr="00DB7EE6">
        <w:trPr>
          <w:jc w:val="center"/>
        </w:trPr>
        <w:tc>
          <w:tcPr>
            <w:tcW w:w="4876" w:type="dxa"/>
            <w:hideMark/>
          </w:tcPr>
          <w:p w:rsidR="00DB7EE6" w:rsidRPr="002522B7" w:rsidRDefault="0032033D">
            <w:pPr>
              <w:pStyle w:val="Normal6"/>
            </w:pPr>
            <w:r w:rsidRPr="002522B7">
              <w:t>Bistand til ofre</w:t>
            </w:r>
          </w:p>
        </w:tc>
        <w:tc>
          <w:tcPr>
            <w:tcW w:w="4876" w:type="dxa"/>
            <w:hideMark/>
          </w:tcPr>
          <w:p w:rsidR="00DB7EE6" w:rsidRPr="002522B7" w:rsidRDefault="0032033D">
            <w:pPr>
              <w:pStyle w:val="Normal6"/>
              <w:rPr>
                <w:szCs w:val="24"/>
              </w:rPr>
            </w:pPr>
            <w:r w:rsidRPr="002522B7">
              <w:rPr>
                <w:b/>
                <w:i/>
              </w:rPr>
              <w:t xml:space="preserve">Støtte og </w:t>
            </w:r>
            <w:r w:rsidRPr="002522B7">
              <w:t>bistand til ofre</w:t>
            </w:r>
            <w:r w:rsidRPr="002522B7">
              <w:rPr>
                <w:b/>
                <w:i/>
              </w:rPr>
              <w:t xml:space="preserve"> for forskelsbehandling</w:t>
            </w:r>
          </w:p>
        </w:tc>
      </w:tr>
    </w:tbl>
    <w:p w:rsidR="00DB7EE6" w:rsidRPr="002522B7" w:rsidRDefault="0032033D" w:rsidP="00DB7EE6">
      <w:pPr>
        <w:pStyle w:val="AmNumberTabs"/>
        <w:rPr>
          <w:rStyle w:val="HideTWBExt"/>
          <w:noProof w:val="0"/>
        </w:rPr>
      </w:pPr>
      <w:r w:rsidRPr="002522B7">
        <w:rPr>
          <w:rStyle w:val="HideTWBExt"/>
          <w:noProof w:val="0"/>
        </w:rPr>
        <w:t>&lt;/Amend&gt;</w:t>
      </w:r>
    </w:p>
    <w:p w:rsidR="008429B6" w:rsidRPr="002522B7" w:rsidRDefault="0032033D" w:rsidP="00DB7EE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6 –</w:t>
      </w:r>
      <w:r w:rsidRPr="002522B7">
        <w:t xml:space="preserve">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t>Medlemsstaterne sikrer, at ligestillingsorganerne er i stand til at yde bistand til ofre</w:t>
            </w:r>
            <w:r w:rsidRPr="002522B7">
              <w:rPr>
                <w:b/>
                <w:i/>
              </w:rPr>
              <w:t>, jf. stk. 2-4</w:t>
            </w:r>
            <w:r w:rsidRPr="002522B7">
              <w:t>.</w:t>
            </w:r>
          </w:p>
        </w:tc>
        <w:tc>
          <w:tcPr>
            <w:tcW w:w="4876" w:type="dxa"/>
            <w:hideMark/>
          </w:tcPr>
          <w:p w:rsidR="008429B6" w:rsidRPr="002522B7" w:rsidRDefault="0032033D" w:rsidP="00823CA1">
            <w:pPr>
              <w:pStyle w:val="Normal6"/>
              <w:rPr>
                <w:szCs w:val="24"/>
              </w:rPr>
            </w:pPr>
            <w:r w:rsidRPr="002522B7">
              <w:t>1.</w:t>
            </w:r>
            <w:r w:rsidRPr="002522B7">
              <w:tab/>
              <w:t xml:space="preserve">Medlemsstaterne sikrer, at ligestillingsorganerne er i stand til at yde </w:t>
            </w:r>
            <w:r w:rsidRPr="002522B7">
              <w:rPr>
                <w:b/>
                <w:i/>
              </w:rPr>
              <w:t>gratis støtte o</w:t>
            </w:r>
            <w:r w:rsidRPr="002522B7">
              <w:rPr>
                <w:b/>
                <w:i/>
              </w:rPr>
              <w:t xml:space="preserve">g </w:t>
            </w:r>
            <w:r w:rsidRPr="002522B7">
              <w:t>bistand til ofre</w:t>
            </w:r>
            <w:r w:rsidRPr="002522B7">
              <w:rPr>
                <w:b/>
                <w:i/>
              </w:rPr>
              <w:t xml:space="preserve"> i overensstemmelse med dette direktiv</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6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w:t>
            </w:r>
            <w:r w:rsidRPr="002522B7">
              <w:tab/>
            </w:r>
            <w:r w:rsidRPr="002522B7">
              <w:t>Ligestillingsorganerne skal kunne modtage klager over forskelsbehandling mundtligt, skriftligt og online.</w:t>
            </w:r>
          </w:p>
        </w:tc>
        <w:tc>
          <w:tcPr>
            <w:tcW w:w="4876" w:type="dxa"/>
            <w:hideMark/>
          </w:tcPr>
          <w:p w:rsidR="008429B6" w:rsidRPr="002522B7" w:rsidRDefault="0032033D" w:rsidP="00823CA1">
            <w:pPr>
              <w:pStyle w:val="Normal6"/>
              <w:rPr>
                <w:szCs w:val="24"/>
              </w:rPr>
            </w:pPr>
            <w:r w:rsidRPr="002522B7">
              <w:rPr>
                <w:b/>
                <w:i/>
              </w:rPr>
              <w:t>2.</w:t>
            </w:r>
            <w:r w:rsidRPr="002522B7">
              <w:tab/>
              <w:t>Ligestillingsorganerne skal kunne modtage klager over forskelsbehandling</w:t>
            </w:r>
            <w:r w:rsidRPr="002522B7">
              <w:rPr>
                <w:b/>
                <w:i/>
              </w:rPr>
              <w:t xml:space="preserve"> i enhver form, herunder</w:t>
            </w:r>
            <w:r w:rsidRPr="002522B7">
              <w:t xml:space="preserve"> mundtligt, skriftligt og online.</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6 – stk. 3 – afsnit 1</w:t>
      </w:r>
      <w:r w:rsidRPr="002522B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2C1D57">
        <w:trPr>
          <w:jc w:val="center"/>
        </w:trPr>
        <w:tc>
          <w:tcPr>
            <w:tcW w:w="9752" w:type="dxa"/>
            <w:gridSpan w:val="2"/>
          </w:tcPr>
          <w:p w:rsidR="008429B6" w:rsidRPr="002522B7" w:rsidRDefault="008429B6" w:rsidP="00823CA1">
            <w:pPr>
              <w:keepNext/>
            </w:pPr>
          </w:p>
        </w:tc>
      </w:tr>
      <w:tr w:rsidR="003700C6" w:rsidRPr="002522B7" w:rsidTr="002C1D57">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2C1D57">
        <w:trPr>
          <w:jc w:val="center"/>
        </w:trPr>
        <w:tc>
          <w:tcPr>
            <w:tcW w:w="4876" w:type="dxa"/>
            <w:hideMark/>
          </w:tcPr>
          <w:p w:rsidR="008429B6" w:rsidRPr="002522B7" w:rsidRDefault="0032033D" w:rsidP="00823CA1">
            <w:pPr>
              <w:pStyle w:val="Normal6"/>
            </w:pPr>
            <w:r w:rsidRPr="002522B7">
              <w:t xml:space="preserve">Ligestillingsorganerne yder bistand til ofre, i </w:t>
            </w:r>
            <w:r w:rsidRPr="002522B7">
              <w:rPr>
                <w:b/>
                <w:i/>
              </w:rPr>
              <w:t>første omgang ved</w:t>
            </w:r>
            <w:r w:rsidRPr="002522B7">
              <w:t xml:space="preserve"> at </w:t>
            </w:r>
            <w:r w:rsidRPr="002522B7">
              <w:rPr>
                <w:b/>
                <w:i/>
              </w:rPr>
              <w:t>informere dem</w:t>
            </w:r>
            <w:r w:rsidRPr="002522B7">
              <w:t xml:space="preserve"> om de retlige rammer,</w:t>
            </w:r>
            <w:r w:rsidRPr="002522B7">
              <w:rPr>
                <w:b/>
                <w:i/>
              </w:rPr>
              <w:t xml:space="preserve"> herunder</w:t>
            </w:r>
            <w:r w:rsidRPr="002522B7">
              <w:t xml:space="preserve"> rådgivning målrettet deres specifikke situation, om de tjenester, ligestillingsorganet tilbyder, og relaterede proceduremæssige aspekter samt om</w:t>
            </w:r>
            <w:r w:rsidRPr="002522B7">
              <w:rPr>
                <w:b/>
                <w:i/>
              </w:rPr>
              <w:t xml:space="preserve"> tilgængelige retsmidler, herunder</w:t>
            </w:r>
            <w:r w:rsidRPr="002522B7">
              <w:t xml:space="preserve"> muligheden for at anlægge sag ved domstolene.</w:t>
            </w:r>
          </w:p>
        </w:tc>
        <w:tc>
          <w:tcPr>
            <w:tcW w:w="4876" w:type="dxa"/>
            <w:hideMark/>
          </w:tcPr>
          <w:p w:rsidR="008429B6" w:rsidRPr="002522B7" w:rsidRDefault="0032033D" w:rsidP="004E7856">
            <w:pPr>
              <w:pStyle w:val="Normal6"/>
              <w:rPr>
                <w:szCs w:val="24"/>
              </w:rPr>
            </w:pPr>
            <w:r w:rsidRPr="002522B7">
              <w:t xml:space="preserve">Ligestillingsorganerne yder </w:t>
            </w:r>
            <w:r w:rsidRPr="002522B7">
              <w:rPr>
                <w:b/>
                <w:i/>
              </w:rPr>
              <w:t xml:space="preserve">støtte og </w:t>
            </w:r>
            <w:r w:rsidRPr="002522B7">
              <w:t xml:space="preserve">bistand til ofre, </w:t>
            </w:r>
            <w:r w:rsidRPr="002522B7">
              <w:rPr>
                <w:b/>
                <w:i/>
              </w:rPr>
              <w:t>der har indgivet en klage, herunder juridisk bistand. Personalet i ligestillingsorganerne skal kunne give førstehåndsoplysninger til ofrene og være udstyret med færdigheder til at genkende psykologis</w:t>
            </w:r>
            <w:r w:rsidRPr="002522B7">
              <w:rPr>
                <w:b/>
                <w:i/>
              </w:rPr>
              <w:t>ke behov. Ligestillingsorganerne skal også kunne yde rådgivning om, hvordan man kan klage, herunder oplysninger</w:t>
            </w:r>
            <w:r w:rsidRPr="002522B7">
              <w:t xml:space="preserve"> om de retlige rammer</w:t>
            </w:r>
            <w:r w:rsidRPr="002522B7">
              <w:rPr>
                <w:b/>
                <w:i/>
              </w:rPr>
              <w:t xml:space="preserve"> og deres rettigheder inden for disse</w:t>
            </w:r>
            <w:r w:rsidRPr="002522B7">
              <w:t>, rådgivning målrettet deres specifikke situation</w:t>
            </w:r>
            <w:r w:rsidRPr="002522B7">
              <w:rPr>
                <w:b/>
                <w:i/>
              </w:rPr>
              <w:t xml:space="preserve"> og ofrenes behov</w:t>
            </w:r>
            <w:r w:rsidRPr="002522B7">
              <w:t>,</w:t>
            </w:r>
            <w:r w:rsidRPr="002522B7">
              <w:rPr>
                <w:b/>
                <w:i/>
              </w:rPr>
              <w:t xml:space="preserve"> oplysninger</w:t>
            </w:r>
            <w:r w:rsidRPr="002522B7">
              <w:t xml:space="preserve"> om de t</w:t>
            </w:r>
            <w:r w:rsidRPr="002522B7">
              <w:t xml:space="preserve">jenester, ligestillingsorganet tilbyder, og relaterede proceduremæssige aspekter samt </w:t>
            </w:r>
            <w:r w:rsidRPr="002522B7">
              <w:rPr>
                <w:b/>
                <w:i/>
              </w:rPr>
              <w:t xml:space="preserve">oplysninger </w:t>
            </w:r>
            <w:r w:rsidRPr="002522B7">
              <w:t>om muligheden for at anlægge sag ved domstolene</w:t>
            </w:r>
            <w:r w:rsidRPr="002522B7">
              <w:rPr>
                <w:b/>
                <w:i/>
              </w:rPr>
              <w:t xml:space="preserve"> og andre retsmidler</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w:t>
      </w:r>
      <w:r w:rsidRPr="002522B7">
        <w:rPr>
          <w:rStyle w:val="HideTWBExt"/>
          <w:b w:val="0"/>
          <w:noProof w:val="0"/>
        </w:rPr>
        <w:t>mend&gt;</w:t>
      </w:r>
    </w:p>
    <w:p w:rsidR="008429B6" w:rsidRPr="002522B7" w:rsidRDefault="0032033D" w:rsidP="008429B6">
      <w:pPr>
        <w:pStyle w:val="NormalBold"/>
      </w:pPr>
      <w:r w:rsidRPr="002522B7">
        <w:rPr>
          <w:rStyle w:val="HideTWBExt"/>
          <w:b w:val="0"/>
          <w:noProof w:val="0"/>
        </w:rPr>
        <w:t>&lt;Article&gt;</w:t>
      </w:r>
      <w:r w:rsidRPr="002522B7">
        <w:t>Artikel 6 – stk. 4 – afsnit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rPr>
                <w:b/>
                <w:i/>
              </w:rPr>
              <w:t xml:space="preserve">Ligestillingsorganerne foretager en foreløbig vurdering af en klage på grundlag af oplysninger, som de involverede parter frivilligt har indgivet. </w:t>
            </w:r>
            <w:r w:rsidRPr="002522B7">
              <w:rPr>
                <w:b/>
                <w:i/>
              </w:rPr>
              <w:t>Medlemsstaterne fastlægger de nærmere regler for, hvordan ligestillingsorganet skal foretage en sådan foreløbig vurdering.</w:t>
            </w:r>
          </w:p>
        </w:tc>
        <w:tc>
          <w:tcPr>
            <w:tcW w:w="4876" w:type="dxa"/>
            <w:hideMark/>
          </w:tcPr>
          <w:p w:rsidR="008429B6" w:rsidRPr="002522B7" w:rsidRDefault="0032033D" w:rsidP="00823CA1">
            <w:pPr>
              <w:pStyle w:val="Normal6"/>
              <w:rPr>
                <w:b/>
                <w:i/>
                <w:szCs w:val="24"/>
              </w:rPr>
            </w:pPr>
            <w:r w:rsidRPr="002522B7">
              <w:rPr>
                <w:b/>
                <w:i/>
              </w:rPr>
              <w:t xml:space="preserve">udgår </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7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 xml:space="preserve">Ligestillingsorganerne skal give parterne </w:t>
            </w:r>
            <w:r w:rsidRPr="002522B7">
              <w:lastRenderedPageBreak/>
              <w:t xml:space="preserve">mulighed for at søge en forligsmæssig løsning af deres tvist. Denne proces skal godkendes af parterne og kan ledes af ligestillingsorganet selv eller af en anden </w:t>
            </w:r>
            <w:r w:rsidRPr="002522B7">
              <w:t>eksisterende særlig enhed, i hvilket tilfælde ligestillingsorganet kan fremsætte bemærkninger til denne enhed. Deltagelse i en sådan proces forhindrer ikke parterne i at udøve deres ret til domstolsprøvelse.</w:t>
            </w:r>
          </w:p>
        </w:tc>
        <w:tc>
          <w:tcPr>
            <w:tcW w:w="4876" w:type="dxa"/>
            <w:hideMark/>
          </w:tcPr>
          <w:p w:rsidR="008429B6" w:rsidRPr="002522B7" w:rsidRDefault="0032033D" w:rsidP="00823CA1">
            <w:pPr>
              <w:pStyle w:val="Normal6"/>
              <w:rPr>
                <w:szCs w:val="24"/>
              </w:rPr>
            </w:pPr>
            <w:r w:rsidRPr="002522B7">
              <w:lastRenderedPageBreak/>
              <w:t xml:space="preserve">Ligestillingsorganerne skal give parterne </w:t>
            </w:r>
            <w:r w:rsidRPr="002522B7">
              <w:lastRenderedPageBreak/>
              <w:t>muligh</w:t>
            </w:r>
            <w:r w:rsidRPr="002522B7">
              <w:t>ed for at søge en forligsmæssig løsning af deres tvist</w:t>
            </w:r>
            <w:r w:rsidRPr="002522B7">
              <w:rPr>
                <w:b/>
                <w:i/>
              </w:rPr>
              <w:t xml:space="preserve"> ved en domstol eller udenretsligt</w:t>
            </w:r>
            <w:r w:rsidRPr="002522B7">
              <w:t>. Denne proces skal godkendes af parterne og kan ledes af ligestillingsorganet selv eller af en anden eksisterende særlig enhed, i hvilket tilfælde ligestillingsorganet</w:t>
            </w:r>
            <w:r w:rsidRPr="002522B7">
              <w:t xml:space="preserve"> kan fremsætte bemærkninger til denne enhed. Deltagelse i en sådan proces forhindrer ikke parterne i at udøve deres ret til domstolsprøvelse.</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 xml:space="preserve">Artikel 7 </w:t>
      </w:r>
      <w:r w:rsidRPr="002522B7">
        <w:t>a (ny)</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jc w:val="center"/>
              <w:rPr>
                <w:szCs w:val="24"/>
              </w:rPr>
            </w:pPr>
            <w:r w:rsidRPr="002522B7">
              <w:rPr>
                <w:b/>
                <w:i/>
              </w:rPr>
              <w:t>Artikel 7a</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jc w:val="center"/>
              <w:rPr>
                <w:szCs w:val="24"/>
              </w:rPr>
            </w:pPr>
            <w:r w:rsidRPr="002522B7">
              <w:rPr>
                <w:b/>
                <w:i/>
              </w:rPr>
              <w:t>Undersøgelser</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11190E">
            <w:pPr>
              <w:pStyle w:val="Normal6"/>
              <w:rPr>
                <w:szCs w:val="24"/>
              </w:rPr>
            </w:pPr>
            <w:r w:rsidRPr="002522B7">
              <w:rPr>
                <w:b/>
                <w:i/>
              </w:rPr>
              <w:t xml:space="preserve">1. Medlemsstaterne sikrer, at ligestillingsorganerne har beføjelse til effektivt at undersøge, på grundlag af en klage eller på eget initiativ, om der er sket en </w:t>
            </w:r>
            <w:r w:rsidRPr="002522B7">
              <w:rPr>
                <w:b/>
                <w:i/>
              </w:rPr>
              <w:t xml:space="preserve">overtrædelse af princippet om ligebehandling i direktiv 2006/54/EF og 2010/41/EU, og søge at imødegå både individuel, struktureret eller systemisk forskelsbehandling. </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11190E">
            <w:pPr>
              <w:pStyle w:val="Normal6"/>
              <w:rPr>
                <w:szCs w:val="24"/>
              </w:rPr>
            </w:pPr>
            <w:r w:rsidRPr="002522B7">
              <w:rPr>
                <w:b/>
                <w:i/>
              </w:rPr>
              <w:t>2. Medlemsstaterne etablerer en ramme, der gør det muligt for ligestillingsorganerne a</w:t>
            </w:r>
            <w:r w:rsidRPr="002522B7">
              <w:rPr>
                <w:b/>
                <w:i/>
              </w:rPr>
              <w:t>t foretage undersøgelser på baggrund af en klage eller på eget initiativ ud fra en rimelig mistanke for at sikre, at alle sagens faktiske omstændigheder tages i betragtning med henblik på deres endelige afgørelse. Denne ramme skal navnlig sikre, at ligesti</w:t>
            </w:r>
            <w:r w:rsidRPr="002522B7">
              <w:rPr>
                <w:b/>
                <w:i/>
              </w:rPr>
              <w:t>llingsorganerne har en effektiv ret til adgang til oplysninger, som er nødvendige for at fastslå, om der er sket forskelsbehandling.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3. Medlemsstaterne sikrer, at offentlige og private enheder, eventuelle andre berørte tredjeparter og den påståede gernin</w:t>
            </w:r>
            <w:r w:rsidRPr="002522B7">
              <w:rPr>
                <w:b/>
                <w:i/>
              </w:rPr>
              <w:t xml:space="preserve">gsmand er forpligtet til at </w:t>
            </w:r>
            <w:r w:rsidRPr="002522B7">
              <w:rPr>
                <w:b/>
                <w:i/>
              </w:rPr>
              <w:lastRenderedPageBreak/>
              <w:t>samarbejde med ligestillingsorganer i forbindelse med deres undersøgelser, idet de skal fremlægge de ønskede oplysninger, uden at dette berører enkeltpersoners datarettigheder. Ligestillingsorganer har ret til at indføre sanktio</w:t>
            </w:r>
            <w:r w:rsidRPr="002522B7">
              <w:rPr>
                <w:b/>
                <w:i/>
              </w:rPr>
              <w:t>ner, hvis den dokumentation og/eller de relevante oplysninger, som de har krævet, ikke fremlægges. Der indføres udelukkende sanktioner i overensstemmelse med national ret og praksis, hvis der ikke er nogen behørigt begrundet årsag til ikke at fremlægge den</w:t>
            </w:r>
            <w:r w:rsidRPr="002522B7">
              <w:rPr>
                <w:b/>
                <w:i/>
              </w:rPr>
              <w:t xml:space="preserve"> krævede dokumentation og/eller de krævede oplysninger, og hvis disse ikke indeholder personoplysninger. </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7 b (ny)</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 xml:space="preserve">Kommissionens </w:t>
            </w:r>
            <w:r w:rsidRPr="002522B7">
              <w:t>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jc w:val="center"/>
              <w:rPr>
                <w:szCs w:val="24"/>
              </w:rPr>
            </w:pPr>
            <w:r w:rsidRPr="002522B7">
              <w:rPr>
                <w:b/>
                <w:i/>
              </w:rPr>
              <w:t>Artikel 7b</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jc w:val="center"/>
              <w:rPr>
                <w:szCs w:val="24"/>
              </w:rPr>
            </w:pPr>
            <w:r w:rsidRPr="002522B7">
              <w:rPr>
                <w:b/>
                <w:i/>
              </w:rPr>
              <w:t>Udtalelser og beslutningsfunktioner</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1. Medlemsstaterne sikrer, at ligestillingsorganerne har beføjelser til effektivt at bekæmpe diskrimination.</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2. De opgaver, som ligestillingsorganerne kan have, omfatter:</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 xml:space="preserve">a) </w:t>
            </w:r>
            <w:r w:rsidRPr="002522B7">
              <w:rPr>
                <w:b/>
                <w:i/>
              </w:rPr>
              <w:t>at modtage, undersøge, høre og indgive individuelle og fælles klager over forskelsbehandling og træffe beslutninger om disse klager på grundlag af relevant lovgivning, herunder bestemmelser om delt bevisbyrde</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b) at fastslå, hvorvidt lovgivningen til bekæ</w:t>
            </w:r>
            <w:r w:rsidRPr="002522B7">
              <w:rPr>
                <w:b/>
                <w:i/>
              </w:rPr>
              <w:t>mpelse af forskelsbehandling er blevet overtrådt.</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 xml:space="preserve">c) skriftligt at registrere vurderingen af en sag eller en undersøgelse, herunder fastlæggelsen af de faktiske omstændigheder og en begrundet konklusion om, hvorvidt der foreligger </w:t>
            </w:r>
            <w:r w:rsidRPr="002522B7">
              <w:rPr>
                <w:b/>
                <w:i/>
              </w:rPr>
              <w:lastRenderedPageBreak/>
              <w:t>forskelsbehandling.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w:t>
            </w:r>
            <w:r w:rsidRPr="002522B7">
              <w:rPr>
                <w:b/>
                <w:i/>
              </w:rPr>
              <w:t>d) i relevant omfang at træffe retligt bindende afgørelser, der kæver handling med henblik på at bringe en situation med forskelsbehandling til ophør, opnå fuld ligestilling og afværge fremtidig forskelsbehandling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 xml:space="preserve">e) at anvende foranstaltninger til at </w:t>
            </w:r>
            <w:r w:rsidRPr="002522B7">
              <w:rPr>
                <w:b/>
                <w:i/>
              </w:rPr>
              <w:t>afhjælpe enhver konstateret overtrædelse og forebygge yderligere tilfælde. Medlemsstaterne sikrer, at ligestillingsorganerne er i stand til at indføre passende opfølgningsmekanismer, f.eks. feedbackforpligtelser, og fuldbyrde afgørelser</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f) at indføre eff</w:t>
            </w:r>
            <w:r w:rsidRPr="002522B7">
              <w:rPr>
                <w:b/>
                <w:i/>
              </w:rPr>
              <w:t>ektive, forholdsmæssige og afskrækkende sanktioner i overensstemmelse med national ret, såsom betaling af erstatning for både væsentlig økonomisk eller ikkeøkonomisk skade, og bøder, hvis de konstaterer, at love til bekæmpelse af forskelsbehandling er blev</w:t>
            </w:r>
            <w:r w:rsidRPr="002522B7">
              <w:rPr>
                <w:b/>
                <w:i/>
              </w:rPr>
              <w:t>et overtrådt</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 xml:space="preserve">g) at afgive ikkebindende udtalelser og henstillinger, der kræver handling med henblik på at bringe en situation med forskelsbehandling til ophør, opnå fuld ligestilling og afværge fremtidig forskelsbehandling </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h) at sikre gennemførelsen a</w:t>
            </w:r>
            <w:r w:rsidRPr="002522B7">
              <w:rPr>
                <w:b/>
                <w:i/>
              </w:rPr>
              <w:t>f deres afgørelser, udtalelser og henstillinger</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i) at offentliggøre deres afgørelser, udtalelser og henstillinger uden at videregive personoplysninger, herunder i relevante tilfælde de pålagte sanktioner.</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3. Medlemsstaterne sikrer, at national ret inde</w:t>
            </w:r>
            <w:r w:rsidRPr="002522B7">
              <w:rPr>
                <w:b/>
                <w:i/>
              </w:rPr>
              <w:t>holder bestemmelser om retten til at klage til domstolene over retligt bindende, endelige afgørelser udstedt af ligestillingsorganet.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68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lastRenderedPageBreak/>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8</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jc w:val="center"/>
            </w:pPr>
            <w:r w:rsidRPr="002522B7">
              <w:rPr>
                <w:b/>
                <w:i/>
              </w:rPr>
              <w:t>Artikel 8</w:t>
            </w:r>
          </w:p>
        </w:tc>
        <w:tc>
          <w:tcPr>
            <w:tcW w:w="4876" w:type="dxa"/>
            <w:hideMark/>
          </w:tcPr>
          <w:p w:rsidR="008429B6" w:rsidRPr="002522B7" w:rsidRDefault="0032033D" w:rsidP="00823CA1">
            <w:pPr>
              <w:pStyle w:val="Normal6"/>
              <w:rPr>
                <w:szCs w:val="24"/>
              </w:rPr>
            </w:pPr>
            <w:r w:rsidRPr="002522B7">
              <w:rPr>
                <w:b/>
                <w:i/>
              </w:rPr>
              <w:t>udgår</w:t>
            </w:r>
          </w:p>
        </w:tc>
      </w:tr>
      <w:tr w:rsidR="003700C6" w:rsidRPr="002522B7" w:rsidTr="00823CA1">
        <w:trPr>
          <w:jc w:val="center"/>
        </w:trPr>
        <w:tc>
          <w:tcPr>
            <w:tcW w:w="4876" w:type="dxa"/>
            <w:hideMark/>
          </w:tcPr>
          <w:p w:rsidR="008429B6" w:rsidRPr="002522B7" w:rsidRDefault="0032033D" w:rsidP="00823CA1">
            <w:pPr>
              <w:pStyle w:val="Normal6"/>
              <w:jc w:val="center"/>
            </w:pPr>
            <w:r w:rsidRPr="002522B7">
              <w:rPr>
                <w:b/>
                <w:i/>
              </w:rPr>
              <w:t>Udtalelser og afgørelser</w:t>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1.</w:t>
            </w:r>
            <w:r w:rsidRPr="002522B7">
              <w:rPr>
                <w:b/>
                <w:i/>
              </w:rPr>
              <w:tab/>
              <w:t xml:space="preserve">Medlemsstaterne sikrer, at ligestillingsorganerne, når de på grundlag af en klage eller på eget initiativ finder, at princippet om ligebehandling i direktiv </w:t>
            </w:r>
            <w:r w:rsidRPr="002522B7">
              <w:rPr>
                <w:b/>
                <w:i/>
              </w:rPr>
              <w:t>2006/54/EF eller 2010/41/EU kan være blevet overtrådt, har beføjelse til at undersøge sagen nærmere.</w:t>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2.</w:t>
            </w:r>
            <w:r w:rsidRPr="002522B7">
              <w:rPr>
                <w:b/>
                <w:i/>
              </w:rPr>
              <w:tab/>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Medlemsstaterne etablerer en ramme, der gør det muligt for ligestillingsorganerne at foretage undersøgelser.</w:t>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Denne ramme skal navnlig give ligest</w:t>
            </w:r>
            <w:r w:rsidRPr="002522B7">
              <w:rPr>
                <w:b/>
                <w:i/>
              </w:rPr>
              <w:t>illingsorganerne en effektiv ret til adgang til oplysninger, som er nødvendige for at fastslå, om der er sket forskelsbehandling. Den skal også indeholde passende mekanismer for ligestillingsorganer til at samarbejde med relevante offentlige organer med he</w:t>
            </w:r>
            <w:r w:rsidRPr="002522B7">
              <w:rPr>
                <w:b/>
                <w:i/>
              </w:rPr>
              <w:t>nblik herpå.</w:t>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3.</w:t>
            </w:r>
            <w:r w:rsidRPr="002522B7">
              <w:rPr>
                <w:b/>
                <w:i/>
              </w:rPr>
              <w:tab/>
              <w:t>Medlemsstaterne kan også fastsætte, at den formodede gerningsmand og enhver tredjepart er retligt forpligtet til at fremlægge oplysninger og bevismateriale, som et ligestillingsorgan anmoder om.</w:t>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4.</w:t>
            </w:r>
            <w:r w:rsidRPr="002522B7">
              <w:rPr>
                <w:b/>
                <w:i/>
              </w:rPr>
              <w:tab/>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Medlemsstaterne sikrer, at ligestil</w:t>
            </w:r>
            <w:r w:rsidRPr="002522B7">
              <w:rPr>
                <w:b/>
                <w:i/>
              </w:rPr>
              <w:t>lingsorganerne skriftligt registrerer deres vurdering af sagen, herunder fastlæggelsen af de faktiske omstændigheder og en begrundet konklusion om, hvorvidt der foreligger forskelsbehandling. Medlemsstaterne afgør, om dette skal ske ved hjælp af ikkebinden</w:t>
            </w:r>
            <w:r w:rsidRPr="002522B7">
              <w:rPr>
                <w:b/>
                <w:i/>
              </w:rPr>
              <w:t>de udtalelser eller retligt bindende afgørelser.</w:t>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lastRenderedPageBreak/>
              <w:t xml:space="preserve">Hvis det er relevant, skal udtalelser og afgørelser indeholde specifikke foranstaltninger til afhjælpning af enhver konstateret overtrædelse og til forebyggelse af yderligere tilfælde. Medlemsstaterne </w:t>
            </w:r>
            <w:r w:rsidRPr="002522B7">
              <w:rPr>
                <w:b/>
                <w:i/>
              </w:rPr>
              <w:t>indfører passende mekanismer til at følge op på udtalelser, f.eks. feedbackforpligtelser, og fuldbyrde afgørelser.</w:t>
            </w:r>
          </w:p>
        </w:tc>
        <w:tc>
          <w:tcPr>
            <w:tcW w:w="4876" w:type="dxa"/>
          </w:tcPr>
          <w:p w:rsidR="008429B6" w:rsidRPr="002522B7" w:rsidRDefault="008429B6" w:rsidP="00823CA1">
            <w:pPr>
              <w:pStyle w:val="Normal6"/>
              <w:rPr>
                <w:szCs w:val="24"/>
              </w:rPr>
            </w:pPr>
          </w:p>
        </w:tc>
      </w:tr>
      <w:tr w:rsidR="003700C6" w:rsidRPr="002522B7" w:rsidTr="00823CA1">
        <w:trPr>
          <w:jc w:val="center"/>
        </w:trPr>
        <w:tc>
          <w:tcPr>
            <w:tcW w:w="4876" w:type="dxa"/>
            <w:hideMark/>
          </w:tcPr>
          <w:p w:rsidR="008429B6" w:rsidRPr="002522B7" w:rsidRDefault="0032033D" w:rsidP="00823CA1">
            <w:pPr>
              <w:pStyle w:val="Normal6"/>
            </w:pPr>
            <w:r w:rsidRPr="002522B7">
              <w:rPr>
                <w:b/>
                <w:i/>
              </w:rPr>
              <w:t>Ligestillingsorganerne offentliggør sammendrag af deres udtalelser og afgørelser uden at videregive personoplysninger.</w:t>
            </w:r>
          </w:p>
        </w:tc>
        <w:tc>
          <w:tcPr>
            <w:tcW w:w="4876" w:type="dxa"/>
          </w:tcPr>
          <w:p w:rsidR="008429B6" w:rsidRPr="002522B7" w:rsidRDefault="008429B6" w:rsidP="00823CA1">
            <w:pPr>
              <w:pStyle w:val="Normal6"/>
              <w:rPr>
                <w:szCs w:val="24"/>
              </w:rPr>
            </w:pP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w:t>
      </w:r>
      <w:r w:rsidRPr="002522B7">
        <w:t>dringsforslag</w:t>
      </w:r>
      <w:r w:rsidRPr="002522B7">
        <w:tab/>
      </w:r>
      <w:r w:rsidRPr="002522B7">
        <w:tab/>
      </w:r>
      <w:r w:rsidRPr="002522B7">
        <w:rPr>
          <w:rStyle w:val="HideTWBExt"/>
          <w:b w:val="0"/>
          <w:noProof w:val="0"/>
        </w:rPr>
        <w:t>&lt;NumAm&gt;</w:t>
      </w:r>
      <w:r w:rsidRPr="002522B7">
        <w:t>69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t xml:space="preserve">Medlemsstaterne sikrer, at ligestillingsorganer har ret til at handle </w:t>
            </w:r>
            <w:r w:rsidRPr="002522B7">
              <w:rPr>
                <w:b/>
                <w:i/>
              </w:rPr>
              <w:t>i retssager i administrative</w:t>
            </w:r>
            <w:r w:rsidRPr="002522B7">
              <w:t xml:space="preserve"> og </w:t>
            </w:r>
            <w:r w:rsidRPr="002522B7">
              <w:rPr>
                <w:b/>
                <w:i/>
              </w:rPr>
              <w:t>civilretlige sager</w:t>
            </w:r>
            <w:r w:rsidRPr="002522B7">
              <w:t xml:space="preserve"> vedrørende gennemførelsen af princippet om ligebehandling som fastsat i direktiv 2006/54/EF og 2010/41/EU, jf. </w:t>
            </w:r>
            <w:r w:rsidRPr="002522B7">
              <w:rPr>
                <w:b/>
                <w:i/>
              </w:rPr>
              <w:t>stk. 2-5</w:t>
            </w:r>
            <w:r w:rsidRPr="002522B7">
              <w:t>, uden at dette berører de nationale regler om antagelse af søgsmål til realitetsbehandling.</w:t>
            </w:r>
          </w:p>
        </w:tc>
        <w:tc>
          <w:tcPr>
            <w:tcW w:w="4876" w:type="dxa"/>
            <w:hideMark/>
          </w:tcPr>
          <w:p w:rsidR="008429B6" w:rsidRPr="002522B7" w:rsidRDefault="0032033D" w:rsidP="00823CA1">
            <w:pPr>
              <w:pStyle w:val="Normal6"/>
              <w:rPr>
                <w:szCs w:val="24"/>
              </w:rPr>
            </w:pPr>
            <w:r w:rsidRPr="002522B7">
              <w:t>1.</w:t>
            </w:r>
            <w:r w:rsidRPr="002522B7">
              <w:tab/>
              <w:t>Medlemsstaterne si</w:t>
            </w:r>
            <w:r w:rsidRPr="002522B7">
              <w:t xml:space="preserve">krer, at ligestillingsorganer har ret til at handle </w:t>
            </w:r>
            <w:r w:rsidRPr="002522B7">
              <w:rPr>
                <w:b/>
                <w:i/>
              </w:rPr>
              <w:t>ved institutioner, kompetente instanser, herunder forvaltningsdomstole</w:t>
            </w:r>
            <w:r w:rsidRPr="002522B7">
              <w:t xml:space="preserve"> og </w:t>
            </w:r>
            <w:r w:rsidRPr="002522B7">
              <w:rPr>
                <w:b/>
                <w:i/>
              </w:rPr>
              <w:t>i retssager</w:t>
            </w:r>
            <w:r w:rsidRPr="002522B7">
              <w:t xml:space="preserve"> vedrørende gennemførelsen af princippet om ligebehandling som fastsat i direktiv 2006/54/EF og 2010/41/EU, jf. </w:t>
            </w:r>
            <w:r w:rsidRPr="002522B7">
              <w:rPr>
                <w:b/>
                <w:i/>
              </w:rPr>
              <w:t>denne a</w:t>
            </w:r>
            <w:r w:rsidRPr="002522B7">
              <w:rPr>
                <w:b/>
                <w:i/>
              </w:rPr>
              <w:t>rtikel</w:t>
            </w:r>
            <w:r w:rsidRPr="002522B7">
              <w:t>, uden at dette berører de nationale regler om antagelse af søgsmål til realitetsbehandling.</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 indledning</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w:t>
            </w:r>
            <w:r w:rsidRPr="002522B7">
              <w:tab/>
              <w:t>Retten til at handle i retssager omfatter:</w:t>
            </w:r>
          </w:p>
        </w:tc>
        <w:tc>
          <w:tcPr>
            <w:tcW w:w="4876" w:type="dxa"/>
            <w:hideMark/>
          </w:tcPr>
          <w:p w:rsidR="008429B6" w:rsidRPr="002522B7" w:rsidRDefault="0032033D" w:rsidP="00823CA1">
            <w:pPr>
              <w:pStyle w:val="Normal6"/>
              <w:rPr>
                <w:szCs w:val="24"/>
              </w:rPr>
            </w:pPr>
            <w:r w:rsidRPr="002522B7">
              <w:t>2.</w:t>
            </w:r>
            <w:r w:rsidRPr="002522B7">
              <w:tab/>
              <w:t>Retten til at handle i retssager omfatter</w:t>
            </w:r>
            <w:r w:rsidRPr="002522B7">
              <w:rPr>
                <w:b/>
                <w:i/>
              </w:rPr>
              <w:t xml:space="preserve"> alt det følgende, men er ikke begrænset til</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lastRenderedPageBreak/>
        <w:t>&lt;DocAmend&gt;</w:t>
      </w:r>
      <w:r w:rsidRPr="002522B7">
        <w:t>Forslag til direkt</w:t>
      </w:r>
      <w:r w:rsidRPr="002522B7">
        <w: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 litra a</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a)</w:t>
            </w:r>
            <w:r w:rsidRPr="002522B7">
              <w:tab/>
            </w:r>
            <w:r w:rsidRPr="002522B7">
              <w:t xml:space="preserve">ligestillingsorganets ret til at optræde som part i sager om fuldbyrdelse eller domstolsprøvelse af en afgørelse, der er truffet i henhold til artikel 8, stk. </w:t>
            </w:r>
            <w:r w:rsidRPr="002522B7">
              <w:rPr>
                <w:b/>
                <w:i/>
              </w:rPr>
              <w:t>4</w:t>
            </w:r>
          </w:p>
        </w:tc>
        <w:tc>
          <w:tcPr>
            <w:tcW w:w="4876" w:type="dxa"/>
            <w:hideMark/>
          </w:tcPr>
          <w:p w:rsidR="008429B6" w:rsidRPr="002522B7" w:rsidRDefault="0032033D" w:rsidP="00823CA1">
            <w:pPr>
              <w:pStyle w:val="Normal6"/>
              <w:rPr>
                <w:szCs w:val="24"/>
              </w:rPr>
            </w:pPr>
            <w:r w:rsidRPr="002522B7">
              <w:t>a)</w:t>
            </w:r>
            <w:r w:rsidRPr="002522B7">
              <w:tab/>
              <w:t>ligestillingsorganets ret til at optræde som part i sager om fuldbyrdelse eller domstolsprøv</w:t>
            </w:r>
            <w:r w:rsidRPr="002522B7">
              <w:t xml:space="preserve">else af en afgørelse, der er truffet i henhold til artikel 8, stk. </w:t>
            </w:r>
            <w:r w:rsidRPr="002522B7">
              <w:rPr>
                <w:b/>
                <w:i/>
              </w:rPr>
              <w:t>2</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 litra b</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b)</w:t>
            </w:r>
            <w:r w:rsidRPr="002522B7">
              <w:tab/>
            </w:r>
            <w:r w:rsidRPr="002522B7">
              <w:t>ligestillingsorganets ret til at fremsætte bemærkninger til domstolen som amicus curiae</w:t>
            </w:r>
          </w:p>
        </w:tc>
        <w:tc>
          <w:tcPr>
            <w:tcW w:w="4876" w:type="dxa"/>
            <w:hideMark/>
          </w:tcPr>
          <w:p w:rsidR="008429B6" w:rsidRPr="002522B7" w:rsidRDefault="0032033D" w:rsidP="0011190E">
            <w:pPr>
              <w:pStyle w:val="Normal6"/>
              <w:rPr>
                <w:szCs w:val="24"/>
              </w:rPr>
            </w:pPr>
            <w:r w:rsidRPr="002522B7">
              <w:t>b)</w:t>
            </w:r>
            <w:r w:rsidRPr="002522B7">
              <w:tab/>
              <w:t>ligestillingsorganets ret til at fremsætte bemærkninger til domstolen</w:t>
            </w:r>
            <w:r w:rsidRPr="002522B7">
              <w:rPr>
                <w:b/>
                <w:i/>
              </w:rPr>
              <w:t>, institutioner og kompetente instanser, herunder forvaltningsdomstole</w:t>
            </w:r>
            <w:r w:rsidRPr="002522B7">
              <w:t xml:space="preserve"> som amicus curiae</w:t>
            </w:r>
            <w:r w:rsidRPr="002522B7">
              <w:rPr>
                <w:b/>
                <w:i/>
              </w:rPr>
              <w:t>, en tre</w:t>
            </w:r>
            <w:r w:rsidRPr="002522B7">
              <w:rPr>
                <w:b/>
                <w:i/>
              </w:rPr>
              <w:t>djepart eller ekspert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 litra c</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c)</w:t>
            </w:r>
            <w:r w:rsidRPr="002522B7">
              <w:tab/>
              <w:t xml:space="preserve">ligestillingsorganets ret til at anlægge eller </w:t>
            </w:r>
            <w:r w:rsidRPr="002522B7">
              <w:t xml:space="preserve">deltage i retssager på vegne af eller til støtte for et eller flere ofre; i så tilfælde er ofrenes </w:t>
            </w:r>
            <w:r w:rsidRPr="002522B7">
              <w:rPr>
                <w:b/>
                <w:i/>
              </w:rPr>
              <w:t>godkendelse</w:t>
            </w:r>
            <w:r w:rsidRPr="002522B7">
              <w:t xml:space="preserve"> påkrævet.</w:t>
            </w:r>
          </w:p>
        </w:tc>
        <w:tc>
          <w:tcPr>
            <w:tcW w:w="4876" w:type="dxa"/>
            <w:hideMark/>
          </w:tcPr>
          <w:p w:rsidR="008429B6" w:rsidRPr="002522B7" w:rsidRDefault="0032033D" w:rsidP="00823CA1">
            <w:pPr>
              <w:pStyle w:val="Normal6"/>
              <w:rPr>
                <w:szCs w:val="24"/>
              </w:rPr>
            </w:pPr>
            <w:r w:rsidRPr="002522B7">
              <w:t>c)</w:t>
            </w:r>
            <w:r w:rsidRPr="002522B7">
              <w:tab/>
              <w:t xml:space="preserve">ligestillingsorganets ret til at anlægge eller deltage i retssager </w:t>
            </w:r>
            <w:r w:rsidRPr="002522B7">
              <w:rPr>
                <w:b/>
                <w:i/>
              </w:rPr>
              <w:t xml:space="preserve">i eget navn eller </w:t>
            </w:r>
            <w:r w:rsidRPr="002522B7">
              <w:t>på vegne af eller til støtte for et eller flere</w:t>
            </w:r>
            <w:r w:rsidRPr="002522B7">
              <w:t xml:space="preserve"> ofre</w:t>
            </w:r>
            <w:r w:rsidRPr="002522B7">
              <w:rPr>
                <w:b/>
                <w:i/>
              </w:rPr>
              <w:t>, navnlig for at bekæmpe strukturel eller systemisk forskelsbehandling, herunder online</w:t>
            </w:r>
            <w:r w:rsidRPr="002522B7">
              <w:t xml:space="preserve">; i så tilfælde er ofrenes </w:t>
            </w:r>
            <w:r w:rsidRPr="002522B7">
              <w:rPr>
                <w:b/>
                <w:i/>
              </w:rPr>
              <w:t>informerede samtykke</w:t>
            </w:r>
            <w:r w:rsidRPr="002522B7">
              <w:t xml:space="preserve"> påkrævet.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 litra c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ca)</w:t>
            </w:r>
            <w:r w:rsidRPr="002522B7">
              <w:rPr>
                <w:b/>
                <w:i/>
              </w:rPr>
              <w:tab/>
              <w:t>ligestillingsorganets ret til at anvende alternative tvistbilæggelsesprocedurer, herunder mindelige bilæggelser, når det er relevant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 litra c b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cb)</w:t>
            </w:r>
            <w:r w:rsidRPr="002522B7">
              <w:rPr>
                <w:b/>
                <w:i/>
              </w:rPr>
              <w:tab/>
              <w:t xml:space="preserve">ligestillingsorganets ret til at anlægge retssager i eget navn, navnlig med </w:t>
            </w:r>
            <w:r w:rsidRPr="002522B7">
              <w:rPr>
                <w:b/>
                <w:i/>
              </w:rPr>
              <w:t xml:space="preserve">henblik på at imødegå strukturel eller systemisk forskelsbehandling, herunder online, i sager, der udvælges af ligestillingsorganet på grund af deres antal, alvor eller behov for juridisk afklaring, i overensstemmelse med offentliggjorte kriterier fastsat </w:t>
            </w:r>
            <w:r w:rsidRPr="002522B7">
              <w:rPr>
                <w:b/>
                <w:i/>
              </w:rPr>
              <w:t>af ligestillingsorganet.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2a.</w:t>
            </w:r>
            <w:r w:rsidRPr="002522B7">
              <w:rPr>
                <w:b/>
                <w:i/>
              </w:rPr>
              <w:tab/>
              <w:t xml:space="preserve">Medlemsstaterne sikrer, at </w:t>
            </w:r>
            <w:r w:rsidRPr="002522B7">
              <w:rPr>
                <w:b/>
                <w:i/>
              </w:rPr>
              <w:t>ligestillingsorganer har ret til at overvåge gennemførelsen af beslutninger truffet af institutioner, kompetente instanser og domstole med ansvar for ligestilling, forskelsbehandling og intolerance.</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2 b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2b.</w:t>
            </w:r>
            <w:r w:rsidRPr="002522B7">
              <w:rPr>
                <w:b/>
                <w:i/>
              </w:rPr>
              <w:tab/>
              <w:t xml:space="preserve">Medlemsstaterne sikrer, at ligestillingsorganerne kan indføre et system, som gør, at ofre ikke skal afholde rets- og </w:t>
            </w:r>
            <w:r w:rsidRPr="002522B7">
              <w:rPr>
                <w:b/>
                <w:i/>
              </w:rPr>
              <w:t>administrationsgebyrer eller repræsentative gebyrer, navnlig ikke i tilfælde af strukturel eller systemisk forskelsbehandling, herunder online, eller hvis deres sager tages op som strategiske retstvister.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rPr>
          <w:bCs/>
        </w:rPr>
        <w:t>Artikel 9 – stk. 2 c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2c.</w:t>
            </w:r>
            <w:r w:rsidRPr="002522B7">
              <w:rPr>
                <w:b/>
                <w:i/>
              </w:rPr>
              <w:tab/>
              <w:t xml:space="preserve">Medlemsstaterne sikrer, at ligestillingsorganer har ret til at anlægge retssager direkte efter udøvelse af </w:t>
            </w:r>
            <w:r w:rsidRPr="002522B7">
              <w:rPr>
                <w:b/>
                <w:i/>
              </w:rPr>
              <w:t>undersøgelsesbeføjelser i overensstemmelse med artikel 7a, uden at der er behov for at afgive en udtalelse eller træffe en afgørelse inden anlæggelse af retssager.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79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w:t>
      </w:r>
      <w:r w:rsidRPr="002522B7">
        <w:rPr>
          <w:rStyle w:val="HideTWBExt"/>
          <w:b w:val="0"/>
          <w:noProof w:val="0"/>
        </w:rPr>
        <w:t>d&gt;</w:t>
      </w:r>
    </w:p>
    <w:p w:rsidR="008429B6" w:rsidRPr="002522B7" w:rsidRDefault="0032033D" w:rsidP="008429B6">
      <w:pPr>
        <w:pStyle w:val="NormalBold"/>
      </w:pPr>
      <w:r w:rsidRPr="002522B7">
        <w:rPr>
          <w:rStyle w:val="HideTWBExt"/>
          <w:b w:val="0"/>
          <w:noProof w:val="0"/>
        </w:rPr>
        <w:t>&lt;Article&gt;</w:t>
      </w:r>
      <w:r w:rsidRPr="002522B7">
        <w:t>Artikel 9 – stk. 3</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rPr>
                <w:b/>
                <w:i/>
              </w:rPr>
              <w:t>3.</w:t>
            </w:r>
            <w:r w:rsidRPr="002522B7">
              <w:rPr>
                <w:b/>
                <w:i/>
              </w:rPr>
              <w:tab/>
              <w:t xml:space="preserve">Medlemsstaterne sikrer, at ligestillingsorganet kan anlægge retssager i eget navn, navnlig med henblik på at imødegå strukturel og systematisk forskelsbehandling i sager, </w:t>
            </w:r>
            <w:r w:rsidRPr="002522B7">
              <w:rPr>
                <w:b/>
                <w:i/>
              </w:rPr>
              <w:t>der udvælges af ligestillingsorganet på grund af deres antal, alvor eller behov for juridisk afklaring.</w:t>
            </w:r>
          </w:p>
        </w:tc>
        <w:tc>
          <w:tcPr>
            <w:tcW w:w="4876" w:type="dxa"/>
            <w:hideMark/>
          </w:tcPr>
          <w:p w:rsidR="008429B6" w:rsidRPr="002522B7" w:rsidRDefault="0032033D" w:rsidP="00823CA1">
            <w:pPr>
              <w:pStyle w:val="Normal6"/>
              <w:rPr>
                <w:szCs w:val="24"/>
              </w:rPr>
            </w:pPr>
            <w:r w:rsidRPr="002522B7">
              <w:rPr>
                <w:b/>
                <w:i/>
              </w:rPr>
              <w:t>udgår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lastRenderedPageBreak/>
        <w:t>&lt;Amend&gt;</w:t>
      </w:r>
      <w:r w:rsidRPr="002522B7">
        <w:t>Ændringsforslag</w:t>
      </w:r>
      <w:r w:rsidRPr="002522B7">
        <w:tab/>
      </w:r>
      <w:r w:rsidRPr="002522B7">
        <w:tab/>
      </w:r>
      <w:r w:rsidRPr="002522B7">
        <w:rPr>
          <w:rStyle w:val="HideTWBExt"/>
          <w:b w:val="0"/>
          <w:noProof w:val="0"/>
        </w:rPr>
        <w:t>&lt;NumAm&gt;</w:t>
      </w:r>
      <w:r w:rsidRPr="002522B7">
        <w:t>80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4</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rPr>
                <w:b/>
                <w:i/>
              </w:rPr>
              <w:t>4.</w:t>
            </w:r>
            <w:r w:rsidRPr="002522B7">
              <w:rPr>
                <w:b/>
                <w:i/>
              </w:rPr>
              <w:tab/>
              <w:t>Med undtagelse af de sager, der er omhandlet i stk. 2, litra a) og b), sikrer medlemsstaterne, at ligestillingsorganet ikke fremlægger bevismateriale i retten, som det har opnået ved udøvelsen af beføjelser i henho</w:t>
            </w:r>
            <w:r w:rsidRPr="002522B7">
              <w:rPr>
                <w:b/>
                <w:i/>
              </w:rPr>
              <w:t>ld til artikel 8, stk. 3.</w:t>
            </w:r>
          </w:p>
        </w:tc>
        <w:tc>
          <w:tcPr>
            <w:tcW w:w="4876" w:type="dxa"/>
            <w:hideMark/>
          </w:tcPr>
          <w:p w:rsidR="008429B6" w:rsidRPr="002522B7" w:rsidRDefault="0032033D" w:rsidP="00823CA1">
            <w:pPr>
              <w:pStyle w:val="Normal6"/>
              <w:rPr>
                <w:szCs w:val="24"/>
              </w:rPr>
            </w:pPr>
            <w:r w:rsidRPr="002522B7">
              <w:rPr>
                <w:b/>
                <w:i/>
              </w:rPr>
              <w:t>udgår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5</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5.</w:t>
            </w:r>
            <w:r w:rsidRPr="002522B7">
              <w:tab/>
              <w:t xml:space="preserve">Medlemsstaterne </w:t>
            </w:r>
            <w:r w:rsidRPr="002522B7">
              <w:rPr>
                <w:b/>
                <w:i/>
              </w:rPr>
              <w:t>sikrer</w:t>
            </w:r>
            <w:r w:rsidRPr="002522B7">
              <w:t xml:space="preserve">, at undersøgelser i </w:t>
            </w:r>
            <w:r w:rsidRPr="002522B7">
              <w:t>henhold til artikel 8, stk. 2 og 4, ikke indledes eller fortsættes, mens der verserer en retssag om samme sag.</w:t>
            </w:r>
          </w:p>
        </w:tc>
        <w:tc>
          <w:tcPr>
            <w:tcW w:w="4876" w:type="dxa"/>
            <w:hideMark/>
          </w:tcPr>
          <w:p w:rsidR="008429B6" w:rsidRPr="002522B7" w:rsidRDefault="0032033D" w:rsidP="00823CA1">
            <w:pPr>
              <w:pStyle w:val="Normal6"/>
              <w:rPr>
                <w:szCs w:val="24"/>
              </w:rPr>
            </w:pPr>
            <w:r w:rsidRPr="002522B7">
              <w:t>5.</w:t>
            </w:r>
            <w:r w:rsidRPr="002522B7">
              <w:tab/>
              <w:t xml:space="preserve">Medlemsstaterne </w:t>
            </w:r>
            <w:r w:rsidRPr="002522B7">
              <w:rPr>
                <w:b/>
                <w:i/>
              </w:rPr>
              <w:t>kan trække bestemmelse om</w:t>
            </w:r>
            <w:r w:rsidRPr="002522B7">
              <w:t>, at undersøgelser i henhold til artikel 8, stk. 2 og 4, ikke indledes eller fortsættes, mens der ver</w:t>
            </w:r>
            <w:r w:rsidRPr="002522B7">
              <w:t>serer en retssag om samme sag.</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9 – stk. 5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5a.</w:t>
            </w:r>
            <w:r w:rsidRPr="002522B7">
              <w:rPr>
                <w:b/>
                <w:i/>
              </w:rPr>
              <w:tab/>
              <w:t xml:space="preserve">Medlemsstaterne sikrer, at </w:t>
            </w:r>
            <w:r w:rsidRPr="002522B7">
              <w:rPr>
                <w:b/>
                <w:i/>
              </w:rPr>
              <w:t>ligestillingsorganer kan deltage i retssager, idet de gør brug af bevismateriale, der er indsamlet i henhold til artikel 7a, stk. 2 og 3, uden behov for forudgående afgivelse af en udtalelse eller bindende afgørelse.</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lastRenderedPageBreak/>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10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 xml:space="preserve">Medlemsstaterne sikrer, at de involverede fysiske og juridiske personers ret til forsvar beskyttes behørigt i de </w:t>
            </w:r>
            <w:r w:rsidRPr="002522B7">
              <w:t>procedurer, der er omhandlet i artikel 6, 7, 8 og 9. Medlemsstaterne sikrer, at ligestillingsorganerne garanterer vidner og whistleblowere samt så vidt muligt klagere fortrolighed.</w:t>
            </w:r>
          </w:p>
        </w:tc>
        <w:tc>
          <w:tcPr>
            <w:tcW w:w="4876" w:type="dxa"/>
            <w:hideMark/>
          </w:tcPr>
          <w:p w:rsidR="008429B6" w:rsidRPr="002522B7" w:rsidRDefault="0032033D" w:rsidP="0011190E">
            <w:pPr>
              <w:pStyle w:val="Normal6"/>
              <w:rPr>
                <w:szCs w:val="24"/>
              </w:rPr>
            </w:pPr>
            <w:r w:rsidRPr="002522B7">
              <w:t>Medlemsstaterne sikrer, at de involverede fysiske og juridiske personers re</w:t>
            </w:r>
            <w:r w:rsidRPr="002522B7">
              <w:t xml:space="preserve">t til forsvar beskyttes behørigt i de procedurer, der er omhandlet i artikel 6, 7, </w:t>
            </w:r>
            <w:r w:rsidRPr="002522B7">
              <w:rPr>
                <w:b/>
                <w:i/>
              </w:rPr>
              <w:t xml:space="preserve">7a, 7b, </w:t>
            </w:r>
            <w:r w:rsidRPr="002522B7">
              <w:t xml:space="preserve">8 og 9. Medlemsstaterne sikrer, at ligestillingsorganerne garanterer vidner og whistleblowere samt så vidt muligt klagere </w:t>
            </w:r>
            <w:r w:rsidRPr="002522B7">
              <w:rPr>
                <w:b/>
                <w:i/>
              </w:rPr>
              <w:t xml:space="preserve">og andre involverede enheder </w:t>
            </w:r>
            <w:r w:rsidRPr="002522B7">
              <w:t>fortrolighed</w:t>
            </w:r>
            <w:r w:rsidRPr="002522B7">
              <w:rPr>
                <w:b/>
                <w:i/>
              </w:rPr>
              <w:t xml:space="preserve">, </w:t>
            </w:r>
            <w:r w:rsidRPr="002522B7">
              <w:rPr>
                <w:b/>
                <w:i/>
              </w:rPr>
              <w:t>og at de indfører en intern whistleblowerbeskyttelse</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10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 xml:space="preserve">De afgørelser, der er omhandlet i artikel </w:t>
            </w:r>
            <w:r w:rsidRPr="002522B7">
              <w:rPr>
                <w:b/>
                <w:i/>
              </w:rPr>
              <w:t>8</w:t>
            </w:r>
            <w:r w:rsidRPr="002522B7">
              <w:t>, stk.</w:t>
            </w:r>
            <w:r w:rsidRPr="002522B7">
              <w:rPr>
                <w:b/>
                <w:i/>
              </w:rPr>
              <w:t xml:space="preserve"> 4</w:t>
            </w:r>
            <w:r w:rsidRPr="002522B7">
              <w:t>, kan prøves ved domstolene i overensstemmelse national ret.</w:t>
            </w:r>
          </w:p>
        </w:tc>
        <w:tc>
          <w:tcPr>
            <w:tcW w:w="4876" w:type="dxa"/>
            <w:hideMark/>
          </w:tcPr>
          <w:p w:rsidR="008429B6" w:rsidRPr="002522B7" w:rsidRDefault="0032033D" w:rsidP="00823CA1">
            <w:pPr>
              <w:pStyle w:val="Normal6"/>
              <w:rPr>
                <w:szCs w:val="24"/>
              </w:rPr>
            </w:pPr>
            <w:r w:rsidRPr="002522B7">
              <w:t xml:space="preserve">De afgørelser, der er omhandlet i artikel </w:t>
            </w:r>
            <w:r w:rsidRPr="002522B7">
              <w:rPr>
                <w:b/>
                <w:i/>
              </w:rPr>
              <w:t>7b</w:t>
            </w:r>
            <w:r w:rsidRPr="002522B7">
              <w:t xml:space="preserve">, stk. </w:t>
            </w:r>
            <w:r w:rsidRPr="002522B7">
              <w:rPr>
                <w:b/>
                <w:i/>
              </w:rPr>
              <w:t>1, litra c)-g)</w:t>
            </w:r>
            <w:r w:rsidRPr="002522B7">
              <w:t>, kan prøves ved domstolene i overensstemmelse national ret.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w:t>
      </w:r>
      <w:r w:rsidRPr="002522B7">
        <w:t>ndringsforslag</w:t>
      </w:r>
      <w:r w:rsidRPr="002522B7">
        <w:tab/>
      </w:r>
      <w:r w:rsidRPr="002522B7">
        <w:tab/>
      </w:r>
      <w:r w:rsidRPr="002522B7">
        <w:rPr>
          <w:rStyle w:val="HideTWBExt"/>
          <w:b w:val="0"/>
          <w:noProof w:val="0"/>
        </w:rPr>
        <w:t>&lt;NumAm&gt;</w:t>
      </w:r>
      <w:r w:rsidRPr="002522B7">
        <w:t>85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11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w:t>
            </w:r>
            <w:r w:rsidRPr="002522B7">
              <w:tab/>
              <w:t>Medlemsstaterne sikrer, at ligestillingsorganerne yder alle deres tjenester gratis til klagere i</w:t>
            </w:r>
            <w:r w:rsidRPr="002522B7">
              <w:t xml:space="preserve"> hele deres område, herunder i landdistrikter og fjerntliggende områder.</w:t>
            </w:r>
          </w:p>
        </w:tc>
        <w:tc>
          <w:tcPr>
            <w:tcW w:w="4876" w:type="dxa"/>
            <w:hideMark/>
          </w:tcPr>
          <w:p w:rsidR="008429B6" w:rsidRPr="002522B7" w:rsidRDefault="0032033D" w:rsidP="00823CA1">
            <w:pPr>
              <w:pStyle w:val="Normal6"/>
              <w:rPr>
                <w:szCs w:val="24"/>
              </w:rPr>
            </w:pPr>
            <w:r w:rsidRPr="002522B7">
              <w:t>2.</w:t>
            </w:r>
            <w:r w:rsidRPr="002522B7">
              <w:tab/>
              <w:t>Medlemsstaterne sikrer, at ligestillingsorganerne yder alle deres tjenester gratis til klagere i hele deres område</w:t>
            </w:r>
            <w:r w:rsidRPr="002522B7">
              <w:rPr>
                <w:b/>
                <w:i/>
              </w:rPr>
              <w:t xml:space="preserve"> med oprettelse af lokale og regionale kontorer, hvor det er nødve</w:t>
            </w:r>
            <w:r w:rsidRPr="002522B7">
              <w:rPr>
                <w:b/>
                <w:i/>
              </w:rPr>
              <w:t>ndigt</w:t>
            </w:r>
            <w:r w:rsidRPr="002522B7">
              <w:t>, herunder i landdistrikter og fjerntliggende områder.</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lastRenderedPageBreak/>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11 – stk. 3</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w:t>
            </w:r>
            <w:r w:rsidRPr="002522B7">
              <w:tab/>
              <w:t xml:space="preserve">Medlemsstaterne </w:t>
            </w:r>
            <w:r w:rsidRPr="002522B7">
              <w:t>sikrer</w:t>
            </w:r>
            <w:r w:rsidRPr="002522B7">
              <w:rPr>
                <w:b/>
                <w:i/>
              </w:rPr>
              <w:t xml:space="preserve"> tilgængelighed og sørger for tilpasninger i rimeligt omfang for</w:t>
            </w:r>
            <w:r w:rsidRPr="002522B7">
              <w:t xml:space="preserve"> personer med handicap for at garantere </w:t>
            </w:r>
            <w:r w:rsidRPr="002522B7">
              <w:rPr>
                <w:b/>
                <w:i/>
              </w:rPr>
              <w:t xml:space="preserve">dem </w:t>
            </w:r>
            <w:r w:rsidRPr="002522B7">
              <w:t xml:space="preserve">lige adgang til alle ligestillingsorganers tjenester og </w:t>
            </w:r>
            <w:r w:rsidRPr="002522B7">
              <w:rPr>
                <w:b/>
                <w:i/>
              </w:rPr>
              <w:t>aktiviteter</w:t>
            </w:r>
            <w:r w:rsidRPr="002522B7">
              <w:t xml:space="preserve">, herunder bistand til ofre, klagebehandling, procedurer for forligsmæssig </w:t>
            </w:r>
            <w:r w:rsidRPr="002522B7">
              <w:t>løsning af tvister, oplysninger og publikationer samt aktiviteter til forebyggelse, fremme og bevidstgørelse.</w:t>
            </w:r>
          </w:p>
        </w:tc>
        <w:tc>
          <w:tcPr>
            <w:tcW w:w="4876" w:type="dxa"/>
            <w:hideMark/>
          </w:tcPr>
          <w:p w:rsidR="008429B6" w:rsidRPr="002522B7" w:rsidRDefault="0032033D" w:rsidP="0011190E">
            <w:pPr>
              <w:pStyle w:val="Normal6"/>
              <w:rPr>
                <w:szCs w:val="24"/>
              </w:rPr>
            </w:pPr>
            <w:r w:rsidRPr="002522B7">
              <w:t>3.</w:t>
            </w:r>
            <w:r w:rsidRPr="002522B7">
              <w:tab/>
              <w:t>Medlemsstaterne sikrer</w:t>
            </w:r>
            <w:r w:rsidRPr="002522B7">
              <w:rPr>
                <w:b/>
                <w:i/>
              </w:rPr>
              <w:t>, at ligestillingsorganerne har det tilstrækkelige personale til at samarbejde med</w:t>
            </w:r>
            <w:r w:rsidRPr="002522B7">
              <w:t xml:space="preserve"> personer med handicap </w:t>
            </w:r>
            <w:r w:rsidRPr="002522B7">
              <w:rPr>
                <w:b/>
                <w:i/>
              </w:rPr>
              <w:t>og med personer,</w:t>
            </w:r>
            <w:r w:rsidRPr="002522B7">
              <w:rPr>
                <w:b/>
                <w:i/>
              </w:rPr>
              <w:t xml:space="preserve"> der tilhører andre grupper, der er i risiko for at blive udsat for forskelsbehandling, </w:t>
            </w:r>
            <w:r w:rsidRPr="002522B7">
              <w:t>for at garantere lige adgang til alle ligestillingsorganers tjenester</w:t>
            </w:r>
            <w:r w:rsidRPr="002522B7">
              <w:rPr>
                <w:b/>
                <w:i/>
              </w:rPr>
              <w:t>, aktiviteter</w:t>
            </w:r>
            <w:r w:rsidRPr="002522B7">
              <w:t xml:space="preserve"> og </w:t>
            </w:r>
            <w:r w:rsidRPr="002522B7">
              <w:rPr>
                <w:b/>
                <w:i/>
              </w:rPr>
              <w:t>oplysninger i formater, der er tilgængelige for personer med handicap</w:t>
            </w:r>
            <w:r w:rsidRPr="002522B7">
              <w:t>, herunder bi</w:t>
            </w:r>
            <w:r w:rsidRPr="002522B7">
              <w:t>stand til ofre, klagebehandling, procedurer for forligsmæssig løsning af tvister, oplysninger og publikationer samt aktiviteter til forebyggelse, fremme og bevidstgørelse</w:t>
            </w:r>
            <w:r w:rsidRPr="002522B7">
              <w:rPr>
                <w:b/>
                <w:i/>
              </w:rPr>
              <w:t>, i overensstemmelse med direktiv (EU) 2016/2102</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w:t>
      </w:r>
      <w:r w:rsidRPr="002522B7">
        <w:rPr>
          <w:rStyle w:val="HideTWBExt"/>
          <w:b w:val="0"/>
          <w:noProof w:val="0"/>
        </w:rPr>
        <w:t>umAm&gt;</w:t>
      </w:r>
      <w:r w:rsidRPr="002522B7">
        <w:t>87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12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 xml:space="preserve">Medlemsstaterne sikrer, at ligestillingsorganerne har indført passende mekanismer til inden for deres respektive kompetenceområder at samarbejde med andre ligestillingsorganer </w:t>
            </w:r>
            <w:r w:rsidRPr="002522B7">
              <w:rPr>
                <w:b/>
                <w:i/>
              </w:rPr>
              <w:t xml:space="preserve">i samme medlemsstat </w:t>
            </w:r>
            <w:r w:rsidRPr="002522B7">
              <w:t xml:space="preserve">og med relevante offentlige og private enheder, </w:t>
            </w:r>
            <w:r w:rsidRPr="002522B7">
              <w:rPr>
                <w:b/>
                <w:i/>
              </w:rPr>
              <w:t>herunder</w:t>
            </w:r>
            <w:r w:rsidRPr="002522B7">
              <w:t xml:space="preserve"> civ</w:t>
            </w:r>
            <w:r w:rsidRPr="002522B7">
              <w:t>ilsamfundsorganisationer</w:t>
            </w:r>
            <w:r w:rsidRPr="002522B7">
              <w:rPr>
                <w:b/>
                <w:i/>
              </w:rPr>
              <w:t>, på nationalt</w:t>
            </w:r>
            <w:r w:rsidRPr="002522B7">
              <w:t>, regionalt og lokalt plan</w:t>
            </w:r>
            <w:r w:rsidRPr="002522B7">
              <w:rPr>
                <w:b/>
                <w:i/>
              </w:rPr>
              <w:t xml:space="preserve"> samt i</w:t>
            </w:r>
            <w:r w:rsidRPr="002522B7">
              <w:t xml:space="preserve"> andre </w:t>
            </w:r>
            <w:r w:rsidRPr="002522B7">
              <w:rPr>
                <w:b/>
                <w:i/>
              </w:rPr>
              <w:t>medlemsstater og</w:t>
            </w:r>
            <w:r w:rsidRPr="002522B7">
              <w:t xml:space="preserve"> på EU-plan og internationalt plan.</w:t>
            </w:r>
          </w:p>
        </w:tc>
        <w:tc>
          <w:tcPr>
            <w:tcW w:w="4876" w:type="dxa"/>
            <w:hideMark/>
          </w:tcPr>
          <w:p w:rsidR="008429B6" w:rsidRPr="002522B7" w:rsidRDefault="0032033D" w:rsidP="00823CA1">
            <w:pPr>
              <w:pStyle w:val="Normal6"/>
              <w:rPr>
                <w:szCs w:val="24"/>
              </w:rPr>
            </w:pPr>
            <w:r w:rsidRPr="002522B7">
              <w:t xml:space="preserve">Medlemsstaterne sikrer, at ligestillingsorganerne har indført passende mekanismer til inden for deres respektive kompetenceområder at samarbejde med andre ligestillingsorganer og med relevante offentlige og private enheder, </w:t>
            </w:r>
            <w:r w:rsidRPr="002522B7">
              <w:rPr>
                <w:b/>
                <w:i/>
              </w:rPr>
              <w:t>arbejdsmarkedets parter og</w:t>
            </w:r>
            <w:r w:rsidRPr="002522B7">
              <w:t xml:space="preserve"> civil</w:t>
            </w:r>
            <w:r w:rsidRPr="002522B7">
              <w:t>samfundsorganisationer</w:t>
            </w:r>
            <w:r w:rsidRPr="002522B7">
              <w:rPr>
                <w:b/>
                <w:i/>
              </w:rPr>
              <w:t xml:space="preserve"> i samme medlemsstat</w:t>
            </w:r>
            <w:r w:rsidRPr="002522B7">
              <w:t xml:space="preserve">, </w:t>
            </w:r>
            <w:r w:rsidRPr="002522B7">
              <w:rPr>
                <w:b/>
                <w:i/>
              </w:rPr>
              <w:t xml:space="preserve">herunder på </w:t>
            </w:r>
            <w:r w:rsidRPr="002522B7">
              <w:t>regionalt og lokalt plan</w:t>
            </w:r>
            <w:r w:rsidRPr="002522B7">
              <w:rPr>
                <w:b/>
                <w:i/>
              </w:rPr>
              <w:t>. Medlemsstaterne sikrer, at ligestillingsorganerne har indført passende mekanismer til at samarbejde med</w:t>
            </w:r>
            <w:r w:rsidRPr="002522B7">
              <w:t xml:space="preserve"> andre </w:t>
            </w:r>
            <w:r w:rsidRPr="002522B7">
              <w:rPr>
                <w:b/>
                <w:i/>
              </w:rPr>
              <w:t>ligestillingsorganer</w:t>
            </w:r>
            <w:r w:rsidRPr="002522B7">
              <w:t xml:space="preserve"> på EU-plan og internationalt plan</w:t>
            </w:r>
            <w:r w:rsidRPr="002522B7">
              <w:rPr>
                <w:b/>
                <w:i/>
              </w:rPr>
              <w:t xml:space="preserve"> på deres </w:t>
            </w:r>
            <w:r w:rsidRPr="002522B7">
              <w:rPr>
                <w:b/>
                <w:i/>
              </w:rPr>
              <w:t xml:space="preserve">respektive kompetenceområder samt med Det Europæiske Institut for Ligestilling mellem Mænd og Kvinder, Den Europæiske Unions Agentur for </w:t>
            </w:r>
            <w:r w:rsidRPr="002522B7">
              <w:rPr>
                <w:b/>
                <w:i/>
              </w:rPr>
              <w:lastRenderedPageBreak/>
              <w:t>Grundlæggende Rettigheder og det europæiske netværk for nationale ligestillingsorganer (Equinet), civilsamfundsorganisa</w:t>
            </w:r>
            <w:r w:rsidRPr="002522B7">
              <w:rPr>
                <w:b/>
                <w:i/>
              </w:rPr>
              <w:t>tioner og arbejdsmarkedets parter</w:t>
            </w:r>
            <w:r w:rsidRPr="002522B7">
              <w:t>.</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13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rPr>
                <w:b/>
                <w:i/>
              </w:rPr>
              <w:t xml:space="preserve">De sikrer, at </w:t>
            </w:r>
            <w:r w:rsidRPr="002522B7">
              <w:t xml:space="preserve">ligestillingsorganerne har ret </w:t>
            </w:r>
            <w:r w:rsidRPr="002522B7">
              <w:t>til at fremsætte henstillinger om disse spørgsmål</w:t>
            </w:r>
            <w:r w:rsidRPr="002522B7">
              <w:rPr>
                <w:b/>
                <w:i/>
              </w:rPr>
              <w:t>, til at offentliggøre dem</w:t>
            </w:r>
            <w:r w:rsidRPr="002522B7">
              <w:t xml:space="preserve"> og til at </w:t>
            </w:r>
            <w:r w:rsidRPr="002522B7">
              <w:rPr>
                <w:b/>
                <w:i/>
              </w:rPr>
              <w:t>kræve feedback fra de berørte myndigheder</w:t>
            </w:r>
            <w:r w:rsidRPr="002522B7">
              <w:t>.</w:t>
            </w:r>
          </w:p>
        </w:tc>
        <w:tc>
          <w:tcPr>
            <w:tcW w:w="4876" w:type="dxa"/>
            <w:hideMark/>
          </w:tcPr>
          <w:p w:rsidR="008429B6" w:rsidRPr="002522B7" w:rsidRDefault="0032033D" w:rsidP="00823CA1">
            <w:pPr>
              <w:pStyle w:val="Normal6"/>
              <w:rPr>
                <w:szCs w:val="24"/>
              </w:rPr>
            </w:pPr>
            <w:r w:rsidRPr="002522B7">
              <w:t>Ligestillingsorganerne har ret til at fremsætte henstillinger om disse spørgsmål</w:t>
            </w:r>
            <w:r w:rsidRPr="002522B7">
              <w:rPr>
                <w:b/>
                <w:i/>
              </w:rPr>
              <w:t xml:space="preserve"> og anmode om feedback fra de berørte myndighed</w:t>
            </w:r>
            <w:r w:rsidRPr="002522B7">
              <w:rPr>
                <w:b/>
                <w:i/>
              </w:rPr>
              <w:t>er</w:t>
            </w:r>
            <w:r w:rsidRPr="002522B7">
              <w:t xml:space="preserve"> og til at </w:t>
            </w:r>
            <w:r w:rsidRPr="002522B7">
              <w:rPr>
                <w:b/>
                <w:i/>
              </w:rPr>
              <w:t>fremsætte forslag til forbedring og ajourføring af gældende ligestillingslovgivning</w:t>
            </w:r>
            <w:r w:rsidRPr="002522B7">
              <w:t>.</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Medlemsstaterne sikrer, at de henstillinger og den feedback, der kræves inden for rammerne af høringsproceduren, gøres offentligt tilgængelige.</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89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14 – stk. 3</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w:t>
            </w:r>
            <w:r w:rsidRPr="002522B7">
              <w:tab/>
              <w:t xml:space="preserve">Medlemsstaterne sikrer, at ligestillingsorganerne kan få adgang til statistikker </w:t>
            </w:r>
            <w:r w:rsidRPr="002522B7">
              <w:t>vedrørende de rettigheder og forpligtelser, der følger af direktiv 2006/54/EF og 2010/41/EU, som indsamles af offentlige og private enheder, herunder offentlige myndigheder, fagforeninger, virksomheder og civilsamfundsorganisationer, hvis de finder, at såd</w:t>
            </w:r>
            <w:r w:rsidRPr="002522B7">
              <w:t xml:space="preserve">anne statistikker er nødvendige for at foretage en samlet vurdering af situationen med hensyn til forskelsbehandling i medlemsstaten og for at udarbejde den rapport, der er omhandlet </w:t>
            </w:r>
            <w:r w:rsidRPr="002522B7">
              <w:lastRenderedPageBreak/>
              <w:t>i artikel 15, litra c).</w:t>
            </w:r>
          </w:p>
        </w:tc>
        <w:tc>
          <w:tcPr>
            <w:tcW w:w="4876" w:type="dxa"/>
            <w:hideMark/>
          </w:tcPr>
          <w:p w:rsidR="008429B6" w:rsidRPr="002522B7" w:rsidRDefault="0032033D" w:rsidP="00823CA1">
            <w:pPr>
              <w:pStyle w:val="Normal6"/>
              <w:rPr>
                <w:szCs w:val="24"/>
              </w:rPr>
            </w:pPr>
            <w:r w:rsidRPr="002522B7">
              <w:lastRenderedPageBreak/>
              <w:t>3.</w:t>
            </w:r>
            <w:r w:rsidRPr="002522B7">
              <w:tab/>
              <w:t>Medlemsstaterne sikrer, at ligestillingsorgane</w:t>
            </w:r>
            <w:r w:rsidRPr="002522B7">
              <w:t xml:space="preserve">rne kan få adgang til </w:t>
            </w:r>
            <w:r w:rsidRPr="002522B7">
              <w:rPr>
                <w:b/>
                <w:i/>
              </w:rPr>
              <w:t xml:space="preserve">og forelægges </w:t>
            </w:r>
            <w:r w:rsidRPr="002522B7">
              <w:t>statistikker vedrørende de rettigheder og forpligtelser, der følger af direktiv 2006/54/EF og 2010/41/EU, som indsamles af offentlige og private enheder, herunder offentlige myndigheder, fagforeninger, virksomheder og ci</w:t>
            </w:r>
            <w:r w:rsidRPr="002522B7">
              <w:t xml:space="preserve">vilsamfundsorganisationer, hvis de finder, at sådanne statistikker er nødvendige for at foretage en samlet vurdering af situationen med hensyn til forskelsbehandling i medlemsstaten og for at udarbejde den rapport, der er omhandlet </w:t>
            </w:r>
            <w:r w:rsidRPr="002522B7">
              <w:lastRenderedPageBreak/>
              <w:t xml:space="preserve">i artikel 15, litra c). </w:t>
            </w:r>
            <w:r w:rsidRPr="002522B7">
              <w:rPr>
                <w:b/>
                <w:i/>
              </w:rPr>
              <w:t>Medlemsstaterne sikrer, at disse data leveres til ligestillingsorganerne i et lettilgængeligt format, så det er nemt for dem at bruge dem.</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90</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 xml:space="preserve">Artikel 14 – </w:t>
      </w:r>
      <w:r w:rsidRPr="002522B7">
        <w:t>stk. 5</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rPr>
                <w:b/>
                <w:i/>
              </w:rPr>
              <w:t>5.</w:t>
            </w:r>
            <w:r w:rsidRPr="002522B7">
              <w:tab/>
              <w:t>Medlemsstaterne sikrer, at ligestillingsorganerne kan gennemføre uafhængige undersøgelser vedrørende forskelsbehandling.</w:t>
            </w:r>
          </w:p>
        </w:tc>
        <w:tc>
          <w:tcPr>
            <w:tcW w:w="4876" w:type="dxa"/>
            <w:hideMark/>
          </w:tcPr>
          <w:p w:rsidR="008429B6" w:rsidRPr="002522B7" w:rsidRDefault="0032033D" w:rsidP="00823CA1">
            <w:pPr>
              <w:pStyle w:val="Normal6"/>
              <w:rPr>
                <w:szCs w:val="24"/>
              </w:rPr>
            </w:pPr>
            <w:r w:rsidRPr="002522B7">
              <w:t>5.</w:t>
            </w:r>
            <w:r w:rsidRPr="002522B7">
              <w:tab/>
              <w:t xml:space="preserve">Medlemsstaterne sikrer, at ligestillingsorganerne kan gennemføre </w:t>
            </w:r>
            <w:r w:rsidRPr="002522B7">
              <w:t>uafhængige undersøgelser</w:t>
            </w:r>
            <w:r w:rsidRPr="002522B7">
              <w:rPr>
                <w:b/>
                <w:i/>
              </w:rPr>
              <w:t>, rapporter og forskning</w:t>
            </w:r>
            <w:r w:rsidRPr="002522B7">
              <w:t xml:space="preserve"> vedrørende </w:t>
            </w:r>
            <w:r w:rsidRPr="002522B7">
              <w:rPr>
                <w:b/>
                <w:i/>
              </w:rPr>
              <w:t xml:space="preserve">alle former for </w:t>
            </w:r>
            <w:r w:rsidRPr="002522B7">
              <w:t>forskelsbehandling</w:t>
            </w:r>
            <w:r w:rsidRPr="002522B7">
              <w:rPr>
                <w:b/>
                <w:i/>
              </w:rPr>
              <w:t>, herunder intersektionel, strukturel eller systemisk forskelsbehandling, og at de kan bestille dem eksternt, bl.a. ved hjælp af ekspertbistand, der tilvejebringe</w:t>
            </w:r>
            <w:r w:rsidRPr="002522B7">
              <w:rPr>
                <w:b/>
                <w:i/>
              </w:rPr>
              <w:t xml:space="preserve">s af de kompetente medlemsstater og EU-organer, som beskæftiger sig med forskelsbehandling, såsom Den Europæiske Unions Agentur for Grundlæggende Rettigheder eller Det Europæiske Institut for Ligestilling mellem Mænd og Kvinder, og medlemsstaterne sikrer, </w:t>
            </w:r>
            <w:r w:rsidRPr="002522B7">
              <w:rPr>
                <w:b/>
                <w:i/>
              </w:rPr>
              <w:t>at ligestillingsorganerne har de tilstrækkelige økonomiske ressourcer og personale hertil</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91</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 xml:space="preserve">Artikel 15 – stk. 1 – litra c </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 xml:space="preserve">Kommissionens </w:t>
            </w:r>
            <w:r w:rsidRPr="002522B7">
              <w:t>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rPr>
                <w:b/>
                <w:i/>
              </w:rPr>
              <w:t>c)</w:t>
            </w:r>
            <w:r w:rsidRPr="002522B7">
              <w:tab/>
              <w:t xml:space="preserve">offentliggør en rapport med henstillinger mindst hvert </w:t>
            </w:r>
            <w:r w:rsidRPr="002522B7">
              <w:rPr>
                <w:b/>
                <w:i/>
              </w:rPr>
              <w:t>fjerde</w:t>
            </w:r>
            <w:r w:rsidRPr="002522B7">
              <w:t xml:space="preserve"> år om situationen med hensyn til ligebehandling og forskelsbehandling, herunder </w:t>
            </w:r>
            <w:r w:rsidRPr="002522B7">
              <w:rPr>
                <w:b/>
                <w:i/>
              </w:rPr>
              <w:t>potentielle strukturelle spørgsmål,</w:t>
            </w:r>
            <w:r w:rsidRPr="002522B7">
              <w:t xml:space="preserve"> i deres </w:t>
            </w:r>
            <w:r w:rsidRPr="002522B7">
              <w:lastRenderedPageBreak/>
              <w:t>medlemsstat.</w:t>
            </w:r>
          </w:p>
        </w:tc>
        <w:tc>
          <w:tcPr>
            <w:tcW w:w="4876" w:type="dxa"/>
            <w:hideMark/>
          </w:tcPr>
          <w:p w:rsidR="008429B6" w:rsidRPr="002522B7" w:rsidRDefault="0032033D" w:rsidP="00823CA1">
            <w:pPr>
              <w:pStyle w:val="Normal6"/>
              <w:rPr>
                <w:szCs w:val="24"/>
              </w:rPr>
            </w:pPr>
            <w:r w:rsidRPr="002522B7">
              <w:lastRenderedPageBreak/>
              <w:t>(c)</w:t>
            </w:r>
            <w:r w:rsidRPr="002522B7">
              <w:tab/>
              <w:t>offentliggør en rapport m</w:t>
            </w:r>
            <w:r w:rsidRPr="002522B7">
              <w:t xml:space="preserve">ed henstillinger mindst hvert </w:t>
            </w:r>
            <w:r w:rsidRPr="002522B7">
              <w:rPr>
                <w:b/>
                <w:i/>
              </w:rPr>
              <w:t>andet</w:t>
            </w:r>
            <w:r w:rsidRPr="002522B7">
              <w:t xml:space="preserve"> år om situationen med hensyn til </w:t>
            </w:r>
            <w:r w:rsidRPr="002522B7">
              <w:rPr>
                <w:b/>
                <w:i/>
              </w:rPr>
              <w:t xml:space="preserve">ligestilling mellem kønnene, </w:t>
            </w:r>
            <w:r w:rsidRPr="002522B7">
              <w:t xml:space="preserve">ligebehandling og forskelsbehandling, herunder </w:t>
            </w:r>
            <w:r w:rsidRPr="002522B7">
              <w:rPr>
                <w:b/>
                <w:i/>
              </w:rPr>
              <w:t xml:space="preserve">potentiel </w:t>
            </w:r>
            <w:r w:rsidRPr="002522B7">
              <w:rPr>
                <w:b/>
                <w:i/>
              </w:rPr>
              <w:lastRenderedPageBreak/>
              <w:t>strukturel eller systemisk forskelsbehandling samt onlinespørgsmål og ethvert tilbageskridt eller for</w:t>
            </w:r>
            <w:r w:rsidRPr="002522B7">
              <w:rPr>
                <w:b/>
                <w:i/>
              </w:rPr>
              <w:t>søg på tilbageskridt på disse områder og en analyse af finansieringen</w:t>
            </w:r>
            <w:r w:rsidRPr="002522B7">
              <w:t xml:space="preserve"> i deres medlemsstat. </w:t>
            </w:r>
            <w:r w:rsidRPr="002522B7">
              <w:rPr>
                <w:b/>
                <w:i/>
              </w:rPr>
              <w:t>Rapporten indeholder også en opfølgning på tidligere henstillinger og de tiltag, der er truffet i den henseende. Denne rapport forelægges det respektive nationale pa</w:t>
            </w:r>
            <w:r w:rsidRPr="002522B7">
              <w:rPr>
                <w:b/>
                <w:i/>
              </w:rPr>
              <w:t>rlament og indsendes til Europa-Parlamentet.</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92</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15 – stk. 1 – litra c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ca)</w:t>
            </w:r>
            <w:r w:rsidRPr="002522B7">
              <w:rPr>
                <w:b/>
                <w:i/>
              </w:rPr>
              <w:tab/>
              <w:t>engagerer sig</w:t>
            </w:r>
            <w:r w:rsidRPr="002522B7">
              <w:rPr>
                <w:b/>
                <w:i/>
              </w:rPr>
              <w:t xml:space="preserve"> i en bæredygtig dialog med regeringer og andre myndigheder, som også tager hensyn til ligestillingsorganernes henvisninger om lovgivning, politik, procedurer, programmer og praksis og træffer foranstaltninger inden for en vis tidsfrist.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w:t>
      </w:r>
      <w:r w:rsidRPr="002522B7">
        <w:t>ndringsforslag</w:t>
      </w:r>
      <w:r w:rsidRPr="002522B7">
        <w:tab/>
      </w:r>
      <w:r w:rsidRPr="002522B7">
        <w:tab/>
      </w:r>
      <w:r w:rsidRPr="002522B7">
        <w:rPr>
          <w:rStyle w:val="HideTWBExt"/>
          <w:b w:val="0"/>
          <w:noProof w:val="0"/>
        </w:rPr>
        <w:t>&lt;NumAm&gt;</w:t>
      </w:r>
      <w:r w:rsidRPr="002522B7">
        <w:t>93</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16 – stk.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t xml:space="preserve">Kommissionen opstiller ved hjælp af en </w:t>
            </w:r>
            <w:r w:rsidRPr="002522B7">
              <w:rPr>
                <w:b/>
                <w:i/>
              </w:rPr>
              <w:t>gennemførelsesretsakt</w:t>
            </w:r>
            <w:r w:rsidRPr="002522B7">
              <w:t xml:space="preserve"> en liste over fælles indikatorer til måling af de praktiske virkninger af dette direktiv. Ved udarbejdelsen af indikatorerne </w:t>
            </w:r>
            <w:r w:rsidRPr="002522B7">
              <w:rPr>
                <w:b/>
                <w:i/>
              </w:rPr>
              <w:t>kan</w:t>
            </w:r>
            <w:r w:rsidRPr="002522B7">
              <w:t xml:space="preserve"> Kommissionen </w:t>
            </w:r>
            <w:r w:rsidRPr="002522B7">
              <w:rPr>
                <w:b/>
                <w:i/>
              </w:rPr>
              <w:t xml:space="preserve">søge </w:t>
            </w:r>
            <w:r w:rsidRPr="002522B7">
              <w:t>rådgivning hos Den Europæiske Unions Agentur for Grundlæggende Rettigheder og Det Europæiske Institut for Li</w:t>
            </w:r>
            <w:r w:rsidRPr="002522B7">
              <w:t xml:space="preserve">gestilling mellem Mænd og Kvinder. Disse indikatorer skal </w:t>
            </w:r>
            <w:r w:rsidRPr="002522B7">
              <w:rPr>
                <w:b/>
                <w:i/>
              </w:rPr>
              <w:t>dække</w:t>
            </w:r>
            <w:r w:rsidRPr="002522B7">
              <w:t xml:space="preserve"> ligestillingsorganernes ressourcer, uafhængige funktion, aktiviteter og </w:t>
            </w:r>
            <w:r w:rsidRPr="002522B7">
              <w:lastRenderedPageBreak/>
              <w:t>effektivitet samt udviklingen i deres mandat, beføjelser eller struktur og sikre, at de data, der indsamles på nationalt</w:t>
            </w:r>
            <w:r w:rsidRPr="002522B7">
              <w:t xml:space="preserve"> plan, er sammenlignelige, objektive og pålidelige.</w:t>
            </w:r>
          </w:p>
        </w:tc>
        <w:tc>
          <w:tcPr>
            <w:tcW w:w="4876" w:type="dxa"/>
            <w:hideMark/>
          </w:tcPr>
          <w:p w:rsidR="008429B6" w:rsidRPr="002522B7" w:rsidRDefault="0032033D" w:rsidP="00B659EF">
            <w:pPr>
              <w:pStyle w:val="Normal6"/>
              <w:rPr>
                <w:szCs w:val="24"/>
              </w:rPr>
            </w:pPr>
            <w:r w:rsidRPr="002522B7">
              <w:lastRenderedPageBreak/>
              <w:t>1.</w:t>
            </w:r>
            <w:r w:rsidRPr="002522B7">
              <w:tab/>
              <w:t xml:space="preserve">Kommissionen opstiller ved hjælp af en </w:t>
            </w:r>
            <w:r w:rsidRPr="002522B7">
              <w:rPr>
                <w:b/>
                <w:i/>
              </w:rPr>
              <w:t>delegeret retsakt</w:t>
            </w:r>
            <w:r w:rsidRPr="002522B7">
              <w:t xml:space="preserve"> en liste over fælles indikatorer</w:t>
            </w:r>
            <w:r w:rsidRPr="002522B7">
              <w:rPr>
                <w:b/>
                <w:i/>
              </w:rPr>
              <w:t xml:space="preserve"> på europæisk plan</w:t>
            </w:r>
            <w:r w:rsidRPr="002522B7">
              <w:t xml:space="preserve"> til måling af de praktiske virkninger af dette direktiv. Ved udarbejdelsen af indikatorerne </w:t>
            </w:r>
            <w:r w:rsidRPr="002522B7">
              <w:rPr>
                <w:b/>
                <w:i/>
              </w:rPr>
              <w:t>s</w:t>
            </w:r>
            <w:r w:rsidRPr="002522B7">
              <w:rPr>
                <w:b/>
                <w:i/>
              </w:rPr>
              <w:t>øger</w:t>
            </w:r>
            <w:r w:rsidRPr="002522B7">
              <w:t xml:space="preserve"> Kommissionen rådgivning hos Den Europæiske Unions Agentur for Grundlæggende Rettigheder og Det Europæiske Institut for Ligestilling mellem Mænd og Kvinder</w:t>
            </w:r>
            <w:r w:rsidRPr="002522B7">
              <w:rPr>
                <w:b/>
                <w:i/>
              </w:rPr>
              <w:t xml:space="preserve"> og det europæiske netværk for ligestillingsorganer (Equinet)</w:t>
            </w:r>
            <w:r w:rsidRPr="002522B7">
              <w:t xml:space="preserve">. Disse indikatorer skal </w:t>
            </w:r>
            <w:r w:rsidRPr="002522B7">
              <w:rPr>
                <w:b/>
                <w:i/>
              </w:rPr>
              <w:t xml:space="preserve">dække </w:t>
            </w:r>
            <w:r w:rsidRPr="002522B7">
              <w:rPr>
                <w:b/>
                <w:i/>
              </w:rPr>
              <w:lastRenderedPageBreak/>
              <w:t>tilst</w:t>
            </w:r>
            <w:r w:rsidRPr="002522B7">
              <w:rPr>
                <w:b/>
                <w:i/>
              </w:rPr>
              <w:t>rækkeligheden af</w:t>
            </w:r>
            <w:r w:rsidRPr="002522B7">
              <w:t xml:space="preserve"> ligestillingsorganernes ressourcer,</w:t>
            </w:r>
            <w:r w:rsidRPr="002522B7">
              <w:rPr>
                <w:b/>
                <w:i/>
              </w:rPr>
              <w:t xml:space="preserve"> herunder økonomiske ressourcer og personale, nøgleelementer i deres</w:t>
            </w:r>
            <w:r w:rsidRPr="002522B7">
              <w:t xml:space="preserve"> uafhængige funktion, aktiviteter og effektivitet samt udviklingen i deres mandat, beføjelser eller struktur og sikre, at de data, der i</w:t>
            </w:r>
            <w:r w:rsidRPr="002522B7">
              <w:t>ndsamles på nationalt plan, er sammenlignelige, objektive og pålidelige.</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94</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16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w:t>
            </w:r>
            <w:r w:rsidRPr="002522B7">
              <w:tab/>
            </w:r>
            <w:r w:rsidRPr="002522B7">
              <w:t xml:space="preserve">Senest </w:t>
            </w:r>
            <w:r w:rsidRPr="002522B7">
              <w:rPr>
                <w:b/>
                <w:i/>
              </w:rPr>
              <w:t>[fem</w:t>
            </w:r>
            <w:r w:rsidRPr="002522B7">
              <w:t xml:space="preserve"> år efter gennemførelsesdatoen] og derefter hvert </w:t>
            </w:r>
            <w:r w:rsidRPr="002522B7">
              <w:rPr>
                <w:b/>
                <w:i/>
              </w:rPr>
              <w:t>femte</w:t>
            </w:r>
            <w:r w:rsidRPr="002522B7">
              <w:t xml:space="preserve"> år forelægger medlemsstaterne Kommissionen alle relevante oplysninger om dette direktivets anvendelse, herunder data om dets praktiske virkninger, der er indsamlet på grundlag af de indikat</w:t>
            </w:r>
            <w:r w:rsidRPr="002522B7">
              <w:t>orer, der er omhandlet i denne artikels stk. 1, og navnlig under hensyntagen til de rapporter, der er udarbejdet af ligestillingsorganerne i henhold til artikel 14, litra b) og c).</w:t>
            </w:r>
          </w:p>
        </w:tc>
        <w:tc>
          <w:tcPr>
            <w:tcW w:w="4876" w:type="dxa"/>
            <w:hideMark/>
          </w:tcPr>
          <w:p w:rsidR="008429B6" w:rsidRPr="002522B7" w:rsidRDefault="0032033D" w:rsidP="00823CA1">
            <w:pPr>
              <w:pStyle w:val="Normal6"/>
              <w:rPr>
                <w:szCs w:val="24"/>
              </w:rPr>
            </w:pPr>
            <w:r w:rsidRPr="002522B7">
              <w:t>2.</w:t>
            </w:r>
            <w:r w:rsidRPr="002522B7">
              <w:tab/>
              <w:t xml:space="preserve">Senest </w:t>
            </w:r>
            <w:r w:rsidRPr="002522B7">
              <w:rPr>
                <w:b/>
                <w:i/>
              </w:rPr>
              <w:t>[to</w:t>
            </w:r>
            <w:r w:rsidRPr="002522B7">
              <w:t xml:space="preserve"> år efter gennemførelsesdatoen] og derefter hvert </w:t>
            </w:r>
            <w:r w:rsidRPr="002522B7">
              <w:rPr>
                <w:b/>
                <w:i/>
              </w:rPr>
              <w:t>andet</w:t>
            </w:r>
            <w:r w:rsidRPr="002522B7">
              <w:t xml:space="preserve"> år for</w:t>
            </w:r>
            <w:r w:rsidRPr="002522B7">
              <w:t>elægger medlemsstaterne Kommissionen alle relevante oplysninger om dette direktivets anvendelse, herunder data om dets praktiske virkninger, der er indsamlet på grundlag af de indikatorer, der er omhandlet i denne artikels stk. 1, og navnlig under hensynta</w:t>
            </w:r>
            <w:r w:rsidRPr="002522B7">
              <w:t>gen til de rapporter, der er udarbejdet af ligestillingsorganerne i henhold til artikel 14, litra b) og c).</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95</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16 – stk. 3</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3.</w:t>
            </w:r>
            <w:r w:rsidRPr="002522B7">
              <w:tab/>
              <w:t xml:space="preserve">Kommissionen udarbejder en rapport om anvendelsen og de praktiske virkninger af dette direktiv på grundlag af de i stk. 2 omhandlede oplysninger og yderligere relevante data indsamlet på nationalt plan og EU-plan, </w:t>
            </w:r>
            <w:r w:rsidRPr="002522B7">
              <w:t>navnlig fra interessenter, af Den Europæiske Unions Agentur for Grundlæggende Rettigheder og Det Europæiske Institut for Ligestilling mellem Mænd og Kvinder.</w:t>
            </w:r>
          </w:p>
        </w:tc>
        <w:tc>
          <w:tcPr>
            <w:tcW w:w="4876" w:type="dxa"/>
            <w:hideMark/>
          </w:tcPr>
          <w:p w:rsidR="008429B6" w:rsidRPr="002522B7" w:rsidRDefault="0032033D" w:rsidP="00823CA1">
            <w:pPr>
              <w:pStyle w:val="Normal6"/>
              <w:rPr>
                <w:szCs w:val="24"/>
              </w:rPr>
            </w:pPr>
            <w:r w:rsidRPr="002522B7">
              <w:t>3.</w:t>
            </w:r>
            <w:r w:rsidRPr="002522B7">
              <w:tab/>
              <w:t xml:space="preserve">Kommissionen udarbejder en rapport om anvendelsen og de praktiske virkninger af dette direktiv </w:t>
            </w:r>
            <w:r w:rsidRPr="002522B7">
              <w:t xml:space="preserve">på grundlag af de i stk. 2 omhandlede oplysninger og yderligere relevante data indsamlet på nationalt plan og EU-plan, navnlig fra </w:t>
            </w:r>
            <w:r w:rsidRPr="002522B7">
              <w:rPr>
                <w:b/>
                <w:i/>
              </w:rPr>
              <w:t xml:space="preserve">ligestillingsorganer, det europæiske netværk for ligestillingsorganer (Equinet), civilsamfundsorganisationer, </w:t>
            </w:r>
            <w:r w:rsidRPr="002522B7">
              <w:t xml:space="preserve">interessenter, </w:t>
            </w:r>
            <w:r w:rsidRPr="002522B7">
              <w:t xml:space="preserve">af Den Europæiske Unions </w:t>
            </w:r>
            <w:r w:rsidRPr="002522B7">
              <w:lastRenderedPageBreak/>
              <w:t xml:space="preserve">Agentur for Grundlæggende Rettigheder og Det Europæiske Institut for Ligestilling mellem Mænd og Kvinder. </w:t>
            </w:r>
            <w:r w:rsidRPr="002522B7">
              <w:rPr>
                <w:b/>
                <w:i/>
              </w:rPr>
              <w:t xml:space="preserve">Rapporten kan indeholde en specifik vurdering med henblik på at evaluere ligestillingsorganernes uafhængige funktion. Klager </w:t>
            </w:r>
            <w:r w:rsidRPr="002522B7">
              <w:rPr>
                <w:b/>
                <w:i/>
              </w:rPr>
              <w:t>over enhver indblanding kan indgives til Kommissionen, som undersøger påstandene yderligere og vurderer dem i sin årlige rapport om retsstatssituationen som led i de institutionelle spørgsmål vedrørende kontrolforanstaltninger.</w:t>
            </w:r>
          </w:p>
        </w:tc>
      </w:tr>
    </w:tbl>
    <w:p w:rsidR="008429B6" w:rsidRPr="002522B7" w:rsidRDefault="0032033D" w:rsidP="008429B6">
      <w:r w:rsidRPr="002522B7">
        <w:rPr>
          <w:rStyle w:val="HideTWBExt"/>
          <w:noProof w:val="0"/>
        </w:rPr>
        <w:lastRenderedPageBreak/>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96</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16 – stk. 3 a (nyt)</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tcPr>
          <w:p w:rsidR="008429B6" w:rsidRPr="002522B7" w:rsidRDefault="008429B6" w:rsidP="00823CA1">
            <w:pPr>
              <w:pStyle w:val="Normal6"/>
            </w:pPr>
          </w:p>
        </w:tc>
        <w:tc>
          <w:tcPr>
            <w:tcW w:w="4876" w:type="dxa"/>
            <w:hideMark/>
          </w:tcPr>
          <w:p w:rsidR="008429B6" w:rsidRPr="002522B7" w:rsidRDefault="0032033D" w:rsidP="00823CA1">
            <w:pPr>
              <w:pStyle w:val="Normal6"/>
              <w:rPr>
                <w:szCs w:val="24"/>
              </w:rPr>
            </w:pPr>
            <w:r w:rsidRPr="002522B7">
              <w:rPr>
                <w:b/>
                <w:i/>
              </w:rPr>
              <w:t>3a.</w:t>
            </w:r>
            <w:r w:rsidRPr="002522B7">
              <w:rPr>
                <w:b/>
                <w:i/>
              </w:rPr>
              <w:tab/>
              <w:t xml:space="preserve">Kommissionen kan udstede opfølgende anbefalinger, når den i forbindelse med sin </w:t>
            </w:r>
            <w:r w:rsidRPr="002522B7">
              <w:rPr>
                <w:b/>
                <w:i/>
              </w:rPr>
              <w:t>overvågning af foranstaltninger til bekæmpelse af forskelsbehandling i medlemsstaterne bemærker bekymrende udviklinger i en medlemsstat.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97</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18 – st</w:t>
      </w:r>
      <w:r w:rsidRPr="002522B7">
        <w:t>k.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1.</w:t>
            </w:r>
            <w:r w:rsidRPr="002522B7">
              <w:tab/>
              <w:t xml:space="preserve">Medlemsstaterne sikrer, at ligestillingsorganer kun indsamler personoplysninger, hvis det er nødvendigt for udførelsen af </w:t>
            </w:r>
            <w:r w:rsidRPr="002522B7">
              <w:rPr>
                <w:b/>
                <w:i/>
              </w:rPr>
              <w:t>en opgave</w:t>
            </w:r>
            <w:r w:rsidRPr="002522B7">
              <w:t xml:space="preserve"> i henhold til dette direktiv.</w:t>
            </w:r>
          </w:p>
        </w:tc>
        <w:tc>
          <w:tcPr>
            <w:tcW w:w="4876" w:type="dxa"/>
            <w:hideMark/>
          </w:tcPr>
          <w:p w:rsidR="008429B6" w:rsidRPr="002522B7" w:rsidRDefault="0032033D" w:rsidP="00823CA1">
            <w:pPr>
              <w:pStyle w:val="Normal6"/>
              <w:rPr>
                <w:szCs w:val="24"/>
              </w:rPr>
            </w:pPr>
            <w:r w:rsidRPr="002522B7">
              <w:t>1.</w:t>
            </w:r>
            <w:r w:rsidRPr="002522B7">
              <w:tab/>
            </w:r>
            <w:r w:rsidRPr="002522B7">
              <w:t xml:space="preserve">Medlemsstaterne sikrer, at ligestillingsorganer kun indsamler </w:t>
            </w:r>
            <w:r w:rsidRPr="002522B7">
              <w:rPr>
                <w:b/>
                <w:i/>
              </w:rPr>
              <w:t xml:space="preserve">og behandler </w:t>
            </w:r>
            <w:r w:rsidRPr="002522B7">
              <w:t xml:space="preserve">personoplysninger, hvis det er nødvendigt for udførelsen af </w:t>
            </w:r>
            <w:r w:rsidRPr="002522B7">
              <w:rPr>
                <w:b/>
                <w:i/>
              </w:rPr>
              <w:t>opgaverne</w:t>
            </w:r>
            <w:r w:rsidRPr="002522B7">
              <w:t xml:space="preserve"> i henhold til dette direktiv</w:t>
            </w:r>
            <w:r w:rsidRPr="002522B7">
              <w:rPr>
                <w:b/>
                <w:i/>
              </w:rPr>
              <w:t>, og hvis indsamlingen og behandlingen af data er i fuld overensstemmelse med foror</w:t>
            </w:r>
            <w:r w:rsidRPr="002522B7">
              <w:rPr>
                <w:b/>
                <w:i/>
              </w:rPr>
              <w:t>dning (EU) 2016/679</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lastRenderedPageBreak/>
        <w:t>&lt;Amend&gt;</w:t>
      </w:r>
      <w:r w:rsidRPr="002522B7">
        <w:t>Ændringsforslag</w:t>
      </w:r>
      <w:r w:rsidRPr="002522B7">
        <w:tab/>
      </w:r>
      <w:r w:rsidRPr="002522B7">
        <w:tab/>
      </w:r>
      <w:r w:rsidRPr="002522B7">
        <w:rPr>
          <w:rStyle w:val="HideTWBExt"/>
          <w:b w:val="0"/>
          <w:noProof w:val="0"/>
        </w:rPr>
        <w:t>&lt;NumAm&gt;</w:t>
      </w:r>
      <w:r w:rsidRPr="002522B7">
        <w:t>98</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18 – stk. 2</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2.</w:t>
            </w:r>
            <w:r w:rsidRPr="002522B7">
              <w:tab/>
              <w:t xml:space="preserve">Medlemsstaterne sikrer, at der er fastsat passende og </w:t>
            </w:r>
            <w:r w:rsidRPr="002522B7">
              <w:t>specifikke foranstaltninger til beskyttelse af den registreredes grundlæggende rettigheder og interesser, når ligestillingsorganerne behandler særlige kategorier af personoplysninger, navnlig oplysninger om race</w:t>
            </w:r>
            <w:r w:rsidRPr="002522B7">
              <w:rPr>
                <w:b/>
                <w:i/>
              </w:rPr>
              <w:t xml:space="preserve"> eller</w:t>
            </w:r>
            <w:r w:rsidRPr="002522B7">
              <w:t xml:space="preserve"> etnisk oprindelse, religion eller tro,</w:t>
            </w:r>
            <w:r w:rsidRPr="002522B7">
              <w:t xml:space="preserve"> handicap</w:t>
            </w:r>
            <w:r w:rsidRPr="002522B7">
              <w:rPr>
                <w:b/>
                <w:i/>
              </w:rPr>
              <w:t xml:space="preserve"> eller</w:t>
            </w:r>
            <w:r w:rsidRPr="002522B7">
              <w:t xml:space="preserve"> seksuel orientering.</w:t>
            </w:r>
          </w:p>
        </w:tc>
        <w:tc>
          <w:tcPr>
            <w:tcW w:w="4876" w:type="dxa"/>
            <w:hideMark/>
          </w:tcPr>
          <w:p w:rsidR="008429B6" w:rsidRPr="002522B7" w:rsidRDefault="0032033D" w:rsidP="00823CA1">
            <w:pPr>
              <w:pStyle w:val="Normal6"/>
              <w:rPr>
                <w:szCs w:val="24"/>
              </w:rPr>
            </w:pPr>
            <w:r w:rsidRPr="002522B7">
              <w:t>2.</w:t>
            </w:r>
            <w:r w:rsidRPr="002522B7">
              <w:tab/>
              <w:t xml:space="preserve">Medlemsstaterne sikrer, at </w:t>
            </w:r>
            <w:r w:rsidRPr="002522B7">
              <w:rPr>
                <w:b/>
                <w:i/>
              </w:rPr>
              <w:t xml:space="preserve">det sker i fuld overensstemmelse med artikel 9 i forordning (EU) 2016/679, og at </w:t>
            </w:r>
            <w:r w:rsidRPr="002522B7">
              <w:t>der er fastsat passende og specifikke foranstaltninger til beskyttelse af den registreredes grundlæggende re</w:t>
            </w:r>
            <w:r w:rsidRPr="002522B7">
              <w:t>ttigheder og interesser</w:t>
            </w:r>
            <w:r w:rsidRPr="002522B7">
              <w:rPr>
                <w:b/>
                <w:i/>
              </w:rPr>
              <w:t xml:space="preserve"> i overensstemmelse med artikel 9, stk. 2, litra g), i forordning (EU) 2016/679</w:t>
            </w:r>
            <w:r w:rsidRPr="002522B7">
              <w:t>, når ligestillingsorganerne behandler særlige kategorier af personoplysninger</w:t>
            </w:r>
            <w:r w:rsidRPr="002522B7">
              <w:rPr>
                <w:b/>
                <w:i/>
              </w:rPr>
              <w:t xml:space="preserve"> som omhandlet i forordning (EU) 2016/679</w:t>
            </w:r>
            <w:r w:rsidRPr="002522B7">
              <w:t>, navnlig oplysninger om race</w:t>
            </w:r>
            <w:r w:rsidRPr="002522B7">
              <w:rPr>
                <w:b/>
                <w:i/>
              </w:rPr>
              <w:t>,</w:t>
            </w:r>
            <w:r w:rsidRPr="002522B7">
              <w:t xml:space="preserve"> etni</w:t>
            </w:r>
            <w:r w:rsidRPr="002522B7">
              <w:t>sk oprindelse, religion eller tro, handicap</w:t>
            </w:r>
            <w:r w:rsidRPr="002522B7">
              <w:rPr>
                <w:b/>
                <w:i/>
              </w:rPr>
              <w:t>, en persons sexliv,</w:t>
            </w:r>
            <w:r w:rsidRPr="002522B7">
              <w:t xml:space="preserve"> seksuel orientering</w:t>
            </w:r>
            <w:r w:rsidRPr="002522B7">
              <w:rPr>
                <w:b/>
                <w:i/>
              </w:rPr>
              <w:t>, helbredsoplysninger, biometriske oplysninger eller genetiske data</w:t>
            </w:r>
            <w:r w:rsidRPr="002522B7">
              <w:t>.</w:t>
            </w:r>
          </w:p>
        </w:tc>
      </w:tr>
    </w:tbl>
    <w:p w:rsidR="008429B6" w:rsidRPr="002522B7" w:rsidRDefault="0032033D" w:rsidP="008429B6">
      <w:r w:rsidRPr="002522B7">
        <w:rPr>
          <w:rStyle w:val="HideTWBExt"/>
          <w:noProof w:val="0"/>
        </w:rPr>
        <w:t>&lt;/Amend&gt;</w:t>
      </w:r>
    </w:p>
    <w:p w:rsidR="008429B6" w:rsidRPr="002522B7" w:rsidRDefault="0032033D" w:rsidP="008429B6">
      <w:pPr>
        <w:pStyle w:val="AmNumberTabs"/>
      </w:pPr>
      <w:r w:rsidRPr="002522B7">
        <w:rPr>
          <w:rStyle w:val="HideTWBExt"/>
          <w:b w:val="0"/>
          <w:noProof w:val="0"/>
        </w:rPr>
        <w:t>&lt;Amend&gt;</w:t>
      </w:r>
      <w:r w:rsidRPr="002522B7">
        <w:t>Ændringsforslag</w:t>
      </w:r>
      <w:r w:rsidRPr="002522B7">
        <w:tab/>
      </w:r>
      <w:r w:rsidRPr="002522B7">
        <w:tab/>
      </w:r>
      <w:r w:rsidRPr="002522B7">
        <w:rPr>
          <w:rStyle w:val="HideTWBExt"/>
          <w:b w:val="0"/>
          <w:noProof w:val="0"/>
        </w:rPr>
        <w:t>&lt;NumAm&gt;</w:t>
      </w:r>
      <w:r w:rsidRPr="002522B7">
        <w:t>99</w:t>
      </w:r>
      <w:r w:rsidRPr="002522B7">
        <w:rPr>
          <w:rStyle w:val="HideTWBExt"/>
          <w:b w:val="0"/>
          <w:noProof w:val="0"/>
        </w:rPr>
        <w:t>&lt;/NumAm&gt;</w:t>
      </w:r>
    </w:p>
    <w:p w:rsidR="008429B6" w:rsidRPr="002522B7" w:rsidRDefault="008429B6" w:rsidP="008429B6"/>
    <w:p w:rsidR="008429B6" w:rsidRPr="002522B7" w:rsidRDefault="0032033D" w:rsidP="008429B6">
      <w:pPr>
        <w:pStyle w:val="NormalBold"/>
        <w:keepNext/>
      </w:pPr>
      <w:r w:rsidRPr="002522B7">
        <w:rPr>
          <w:rStyle w:val="HideTWBExt"/>
          <w:b w:val="0"/>
          <w:noProof w:val="0"/>
        </w:rPr>
        <w:t>&lt;DocAmend&gt;</w:t>
      </w:r>
      <w:r w:rsidRPr="002522B7">
        <w:t>Forslag til direktiv</w:t>
      </w:r>
      <w:r w:rsidRPr="002522B7">
        <w:rPr>
          <w:rStyle w:val="HideTWBExt"/>
          <w:b w:val="0"/>
          <w:noProof w:val="0"/>
        </w:rPr>
        <w:t>&lt;/DocAmend&gt;</w:t>
      </w:r>
    </w:p>
    <w:p w:rsidR="008429B6" w:rsidRPr="002522B7" w:rsidRDefault="0032033D" w:rsidP="008429B6">
      <w:pPr>
        <w:pStyle w:val="NormalBold"/>
      </w:pPr>
      <w:r w:rsidRPr="002522B7">
        <w:rPr>
          <w:rStyle w:val="HideTWBExt"/>
          <w:b w:val="0"/>
          <w:noProof w:val="0"/>
        </w:rPr>
        <w:t>&lt;Article&gt;</w:t>
      </w:r>
      <w:r w:rsidRPr="002522B7">
        <w:t>Artikel 20 – stk. 1 – afsnit 1</w:t>
      </w:r>
      <w:r w:rsidRPr="002522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C6" w:rsidRPr="002522B7" w:rsidTr="00823CA1">
        <w:trPr>
          <w:jc w:val="center"/>
        </w:trPr>
        <w:tc>
          <w:tcPr>
            <w:tcW w:w="9752" w:type="dxa"/>
            <w:gridSpan w:val="2"/>
          </w:tcPr>
          <w:p w:rsidR="008429B6" w:rsidRPr="002522B7" w:rsidRDefault="008429B6" w:rsidP="00823CA1">
            <w:pPr>
              <w:keepNext/>
            </w:pPr>
          </w:p>
        </w:tc>
      </w:tr>
      <w:tr w:rsidR="003700C6" w:rsidRPr="002522B7" w:rsidTr="00823CA1">
        <w:trPr>
          <w:jc w:val="center"/>
        </w:trPr>
        <w:tc>
          <w:tcPr>
            <w:tcW w:w="4876" w:type="dxa"/>
            <w:hideMark/>
          </w:tcPr>
          <w:p w:rsidR="008429B6" w:rsidRPr="002522B7" w:rsidRDefault="0032033D" w:rsidP="00823CA1">
            <w:pPr>
              <w:pStyle w:val="ColumnHeading"/>
              <w:keepNext/>
            </w:pPr>
            <w:r w:rsidRPr="002522B7">
              <w:t>Kommissionens forslag</w:t>
            </w:r>
          </w:p>
        </w:tc>
        <w:tc>
          <w:tcPr>
            <w:tcW w:w="4876" w:type="dxa"/>
            <w:hideMark/>
          </w:tcPr>
          <w:p w:rsidR="008429B6" w:rsidRPr="002522B7" w:rsidRDefault="0032033D" w:rsidP="00823CA1">
            <w:pPr>
              <w:pStyle w:val="ColumnHeading"/>
              <w:keepNext/>
            </w:pPr>
            <w:r w:rsidRPr="002522B7">
              <w:t>Ændringsforslag</w:t>
            </w:r>
          </w:p>
        </w:tc>
      </w:tr>
      <w:tr w:rsidR="003700C6" w:rsidRPr="002522B7" w:rsidTr="00823CA1">
        <w:trPr>
          <w:jc w:val="center"/>
        </w:trPr>
        <w:tc>
          <w:tcPr>
            <w:tcW w:w="4876" w:type="dxa"/>
            <w:hideMark/>
          </w:tcPr>
          <w:p w:rsidR="008429B6" w:rsidRPr="002522B7" w:rsidRDefault="0032033D" w:rsidP="00823CA1">
            <w:pPr>
              <w:pStyle w:val="Normal6"/>
            </w:pPr>
            <w:r w:rsidRPr="002522B7">
              <w:t>Medlemsstaterne sætter de nødvendige love og administrative bestemmelser i kraft for at efterkomme dette direktiv inden den [</w:t>
            </w:r>
            <w:r w:rsidRPr="002522B7">
              <w:rPr>
                <w:b/>
                <w:i/>
              </w:rPr>
              <w:t>18</w:t>
            </w:r>
            <w:r w:rsidRPr="002522B7">
              <w:t xml:space="preserve"> måneder]. De underretter straks Kommissionen </w:t>
            </w:r>
            <w:r w:rsidRPr="002522B7">
              <w:t>herom.</w:t>
            </w:r>
          </w:p>
        </w:tc>
        <w:tc>
          <w:tcPr>
            <w:tcW w:w="4876" w:type="dxa"/>
            <w:hideMark/>
          </w:tcPr>
          <w:p w:rsidR="008429B6" w:rsidRPr="002522B7" w:rsidRDefault="0032033D" w:rsidP="00823CA1">
            <w:pPr>
              <w:pStyle w:val="Normal6"/>
              <w:rPr>
                <w:szCs w:val="24"/>
              </w:rPr>
            </w:pPr>
            <w:r w:rsidRPr="002522B7">
              <w:t>Medlemsstaterne sætter de nødvendige love og administrative bestemmelser i kraft for at efterkomme dette direktiv inden den [</w:t>
            </w:r>
            <w:r w:rsidRPr="002522B7">
              <w:rPr>
                <w:b/>
                <w:i/>
              </w:rPr>
              <w:t>12</w:t>
            </w:r>
            <w:r w:rsidRPr="002522B7">
              <w:t xml:space="preserve"> måneder]. De underretter straks Kommissionen herom.</w:t>
            </w:r>
          </w:p>
        </w:tc>
      </w:tr>
    </w:tbl>
    <w:p w:rsidR="008429B6" w:rsidRPr="002522B7" w:rsidRDefault="0032033D" w:rsidP="008429B6">
      <w:r w:rsidRPr="002522B7">
        <w:rPr>
          <w:rStyle w:val="HideTWBExt"/>
          <w:noProof w:val="0"/>
        </w:rPr>
        <w:t>&lt;/Amend&gt;</w:t>
      </w:r>
    </w:p>
    <w:p w:rsidR="008429B6" w:rsidRPr="002522B7" w:rsidRDefault="008429B6" w:rsidP="008429B6">
      <w:pPr>
        <w:rPr>
          <w:rStyle w:val="HideTWBExt"/>
          <w:noProof w:val="0"/>
          <w:szCs w:val="20"/>
        </w:rPr>
      </w:pPr>
    </w:p>
    <w:p w:rsidR="007D7414" w:rsidRPr="002522B7" w:rsidRDefault="0032033D" w:rsidP="007D7414">
      <w:r w:rsidRPr="002522B7">
        <w:rPr>
          <w:rStyle w:val="HideTWBExt"/>
          <w:noProof w:val="0"/>
        </w:rPr>
        <w:t>&lt;/RepeatBlock-Amend&gt;</w:t>
      </w:r>
    </w:p>
    <w:p w:rsidR="007D7414" w:rsidRPr="002522B7" w:rsidRDefault="007D7414" w:rsidP="00DB56E4"/>
    <w:p w:rsidR="00FE4134" w:rsidRPr="002522B7" w:rsidRDefault="00FE4134" w:rsidP="00DB56E4">
      <w:pPr>
        <w:sectPr w:rsidR="00FE4134" w:rsidRPr="002522B7" w:rsidSect="00DA423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E4134" w:rsidRPr="002522B7" w:rsidRDefault="0032033D" w:rsidP="00FE4134">
      <w:pPr>
        <w:pStyle w:val="PageHeadingNotTOC"/>
      </w:pPr>
      <w:r w:rsidRPr="002522B7">
        <w:lastRenderedPageBreak/>
        <w:t>BEGRUNDELSE</w:t>
      </w:r>
    </w:p>
    <w:p w:rsidR="008B113D" w:rsidRPr="002522B7" w:rsidRDefault="0032033D" w:rsidP="00F37B34">
      <w:pPr>
        <w:pStyle w:val="PageHeadingNotTOC"/>
        <w:spacing w:after="240"/>
        <w:jc w:val="left"/>
        <w:rPr>
          <w:rFonts w:ascii="Times New Roman" w:hAnsi="Times New Roman" w:cs="Times New Roman"/>
          <w:b w:val="0"/>
          <w:szCs w:val="24"/>
        </w:rPr>
      </w:pPr>
      <w:r w:rsidRPr="002522B7">
        <w:rPr>
          <w:rFonts w:ascii="Times New Roman" w:hAnsi="Times New Roman"/>
          <w:b w:val="0"/>
        </w:rPr>
        <w:t>Alle ofre for fo</w:t>
      </w:r>
      <w:r w:rsidRPr="002522B7">
        <w:rPr>
          <w:rFonts w:ascii="Times New Roman" w:hAnsi="Times New Roman"/>
          <w:b w:val="0"/>
        </w:rPr>
        <w:t>rskelsbehandling fortjener lige beskyttelse, støtte og adgang til domstolsprøvelse. Retten til ikkeforskelsbehandling er nedfældet i chartret og traktaterne og skal respekteres fuldt ud. Den voldsomme opposition mod ligestilling mellem kønnene og andre gru</w:t>
      </w:r>
      <w:r w:rsidRPr="002522B7">
        <w:rPr>
          <w:rFonts w:ascii="Times New Roman" w:hAnsi="Times New Roman"/>
          <w:b w:val="0"/>
        </w:rPr>
        <w:t>ndlæggende rettigheder er åbenlyst på verdensplan og hastigt voksende, også i Europa. Det er vigtigere end nogensinde, at EU opfylder sit mandat til aktivt og beslutsomt at bekæmpe forskelsbehandling. Med henblik herpå er styrkelsen af nationale ligestilli</w:t>
      </w:r>
      <w:r w:rsidRPr="002522B7">
        <w:rPr>
          <w:rFonts w:ascii="Times New Roman" w:hAnsi="Times New Roman"/>
          <w:b w:val="0"/>
        </w:rPr>
        <w:t>ngsorganers rolle og uafhængighed et stort skridt i retning af en Union uden forskelsbehandling.</w:t>
      </w:r>
    </w:p>
    <w:p w:rsidR="008B113D" w:rsidRPr="002522B7" w:rsidRDefault="0032033D" w:rsidP="00F37B34">
      <w:pPr>
        <w:pStyle w:val="PageHeadingNotTOC"/>
        <w:spacing w:after="240"/>
        <w:jc w:val="left"/>
        <w:rPr>
          <w:rFonts w:ascii="Times New Roman" w:hAnsi="Times New Roman" w:cs="Times New Roman"/>
          <w:b w:val="0"/>
          <w:szCs w:val="24"/>
        </w:rPr>
      </w:pPr>
      <w:r w:rsidRPr="002522B7">
        <w:rPr>
          <w:rFonts w:ascii="Times New Roman" w:hAnsi="Times New Roman"/>
          <w:b w:val="0"/>
        </w:rPr>
        <w:t>Hver femte person i EU oplever forskelsbehandling eller chikane af forskellige grunde eller af en kombination af grunde. EU's regelsæt til bekæmpelse af forske</w:t>
      </w:r>
      <w:r w:rsidRPr="002522B7">
        <w:rPr>
          <w:rFonts w:ascii="Times New Roman" w:hAnsi="Times New Roman"/>
          <w:b w:val="0"/>
        </w:rPr>
        <w:t>lsbehandling er desværre fragmenteret, hvilket skaber et kunstigt "hierarki" af beskyttede grunde og fører til, at ofre ikke beskyttes i lige grad. Der er et presserende behov for at få dette løst. Det er derfor særlig uheldigt, at det horisontale direktiv</w:t>
      </w:r>
      <w:r w:rsidRPr="002522B7">
        <w:rPr>
          <w:rFonts w:ascii="Times New Roman" w:hAnsi="Times New Roman"/>
          <w:b w:val="0"/>
        </w:rPr>
        <w:t xml:space="preserve"> om bekæmpelse af forskelsbehandling stadig er blokeret af Rådet, hvilket forhindrer opnåelsen af en sammenhængende ramme for ikkeforskelsbehandling på EU-plan. De nuværende direktiver er i den forbindelse en mulighed for at hæve ambitionerne og sikre en o</w:t>
      </w:r>
      <w:r w:rsidRPr="002522B7">
        <w:rPr>
          <w:rFonts w:ascii="Times New Roman" w:hAnsi="Times New Roman"/>
          <w:b w:val="0"/>
        </w:rPr>
        <w:t>mfattende beskyttelse mod forskelsbehandling og støtte til ofre i alle medlemsstater.</w:t>
      </w:r>
    </w:p>
    <w:p w:rsidR="008B113D" w:rsidRPr="002522B7" w:rsidRDefault="0032033D" w:rsidP="00F37B34">
      <w:pPr>
        <w:pStyle w:val="PageHeadingNotTOC"/>
        <w:spacing w:after="240"/>
        <w:jc w:val="left"/>
        <w:rPr>
          <w:rFonts w:ascii="Times New Roman" w:hAnsi="Times New Roman" w:cs="Times New Roman"/>
          <w:b w:val="0"/>
          <w:szCs w:val="24"/>
        </w:rPr>
      </w:pPr>
      <w:r w:rsidRPr="002522B7">
        <w:rPr>
          <w:rFonts w:ascii="Times New Roman" w:hAnsi="Times New Roman"/>
          <w:b w:val="0"/>
        </w:rPr>
        <w:t xml:space="preserve">Ligestillingsorganer spiller en afgørende rolle med henblik på at fremme ligestilling og bekæmpe forskelsbehandling. De er navnlig afgørende med henblik på at yde støtte </w:t>
      </w:r>
      <w:r w:rsidRPr="002522B7">
        <w:rPr>
          <w:rFonts w:ascii="Times New Roman" w:hAnsi="Times New Roman"/>
          <w:b w:val="0"/>
        </w:rPr>
        <w:t>og bistand til ofre, sikre bevidstgørelse, gennemføre uafhængige undersøgelser, rapporter og forskning, indsamle data, overvåge tendenser, fremsætte henstillinger og sikre gennemførelsen af EU-lovgivning om bekæmpelse af forskelsbehandling. Manglen på bind</w:t>
      </w:r>
      <w:r w:rsidRPr="002522B7">
        <w:rPr>
          <w:rFonts w:ascii="Times New Roman" w:hAnsi="Times New Roman"/>
          <w:b w:val="0"/>
        </w:rPr>
        <w:t>ende standarder vedrørende deres mandat har bidraget til den ulige beskyttelse mod forskelsbehandling i forskellige medlemsstater. Bindende minimumsstandarder for ligestillingsorganerne ville sikre, at deres fulde potentiale udnyttes.</w:t>
      </w:r>
    </w:p>
    <w:p w:rsidR="008B113D" w:rsidRPr="002522B7" w:rsidRDefault="0032033D" w:rsidP="00F37B34">
      <w:pPr>
        <w:pStyle w:val="PageHeadingNotTOC"/>
        <w:spacing w:after="240"/>
        <w:jc w:val="left"/>
        <w:rPr>
          <w:rFonts w:ascii="Times New Roman" w:hAnsi="Times New Roman" w:cs="Times New Roman"/>
          <w:b w:val="0"/>
          <w:szCs w:val="24"/>
        </w:rPr>
      </w:pPr>
      <w:r w:rsidRPr="002522B7">
        <w:rPr>
          <w:rFonts w:ascii="Times New Roman" w:hAnsi="Times New Roman"/>
          <w:b w:val="0"/>
        </w:rPr>
        <w:t>Ligestillingsorganern</w:t>
      </w:r>
      <w:r w:rsidRPr="002522B7">
        <w:rPr>
          <w:rFonts w:ascii="Times New Roman" w:hAnsi="Times New Roman"/>
          <w:b w:val="0"/>
        </w:rPr>
        <w:t>es minimumskompetencer skal styrkes betydeligt i de nye direktiver. De skal garanteres fuld uafhængighed og selvstændighed og sikres beskyttelse mod budgetnedskæringer og statslig indflydelse. Ligestillingsorganer skal ligeledes tildeles beslutningskompete</w:t>
      </w:r>
      <w:r w:rsidRPr="002522B7">
        <w:rPr>
          <w:rFonts w:ascii="Times New Roman" w:hAnsi="Times New Roman"/>
          <w:b w:val="0"/>
        </w:rPr>
        <w:t>ncer, herunder retten til at modtage klager, undersøgelsesbeføjelser og beføjelser til at føre retssager og beføjelser til at indføre forholdsmæssige og afskrækkende sanktioner. Ligestillingsorganer bør også kunne træffe juridisk bindende afgørelser og afg</w:t>
      </w:r>
      <w:r w:rsidRPr="002522B7">
        <w:rPr>
          <w:rFonts w:ascii="Times New Roman" w:hAnsi="Times New Roman"/>
          <w:b w:val="0"/>
        </w:rPr>
        <w:t>ive ikkebindende udtalelser samt fremsætte henstillinger og foretage opfølgende overvågning.</w:t>
      </w:r>
      <w:r w:rsidR="002522B7" w:rsidRPr="002522B7">
        <w:rPr>
          <w:rFonts w:ascii="Times New Roman" w:hAnsi="Times New Roman"/>
          <w:b w:val="0"/>
        </w:rPr>
        <w:t xml:space="preserve"> </w:t>
      </w:r>
    </w:p>
    <w:p w:rsidR="008B113D" w:rsidRPr="002522B7" w:rsidRDefault="0032033D" w:rsidP="00F37B34">
      <w:pPr>
        <w:pStyle w:val="PageHeadingNotTOC"/>
        <w:spacing w:after="240"/>
        <w:jc w:val="left"/>
        <w:rPr>
          <w:rFonts w:ascii="Times New Roman" w:hAnsi="Times New Roman" w:cs="Times New Roman"/>
          <w:b w:val="0"/>
          <w:szCs w:val="24"/>
        </w:rPr>
      </w:pPr>
      <w:r w:rsidRPr="002522B7">
        <w:rPr>
          <w:rFonts w:ascii="Times New Roman" w:hAnsi="Times New Roman"/>
          <w:b w:val="0"/>
        </w:rPr>
        <w:t>Ligestillingsorganer bør have ret til på eget initiativ at tage alle de spørgsmål op, der falder ind under deres mandat. Dette omfatter imødegåelse af strukture</w:t>
      </w:r>
      <w:r w:rsidRPr="002522B7">
        <w:rPr>
          <w:rFonts w:ascii="Times New Roman" w:hAnsi="Times New Roman"/>
          <w:b w:val="0"/>
        </w:rPr>
        <w:t>l forskelsbehandling. Manglen på nationale bestemmelser vedrørende strukturel forskelsbehandling, kombineret med begrænsede beføjelser til at føre retssager, er til hinder for ligestillingsorganernes evne til at handle, og til at der kan udvikles ny retspr</w:t>
      </w:r>
      <w:r w:rsidRPr="002522B7">
        <w:rPr>
          <w:rFonts w:ascii="Times New Roman" w:hAnsi="Times New Roman"/>
          <w:b w:val="0"/>
        </w:rPr>
        <w:t>aksis. Eftersom personer, der udsættes for forskelsbehandling, ofte stilles i en sårbar situation og ikke er i stand til at håndtere strukturel forskelsbehandling på egen hånd, er det vigtigt, at ligestillingsorganerne har ret til at foretage undersøgelser</w:t>
      </w:r>
      <w:r w:rsidRPr="002522B7">
        <w:rPr>
          <w:rFonts w:ascii="Times New Roman" w:hAnsi="Times New Roman"/>
          <w:b w:val="0"/>
        </w:rPr>
        <w:t xml:space="preserve">, indsamle dokumentation og anlægge retssager på eget initiativ og i eget navn for at vise og håndtere de til tider usynlige normer og processer i institutionerne, der ender </w:t>
      </w:r>
      <w:r w:rsidRPr="002522B7">
        <w:rPr>
          <w:rFonts w:ascii="Times New Roman" w:hAnsi="Times New Roman"/>
          <w:b w:val="0"/>
        </w:rPr>
        <w:lastRenderedPageBreak/>
        <w:t>med at forværre eksisterende uligheder.</w:t>
      </w:r>
    </w:p>
    <w:p w:rsidR="008B113D" w:rsidRPr="002522B7" w:rsidRDefault="0032033D" w:rsidP="00F37B34">
      <w:pPr>
        <w:pStyle w:val="PageHeadingNotTOC"/>
        <w:spacing w:after="240"/>
        <w:jc w:val="left"/>
        <w:rPr>
          <w:rFonts w:ascii="Times New Roman" w:hAnsi="Times New Roman" w:cs="Times New Roman"/>
          <w:b w:val="0"/>
          <w:szCs w:val="24"/>
        </w:rPr>
      </w:pPr>
      <w:r w:rsidRPr="002522B7">
        <w:rPr>
          <w:rFonts w:ascii="Times New Roman" w:hAnsi="Times New Roman"/>
          <w:b w:val="0"/>
        </w:rPr>
        <w:t>Det er også vigtigt at overvåge den hurtig</w:t>
      </w:r>
      <w:r w:rsidRPr="002522B7">
        <w:rPr>
          <w:rFonts w:ascii="Times New Roman" w:hAnsi="Times New Roman"/>
          <w:b w:val="0"/>
        </w:rPr>
        <w:t>e udvikling af digitale teknologier, herunder kunstig intelligens. Der er omfattende dokumentation for, at sådanne systemer udgør en risiko for enkeltpersoner fra sårbare grupper, eftersom teknologier, der styres af big data og kunstig intelligens, forstær</w:t>
      </w:r>
      <w:r w:rsidRPr="002522B7">
        <w:rPr>
          <w:rFonts w:ascii="Times New Roman" w:hAnsi="Times New Roman"/>
          <w:b w:val="0"/>
        </w:rPr>
        <w:t>ker ulighed, forskelsbehandling, udstødelse og fattigdom. Derfor er det vigtigt, at ligestillingsorganer er udstyret med kvalificeret personale, så de kan kaste lys på og håndtere forskelsbehandling online, herunder algoritmisk forskelsbehandling.</w:t>
      </w:r>
      <w:r w:rsidR="002522B7" w:rsidRPr="002522B7">
        <w:rPr>
          <w:rFonts w:ascii="Times New Roman" w:hAnsi="Times New Roman"/>
          <w:b w:val="0"/>
        </w:rPr>
        <w:t xml:space="preserve"> </w:t>
      </w:r>
    </w:p>
    <w:p w:rsidR="008B113D" w:rsidRPr="002522B7" w:rsidRDefault="0032033D" w:rsidP="00F37B34">
      <w:pPr>
        <w:pStyle w:val="PageHeadingNotTOC"/>
        <w:spacing w:after="240"/>
        <w:jc w:val="left"/>
        <w:rPr>
          <w:rFonts w:ascii="Times New Roman" w:hAnsi="Times New Roman" w:cs="Times New Roman"/>
          <w:b w:val="0"/>
          <w:szCs w:val="24"/>
        </w:rPr>
      </w:pPr>
      <w:r w:rsidRPr="002522B7">
        <w:rPr>
          <w:rFonts w:ascii="Times New Roman" w:hAnsi="Times New Roman"/>
          <w:b w:val="0"/>
        </w:rPr>
        <w:t>Direkt</w:t>
      </w:r>
      <w:r w:rsidRPr="002522B7">
        <w:rPr>
          <w:rFonts w:ascii="Times New Roman" w:hAnsi="Times New Roman"/>
          <w:b w:val="0"/>
        </w:rPr>
        <w:t>ivet skal sikre, at ligestillingsorganerne har kompetence til at håndtere intersektionel forskelsbehandling. Ligestillingsorganer bør endvidere anlægge et intersektionelt perspektiv i alle deres opgaver. Imødegåelse af forskelsbehandling ud fra et intersek</w:t>
      </w:r>
      <w:r w:rsidRPr="002522B7">
        <w:rPr>
          <w:rFonts w:ascii="Times New Roman" w:hAnsi="Times New Roman"/>
          <w:b w:val="0"/>
        </w:rPr>
        <w:t>tionelt perspektiv er afgørende for at afspejle særskilte og specifikke former for forskelsbehandling, som ofre står over for på grundlag af to eller flere grunde, korrekt. I den henseende og i overensstemmelse med Domstolens faste retspraksis bør direktiv</w:t>
      </w:r>
      <w:r w:rsidRPr="002522B7">
        <w:rPr>
          <w:rFonts w:ascii="Times New Roman" w:hAnsi="Times New Roman"/>
          <w:b w:val="0"/>
        </w:rPr>
        <w:t>ets anvendelsesområde være så bredt som muligt. Medlemsstaterne bør fremme og finansiere ligestillingsorganer, så de kan dække alle grunde til forskelsbehandling, i overensstemmelse med den åbne klausul i chartrets artikel 21. Det er ikke muligt at opnå li</w:t>
      </w:r>
      <w:r w:rsidRPr="002522B7">
        <w:rPr>
          <w:rFonts w:ascii="Times New Roman" w:hAnsi="Times New Roman"/>
          <w:b w:val="0"/>
        </w:rPr>
        <w:t>gestilling mellem kønnene, hvis ikke alle intersektionelle typer af forskelsbehandling og forskelsbehandling på grundlag af flere grunde, forsætlig eller utilsigtet, i deres individuelle, strukturelle, institutionelle og historiske former, er blevet forstå</w:t>
      </w:r>
      <w:r w:rsidRPr="002522B7">
        <w:rPr>
          <w:rFonts w:ascii="Times New Roman" w:hAnsi="Times New Roman"/>
          <w:b w:val="0"/>
        </w:rPr>
        <w:t>et og udryddet.</w:t>
      </w:r>
    </w:p>
    <w:p w:rsidR="003046E5" w:rsidRPr="002522B7" w:rsidRDefault="0032033D" w:rsidP="00F37B34">
      <w:pPr>
        <w:spacing w:after="240"/>
      </w:pPr>
      <w:r w:rsidRPr="002522B7">
        <w:t>Ligestillingsorganerne udfører deres arbejde i et stadig mere udfordrende miljø, idet forskelsbehandling samt diskriminerende politikker og handlinger normaliseres i en uacceptabel grad i vores samfund. Trods deres vanskelige kontekst har d</w:t>
      </w:r>
      <w:r w:rsidRPr="002522B7">
        <w:t>e allerede bevist deres store potentiale. Vi skal nu give dem de fornødne værktøjer til at bekæmpe alle former for forskelsbehandling. Der er ingen tid at spilde.</w:t>
      </w:r>
    </w:p>
    <w:p w:rsidR="00FE4134" w:rsidRPr="002522B7" w:rsidRDefault="00FE4134" w:rsidP="00F37B34">
      <w:pPr>
        <w:spacing w:after="240"/>
      </w:pPr>
      <w:bookmarkStart w:id="3" w:name="_GoBack"/>
      <w:bookmarkEnd w:id="3"/>
    </w:p>
    <w:sectPr w:rsidR="00FE4134" w:rsidRPr="002522B7" w:rsidSect="00FE41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A4238" w:rsidRDefault="0032033D">
      <w:r w:rsidRPr="00DA4238">
        <w:separator/>
      </w:r>
    </w:p>
  </w:endnote>
  <w:endnote w:type="continuationSeparator" w:id="0">
    <w:p w:rsidR="00000000" w:rsidRPr="00DA4238" w:rsidRDefault="0032033D">
      <w:r w:rsidRPr="00DA42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238" w:rsidRPr="00DA4238" w:rsidRDefault="00DA4238" w:rsidP="00DA4238">
    <w:pPr>
      <w:pStyle w:val="EPFooter"/>
    </w:pPr>
    <w:r w:rsidRPr="00DA4238">
      <w:t>PE</w:t>
    </w:r>
    <w:r w:rsidRPr="00DA4238">
      <w:rPr>
        <w:rStyle w:val="HideTWBExt"/>
      </w:rPr>
      <w:t>&lt;NoPE&gt;</w:t>
    </w:r>
    <w:r w:rsidRPr="00DA4238">
      <w:t>751.894</w:t>
    </w:r>
    <w:r w:rsidRPr="00DA4238">
      <w:rPr>
        <w:rStyle w:val="HideTWBExt"/>
      </w:rPr>
      <w:t>&lt;/NoPE&gt;&lt;Version&gt;</w:t>
    </w:r>
    <w:r w:rsidRPr="00DA4238">
      <w:t>v03-00</w:t>
    </w:r>
    <w:r w:rsidRPr="00DA4238">
      <w:rPr>
        <w:rStyle w:val="HideTWBExt"/>
      </w:rPr>
      <w:t>&lt;/Version&gt;</w:t>
    </w:r>
    <w:r w:rsidRPr="00DA4238">
      <w:tab/>
    </w:r>
    <w:r w:rsidRPr="00DA4238">
      <w:fldChar w:fldCharType="begin"/>
    </w:r>
    <w:r w:rsidRPr="00DA4238">
      <w:instrText xml:space="preserve"> PAGE  \* MERGEFORMAT </w:instrText>
    </w:r>
    <w:r w:rsidRPr="00DA4238">
      <w:fldChar w:fldCharType="separate"/>
    </w:r>
    <w:r w:rsidR="0032033D">
      <w:rPr>
        <w:noProof/>
      </w:rPr>
      <w:t>56</w:t>
    </w:r>
    <w:r w:rsidRPr="00DA4238">
      <w:fldChar w:fldCharType="end"/>
    </w:r>
    <w:r w:rsidRPr="00DA4238">
      <w:t>/</w:t>
    </w:r>
    <w:fldSimple w:instr=" NUMPAGES  \* MERGEFORMAT ">
      <w:r w:rsidR="0032033D">
        <w:rPr>
          <w:noProof/>
        </w:rPr>
        <w:t>57</w:t>
      </w:r>
    </w:fldSimple>
    <w:r w:rsidRPr="00DA4238">
      <w:tab/>
    </w:r>
    <w:r w:rsidRPr="00DA4238">
      <w:rPr>
        <w:rStyle w:val="HideTWBExt"/>
      </w:rPr>
      <w:t>&lt;PathFdR&gt;</w:t>
    </w:r>
    <w:r w:rsidRPr="00DA4238">
      <w:t>AD\1287675DA.docx</w:t>
    </w:r>
    <w:r w:rsidRPr="00DA4238">
      <w:rPr>
        <w:rStyle w:val="HideTWBExt"/>
      </w:rPr>
      <w:t>&lt;/PathFdR&gt;</w:t>
    </w:r>
  </w:p>
  <w:p w:rsidR="00A57BFD" w:rsidRPr="00DA4238" w:rsidRDefault="00DA4238" w:rsidP="00DA4238">
    <w:pPr>
      <w:pStyle w:val="EPFooter2"/>
    </w:pPr>
    <w:r w:rsidRPr="00DA423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238" w:rsidRPr="00DA4238" w:rsidRDefault="00DA4238" w:rsidP="00DA4238">
    <w:pPr>
      <w:pStyle w:val="EPFooter"/>
    </w:pPr>
    <w:r w:rsidRPr="00DA4238">
      <w:rPr>
        <w:rStyle w:val="HideTWBExt"/>
      </w:rPr>
      <w:t>&lt;PathFdR&gt;</w:t>
    </w:r>
    <w:r w:rsidRPr="00DA4238">
      <w:t>AD\1287675DA.docx</w:t>
    </w:r>
    <w:r w:rsidRPr="00DA4238">
      <w:rPr>
        <w:rStyle w:val="HideTWBExt"/>
      </w:rPr>
      <w:t>&lt;/PathFdR&gt;</w:t>
    </w:r>
    <w:r w:rsidRPr="00DA4238">
      <w:tab/>
    </w:r>
    <w:r w:rsidRPr="00DA4238">
      <w:fldChar w:fldCharType="begin"/>
    </w:r>
    <w:r w:rsidRPr="00DA4238">
      <w:instrText xml:space="preserve"> PAGE  \* MERGEFORMAT </w:instrText>
    </w:r>
    <w:r w:rsidRPr="00DA4238">
      <w:fldChar w:fldCharType="separate"/>
    </w:r>
    <w:r w:rsidR="0032033D">
      <w:rPr>
        <w:noProof/>
      </w:rPr>
      <w:t>57</w:t>
    </w:r>
    <w:r w:rsidRPr="00DA4238">
      <w:fldChar w:fldCharType="end"/>
    </w:r>
    <w:r w:rsidRPr="00DA4238">
      <w:t>/</w:t>
    </w:r>
    <w:fldSimple w:instr=" NUMPAGES  \* MERGEFORMAT ">
      <w:r w:rsidR="0032033D">
        <w:rPr>
          <w:noProof/>
        </w:rPr>
        <w:t>57</w:t>
      </w:r>
    </w:fldSimple>
    <w:r w:rsidRPr="00DA4238">
      <w:tab/>
      <w:t>PE</w:t>
    </w:r>
    <w:r w:rsidRPr="00DA4238">
      <w:rPr>
        <w:rStyle w:val="HideTWBExt"/>
      </w:rPr>
      <w:t>&lt;NoPE&gt;</w:t>
    </w:r>
    <w:r w:rsidRPr="00DA4238">
      <w:t>751.894</w:t>
    </w:r>
    <w:r w:rsidRPr="00DA4238">
      <w:rPr>
        <w:rStyle w:val="HideTWBExt"/>
      </w:rPr>
      <w:t>&lt;/NoPE&gt;&lt;Version&gt;</w:t>
    </w:r>
    <w:r w:rsidRPr="00DA4238">
      <w:t>v03-00</w:t>
    </w:r>
    <w:r w:rsidRPr="00DA4238">
      <w:rPr>
        <w:rStyle w:val="HideTWBExt"/>
      </w:rPr>
      <w:t>&lt;/Version&gt;</w:t>
    </w:r>
  </w:p>
  <w:p w:rsidR="00A57BFD" w:rsidRPr="00DA4238" w:rsidRDefault="00DA4238" w:rsidP="00DA4238">
    <w:pPr>
      <w:pStyle w:val="EPFooter2"/>
    </w:pPr>
    <w:r w:rsidRPr="00DA4238">
      <w:tab/>
    </w:r>
    <w:r w:rsidRPr="00DA423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238" w:rsidRPr="00DA4238" w:rsidRDefault="00DA4238" w:rsidP="00DA4238">
    <w:pPr>
      <w:pStyle w:val="EPFooter"/>
    </w:pPr>
    <w:r w:rsidRPr="00DA4238">
      <w:rPr>
        <w:rStyle w:val="HideTWBExt"/>
      </w:rPr>
      <w:t>&lt;PathFdR&gt;</w:t>
    </w:r>
    <w:r w:rsidRPr="00DA4238">
      <w:t>AD\1287675DA.docx</w:t>
    </w:r>
    <w:r w:rsidRPr="00DA4238">
      <w:rPr>
        <w:rStyle w:val="HideTWBExt"/>
      </w:rPr>
      <w:t>&lt;/PathFdR&gt;</w:t>
    </w:r>
    <w:r w:rsidRPr="00DA4238">
      <w:tab/>
    </w:r>
    <w:r w:rsidRPr="00DA4238">
      <w:tab/>
      <w:t>PE</w:t>
    </w:r>
    <w:r w:rsidRPr="00DA4238">
      <w:rPr>
        <w:rStyle w:val="HideTWBExt"/>
      </w:rPr>
      <w:t>&lt;NoPE&gt;</w:t>
    </w:r>
    <w:r w:rsidRPr="00DA4238">
      <w:t>751.894</w:t>
    </w:r>
    <w:r w:rsidRPr="00DA4238">
      <w:rPr>
        <w:rStyle w:val="HideTWBExt"/>
      </w:rPr>
      <w:t>&lt;/NoPE&gt;&lt;Version&gt;</w:t>
    </w:r>
    <w:r w:rsidRPr="00DA4238">
      <w:t>v03-00</w:t>
    </w:r>
    <w:r w:rsidRPr="00DA4238">
      <w:rPr>
        <w:rStyle w:val="HideTWBExt"/>
      </w:rPr>
      <w:t>&lt;/Version&gt;</w:t>
    </w:r>
  </w:p>
  <w:p w:rsidR="00A57BFD" w:rsidRPr="00DA4238" w:rsidRDefault="00DA4238" w:rsidP="00DA4238">
    <w:pPr>
      <w:pStyle w:val="EPFooter2"/>
    </w:pPr>
    <w:r w:rsidRPr="00DA4238">
      <w:t>DA</w:t>
    </w:r>
    <w:r w:rsidRPr="00DA4238">
      <w:tab/>
    </w:r>
    <w:r w:rsidRPr="00DA4238">
      <w:rPr>
        <w:b w:val="0"/>
        <w:i/>
        <w:color w:val="C0C0C0"/>
        <w:sz w:val="22"/>
      </w:rPr>
      <w:t>Forenet i mangfoldighed</w:t>
    </w:r>
    <w:r w:rsidRPr="00DA4238">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A4238" w:rsidRDefault="0032033D">
      <w:r w:rsidRPr="00DA4238">
        <w:separator/>
      </w:r>
    </w:p>
  </w:footnote>
  <w:footnote w:type="continuationSeparator" w:id="0">
    <w:p w:rsidR="00000000" w:rsidRPr="00DA4238" w:rsidRDefault="0032033D">
      <w:r w:rsidRPr="00DA42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B7" w:rsidRDefault="00252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B7" w:rsidRDefault="00252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B7" w:rsidRDefault="002522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2"/>
    <w:docVar w:name="CODEMNU" w:val=" 1"/>
    <w:docVar w:name="COM2KEY" w:val="CJ21"/>
    <w:docVar w:name="COMKEY" w:val="LIBE"/>
    <w:docVar w:name="Consolidate" w:val="True"/>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59437 HideTWBInt;}}{\*\rsidtbl \rsid24658\rsid223860\rsid735077\rsid1718133\rsid2640088\rsid2892074_x000d__x000a_\rsid3565327\rsid4666813\rsid5659437\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3\mo7\dy19\hr19\min38}{\revtim\yr2023\mo7\dy19\hr19\min38}{\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5943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640088 \chftnsep _x000d__x000a_\par }}{\*\ftnsepc \ltrpar \pard\plain \ltrpar\ql \li0\ri0\widctlpar\wrapdefault\aspalpha\aspnum\faauto\adjustright\rin0\lin0\itap0 \rtlch\fcs1 \af0\afs20\alang1025 \ltrch\fcs0 \fs24\lang2057\langfe2057\cgrid\langnp2057\langfenp2057 {\rtlch\fcs1 \af0 _x000d__x000a_\ltrch\fcs0 \insrsid2640088 \chftnsepc _x000d__x000a_\par }}{\*\aftnsep \ltrpar \pard\plain \ltrpar\ql \li0\ri0\widctlpar\wrapdefault\aspalpha\aspnum\faauto\adjustright\rin0\lin0\itap0 \rtlch\fcs1 \af0\afs20\alang1025 \ltrch\fcs0 \fs24\lang2057\langfe2057\cgrid\langnp2057\langfenp2057 {\rtlch\fcs1 \af0 _x000d__x000a_\ltrch\fcs0 \insrsid2640088 \chftnsep _x000d__x000a_\par }}{\*\aftnsepc \ltrpar \pard\plain \ltrpar\ql \li0\ri0\widctlpar\wrapdefault\aspalpha\aspnum\faauto\adjustright\rin0\lin0\itap0 \rtlch\fcs1 \af0\afs20\alang1025 \ltrch\fcs0 \fs24\lang2057\langfe2057\cgrid\langnp2057\langfenp2057 {\rtlch\fcs1 \af0 _x000d__x000a_\ltrch\fcs0 \insrsid26400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59437\charrsid4681841 {\*\bkmkstart ReplaceBookmark}#}{\rtlch\fcs1 \af1 \ltrch\fcs0 _x000d__x000a_\cs17\v\f1\fs20\cf15\insrsid5659437\charrsid4681841 &gt;&gt;&gt;CVAR@@AmendA}{\rtlch\fcs1 \af0 \ltrch\fcs0 \insrsid5659437\charrsid468184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5_x000d__x000a_ddcb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5396 HideTWBExt;}{_x000d__x000a_\s18\ql \li0\ri0\sa120\nowidctlpar\wrapdefault\aspalpha\aspnum\faauto\adjustright\rin0\lin0\itap0 \rtlch\fcs1 \af0\afs20\alang1025 \ltrch\fcs0 \fs24\lang2057\langfe2057\cgrid\langnp2057\langfenp2057 \sbasedon0 \snext18 \spriority0 \styrsid14555396 _x000d__x000a_Normal6a;}{\s19\ql \li0\ri0\nowidctlpar\wrapdefault\aspalpha\aspnum\faauto\adjustright\rin0\lin0\itap0 \rtlch\fcs1 \af0\afs20\alang1025 \ltrch\fcs0 \b\fs24\lang2057\langfe2057\cgrid\langnp2057\langfenp2057 \sbasedon0 \snext19 \spriority0 \styrsid14555396 _x000d__x000a_NormalBold;}{\*\cs20 \additive \v\f1\fs20\cf15 \spriority0 \styrsid14555396 HideTWBInt;}{\s21\qr \li0\ri0\sb240\sa240\nowidctlpar\wrapdefault\aspalpha\aspnum\faauto\adjustright\rin0\lin0\itap0 \rtlch\fcs1 \af0\afs20\alang1025 \ltrch\fcs0 _x000d__x000a_\fs24\lang2057\langfe2057\cgrid\langnp2057\langfenp2057 \sbasedon0 \snext21 \spriority0 \styrsid14555396 AmOrLang;}{\s22\qc \li0\ri0\sa240\nowidctlpar\wrapdefault\aspalpha\aspnum\faauto\adjustright\rin0\lin0\itap0 \rtlch\fcs1 \af0\afs20\alang1025 _x000d__x000a_\ltrch\fcs0 \i\fs24\lang2057\langfe2057\cgrid\langnp2057\langfenp2057 \sbasedon0 \snext22 \spriority0 \styrsid145553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555396 AmNumberTabs;}{\s24\ql \li0\ri0\sb240\nowidctlpar\wrapdefault\aspalpha\aspnum\faauto\adjustright\rin0\lin0\itap0 \rtlch\fcs1 _x000d__x000a_\af0\afs20\alang1025 \ltrch\fcs0 \b\fs24\lang2057\langfe2057\cgrid\langnp2057\langfenp2057 \sbasedon0 \snext24 \spriority0 \styrsid14555396 NormalBold12b;}}{\*\rsidtbl \rsid24658\rsid223860\rsid278057\rsid735077\rsid1718133\rsid2892074\rsid3565327_x000d__x000a_\rsid4666813\rsid6641733\rsid7823322\rsid9636012\rsid10377208\rsid11215221\rsid11549030\rsid12154954\rsid14382809\rsid14424199\rsid14555396\rsid15204470\rsid15285974\rsid15950462\rsid16324206\rsid16662270}{\mmathPr\mmathFont34\mbrkBin0\mbrkBinSub0_x000d__x000a_\msmallFrac0\mdispDef1\mlMargin0\mrMargin0\mdefJc1\mwrapIndent1440\mintLim0\mnaryLim1}{\info{\author KOVACS-MALYI Krisztina}{\operator KOVACS-MALYI Krisztina}{\creatim\yr2023\mo7\dy19\hr19\min32}{\revtim\yr2023\mo7\dy19\hr19\min32}{\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5396\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78057 \chftnsep _x000d__x000a_\par }}{\*\ftnsepc \ltrpar \pard\plain \ltrpar\ql \li0\ri0\widctlpar\wrapdefault\aspalpha\aspnum\faauto\adjustright\rin0\lin0\itap0 \rtlch\fcs1 \af0\afs20\alang1025 \ltrch\fcs0 \fs24\lang2057\langfe2057\cgrid\langnp2057\langfenp2057 {\rtlch\fcs1 \af0 _x000d__x000a_\ltrch\fcs0 \insrsid278057 \chftnsepc _x000d__x000a_\par }}{\*\aftnsep \ltrpar \pard\plain \ltrpar\ql \li0\ri0\widctlpar\wrapdefault\aspalpha\aspnum\faauto\adjustright\rin0\lin0\itap0 \rtlch\fcs1 \af0\afs20\alang1025 \ltrch\fcs0 \fs24\lang2057\langfe2057\cgrid\langnp2057\langfenp2057 {\rtlch\fcs1 \af0 _x000d__x000a_\ltrch\fcs0 \insrsid278057 \chftnsep _x000d__x000a_\par }}{\*\aftnsepc \ltrpar \pard\plain \ltrpar\ql \li0\ri0\widctlpar\wrapdefault\aspalpha\aspnum\faauto\adjustright\rin0\lin0\itap0 \rtlch\fcs1 \af0\afs20\alang1025 \ltrch\fcs0 \fs24\lang2057\langfe2057\cgrid\langnp2057\langfenp2057 {\rtlch\fcs1 \af0 _x000d__x000a_\ltrch\fcs0 \insrsid2780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555396 \rtlch\fcs1 _x000d__x000a_\af0\afs20\alang1025 \ltrch\fcs0 \b\fs24\lang2057\langfe2057\cgrid\langnp2057\langfenp2057 {\rtlch\fcs1 \af0 \ltrch\fcs0 \cs17\b0\v\fs20\cf9\lang1024\langfe1024\loch\af1\hich\af1\dbch\af31501\noproof\insrsid14555396\charrsid4681841 {\*\bkmkstart restartA}_x000d__x000a_\hich\af1\dbch\af31501\loch\f1 &lt;AmendA&gt;}{\rtlch\fcs1 \af0 \ltrch\fcs0 \insrsid14555396\charrsid4681841 Amendment\tab \tab }{\rtlch\fcs1 \af0 \ltrch\fcs0 _x000d__x000a_\cs17\b0\v\fs20\cf9\lang1024\langfe1024\loch\af1\hich\af1\dbch\af31501\noproof\insrsid14555396\charrsid4681841 \hich\af1\dbch\af31501\loch\f1 &lt;NumAmA&gt;}{\rtlch\fcs1 \af0 \ltrch\fcs0 \insrsid14555396\charrsid4681841 #}{\rtlch\fcs1 \af1 \ltrch\fcs0 _x000d__x000a_\cs20\v\f1\fs20\cf15\insrsid14555396\charrsid4681841 ENMIENDA@NRAM@}{\rtlch\fcs1 \af0 \ltrch\fcs0 \insrsid14555396\charrsid4681841 #}{\rtlch\fcs1 \af0 \ltrch\fcs0 _x000d__x000a_\cs17\b0\v\fs20\cf9\lang1024\langfe1024\loch\af1\hich\af1\dbch\af31501\noproof\insrsid14555396\charrsid4681841 \hich\af1\dbch\af31501\loch\f1 &lt;/NumAmA&gt;}{\rtlch\fcs1 \af0 \ltrch\fcs0 \insrsid14555396\charrsid4681841 _x000d__x000a_\par }\pard\plain \ltrpar\s24\ql \li0\ri0\sb240\keepn\nowidctlpar\wrapdefault\aspalpha\aspnum\faauto\adjustright\rin0\lin0\itap0\pararsid14555396 \rtlch\fcs1 \af0\afs20\alang1025 \ltrch\fcs0 \b\fs24\lang2057\langfe2057\cgrid\langnp2057\langfenp2057 {_x000d__x000a_\rtlch\fcs1 \af0 \ltrch\fcs0 \cs17\b0\v\fs20\cf9\lang1024\langfe1024\loch\af1\hich\af1\dbch\af31501\noproof\insrsid14555396\charrsid4681841 \hich\af1\dbch\af31501\loch\f1 &lt;DocAmend&gt;}{\rtlch\fcs1 \af0 \ltrch\fcs0 \insrsid14555396\charrsid4681841 _x000d__x000a_Draft legislative resolution}{\rtlch\fcs1 \af0 \ltrch\fcs0 \cs17\b0\v\fs20\cf9\lang1024\langfe1024\loch\af1\hich\af1\dbch\af31501\noproof\insrsid14555396\charrsid4681841 \hich\af1\dbch\af31501\loch\f1 &lt;/DocAmend&gt;}{\rtlch\fcs1 \af0 \ltrch\fcs0 _x000d__x000a_\insrsid14555396\charrsid4681841 _x000d__x000a_\par }\pard\plain \ltrpar\s19\ql \li0\ri0\nowidctlpar\wrapdefault\aspalpha\aspnum\faauto\adjustright\rin0\lin0\itap0\pararsid14555396 \rtlch\fcs1 \af0\afs20\alang1025 \ltrch\fcs0 \b\fs24\lang2057\langfe2057\cgrid\langnp2057\langfenp2057 {\rtlch\fcs1 \af0 _x000d__x000a_\ltrch\fcs0 \cs17\b0\v\fs20\cf9\lang1024\langfe1024\loch\af1\hich\af1\dbch\af31501\noproof\insrsid14555396\charrsid4681841 \hich\af1\dbch\af31501\loch\f1 &lt;Article&gt;}{\rtlch\fcs1 \af0 \ltrch\fcs0 \cf10\insrsid14555396\charrsid4681841 \u9668\'3f}{_x000d__x000a_\rtlch\fcs1 \af0 \ltrch\fcs0 \insrsid14555396\charrsid4681841 #}{\rtlch\fcs1 \af1 \ltrch\fcs0 \cs20\v\f1\fs20\cf15\insrsid14555396\charrsid4681841 TVTRESPART@RESPART@}{\rtlch\fcs1 \af0 \ltrch\fcs0 \insrsid14555396\charrsid4681841 #}{\rtlch\fcs1 \af0 _x000d__x000a_\ltrch\fcs0 \cf10\insrsid14555396\charrsid4681841 \u9658\'3f}{\rtlch\fcs1 \af0 \ltrch\fcs0 \cs17\b0\v\fs20\cf9\lang1024\langfe1024\loch\af1\hich\af1\dbch\af31501\noproof\insrsid14555396\charrsid4681841 \hich\af1\dbch\af31501\loch\f1 &lt;/Article&gt;}{_x000d__x000a_\rtlch\fcs1 \af0 \ltrch\fcs0 \insrsid14555396\charrsid468184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555396\charrsid4681841 \cell }\pard\plain \ltrpar\ql \li0\ri0\widctlpar\intbl\wrapdefault\aspalpha\aspnum\faauto\adjustright\rin0\lin0 \rtlch\fcs1 _x000d__x000a_\af0\afs20\alang1025 \ltrch\fcs0 \fs24\lang2057\langfe2057\cgrid\langnp2057\langfenp2057 {\rtlch\fcs1 \af0 \ltrch\fcs0 \insrsid14555396\charrsid468184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4555396\charrsid4681841 Draft legislative resolution\cell Amendment\cell }\pard\plain \ltrpar_x000d__x000a_\ql \li0\ri0\widctlpar\intbl\wrapdefault\aspalpha\aspnum\faauto\adjustright\rin0\lin0 \rtlch\fcs1 \af0\afs20\alang1025 \ltrch\fcs0 \fs24\lang2057\langfe2057\cgrid\langnp2057\langfenp2057 {\rtlch\fcs1 \af0 \ltrch\fcs0 \insrsid14555396\charrsid468184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555396\charrsid4681841 ##\cell ##}{\rtlch\fcs1 \af0\afs24 \ltrch\fcs0 \insrsid14555396\charrsid4681841 \cell }\pard\plain \ltrpar\ql \li0\ri0\widctlpar\intbl\wrapdefault\aspalpha\aspnum\faauto\adjustright\rin0\lin0 \rtlch\fcs1 _x000d__x000a_\af0\afs20\alang1025 \ltrch\fcs0 \fs24\lang2057\langfe2057\cgrid\langnp2057\langfenp2057 {\rtlch\fcs1 \af0 \ltrch\fcs0 \insrsid14555396\charrsid468184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555396 \rtlch\fcs1 \af0\afs20\alang1025 \ltrch\fcs0 \fs24\lang2057\langfe2057\cgrid\langnp2057\langfenp2057 {\rtlch\fcs1 \af0 \ltrch\fcs0 _x000d__x000a_\insrsid14555396\charrsid4681841 Or. }{\rtlch\fcs1 \af0 \ltrch\fcs0 \cs17\v\fs20\cf9\lang1024\langfe1024\loch\af1\hich\af1\dbch\af31501\noproof\insrsid14555396\charrsid4681841 \hich\af1\dbch\af31501\loch\f1 &lt;Original&gt;}{\rtlch\fcs1 \af0 \ltrch\fcs0 _x000d__x000a_\insrsid14555396\charrsid4681841 #}{\rtlch\fcs1 \af1 \ltrch\fcs0 \cs20\v\f1\fs20\cf15\insrsid14555396\charrsid4681841 MNU[OPTORLANG][ORLANGMORE]@CHOICE@AMPLURMNU}{\rtlch\fcs1 \af0 \ltrch\fcs0 \insrsid14555396\charrsid4681841 #}{\rtlch\fcs1 \af0 _x000d__x000a_\ltrch\fcs0 \cs17\v\fs20\cf9\lang1024\langfe1024\loch\af1\hich\af1\dbch\af31501\noproof\insrsid14555396\charrsid4681841 \hich\af1\dbch\af31501\loch\f1 &lt;/Original&gt;}{\rtlch\fcs1 \af0 \ltrch\fcs0 \insrsid14555396\charrsid4681841 _x000d__x000a_\par }\pard\plain \ltrpar\ql \li0\ri0\widctlpar\wrapdefault\aspalpha\aspnum\faauto\adjustright\rin0\lin0\itap0\pararsid14555396 \rtlch\fcs1 \af0\afs20\alang1025 \ltrch\fcs0 \fs24\lang2057\langfe2057\cgrid\langnp2057\langfenp2057 {\rtlch\fcs1 \af0 \ltrch\fcs0 _x000d__x000a_\cs17\v\fs20\cf9\lang1024\langfe1024\loch\af1\hich\af1\dbch\af31501\noproof\insrsid14555396\charrsid468184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d_x000d__x000a_300f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414556\rsid9636012\rsid10377208_x000d__x000a_\rsid11215221\rsid11549030\rsid12154954\rsid12714749\rsid14382809\rsid14424199\rsid15204470\rsid15285974\rsid15950462\rsid16324206\rsid16662270}{\mmathPr\mmathFont34\mbrkBin0\mbrkBinSub0\msmallFrac0\mdispDef1\mlMargin0\mrMargin0\mdefJc1\mwrapIndent1440_x000d__x000a_\mintLim0\mnaryLim1}{\info{\author CIPRINI CORBUCCI Francesco}{\operator CIPRINI CORBUCCI Francesco}{\creatim\yr2023\mo10\dy9\hr14\min32}{\revtim\yr2023\mo10\dy9\hr14\min32}{\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14749\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8414556 \chftnsep _x000d__x000a_\par }}{\*\ftnsepc \ltrpar \pard\plain \ltrpar\ql \li0\ri0\widctlpar\wrapdefault\aspalpha\aspnum\faauto\adjustright\rin0\lin0\itap0 \rtlch\fcs1 \af0\afs20\alang1025 \ltrch\fcs0 \fs24\lang2057\langfe2057\cgrid\langnp2057\langfenp2057 {\rtlch\fcs1 \af0 _x000d__x000a_\ltrch\fcs0 \insrsid8414556 \chftnsepc _x000d__x000a_\par }}{\*\aftnsep \ltrpar \pard\plain \ltrpar\ql \li0\ri0\widctlpar\wrapdefault\aspalpha\aspnum\faauto\adjustright\rin0\lin0\itap0 \rtlch\fcs1 \af0\afs20\alang1025 \ltrch\fcs0 \fs24\lang2057\langfe2057\cgrid\langnp2057\langfenp2057 {\rtlch\fcs1 \af0 _x000d__x000a_\ltrch\fcs0 \insrsid8414556 \chftnsep _x000d__x000a_\par }}{\*\aftnsepc \ltrpar \pard\plain \ltrpar\ql \li0\ri0\widctlpar\wrapdefault\aspalpha\aspnum\faauto\adjustright\rin0\lin0\itap0 \rtlch\fcs1 \af0\afs20\alang1025 \ltrch\fcs0 \fs24\lang2057\langfe2057\cgrid\langnp2057\langfenp2057 {\rtlch\fcs1 \af0 _x000d__x000a_\ltrch\fcs0 \insrsid84145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2714749 _x000d__x000a_\rtlch\fcs1 \af0\afs20\alang1025 \ltrch\fcs0 \fs24\lang2057\langfe2057\cgrid\langnp2057\langfenp2057 {\rtlch\fcs1 \af0 \ltrch\fcs0 \insrsid12714749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e_x000d__x000a_98a8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4113 HideTWBExt;}{_x000d__x000a_\s18\ql \li0\ri0\sa120\nowidctlpar\wrapdefault\aspalpha\aspnum\faauto\adjustright\rin0\lin0\itap0 \rtlch\fcs1 \af0\afs20\alang1025 \ltrch\fcs0 \fs24\lang2057\langfe2057\cgrid\langnp2057\langfenp2057 \sbasedon0 \snext18 \spriority0 \styrsid9254113 _x000d__x000a_Normal6a;}{\s19\ql \li0\ri0\nowidctlpar\wrapdefault\aspalpha\aspnum\faauto\adjustright\rin0\lin0\itap0 \rtlch\fcs1 \af0\afs20\alang1025 \ltrch\fcs0 \b\fs24\lang2057\langfe2057\cgrid\langnp2057\langfenp2057 \sbasedon0 \snext19 \spriority0 \styrsid9254113 _x000d__x000a_NormalBold;}{\s20\ql \li0\ri0\sa240\nowidctlpar\wrapdefault\aspalpha\aspnum\faauto\adjustright\rin0\lin0\itap0 \rtlch\fcs1 \af0\afs20\alang1025 \ltrch\fcs0 \i\fs24\lang2057\langfe2057\cgrid\langnp2057\langfenp2057 _x000d__x000a_\sbasedon0 \snext20 \spriority0 \styrsid9254113 AmJustText;}{\s21\qc \li0\ri0\sb240\sa240\nowidctlpar\wrapdefault\aspalpha\aspnum\faauto\adjustright\rin0\lin0\itap0 \rtlch\fcs1 \af0\afs20\alang1025 \ltrch\fcs0 _x000d__x000a_\i\fs24\lang2057\langfe2057\cgrid\langnp2057\langfenp2057 \sbasedon0 \snext21 \spriority0 \styrsid9254113 AmCrossRef;}{\*\cs22 \additive \v\f1\fs20\cf15 \spriority0 \styrsid9254113 HideTWBInt;}{_x000d__x000a_\s23\qc \li0\ri0\sb240\sa240\keepn\nowidctlpar\wrapdefault\aspalpha\aspnum\faauto\adjustright\rin0\lin0\itap0 \rtlch\fcs1 \af0\afs20\alang1025 \ltrch\fcs0 \i\fs24\lang2057\langfe2057\cgrid\langnp2057\langfenp2057 _x000d__x000a_\sbasedon0 \snext20 \spriority0 \styrsid9254113 AmJustTitle;}{\s24\qr \li0\ri0\sb240\sa240\nowidctlpar\wrapdefault\aspalpha\aspnum\faauto\adjustright\rin0\lin0\itap0 \rtlch\fcs1 \af0\afs20\alang1025 \ltrch\fcs0 _x000d__x000a_\fs24\lang2057\langfe2057\cgrid\langnp2057\langfenp2057 \sbasedon0 \snext24 \spriority0 \styrsid9254113 AmOrLang;}{\s25\qc \li0\ri0\sa240\nowidctlpar\wrapdefault\aspalpha\aspnum\faauto\adjustright\rin0\lin0\itap0 \rtlch\fcs1 \af0\afs20\alang1025 _x000d__x000a_\ltrch\fcs0 \i\fs24\lang2057\langfe2057\cgrid\langnp2057\langfenp2057 \sbasedon0 \snext25 \spriority0 \styrsid92541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254113 AmNumberTabs;}{\s27\ql \li0\ri0\sb240\nowidctlpar\wrapdefault\aspalpha\aspnum\faauto\adjustright\rin0\lin0\itap0 \rtlch\fcs1 _x000d__x000a_\af0\afs20\alang1025 \ltrch\fcs0 \b\fs24\lang2057\langfe2057\cgrid\langnp2057\langfenp2057 \sbasedon0 \snext27 \spriority0 \styrsid9254113 NormalBold12b;}}{\*\rsidtbl \rsid24658\rsid223860\rsid735077\rsid1718133\rsid2892074\rsid3565327\rsid4666813_x000d__x000a_\rsid6030605\rsid6641733\rsid7823322\rsid925411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7\dy19\hr19\min32}{\revtim\yr2023\mo7\dy19\hr19\min33}{\version1}{\edmins0}_x000d__x000a_{\nofpages1}{\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411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6030605 \chftnsep _x000d__x000a_\par }}{\*\ftnsepc \ltrpar \pard\plain \ltrpar\ql \li0\ri0\widctlpar\wrapdefault\aspalpha\aspnum\faauto\adjustright\rin0\lin0\itap0 \rtlch\fcs1 \af0\afs20\alang1025 \ltrch\fcs0 \fs24\lang2057\langfe2057\cgrid\langnp2057\langfenp2057 {\rtlch\fcs1 \af0 _x000d__x000a_\ltrch\fcs0 \insrsid6030605 \chftnsepc _x000d__x000a_\par }}{\*\aftnsep \ltrpar \pard\plain \ltrpar\ql \li0\ri0\widctlpar\wrapdefault\aspalpha\aspnum\faauto\adjustright\rin0\lin0\itap0 \rtlch\fcs1 \af0\afs20\alang1025 \ltrch\fcs0 \fs24\lang2057\langfe2057\cgrid\langnp2057\langfenp2057 {\rtlch\fcs1 \af0 _x000d__x000a_\ltrch\fcs0 \insrsid6030605 \chftnsep _x000d__x000a_\par }}{\*\aftnsepc \ltrpar \pard\plain \ltrpar\ql \li0\ri0\widctlpar\wrapdefault\aspalpha\aspnum\faauto\adjustright\rin0\lin0\itap0 \rtlch\fcs1 \af0\afs20\alang1025 \ltrch\fcs0 \fs24\lang2057\langfe2057\cgrid\langnp2057\langfenp2057 {\rtlch\fcs1 \af0 _x000d__x000a_\ltrch\fcs0 \insrsid60306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254113 \rtlch\fcs1 _x000d__x000a_\af0\afs20\alang1025 \ltrch\fcs0 \b\fs24\lang2057\langfe2057\cgrid\langnp2057\langfenp2057 {\rtlch\fcs1 \af0 \ltrch\fcs0 \cs17\b0\v\fs20\cf9\lang1024\langfe1024\loch\af1\hich\af1\dbch\af31501\noproof\insrsid9254113\charrsid4681841 {\*\bkmkstart restartB}_x000d__x000a_\hich\af1\dbch\af31501\loch\f1 &lt;AmendB&gt;}{\rtlch\fcs1 \af0 \ltrch\fcs0 \insrsid9254113\charrsid4681841 Amendment\tab \tab }{\rtlch\fcs1 \af0 \ltrch\fcs0 _x000d__x000a_\cs17\b0\v\fs20\cf9\lang1024\langfe1024\loch\af1\hich\af1\dbch\af31501\noproof\insrsid9254113\charrsid4681841 \hich\af1\dbch\af31501\loch\f1 &lt;NumAmB&gt;}{\rtlch\fcs1 \af0 \ltrch\fcs0 \insrsid9254113\charrsid4681841 #}{\rtlch\fcs1 \af1 \ltrch\fcs0 _x000d__x000a_\cs22\v\f1\fs20\cf15\insrsid9254113\charrsid4681841 ENMIENDA@NRAM@}{\rtlch\fcs1 \af0 \ltrch\fcs0 \insrsid9254113\charrsid4681841 #}{\rtlch\fcs1 \af0 \ltrch\fcs0 _x000d__x000a_\cs17\b0\v\fs20\cf9\lang1024\langfe1024\loch\af1\hich\af1\dbch\af31501\noproof\insrsid9254113\charrsid4681841 \hich\af1\dbch\af31501\loch\f1 &lt;/NumAmB&gt;}{\rtlch\fcs1 \af0 \ltrch\fcs0 \insrsid9254113\charrsid4681841 _x000d__x000a_\par }\pard\plain \ltrpar\s27\ql \li0\ri0\sb240\keepn\nowidctlpar\wrapdefault\aspalpha\aspnum\faauto\adjustright\rin0\lin0\itap0\pararsid9254113 \rtlch\fcs1 \af0\afs20\alang1025 \ltrch\fcs0 \b\fs24\lang2057\langfe2057\cgrid\langnp2057\langfenp2057 {_x000d__x000a_\rtlch\fcs1 \af0 \ltrch\fcs0 \cs17\b0\v\fs20\cf9\lang1024\langfe1024\loch\af1\hich\af1\dbch\af31501\noproof\insrsid9254113\charrsid4681841 \hich\af1\dbch\af31501\loch\f1 &lt;DocAmend&gt;}{\rtlch\fcs1 \af0 \ltrch\fcs0 \insrsid9254113\charrsid4681841 #}{_x000d__x000a_\rtlch\fcs1 \af1 \ltrch\fcs0 \cs22\v\f1\fs20\cf15\insrsid9254113\charrsid4681841 MNU[OPTPROPOSALCOD][OPTPROPOSALCNS][OPTPROPOSALNLE][OPTPROPOSALINL]@CHOICE@CODEMNU}{\rtlch\fcs1 \af0 \ltrch\fcs0 \insrsid9254113\charrsid4681841 ##}{\rtlch\fcs1 \af1 _x000d__x000a_\ltrch\fcs0 \cs22\v\f1\fs20\cf15\insrsid9254113\charrsid4681841 MNU[AMACTYES][NOTAPP]@CHOICE@AMACTMNU}{\rtlch\fcs1 \af0 \ltrch\fcs0 \insrsid9254113\charrsid4681841 #}{\rtlch\fcs1 \af0 \ltrch\fcs0 _x000d__x000a_\cs17\b0\v\fs20\cf9\lang1024\langfe1024\loch\af1\hich\af1\dbch\af31501\noproof\insrsid9254113\charrsid4681841 \hich\af1\dbch\af31501\loch\f1 &lt;/DocAmend&gt;}{\rtlch\fcs1 \af0 \ltrch\fcs0 \insrsid9254113\charrsid4681841 _x000d__x000a_\par }\pard\plain \ltrpar\s19\ql \li0\ri0\keepn\nowidctlpar\wrapdefault\aspalpha\aspnum\faauto\adjustright\rin0\lin0\itap0\pararsid9254113 \rtlch\fcs1 \af0\afs20\alang1025 \ltrch\fcs0 \b\fs24\lang2057\langfe2057\cgrid\langnp2057\langfenp2057 {\rtlch\fcs1 \af0 _x000d__x000a_\ltrch\fcs0 \cs17\b0\v\fs20\cf9\lang1024\langfe1024\loch\af1\hich\af1\dbch\af31501\noproof\insrsid9254113\charrsid4681841 \hich\af1\dbch\af31501\loch\f1 &lt;Article&gt;}{\rtlch\fcs1 \af0 \ltrch\fcs0 \insrsid9254113\charrsid4681841 #}{\rtlch\fcs1 \af1 _x000d__x000a_\ltrch\fcs0 \cs22\v\f1\fs20\cf15\insrsid9254113\charrsid4681841 MNU[AMACTPARTYES][AMACTPARTNO]@CHOICE@AMACTMNU}{\rtlch\fcs1 \af0 \ltrch\fcs0 \insrsid9254113\charrsid4681841 #}{\rtlch\fcs1 \af0 \ltrch\fcs0 _x000d__x000a_\cs17\b0\v\fs20\cf9\lang1024\langfe1024\loch\af1\hich\af1\dbch\af31501\noproof\insrsid9254113\charrsid4681841 \hich\af1\dbch\af31501\loch\f1 &lt;/Article&gt;}{\rtlch\fcs1 \af0 \ltrch\fcs0 \insrsid9254113\charrsid4681841 _x000d__x000a_\par }\pard\plain \ltrpar\ql \li0\ri0\keepn\widctlpar\wrapdefault\aspalpha\aspnum\faauto\adjustright\rin0\lin0\itap0\pararsid9254113 \rtlch\fcs1 \af0\afs20\alang1025 \ltrch\fcs0 \fs24\lang2057\langfe2057\cgrid\langnp2057\langfenp2057 {\rtlch\fcs1 \af0 _x000d__x000a_\ltrch\fcs0 \cs17\v\fs20\cf9\lang1024\langfe1024\loch\af1\hich\af1\dbch\af31501\noproof\insrsid9254113\charrsid4681841 \hich\af1\dbch\af31501\loch\f1 &lt;DocAmend2&gt;&lt;OptDel&gt;}{\rtlch\fcs1 \af0 \ltrch\fcs0 \insrsid9254113\charrsid4681841 #}{\rtlch\fcs1 \af1 _x000d__x000a_\ltrch\fcs0 \cs22\v\f1\fs20\cf15\insrsid9254113\charrsid4681841 MNU[OPTNRACTYES][NOTAPP]@CHOICE@AMACTMNU}{\rtlch\fcs1 \af0 \ltrch\fcs0 \insrsid9254113\charrsid4681841 #}{\rtlch\fcs1 \af0 \ltrch\fcs0 _x000d__x000a_\cs17\v\fs20\cf9\lang1024\langfe1024\loch\af1\hich\af1\dbch\af31501\noproof\insrsid9254113\charrsid4681841 \hich\af1\dbch\af31501\loch\f1 &lt;/OptDel&gt;&lt;/DocAmend2&gt;}{\rtlch\fcs1 \af0 \ltrch\fcs0 \insrsid9254113\charrsid4681841 _x000d__x000a_\par }\pard \ltrpar\ql \li0\ri0\widctlpar\wrapdefault\aspalpha\aspnum\faauto\adjustright\rin0\lin0\itap0\pararsid9254113 {\rtlch\fcs1 \af0 \ltrch\fcs0 \cs17\v\fs20\cf9\lang1024\langfe1024\loch\af1\hich\af1\dbch\af31501\noproof\insrsid9254113\charrsid4681841 _x000d__x000a_\hich\af1\dbch\af31501\loch\f1 &lt;Article2&gt;&lt;OptDel&gt;}{\rtlch\fcs1 \af0 \ltrch\fcs0 \insrsid9254113\charrsid4681841 #}{\rtlch\fcs1 \af1 \ltrch\fcs0 \cs22\v\f1\fs20\cf15\insrsid9254113\charrsid4681841 MNU[OPTACTPARTYES][NOTAPP]@CHOICE@AMACTMNU}{\rtlch\fcs1 _x000d__x000a_\af0 \ltrch\fcs0 \insrsid9254113\charrsid4681841 #}{\rtlch\fcs1 \af0 \ltrch\fcs0 \cs17\v\fs20\cf9\lang1024\langfe1024\loch\af1\hich\af1\dbch\af31501\noproof\insrsid9254113\charrsid4681841 \hich\af1\dbch\af31501\loch\f1 &lt;/OptDel&gt;&lt;/Article2&gt;}{\rtlch\fcs1 _x000d__x000a_\af0 \ltrch\fcs0 \insrsid9254113\charrsid468184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9254113\charrsid4681841 \cell }\pard\plain \ltrpar\ql \li0\ri0\widctlpar\intbl\wrapdefault\aspalpha\aspnum\faauto\adjustright\rin0\lin0 \rtlch\fcs1 _x000d__x000a_\af0\afs20\alang1025 \ltrch\fcs0 \fs24\lang2057\langfe2057\cgrid\langnp2057\langfenp2057 {\rtlch\fcs1 \af0 \ltrch\fcs0 \insrsid9254113\charrsid468184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9254113\charrsid4681841 #}{\rtlch\fcs1 \af1 \ltrch\fcs0 \cs22\v\f1\fs20\cf15\insrsid9254113\charrsid4681841 MNU[OPTLEFTAMACT][LEFTPROP]@CHOICE@AMACTMNU}{\rtlch\fcs1 \af0 \ltrch\fcs0 \insrsid9254113\charrsid4681841 #\cell Amendment\cell _x000d__x000a_}\pard\plain \ltrpar\ql \li0\ri0\widctlpar\intbl\wrapdefault\aspalpha\aspnum\faauto\adjustright\rin0\lin0 \rtlch\fcs1 \af0\afs20\alang1025 \ltrch\fcs0 \fs24\lang2057\langfe2057\cgrid\langnp2057\langfenp2057 {\rtlch\fcs1 \af0 \ltrch\fcs0 _x000d__x000a_\insrsid9254113\charrsid468184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9254113\charrsid4681841 ##\cell ##}{\rtlch\fcs1 \af0\afs24 \ltrch\fcs0 \insrsid9254113\charrsid4681841 \cell }\pard\plain \ltrpar\ql \li0\ri0\widctlpar\intbl\wrapdefault\aspalpha\aspnum\faauto\adjustright\rin0\lin0 \rtlch\fcs1 _x000d__x000a_\af0\afs20\alang1025 \ltrch\fcs0 \fs24\lang2057\langfe2057\cgrid\langnp2057\langfenp2057 {\rtlch\fcs1 \af0 \ltrch\fcs0 \insrsid9254113\charrsid468184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254113 \rtlch\fcs1 \af0\afs20\alang1025 \ltrch\fcs0 \fs24\lang2057\langfe2057\cgrid\langnp2057\langfenp2057 {\rtlch\fcs1 \af0 \ltrch\fcs0 _x000d__x000a_\insrsid9254113\charrsid4681841 Or. }{\rtlch\fcs1 \af0 \ltrch\fcs0 \cs17\v\fs20\cf9\lang1024\langfe1024\loch\af1\hich\af1\dbch\af31501\noproof\insrsid9254113\charrsid4681841 \hich\af1\dbch\af31501\loch\f1 &lt;Original&gt;}{\rtlch\fcs1 \af0 \ltrch\fcs0 _x000d__x000a_\insrsid9254113\charrsid4681841 #}{\rtlch\fcs1 \af1 \ltrch\fcs0 \cs22\v\f1\fs20\cf15\insrsid9254113\charrsid4681841 MNU[OPTORLANG][ORLANGMORE]@CHOICE@AMPLURMNU}{\rtlch\fcs1 \af0 \ltrch\fcs0 \insrsid9254113\charrsid4681841 #}{\rtlch\fcs1 \af0 \ltrch\fcs0 _x000d__x000a_\cs17\v\fs20\cf9\lang1024\langfe1024\loch\af1\hich\af1\dbch\af31501\noproof\insrsid9254113\charrsid4681841 \hich\af1\dbch\af31501\loch\f1 &lt;/Original&gt;}{\rtlch\fcs1 \af0 \ltrch\fcs0 \insrsid9254113\charrsid4681841 _x000d__x000a_\par }\pard\plain \ltrpar\s21\qc \li0\ri0\sb240\sa240\nowidctlpar\wrapdefault\aspalpha\aspnum\faauto\adjustright\rin0\lin0\itap0\pararsid9254113 \rtlch\fcs1 \af0\afs20\alang1025 \ltrch\fcs0 \i\fs24\lang2057\langfe2057\cgrid\langnp2057\langfenp2057 {_x000d__x000a_\rtlch\fcs1 \af0 \ltrch\fcs0 \cs17\i0\v\fs20\cf9\lang1024\langfe1024\loch\af1\hich\af1\dbch\af31501\noproof\insrsid9254113\charrsid4681841 \hich\af1\dbch\af31501\loch\f1 &lt;OptDel&gt;}{\rtlch\fcs1 \af0 \ltrch\fcs0 \insrsid9254113\charrsid4681841 #}{_x000d__x000a_\rtlch\fcs1 \af1 \ltrch\fcs0 \cs22\v\f1\fs20\cf15\insrsid9254113\charrsid4681841 MNU[CROSSREFNO][CROSSREFYES]@CHOICE@}{\rtlch\fcs1 \af0 \ltrch\fcs0 \insrsid9254113\charrsid4681841 #}{\rtlch\fcs1 \af0 \ltrch\fcs0 _x000d__x000a_\cs17\i0\v\fs20\cf9\lang1024\langfe1024\loch\af1\hich\af1\dbch\af31501\noproof\insrsid9254113\charrsid4681841 \hich\af1\dbch\af31501\loch\f1 &lt;/OptDel&gt;}{\rtlch\fcs1 \af0 \ltrch\fcs0 \insrsid9254113\charrsid4681841 _x000d__x000a_\par }\pard\plain \ltrpar\s23\qc \li0\ri0\sb240\sa240\keepn\nowidctlpar\wrapdefault\aspalpha\aspnum\faauto\adjustright\rin0\lin0\itap0\pararsid9254113 \rtlch\fcs1 \af0\afs20\alang1025 \ltrch\fcs0 \i\fs24\lang2057\langfe2057\cgrid\langnp2057\langfenp2057 {_x000d__x000a_\rtlch\fcs1 \af0 \ltrch\fcs0 \cs17\i0\v\fs20\cf9\lang1024\langfe1024\loch\af1\hich\af1\dbch\af31501\noproof\insrsid9254113\charrsid4681841 \hich\af1\dbch\af31501\loch\f1 &lt;TitreJust&gt;}{\rtlch\fcs1 \af0 \ltrch\fcs0 \insrsid9254113\charrsid4681841 _x000d__x000a_Justification}{\rtlch\fcs1 \af0 \ltrch\fcs0 \cs17\i0\v\fs20\cf9\lang1024\langfe1024\loch\af1\hich\af1\dbch\af31501\noproof\insrsid9254113\charrsid4681841 \hich\af1\dbch\af31501\loch\f1 &lt;/TitreJust&gt;}{\rtlch\fcs1 \af0 \ltrch\fcs0 _x000d__x000a_\insrsid9254113\charrsid4681841 _x000d__x000a_\par }\pard\plain \ltrpar\s20\ql \li0\ri0\sa240\nowidctlpar\wrapdefault\aspalpha\aspnum\faauto\adjustright\rin0\lin0\itap0\pararsid9254113 \rtlch\fcs1 \af0\afs20\alang1025 \ltrch\fcs0 \i\fs24\lang2057\langfe2057\cgrid\langnp2057\langfenp2057 {\rtlch\fcs1 \af0 _x000d__x000a_\ltrch\fcs0 \cs17\i0\v\fs20\cf9\lang1024\langfe1024\loch\af1\hich\af1\dbch\af31501\noproof\insrsid9254113\charrsid4681841 \hich\af1\dbch\af31501\loch\f1 &lt;OptDelPrev&gt;}{\rtlch\fcs1 \af0 \ltrch\fcs0 \insrsid9254113\charrsid4681841 #}{\rtlch\fcs1 \af1 _x000d__x000a_\ltrch\fcs0 \cs22\v\f1\fs20\cf15\insrsid9254113\charrsid4681841 MNU[TEXTJUSTYES][TEXTJUSTNO]@CHOICE@}{\rtlch\fcs1 \af0 \ltrch\fcs0 \insrsid9254113\charrsid4681841 #}{\rtlch\fcs1 \af0 \ltrch\fcs0 _x000d__x000a_\cs17\i0\v\fs20\cf9\lang1024\langfe1024\loch\af1\hich\af1\dbch\af31501\noproof\insrsid9254113\charrsid4681841 \hich\af1\dbch\af31501\loch\f1 &lt;/OptDelPrev&gt;}{\rtlch\fcs1 \af0 \ltrch\fcs0 \insrsid9254113\charrsid4681841 _x000d__x000a_\par }\pard\plain \ltrpar\ql \li0\ri0\widctlpar\wrapdefault\aspalpha\aspnum\faauto\adjustright\rin0\lin0\itap0\pararsid9254113 \rtlch\fcs1 \af0\afs20\alang1025 \ltrch\fcs0 \fs24\lang2057\langfe2057\cgrid\langnp2057\langfenp2057 {\rtlch\fcs1 \af0 \ltrch\fcs0 _x000d__x000a_\cs17\v\fs20\cf9\lang1024\langfe1024\loch\af1\hich\af1\dbch\af31501\noproof\insrsid9254113\charrsid468184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4810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89454 HideTWBExt;}{_x000d__x000a_\s18\ql \li0\ri0\sa120\nowidctlpar\wrapdefault\aspalpha\aspnum\faauto\adjustright\rin0\lin0\itap0 \rtlch\fcs1 \af0\afs20\alang1025 \ltrch\fcs0 \fs24\lang2057\langfe2057\cgrid\langnp2057\langfenp2057 \sbasedon0 \snext18 \spriority0 \styrsid4089454 _x000d__x000a_Normal6a;}{\s19\ql \li0\ri0\nowidctlpar\wrapdefault\aspalpha\aspnum\faauto\adjustright\rin0\lin0\itap0 \rtlch\fcs1 \af0\afs20\alang1025 \ltrch\fcs0 \b\fs24\lang2057\langfe2057\cgrid\langnp2057\langfenp2057 \sbasedon0 \snext19 \spriority0 \styrsid4089454 _x000d__x000a_NormalBold;}{\s20\ql \li0\ri0\sa240\nowidctlpar\wrapdefault\aspalpha\aspnum\faauto\adjustright\rin0\lin0\itap0 \rtlch\fcs1 \af0\afs20\alang1025 \ltrch\fcs0 \i\fs24\lang2057\langfe2057\cgrid\langnp2057\langfenp2057 _x000d__x000a_\sbasedon0 \snext20 \spriority0 \styrsid4089454 AmJustText;}{\s21\qc \li0\ri0\sb240\sa240\nowidctlpar\wrapdefault\aspalpha\aspnum\faauto\adjustright\rin0\lin0\itap0 \rtlch\fcs1 \af0\afs20\alang1025 \ltrch\fcs0 _x000d__x000a_\i\fs24\lang2057\langfe2057\cgrid\langnp2057\langfenp2057 \sbasedon0 \snext21 \spriority0 \styrsid4089454 AmCrossRef;}{\*\cs22 \additive \v\f1\fs20\cf15 \spriority0 \styrsid4089454 HideTWBInt;}{_x000d__x000a_\s23\qc \li0\ri0\sb240\sa240\keepn\nowidctlpar\wrapdefault\aspalpha\aspnum\faauto\adjustright\rin0\lin0\itap0 \rtlch\fcs1 \af0\afs20\alang1025 \ltrch\fcs0 \i\fs24\lang2057\langfe2057\cgrid\langnp2057\langfenp2057 _x000d__x000a_\sbasedon0 \snext20 \spriority0 \styrsid4089454 AmJustTitle;}{\s24\qr \li0\ri0\sb240\sa240\nowidctlpar\wrapdefault\aspalpha\aspnum\faauto\adjustright\rin0\lin0\itap0 \rtlch\fcs1 \af0\afs20\alang1025 \ltrch\fcs0 _x000d__x000a_\fs24\lang2057\langfe2057\cgrid\langnp2057\langfenp2057 \sbasedon0 \snext24 \spriority0 \styrsid4089454 AmOrLang;}{\s25\qc \li0\ri0\sa240\nowidctlpar\wrapdefault\aspalpha\aspnum\faauto\adjustright\rin0\lin0\itap0 \rtlch\fcs1 \af0\afs20\alang1025 _x000d__x000a_\ltrch\fcs0 \i\fs24\lang2057\langfe2057\cgrid\langnp2057\langfenp2057 \sbasedon0 \snext25 \spriority0 \styrsid40894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89454 AmNumberTabs;}{\s27\ql \li0\ri0\sb240\nowidctlpar\wrapdefault\aspalpha\aspnum\faauto\adjustright\rin0\lin0\itap0 \rtlch\fcs1 _x000d__x000a_\af0\afs20\alang1025 \ltrch\fcs0 \b\fs24\lang2057\langfe2057\cgrid\langnp2057\langfenp2057 \sbasedon0 \snext27 \spriority0 \styrsid4089454 NormalBold12b;}}{\*\rsidtbl \rsid24658\rsid223860\rsid735077\rsid1718133\rsid2892074\rsid3565327\rsid4089454_x000d__x000a_\rsid4666813\rsid6641733\rsid7823322\rsid9636012\rsid10377208\rsid11215221\rsid11549030\rsid12154954\rsid14382809\rsid14424199\rsid15204470\rsid15285974\rsid15613387\rsid15950462\rsid16324206\rsid16662270}{\mmathPr\mmathFont34\mbrkBin0\mbrkBinSub0_x000d__x000a_\msmallFrac0\mdispDef1\mlMargin0\mrMargin0\mdefJc1\mwrapIndent1440\mintLim0\mnaryLim1}{\info{\author KOVACS-MALYI Krisztina}{\operator KOVACS-MALYI Krisztina}{\creatim\yr2023\mo7\dy19\hr19\min38}{\revtim\yr2023\mo7\dy19\hr19\min38}{\version1}{\edmins0}_x000d__x000a_{\nofpages1}{\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8945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613387 \chftnsep _x000d__x000a_\par }}{\*\ftnsepc \ltrpar \pard\plain \ltrpar\ql \li0\ri0\widctlpar\wrapdefault\aspalpha\aspnum\faauto\adjustright\rin0\lin0\itap0 \rtlch\fcs1 \af0\afs20\alang1025 \ltrch\fcs0 \fs24\lang2057\langfe2057\cgrid\langnp2057\langfenp2057 {\rtlch\fcs1 \af0 _x000d__x000a_\ltrch\fcs0 \insrsid15613387 \chftnsepc _x000d__x000a_\par }}{\*\aftnsep \ltrpar \pard\plain \ltrpar\ql \li0\ri0\widctlpar\wrapdefault\aspalpha\aspnum\faauto\adjustright\rin0\lin0\itap0 \rtlch\fcs1 \af0\afs20\alang1025 \ltrch\fcs0 \fs24\lang2057\langfe2057\cgrid\langnp2057\langfenp2057 {\rtlch\fcs1 \af0 _x000d__x000a_\ltrch\fcs0 \insrsid15613387 \chftnsep _x000d__x000a_\par }}{\*\aftnsepc \ltrpar \pard\plain \ltrpar\ql \li0\ri0\widctlpar\wrapdefault\aspalpha\aspnum\faauto\adjustright\rin0\lin0\itap0 \rtlch\fcs1 \af0\afs20\alang1025 \ltrch\fcs0 \fs24\lang2057\langfe2057\cgrid\langnp2057\langfenp2057 {\rtlch\fcs1 \af0 _x000d__x000a_\ltrch\fcs0 \insrsid15613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89454 \rtlch\fcs1 _x000d__x000a_\af0\afs20\alang1025 \ltrch\fcs0 \b\fs24\lang2057\langfe2057\cgrid\langnp2057\langfenp2057 {\rtlch\fcs1 \af0 \ltrch\fcs0 \cs17\b0\v\fs20\cf9\lang1024\langfe1024\loch\af1\hich\af1\dbch\af31501\noproof\insrsid4089454\charrsid4681841 {\*\bkmkstart restart}_x000d__x000a_\hich\af1\dbch\af31501\loch\f1 &lt;}{\rtlch\fcs1 \af0 \ltrch\fcs0 \cs17\b0\v\fs20\cf9\lang1024\langfe1024\loch\af1\hich\af1\dbch\af31501\noproof\insrsid4089454 \hich\af1\dbch\af31501\loch\f1 Amend}{\rtlch\fcs1 \af0 \ltrch\fcs0 _x000d__x000a_\cs17\b0\v\fs20\cf9\lang1024\langfe1024\loch\af1\hich\af1\dbch\af31501\noproof\insrsid4089454\charrsid4681841 \hich\af1\dbch\af31501\loch\f1 &gt;}{\rtlch\fcs1 \af0 \ltrch\fcs0 \insrsid4089454\charrsid4681841 Amendment\tab \tab }{\rtlch\fcs1 \af0 \ltrch\fcs0 _x000d__x000a_\cs17\b0\v\fs20\cf9\lang1024\langfe1024\loch\af1\hich\af1\dbch\af31501\noproof\insrsid4089454\charrsid4681841 \hich\af1\dbch\af31501\loch\f1 &lt;}{\rtlch\fcs1 \af0 \ltrch\fcs0 _x000d__x000a_\cs17\b0\v\fs20\cf9\lang1024\langfe1024\loch\af1\hich\af1\dbch\af31501\noproof\insrsid4089454 \hich\af1\dbch\af31501\loch\f1 NumAm&gt;}{\rtlch\fcs1 \af0 \ltrch\fcs0 \insrsid4089454\charrsid4681841 #}{\rtlch\fcs1 \af1 \ltrch\fcs0 _x000d__x000a_\cs22\v\f1\fs20\cf15\insrsid4089454\charrsid4681841 ENMIENDA@NRAM@}{\rtlch\fcs1 \af0 \ltrch\fcs0 \insrsid4089454\charrsid4681841 #}{\rtlch\fcs1 \af0 \ltrch\fcs0 _x000d__x000a_\cs17\b0\v\fs20\cf9\lang1024\langfe1024\loch\af1\hich\af1\dbch\af31501\noproof\insrsid4089454\charrsid4681841 \hich\af1\dbch\af31501\loch\f1 &lt;/}{\rtlch\fcs1 \af0 \ltrch\fcs0 _x000d__x000a_\cs17\b0\v\fs20\cf9\lang1024\langfe1024\loch\af1\hich\af1\dbch\af31501\noproof\insrsid4089454 \hich\af1\dbch\af31501\loch\f1 NumAm&gt;}{\rtlch\fcs1 \af0 \ltrch\fcs0 \insrsid4089454\charrsid4681841 _x000d__x000a_\par }\pard\plain \ltrpar\s27\ql \li0\ri0\sb240\keepn\nowidctlpar\wrapdefault\aspalpha\aspnum\faauto\adjustright\rin0\lin0\itap0\pararsid4089454 \rtlch\fcs1 \af0\afs20\alang1025 \ltrch\fcs0 \b\fs24\lang2057\langfe2057\cgrid\langnp2057\langfenp2057 {_x000d__x000a_\rtlch\fcs1 \af0 \ltrch\fcs0 \cs17\b0\v\fs20\cf9\lang1024\langfe1024\loch\af1\hich\af1\dbch\af31501\noproof\insrsid4089454\charrsid4681841 \hich\af1\dbch\af31501\loch\f1 &lt;DocAmend&gt;}{\rtlch\fcs1 \af0 \ltrch\fcs0 \insrsid4089454\charrsid4681841 #}{_x000d__x000a_\rtlch\fcs1 \af1 \ltrch\fcs0 \cs22\v\f1\fs20\cf15\insrsid4089454\charrsid4681841 MNU[OPTPROPOSALCOD][OPTPROPOSALCNS][OPTPROPOSALNLE][OPTPROPOSALINL]@CHOICE@CODEMNU}{\rtlch\fcs1 \af0 \ltrch\fcs0 \insrsid4089454\charrsid4681841 ##}{\rtlch\fcs1 \af1 _x000d__x000a_\ltrch\fcs0 \cs22\v\f1\fs20\cf15\insrsid4089454\charrsid4681841 MNU[AMACTYES][NOTAPP]@CHOICE@AMACTMNU}{\rtlch\fcs1 \af0 \ltrch\fcs0 \insrsid4089454\charrsid4681841 #}{\rtlch\fcs1 \af0 \ltrch\fcs0 _x000d__x000a_\cs17\b0\v\fs20\cf9\lang1024\langfe1024\loch\af1\hich\af1\dbch\af31501\noproof\insrsid4089454\charrsid4681841 \hich\af1\dbch\af31501\loch\f1 &lt;/DocAmend&gt;}{\rtlch\fcs1 \af0 \ltrch\fcs0 \insrsid4089454\charrsid4681841 _x000d__x000a_\par }\pard\plain \ltrpar\s19\ql \li0\ri0\keepn\nowidctlpar\wrapdefault\aspalpha\aspnum\faauto\adjustright\rin0\lin0\itap0\pararsid4089454 \rtlch\fcs1 \af0\afs20\alang1025 \ltrch\fcs0 \b\fs24\lang2057\langfe2057\cgrid\langnp2057\langfenp2057 {\rtlch\fcs1 \af0 _x000d__x000a_\ltrch\fcs0 \cs17\b0\v\fs20\cf9\lang1024\langfe1024\loch\af1\hich\af1\dbch\af31501\noproof\insrsid4089454\charrsid4681841 \hich\af1\dbch\af31501\loch\f1 &lt;Article&gt;}{\rtlch\fcs1 \af0 \ltrch\fcs0 \insrsid4089454\charrsid4681841 #}{\rtlch\fcs1 \af1 _x000d__x000a_\ltrch\fcs0 \cs22\v\f1\fs20\cf15\insrsid4089454\charrsid4681841 MNU[AMACTPARTYES][AMACTPARTNO]@CHOICE@AMACTMNU}{\rtlch\fcs1 \af0 \ltrch\fcs0 \insrsid4089454\charrsid4681841 #}{\rtlch\fcs1 \af0 \ltrch\fcs0 _x000d__x000a_\cs17\b0\v\fs20\cf9\lang1024\langfe1024\loch\af1\hich\af1\dbch\af31501\noproof\insrsid4089454\charrsid4681841 \hich\af1\dbch\af31501\loch\f1 &lt;/Article&gt;}{\rtlch\fcs1 \af0 \ltrch\fcs0 \insrsid4089454\charrsid4681841 _x000d__x000a_\par }\pard\plain \ltrpar\ql \li0\ri0\keepn\widctlpar\wrapdefault\aspalpha\aspnum\faauto\adjustright\rin0\lin0\itap0\pararsid4089454 \rtlch\fcs1 \af0\afs20\alang1025 \ltrch\fcs0 \fs24\lang2057\langfe2057\cgrid\langnp2057\langfenp2057 {\rtlch\fcs1 \af0 _x000d__x000a_\ltrch\fcs0 \cs17\v\fs20\cf9\lang1024\langfe1024\loch\af1\hich\af1\dbch\af31501\noproof\insrsid4089454\charrsid4681841 \hich\af1\dbch\af31501\loch\f1 &lt;DocAmend2&gt;&lt;OptDel&gt;}{\rtlch\fcs1 \af0 \ltrch\fcs0 \insrsid4089454\charrsid4681841 #}{\rtlch\fcs1 \af1 _x000d__x000a_\ltrch\fcs0 \cs22\v\f1\fs20\cf15\insrsid4089454\charrsid4681841 MNU[OPTNRACTYES][NOTAPP]@CHOICE@AMACTMNU}{\rtlch\fcs1 \af0 \ltrch\fcs0 \insrsid4089454\charrsid4681841 #}{\rtlch\fcs1 \af0 \ltrch\fcs0 _x000d__x000a_\cs17\v\fs20\cf9\lang1024\langfe1024\loch\af1\hich\af1\dbch\af31501\noproof\insrsid4089454\charrsid4681841 \hich\af1\dbch\af31501\loch\f1 &lt;/OptDel&gt;&lt;/DocAmend2&gt;}{\rtlch\fcs1 \af0 \ltrch\fcs0 \insrsid4089454\charrsid4681841 _x000d__x000a_\par }\pard \ltrpar\ql \li0\ri0\widctlpar\wrapdefault\aspalpha\aspnum\faauto\adjustright\rin0\lin0\itap0\pararsid4089454 {\rtlch\fcs1 \af0 \ltrch\fcs0 \cs17\v\fs20\cf9\lang1024\langfe1024\loch\af1\hich\af1\dbch\af31501\noproof\insrsid4089454\charrsid4681841 _x000d__x000a_\hich\af1\dbch\af31501\loch\f1 &lt;Article2&gt;&lt;OptDel&gt;}{\rtlch\fcs1 \af0 \ltrch\fcs0 \insrsid4089454\charrsid4681841 #}{\rtlch\fcs1 \af1 \ltrch\fcs0 \cs22\v\f1\fs20\cf15\insrsid4089454\charrsid4681841 MNU[OPTACTPARTYES][NOTAPP]@CHOICE@AMACTMNU}{\rtlch\fcs1 _x000d__x000a_\af0 \ltrch\fcs0 \insrsid4089454\charrsid4681841 #}{\rtlch\fcs1 \af0 \ltrch\fcs0 \cs17\v\fs20\cf9\lang1024\langfe1024\loch\af1\hich\af1\dbch\af31501\noproof\insrsid4089454\charrsid4681841 \hich\af1\dbch\af31501\loch\f1 &lt;/OptDel&gt;&lt;/Article2&gt;}{\rtlch\fcs1 _x000d__x000a_\af0 \ltrch\fcs0 \insrsid4089454\charrsid468184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089454\charrsid4681841 \cell }\pard\plain \ltrpar\ql \li0\ri0\widctlpar\intbl\wrapdefault\aspalpha\aspnum\faauto\adjustright\rin0\lin0 \rtlch\fcs1 _x000d__x000a_\af0\afs20\alang1025 \ltrch\fcs0 \fs24\lang2057\langfe2057\cgrid\langnp2057\langfenp2057 {\rtlch\fcs1 \af0 \ltrch\fcs0 \insrsid4089454\charrsid468184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089454\charrsid4681841 #}{\rtlch\fcs1 \af1 \ltrch\fcs0 \cs22\v\f1\fs20\cf15\insrsid4089454\charrsid4681841 MNU[OPTLEFTAMACT][LEFTPROP]@CHOICE@AMACTMNU}{\rtlch\fcs1 \af0 \ltrch\fcs0 \insrsid4089454\charrsid4681841 #\cell Amendment\cell _x000d__x000a_}\pard\plain \ltrpar\ql \li0\ri0\widctlpar\intbl\wrapdefault\aspalpha\aspnum\faauto\adjustright\rin0\lin0 \rtlch\fcs1 \af0\afs20\alang1025 \ltrch\fcs0 \fs24\lang2057\langfe2057\cgrid\langnp2057\langfenp2057 {\rtlch\fcs1 \af0 \ltrch\fcs0 _x000d__x000a_\insrsid4089454\charrsid468184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089454\charrsid4681841 ##\cell ##}{\rtlch\fcs1 \af0\afs24 \ltrch\fcs0 \insrsid4089454\charrsid4681841 \cell }\pard\plain \ltrpar\ql \li0\ri0\widctlpar\intbl\wrapdefault\aspalpha\aspnum\faauto\adjustright\rin0\lin0 \rtlch\fcs1 _x000d__x000a_\af0\afs20\alang1025 \ltrch\fcs0 \fs24\lang2057\langfe2057\cgrid\langnp2057\langfenp2057 {\rtlch\fcs1 \af0 \ltrch\fcs0 \insrsid4089454\charrsid468184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089454 \rtlch\fcs1 \af0\afs20\alang1025 \ltrch\fcs0 \fs24\lang2057\langfe2057\cgrid\langnp2057\langfenp2057 {\rtlch\fcs1 \af0 \ltrch\fcs0 _x000d__x000a_\insrsid4089454\charrsid4681841 Or. }{\rtlch\fcs1 \af0 \ltrch\fcs0 \cs17\v\fs20\cf9\lang1024\langfe1024\loch\af1\hich\af1\dbch\af31501\noproof\insrsid4089454\charrsid4681841 \hich\af1\dbch\af31501\loch\f1 &lt;Original&gt;}{\rtlch\fcs1 \af0 \ltrch\fcs0 _x000d__x000a_\insrsid4089454\charrsid4681841 #}{\rtlch\fcs1 \af1 \ltrch\fcs0 \cs22\v\f1\fs20\cf15\insrsid4089454\charrsid4681841 MNU[OPTORLANG][ORLANGMORE]@CHOICE@AMPLURMNU}{\rtlch\fcs1 \af0 \ltrch\fcs0 \insrsid4089454\charrsid4681841 #}{\rtlch\fcs1 \af0 \ltrch\fcs0 _x000d__x000a_\cs17\v\fs20\cf9\lang1024\langfe1024\loch\af1\hich\af1\dbch\af31501\noproof\insrsid4089454\charrsid4681841 \hich\af1\dbch\af31501\loch\f1 &lt;/Original&gt;}{\rtlch\fcs1 \af0 \ltrch\fcs0 \insrsid4089454\charrsid4681841 _x000d__x000a_\par }\pard\plain \ltrpar\s21\qc \li0\ri0\sb240\sa240\nowidctlpar\wrapdefault\aspalpha\aspnum\faauto\adjustright\rin0\lin0\itap0\pararsid4089454 \rtlch\fcs1 \af0\afs20\alang1025 \ltrch\fcs0 \i\fs24\lang2057\langfe2057\cgrid\langnp2057\langfenp2057 {_x000d__x000a_\rtlch\fcs1 \af0 \ltrch\fcs0 \cs17\i0\v\fs20\cf9\lang1024\langfe1024\loch\af1\hich\af1\dbch\af31501\noproof\insrsid4089454\charrsid4681841 \hich\af1\dbch\af31501\loch\f1 &lt;OptDel&gt;}{\rtlch\fcs1 \af0 \ltrch\fcs0 \insrsid4089454\charrsid4681841 #}{_x000d__x000a_\rtlch\fcs1 \af1 \ltrch\fcs0 \cs22\v\f1\fs20\cf15\insrsid4089454\charrsid4681841 MNU[CROSSREFNO][CROSSREFYES]@CHOICE@}{\rtlch\fcs1 \af0 \ltrch\fcs0 \insrsid4089454\charrsid4681841 #}{\rtlch\fcs1 \af0 \ltrch\fcs0 _x000d__x000a_\cs17\i0\v\fs20\cf9\lang1024\langfe1024\loch\af1\hich\af1\dbch\af31501\noproof\insrsid4089454\charrsid4681841 \hich\af1\dbch\af31501\loch\f1 &lt;/OptDel&gt;}{\rtlch\fcs1 \af0 \ltrch\fcs0 \insrsid4089454\charrsid4681841 _x000d__x000a_\par }\pard\plain \ltrpar\s23\qc \li0\ri0\sb240\sa240\keepn\nowidctlpar\wrapdefault\aspalpha\aspnum\faauto\adjustright\rin0\lin0\itap0\pararsid4089454 \rtlch\fcs1 \af0\afs20\alang1025 \ltrch\fcs0 \i\fs24\lang2057\langfe2057\cgrid\langnp2057\langfenp2057 {_x000d__x000a_\rtlch\fcs1 \af0 \ltrch\fcs0 \cs17\i0\v\fs20\cf9\lang1024\langfe1024\loch\af1\hich\af1\dbch\af31501\noproof\insrsid4089454\charrsid4681841 \hich\af1\dbch\af31501\loch\f1 &lt;TitreJust&gt;}{\rtlch\fcs1 \af0 \ltrch\fcs0 \insrsid4089454\charrsid4681841 _x000d__x000a_Justification}{\rtlch\fcs1 \af0 \ltrch\fcs0 \cs17\i0\v\fs20\cf9\lang1024\langfe1024\loch\af1\hich\af1\dbch\af31501\noproof\insrsid4089454\charrsid4681841 \hich\af1\dbch\af31501\loch\f1 &lt;/TitreJust&gt;}{\rtlch\fcs1 \af0 \ltrch\fcs0 _x000d__x000a_\insrsid4089454\charrsid4681841 _x000d__x000a_\par }\pard\plain \ltrpar\s20\ql \li0\ri0\sa240\nowidctlpar\wrapdefault\aspalpha\aspnum\faauto\adjustright\rin0\lin0\itap0\pararsid4089454 \rtlch\fcs1 \af0\afs20\alang1025 \ltrch\fcs0 \i\fs24\lang2057\langfe2057\cgrid\langnp2057\langfenp2057 {\rtlch\fcs1 \af0 _x000d__x000a_\ltrch\fcs0 \cs17\i0\v\fs20\cf9\lang1024\langfe1024\loch\af1\hich\af1\dbch\af31501\noproof\insrsid4089454\charrsid4681841 \hich\af1\dbch\af31501\loch\f1 &lt;OptDelPrev&gt;}{\rtlch\fcs1 \af0 \ltrch\fcs0 \insrsid4089454\charrsid4681841 #}{\rtlch\fcs1 \af1 _x000d__x000a_\ltrch\fcs0 \cs22\v\f1\fs20\cf15\insrsid4089454\charrsid4681841 MNU[TEXTJUSTYES][TEXTJUSTNO]@CHOICE@}{\rtlch\fcs1 \af0 \ltrch\fcs0 \insrsid4089454\charrsid4681841 #}{\rtlch\fcs1 \af0 \ltrch\fcs0 _x000d__x000a_\cs17\i0\v\fs20\cf9\lang1024\langfe1024\loch\af1\hich\af1\dbch\af31501\noproof\insrsid4089454\charrsid4681841 \hich\af1\dbch\af31501\loch\f1 &lt;/OptDelPrev&gt;}{\rtlch\fcs1 \af0 \ltrch\fcs0 \insrsid4089454\charrsid4681841 _x000d__x000a_\par }\pard\plain \ltrpar\ql \li0\ri0\widctlpar\wrapdefault\aspalpha\aspnum\faauto\adjustright\rin0\lin0\itap0\pararsid4089454 \rtlch\fcs1 \af0\afs20\alang1025 \ltrch\fcs0 \fs24\lang2057\langfe2057\cgrid\langnp2057\langfenp2057 {\rtlch\fcs1 \af0 \ltrch\fcs0 _x000d__x000a_\cs17\v\fs20\cf9\lang1024\langfe1024\loch\af1\hich\af1\dbch\af31501\noproof\insrsid4089454\charrsid4681841 \hich\af1\dbch\af31501\loch\f1 &lt;/}{\rtlch\fcs1 \af0 \ltrch\fcs0 _x000d__x000a_\cs17\v\fs20\cf9\lang1024\langfe1024\loch\af1\hich\af1\dbch\af31501\noproof\insrsid4089454 \hich\af1\dbch\af31501\loch\f1 Amend}{\rtlch\fcs1 \af0 \ltrch\fcs0 _x000d__x000a_\cs17\v\fs20\cf9\lang1024\langfe1024\loch\af1\hich\af1\dbch\af31501\noproof\insrsid4089454\charrsid468184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a_x000d__x000a_95cc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1209 HideTWBExt;}{_x000d__x000a_\s18\ql \li0\ri0\sa120\nowidctlpar\wrapdefault\aspalpha\aspnum\faauto\adjustright\rin0\lin0\itap0 \rtlch\fcs1 \af0\afs20\alang1025 \ltrch\fcs0 \fs24\lang2057\langfe2057\cgrid\langnp2057\langfenp2057 \sbasedon0 \snext18 \spriority0 \styrsid2241209 _x000d__x000a_Normal6a;}{\s19\ql \li0\ri0\nowidctlpar\wrapdefault\aspalpha\aspnum\faauto\adjustright\rin0\lin0\itap0 \rtlch\fcs1 \af0\afs20\alang1025 \ltrch\fcs0 \b\fs24\lang2057\langfe2057\cgrid\langnp2057\langfenp2057 \sbasedon0 \snext19 \spriority0 \styrsid2241209 _x000d__x000a_NormalBold;}{\s20\qc \li0\ri0\sa240\nowidctlpar\wrapdefault\aspalpha\aspnum\faauto\adjustright\rin0\lin0\itap0 \rtlch\fcs1 \af0\afs20\alang1025 \ltrch\fcs0 \i\fs24\lang2057\langfe2057\cgrid\langnp2057\langfenp2057 _x000d__x000a_\sbasedon0 \snext20 \spriority0 \styrsid224120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241209 AmNumberTabs;}{\s22\ql \li0\ri0\sb240\nowidctlpar\wrapdefault\aspalpha\aspnum\faauto\adjustright\rin0\lin0\itap0 \rtlch\fcs1 _x000d__x000a_\af0\afs20\alang1025 \ltrch\fcs0 \b\fs24\lang2057\langfe2057\cgrid\langnp2057\langfenp2057 \sbasedon0 \snext22 \spriority0 \styrsid2241209 NormalBold12b;}}{\*\rsidtbl \rsid24658\rsid223860\rsid735077\rsid1718133\rsid2241209\rsid2892074\rsid3565327_x000d__x000a_\rsid4666813\rsid6641733\rsid7823322\rsid9636012\rsid10377208\rsid11215221\rsid11549030\rsid12154954\rsid14382809\rsid14424199\rsid14447012\rsid15204470\rsid15285974\rsid15950462\rsid16324206\rsid16662270}{\mmathPr\mmathFont34\mbrkBin0\mbrkBinSub0_x000d__x000a_\msmallFrac0\mdispDef1\mlMargin0\mrMargin0\mdefJc1\mwrapIndent1440\mintLim0\mnaryLim1}{\info{\author CIPRINI CORBUCCI Francesco}{\operator CIPRINI CORBUCCI Francesco}{\creatim\yr2023\mo10\dy9\hr14\min32}{\revtim\yr2023\mo10\dy9\hr14\min32}{\version1}_x000d__x000a_{\edmins0}{\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1209\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14447012 \chftnsep _x000d__x000a_\par }}{\*\ftnsepc \ltrpar \pard\plain \ltrpar\ql \li0\ri0\widctlpar\wrapdefault\aspalpha\aspnum\faauto\adjustright\rin0\lin0\itap0 \rtlch\fcs1 \af0\afs20\alang1025 \ltrch\fcs0 \fs24\lang2057\langfe2057\cgrid\langnp2057\langfenp2057 {\rtlch\fcs1 \af0 _x000d__x000a_\ltrch\fcs0 \insrsid14447012 \chftnsepc _x000d__x000a_\par }}{\*\aftnsep \ltrpar \pard\plain \ltrpar\ql \li0\ri0\widctlpar\wrapdefault\aspalpha\aspnum\faauto\adjustright\rin0\lin0\itap0 \rtlch\fcs1 \af0\afs20\alang1025 \ltrch\fcs0 \fs24\lang2057\langfe2057\cgrid\langnp2057\langfenp2057 {\rtlch\fcs1 \af0 _x000d__x000a_\ltrch\fcs0 \insrsid14447012 \chftnsep _x000d__x000a_\par }}{\*\aftnsepc \ltrpar \pard\plain \ltrpar\ql \li0\ri0\widctlpar\wrapdefault\aspalpha\aspnum\faauto\adjustright\rin0\lin0\itap0 \rtlch\fcs1 \af0\afs20\alang1025 \ltrch\fcs0 \fs24\lang2057\langfe2057\cgrid\langnp2057\langfenp2057 {\rtlch\fcs1 \af0 _x000d__x000a_\ltrch\fcs0 \insrsid144470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1209 \rtlch\fcs1 _x000d__x000a_\af0\afs20\alang1025 \ltrch\fcs0 \b\fs24\lang2057\langfe2057\cgrid\langnp2057\langfenp2057 {\rtlch\fcs1 \af0 \ltrch\fcs0 \cs17\b0\v\fs20\cf9\lang1024\langfe1024\loch\af1\hich\af1\dbch\af31501\noproof\insrsid2241209\charrsid15879488 {\*\bkmkstart restartA}_x000d__x000a_\hich\af1\dbch\af31501\loch\f1 &lt;AmendA&gt;}{\rtlch\fcs1 \af0 \ltrch\fcs0 \insrsid2241209\charrsid15879488 [ZAMENDMENT]\tab \tab }{\rtlch\fcs1 \af0 \ltrch\fcs0 _x000d__x000a_\cs17\b0\v\fs20\cf9\lang1024\langfe1024\loch\af1\hich\af1\dbch\af31501\noproof\insrsid2241209\charrsid15879488 \hich\af1\dbch\af31501\loch\f1 &lt;NumAmA&gt;}{\rtlch\fcs1 \af0 \ltrch\fcs0 \insrsid2241209\charrsid15879488 [ZNRAM]}{\rtlch\fcs1 \af0 \ltrch\fcs0 _x000d__x000a_\cs17\b0\v\fs20\cf9\lang1024\langfe1024\loch\af1\hich\af1\dbch\af31501\noproof\insrsid2241209\charrsid15879488 \hich\af1\dbch\af31501\loch\f1 &lt;/NumAmA&gt;}{\rtlch\fcs1 \af0 \ltrch\fcs0 \insrsid2241209\charrsid15879488 _x000d__x000a_\par }\pard\plain \ltrpar\s22\ql \li0\ri0\sb240\keepn\nowidctlpar\wrapdefault\aspalpha\aspnum\faauto\adjustright\rin0\lin0\itap0\pararsid2241209 \rtlch\fcs1 \af0\afs20\alang1025 \ltrch\fcs0 \b\fs24\lang2057\langfe2057\cgrid\langnp2057\langfenp2057 {_x000d__x000a_\rtlch\fcs1 \af0 \ltrch\fcs0 \cs17\b0\v\fs20\cf9\lang1024\langfe1024\loch\af1\hich\af1\dbch\af31501\noproof\langnp1036\insrsid2241209\charrsid11356624 \hich\af1\dbch\af31501\loch\f1 &lt;DocAmend&gt;}{\rtlch\fcs1 \af0 \ltrch\fcs0 _x000d__x000a_\lang1036\langfe2057\langnp1036\insrsid2241209\charrsid11356624 [ZRESOLUTION]}{\rtlch\fcs1 \af0 \ltrch\fcs0 \cs17\b0\v\fs20\cf9\lang1024\langfe1024\loch\af1\hich\af1\dbch\af31501\noproof\langnp1036\insrsid2241209\charrsid11356624 _x000d__x000a_\hich\af1\dbch\af31501\loch\f1 &lt;/DocAmend&gt;}{\rtlch\fcs1 \af0 \ltrch\fcs0 \lang1036\langfe2057\langnp1036\insrsid2241209\charrsid11356624 _x000d__x000a_\par }\pard\plain \ltrpar\s19\ql \li0\ri0\nowidctlpar\wrapdefault\aspalpha\aspnum\faauto\adjustright\rin0\lin0\itap0\pararsid2241209 \rtlch\fcs1 \af0\afs20\alang1025 \ltrch\fcs0 \b\fs24\lang2057\langfe2057\cgrid\langnp2057\langfenp2057 {\rtlch\fcs1 \af0 _x000d__x000a_\ltrch\fcs0 \cs17\b0\v\fs20\cf9\lang1024\langfe1024\loch\af1\hich\af1\dbch\af31501\noproof\langnp1036\insrsid2241209\charrsid11356624 \hich\af1\dbch\af31501\loch\f1 &lt;Article&gt;}{\rtlch\fcs1 \af0 \ltrch\fcs0 _x000d__x000a_\lang1036\langfe2057\langnp1036\insrsid2241209\charrsid11356624 [ZRESPART]}{\rtlch\fcs1 \af0 \ltrch\fcs0 \cs17\b0\v\fs20\cf9\lang1024\langfe1024\loch\af1\hich\af1\dbch\af31501\noproof\langnp1036\insrsid2241209\charrsid11356624 _x000d__x000a_\hich\af1\dbch\af31501\loch\f1 &lt;/Article&gt;}{\rtlch\fcs1 \af0 \ltrch\fcs0 \lang1036\langfe2057\langnp1036\insrsid224120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241209\charrsid11356624 \cell }\pard \ltrpar_x000d__x000a_\ql \li0\ri0\widctlpar\intbl\wrapdefault\aspalpha\aspnum\faauto\adjustright\rin0\lin0 {\rtlch\fcs1 \af0 \ltrch\fcs0 \insrsid224120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2241209\charrsid15879488 [ZLEFTA]\cell [ZRIGHT]\cell }\pard\plain \ltrpar\ql \li0\ri0\widctlpar\intbl\wrapdefault\aspalpha\aspnum\faauto\adjustright\rin0\lin0 _x000d__x000a_\rtlch\fcs1 \af0\afs20\alang1025 \ltrch\fcs0 \fs24\lang2057\langfe2057\cgrid\langnp2057\langfenp2057 {\rtlch\fcs1 \af0 \ltrch\fcs0 \insrsid224120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241209\charrsid15879488 [ZTEXTL]\cell [ZTEXTR]}{\rtlch\fcs1 \af0\afs24 \ltrch\fcs0 \insrsid2241209\charrsid15879488 \cell }\pard\plain \ltrpar\ql \li0\ri0\widctlpar\intbl\wrapdefault\aspalpha\aspnum\faauto\adjustright\rin0\lin0 \rtlch\fcs1 _x000d__x000a_\af0\afs20\alang1025 \ltrch\fcs0 \fs24\lang2057\langfe2057\cgrid\langnp2057\langfenp2057 {\rtlch\fcs1 \af0 \ltrch\fcs0 \insrsid224120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1209 {\rtlch\fcs1 \af0 \ltrch\fcs0 \cs17\v\fs20\cf9\lang1024\langfe1024\loch\af1\hich\af1\dbch\af31501\noproof\insrsid2241209\charrsid15879488 _x000d__x000a_\hich\af1\dbch\af31501\loch\f1 &lt;/AmendA&gt;}{\rtlch\fcs1 \af0 \ltrch\fcs0 \insrsid224120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d_x000d__x000a_b1ad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46101 HideTWBExt;}{_x000d__x000a_\s18\ql \li0\ri0\sa120\nowidctlpar\wrapdefault\aspalpha\aspnum\faauto\adjustright\rin0\lin0\itap0 \rtlch\fcs1 \af0\afs20\alang1025 \ltrch\fcs0 \fs24\lang2057\langfe2057\cgrid\langnp2057\langfenp2057 \sbasedon0 \snext18 \spriority0 \styrsid15546101 _x000d__x000a_Normal6a;}{\s19\ql \li0\ri0\nowidctlpar\wrapdefault\aspalpha\aspnum\faauto\adjustright\rin0\lin0\itap0 \rtlch\fcs1 \af0\afs20\alang1025 \ltrch\fcs0 \b\fs24\lang2057\langfe2057\cgrid\langnp2057\langfenp2057 \sbasedon0 \snext19 \spriority0 \styrsid15546101 _x000d__x000a_NormalBold;}{\s20\ql \li0\ri0\sa240\nowidctlpar\wrapdefault\aspalpha\aspnum\faauto\adjustright\rin0\lin0\itap0 \rtlch\fcs1 \af0\afs20\alang1025 \ltrch\fcs0 \i\fs24\lang2057\langfe2057\cgrid\langnp2057\langfenp2057 _x000d__x000a_\sbasedon0 \snext20 \spriority0 \styrsid15546101 AmJustText;}{\s21\qc \li0\ri0\sb240\sa240\nowidctlpar\wrapdefault\aspalpha\aspnum\faauto\adjustright\rin0\lin0\itap0 \rtlch\fcs1 \af0\afs20\alang1025 \ltrch\fcs0 _x000d__x000a_\i\fs24\lang2057\langfe2057\cgrid\langnp2057\langfenp2057 \sbasedon0 \snext21 \spriority0 \styrsid15546101 AmCrossRef;}{\s22\qc \li0\ri0\sb240\sa240\keepn\nowidctlpar\wrapdefault\aspalpha\aspnum\faauto\adjustright\rin0\lin0\itap0 \rtlch\fcs1 _x000d__x000a_\af0\afs20\alang1025 \ltrch\fcs0 \i\fs24\lang2057\langfe2057\cgrid\langnp2057\langfenp2057 \sbasedon0 \snext20 \spriority0 \styrsid15546101 AmJustTitle;}{\s23\qc \li0\ri0\sa240\nowidctlpar\wrapdefault\aspalpha\aspnum\faauto\adjustright\rin0\lin0\itap0 _x000d__x000a_\rtlch\fcs1 \af0\afs20\alang1025 \ltrch\fcs0 \i\fs24\lang2057\langfe2057\cgrid\langnp2057\langfenp2057 \sbasedon0 \snext23 \spriority0 \styrsid1554610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546101 AmNumberTabs;}{\s25\ql \li0\ri0\sb240\nowidctlpar\wrapdefault\aspalpha\aspnum\faauto\adjustright\rin0\lin0\itap0 \rtlch\fcs1 _x000d__x000a_\af0\afs20\alang1025 \ltrch\fcs0 \b\fs24\lang2057\langfe2057\cgrid\langnp2057\langfenp2057 \sbasedon0 \snext25 \spriority0 \styrsid15546101 NormalBold12b;}}{\*\rsidtbl \rsid24658\rsid223860\rsid735077\rsid1718133\rsid2892074\rsid3565327\rsid4653321_x000d__x000a_\rsid4666813\rsid6641733\rsid7823322\rsid9636012\rsid10377208\rsid11215221\rsid11549030\rsid12154954\rsid14382809\rsid14424199\rsid15204470\rsid15285974\rsid15546101\rsid15950462\rsid16324206\rsid16662270}{\mmathPr\mmathFont34\mbrkBin0\mbrkBinSub0_x000d__x000a_\msmallFrac0\mdispDef1\mlMargin0\mrMargin0\mdefJc1\mwrapIndent1440\mintLim0\mnaryLim1}{\info{\author CIPRINI CORBUCCI Francesco}{\operator CIPRINI CORBUCCI Francesco}{\creatim\yr2023\mo10\dy9\hr14\min32}{\revtim\yr2023\mo10\dy9\hr14\min32}{\version1}_x000d__x000a_{\edmins0}{\nofpages1}{\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46101\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4653321 \chftnsep _x000d__x000a_\par }}{\*\ftnsepc \ltrpar \pard\plain \ltrpar\ql \li0\ri0\widctlpar\wrapdefault\aspalpha\aspnum\faauto\adjustright\rin0\lin0\itap0 \rtlch\fcs1 \af0\afs20\alang1025 \ltrch\fcs0 \fs24\lang2057\langfe2057\cgrid\langnp2057\langfenp2057 {\rtlch\fcs1 \af0 _x000d__x000a_\ltrch\fcs0 \insrsid4653321 \chftnsepc _x000d__x000a_\par }}{\*\aftnsep \ltrpar \pard\plain \ltrpar\ql \li0\ri0\widctlpar\wrapdefault\aspalpha\aspnum\faauto\adjustright\rin0\lin0\itap0 \rtlch\fcs1 \af0\afs20\alang1025 \ltrch\fcs0 \fs24\lang2057\langfe2057\cgrid\langnp2057\langfenp2057 {\rtlch\fcs1 \af0 _x000d__x000a_\ltrch\fcs0 \insrsid4653321 \chftnsep _x000d__x000a_\par }}{\*\aftnsepc \ltrpar \pard\plain \ltrpar\ql \li0\ri0\widctlpar\wrapdefault\aspalpha\aspnum\faauto\adjustright\rin0\lin0\itap0 \rtlch\fcs1 \af0\afs20\alang1025 \ltrch\fcs0 \fs24\lang2057\langfe2057\cgrid\langnp2057\langfenp2057 {\rtlch\fcs1 \af0 _x000d__x000a_\ltrch\fcs0 \insrsid46533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546101 \rtlch\fcs1 _x000d__x000a_\af0\afs20\alang1025 \ltrch\fcs0 \b\fs24\lang2057\langfe2057\cgrid\langnp2057\langfenp2057 {\rtlch\fcs1 \af0 \ltrch\fcs0 \cs17\b0\v\fs20\cf9\lang1024\langfe1024\loch\af1\hich\af1\dbch\af31501\noproof\insrsid15546101\charrsid15879488 {\*\bkmkstart restartB_x000d__x000a_}\hich\af1\dbch\af31501\loch\f1 &lt;AmendB&gt;}{\rtlch\fcs1 \af0 \ltrch\fcs0 \insrsid15546101\charrsid15879488 [ZAMENDMENT]\tab \tab }{\rtlch\fcs1 \af0 \ltrch\fcs0 _x000d__x000a_\cs17\b0\v\fs20\cf9\lang1024\langfe1024\loch\af1\hich\af1\dbch\af31501\noproof\insrsid15546101\charrsid15879488 \hich\af1\dbch\af31501\loch\f1 &lt;NumAmB&gt;}{\rtlch\fcs1 \af0 \ltrch\fcs0 \insrsid15546101\charrsid15879488 [ZNRAM]}{\rtlch\fcs1 \af0 \ltrch\fcs0 _x000d__x000a_\cs17\b0\v\fs20\cf9\lang1024\langfe1024\loch\af1\hich\af1\dbch\af31501\noproof\insrsid15546101\charrsid15879488 \hich\af1\dbch\af31501\loch\f1 &lt;/NumAmB&gt;}{\rtlch\fcs1 \af0 \ltrch\fcs0 \insrsid15546101\charrsid15879488 _x000d__x000a_\par }\pard\plain \ltrpar\s25\ql \li0\ri0\sb240\keepn\nowidctlpar\wrapdefault\aspalpha\aspnum\faauto\adjustright\rin0\lin0\itap0\pararsid15546101 \rtlch\fcs1 \af0\afs20\alang1025 \ltrch\fcs0 \b\fs24\lang2057\langfe2057\cgrid\langnp2057\langfenp2057 {_x000d__x000a_\rtlch\fcs1 \af0 \ltrch\fcs0 \cs17\b0\v\fs20\cf9\lang1024\langfe1024\loch\af1\hich\af1\dbch\af31501\noproof\insrsid15546101\charrsid15879488 \hich\af1\dbch\af31501\loch\f1 &lt;DocAmend&gt;}{\rtlch\fcs1 \af0 \ltrch\fcs0 \insrsid15546101\charrsid15879488 _x000d__x000a_[ZPROPOSAL][ZAMACT]}{\rtlch\fcs1 \af0 \ltrch\fcs0 \cs17\b0\v\fs20\cf9\lang1024\langfe1024\loch\af1\hich\af1\dbch\af31501\noproof\insrsid15546101\charrsid15879488 \hich\af1\dbch\af31501\loch\f1 &lt;/DocAmend&gt;}{\rtlch\fcs1 \af0 \ltrch\fcs0 _x000d__x000a_\insrsid15546101\charrsid15879488 _x000d__x000a_\par }\pard\plain \ltrpar\s19\ql \li0\ri0\keepn\nowidctlpar\wrapdefault\aspalpha\aspnum\faauto\adjustright\rin0\lin0\itap0\pararsid15546101 \rtlch\fcs1 \af0\afs20\alang1025 \ltrch\fcs0 \b\fs24\lang2057\langfe2057\cgrid\langnp2057\langfenp2057 {\rtlch\fcs1 _x000d__x000a_\af0 \ltrch\fcs0 \cs17\b0\v\fs20\cf9\lang1024\langfe1024\loch\af1\hich\af1\dbch\af31501\noproof\insrsid15546101\charrsid15879488 \hich\af1\dbch\af31501\loch\f1 &lt;Article&gt;}{\rtlch\fcs1 \af0 \ltrch\fcs0 \insrsid15546101\charrsid15879488 [ZAMPART]}{_x000d__x000a_\rtlch\fcs1 \af0 \ltrch\fcs0 \cs17\b0\v\fs20\cf9\lang1024\langfe1024\loch\af1\hich\af1\dbch\af31501\noproof\insrsid15546101\charrsid15879488 \hich\af1\dbch\af31501\loch\f1 &lt;/Article&gt;}{\rtlch\fcs1 \af0 \ltrch\fcs0 \insrsid15546101\charrsid15879488 _x000d__x000a_\par }\pard\plain \ltrpar\ql \li0\ri0\keepn\widctlpar\wrapdefault\aspalpha\aspnum\faauto\adjustright\rin0\lin0\itap0\pararsid15546101 \rtlch\fcs1 \af0\afs20\alang1025 \ltrch\fcs0 \fs24\lang2057\langfe2057\cgrid\langnp2057\langfenp2057 {\rtlch\fcs1 \af0 _x000d__x000a_\ltrch\fcs0 \cs17\v\fs20\cf9\lang1024\langfe1024\loch\af1\hich\af1\dbch\af31501\noproof\insrsid15546101\charrsid15879488 \hich\af1\dbch\af31501\loch\f1 &lt;DocAmend2&gt;&lt;OptDel&gt;}{\rtlch\fcs1 \af0 \ltrch\fcs0 \insrsid15546101\charrsid15879488 [ZNRACT]}{_x000d__x000a_\rtlch\fcs1 \af0 \ltrch\fcs0 \cs17\v\fs20\cf9\lang1024\langfe1024\loch\af1\hich\af1\dbch\af31501\noproof\insrsid15546101\charrsid15879488 \hich\af1\dbch\af31501\loch\f1 &lt;/OptDel&gt;&lt;/DocAmend2&gt;}{\rtlch\fcs1 \af0 \ltrch\fcs0 \insrsid15546101\charrsid15879488 _x000d__x000a__x000d__x000a_\par }\pard \ltrpar\ql \li0\ri0\widctlpar\wrapdefault\aspalpha\aspnum\faauto\adjustright\rin0\lin0\itap0\pararsid15546101 {\rtlch\fcs1 \af0 \ltrch\fcs0 _x000d__x000a_\cs17\v\fs20\cf9\lang1024\langfe1024\loch\af1\hich\af1\dbch\af31501\noproof\langnp1036\insrsid15546101\charrsid11356624 \hich\af1\dbch\af31501\loch\f1 &lt;Article2&gt;&lt;OptDel&gt;}{\rtlch\fcs1 \af0 \ltrch\fcs0 _x000d__x000a_\lang1036\langfe2057\langnp1036\insrsid15546101\charrsid11356624 [ZACTPART]}{\rtlch\fcs1 \af0 \ltrch\fcs0 \cs17\v\fs20\cf9\lang1024\langfe1024\loch\af1\hich\af1\dbch\af31501\noproof\langnp1036\insrsid15546101\charrsid11356624 _x000d__x000a_\hich\af1\dbch\af31501\loch\f1 &lt;/OptDel&gt;&lt;/Article2&gt;}{\rtlch\fcs1 \af0 \ltrch\fcs0 \lang1036\langfe2057\langnp1036\insrsid1554610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546101\charrsid11356624 \cell }\pard \ltrpar\ql \li0\ri0\widctlpar\intbl\wrapdefault\aspalpha\aspnum\faauto\adjustright\rin0\lin0 {\rtlch\fcs1 \af0 \ltrch\fcs0 \insrsid1554610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546101\charrsid15879488 [ZLEFTB]\cell [ZRIGHT]\cell }\pard\plain \ltrpar\ql \li0\ri0\widctlpar\intbl\wrapdefault\aspalpha\aspnum\faauto\adjustright\rin0\lin0 \rtlch\fcs1 \af0\afs20\alang1025 \ltrch\fcs0 _x000d__x000a_\fs24\lang2057\langfe2057\cgrid\langnp2057\langfenp2057 {\rtlch\fcs1 \af0 \ltrch\fcs0 \insrsid1554610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546101\charrsid15879488 [ZTEXTL]\cell [ZTEXTR]}{\rtlch\fcs1 \af0\afs24 \ltrch\fcs0 \insrsid15546101\charrsid15879488 \cell }\pard\plain \ltrpar\ql \li0\ri0\widctlpar\intbl\wrapdefault\aspalpha\aspnum\faauto\adjustright\rin0\lin0 \rtlch\fcs1 _x000d__x000a_\af0\afs20\alang1025 \ltrch\fcs0 \fs24\lang2057\langfe2057\cgrid\langnp2057\langfenp2057 {\rtlch\fcs1 \af0 \ltrch\fcs0 \insrsid1554610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546101 \rtlch\fcs1 \af0\afs20\alang1025 \ltrch\fcs0 \i\fs24\lang2057\langfe2057\cgrid\langnp2057\langfenp2057 {\rtlch\fcs1 \af0 \ltrch\fcs0 _x000d__x000a_\cs17\i0\v\fs20\cf9\lang1024\langfe1024\loch\af1\hich\af1\dbch\af31501\noproof\insrsid15546101\charrsid15879488 \hich\af1\dbch\af31501\loch\f1 &lt;OptDel&gt;}{\rtlch\fcs1 \af0 \ltrch\fcs0 \insrsid15546101\charrsid15879488 [ZCROSSREF]}{\rtlch\fcs1 \af0 _x000d__x000a_\ltrch\fcs0 \cs17\i0\v\fs20\cf9\lang1024\langfe1024\loch\af1\hich\af1\dbch\af31501\noproof\insrsid15546101\charrsid15879488 \hich\af1\dbch\af31501\loch\f1 &lt;/OptDel&gt;}{\rtlch\fcs1 \af0 \ltrch\fcs0 \insrsid15546101\charrsid15879488 _x000d__x000a_\par }\pard\plain \ltrpar\s22\qc \li0\ri0\sb240\sa240\keepn\nowidctlpar\wrapdefault\aspalpha\aspnum\faauto\adjustright\rin0\lin0\itap0\pararsid15546101 \rtlch\fcs1 \af0\afs20\alang1025 \ltrch\fcs0 \i\fs24\lang2057\langfe2057\cgrid\langnp2057\langfenp2057 {_x000d__x000a_\rtlch\fcs1 \af0 \ltrch\fcs0 \cs17\i0\v\fs20\cf9\lang1024\langfe1024\loch\af1\hich\af1\dbch\af31501\noproof\insrsid15546101\charrsid15879488 \hich\af1\dbch\af31501\loch\f1 &lt;TitreJust&gt;}{\rtlch\fcs1 \af0 \ltrch\fcs0 \insrsid15546101\charrsid15879488 _x000d__x000a_[ZJUSTIFICATION]}{\rtlch\fcs1 \af0 \ltrch\fcs0 \cs17\i0\v\fs20\cf9\lang1024\langfe1024\loch\af1\hich\af1\dbch\af31501\noproof\insrsid15546101\charrsid15879488 \hich\af1\dbch\af31501\loch\f1 &lt;/TitreJust&gt;}{\rtlch\fcs1 \af0 \ltrch\fcs0 _x000d__x000a_\insrsid15546101\charrsid15879488 _x000d__x000a_\par }\pard\plain \ltrpar\s20\ql \li0\ri0\sa240\nowidctlpar\wrapdefault\aspalpha\aspnum\faauto\adjustright\rin0\lin0\itap0\pararsid15546101 \rtlch\fcs1 \af0\afs20\alang1025 \ltrch\fcs0 \i\fs24\lang2057\langfe2057\cgrid\langnp2057\langfenp2057 {\rtlch\fcs1 _x000d__x000a_\af0 \ltrch\fcs0 \cs17\i0\v\fs20\cf9\lang1024\langfe1024\loch\af1\hich\af1\dbch\af31501\noproof\insrsid15546101\charrsid15879488 \hich\af1\dbch\af31501\loch\f1 &lt;OptDelPrev&gt;}{\rtlch\fcs1 \af0 \ltrch\fcs0 \insrsid15546101\charrsid15879488 [ZTEXTJUST]}{_x000d__x000a_\rtlch\fcs1 \af0 \ltrch\fcs0 \cs17\i0\v\fs20\cf9\lang1024\langfe1024\loch\af1\hich\af1\dbch\af31501\noproof\insrsid15546101\charrsid15879488 \hich\af1\dbch\af31501\loch\f1 &lt;/OptDelPrev&gt;}{\rtlch\fcs1 \af0 \ltrch\fcs0 \insrsid15546101\charrsid15879488 _x000d__x000a__x000d__x000a_\par }\pard\plain \ltrpar\ql \li0\ri0\widctlpar\wrapdefault\aspalpha\aspnum\faauto\adjustright\rin0\lin0\itap0\pararsid15546101 \rtlch\fcs1 \af0\afs20\alang1025 \ltrch\fcs0 \fs24\lang2057\langfe2057\cgrid\langnp2057\langfenp2057 {\rtlch\fcs1 \af0 \ltrch\fcs0 _x000d__x000a_\cs17\v\fs20\cf9\lang1024\langfe1024\loch\af1\hich\af1\dbch\af31501\noproof\insrsid15546101\charrsid15879488 \hich\af1\dbch\af31501\loch\f1 &lt;/AmendB&gt;}{\rtlch\fcs1 \af0 \ltrch\fcs0 \insrsid1554610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9_x000d__x000a_46b0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82744 HideTWBExt;}{_x000d__x000a_\s18\ql \li0\ri0\sa120\nowidctlpar\wrapdefault\aspalpha\aspnum\faauto\adjustright\rin0\lin0\itap0 \rtlch\fcs1 \af0\afs20\alang1025 \ltrch\fcs0 \fs24\lang2057\langfe2057\cgrid\langnp2057\langfenp2057 \sbasedon0 \snext18 \spriority0 \styrsid3482744 _x000d__x000a_Normal6a;}{\s19\ql \li0\ri0\nowidctlpar\wrapdefault\aspalpha\aspnum\faauto\adjustright\rin0\lin0\itap0 \rtlch\fcs1 \af0\afs20\alang1025 \ltrch\fcs0 \b\fs24\lang2057\langfe2057\cgrid\langnp2057\langfenp2057 \sbasedon0 \snext19 \spriority0 \styrsid3482744 _x000d__x000a_NormalBold;}{\s20\ql \li0\ri0\sa240\nowidctlpar\wrapdefault\aspalpha\aspnum\faauto\adjustright\rin0\lin0\itap0 \rtlch\fcs1 \af0\afs20\alang1025 \ltrch\fcs0 \i\fs24\lang2057\langfe2057\cgrid\langnp2057\langfenp2057 _x000d__x000a_\sbasedon0 \snext20 \spriority0 \styrsid3482744 AmJustText;}{\s21\qc \li0\ri0\sb240\sa240\nowidctlpar\wrapdefault\aspalpha\aspnum\faauto\adjustright\rin0\lin0\itap0 \rtlch\fcs1 \af0\afs20\alang1025 \ltrch\fcs0 _x000d__x000a_\i\fs24\lang2057\langfe2057\cgrid\langnp2057\langfenp2057 \sbasedon0 \snext21 \spriority0 \styrsid3482744 AmCrossRef;}{\s22\qc \li0\ri0\sb240\sa240\keepn\nowidctlpar\wrapdefault\aspalpha\aspnum\faauto\adjustright\rin0\lin0\itap0 \rtlch\fcs1 _x000d__x000a_\af0\afs20\alang1025 \ltrch\fcs0 \i\fs24\lang2057\langfe2057\cgrid\langnp2057\langfenp2057 \sbasedon0 \snext20 \spriority0 \styrsid3482744 AmJustTitle;}{\s23\qc \li0\ri0\sa240\nowidctlpar\wrapdefault\aspalpha\aspnum\faauto\adjustright\rin0\lin0\itap0 _x000d__x000a_\rtlch\fcs1 \af0\afs20\alang1025 \ltrch\fcs0 \i\fs24\lang2057\langfe2057\cgrid\langnp2057\langfenp2057 \sbasedon0 \snext23 \spriority0 \styrsid34827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482744 AmNumberTabs;}{\s25\ql \li0\ri0\sb240\nowidctlpar\wrapdefault\aspalpha\aspnum\faauto\adjustright\rin0\lin0\itap0 \rtlch\fcs1 _x000d__x000a_\af0\afs20\alang1025 \ltrch\fcs0 \b\fs24\lang2057\langfe2057\cgrid\langnp2057\langfenp2057 \sbasedon0 \snext25 \spriority0 \styrsid3482744 NormalBold12b;}}{\*\rsidtbl \rsid24658\rsid223860\rsid458874\rsid735077\rsid1718133\rsid2892074\rsid348274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IPRINI CORBUCCI Francesco}{\operator CIPRINI CORBUCCI Francesco}{\creatim\yr2023\mo10\dy9\hr14\min32}{\revtim\yr2023\mo10\dy9\hr14\min32}{\version1}_x000d__x000a_{\edmins0}{\nofpages1}{\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82744\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458874 \chftnsep _x000d__x000a_\par }}{\*\ftnsepc \ltrpar \pard\plain \ltrpar\ql \li0\ri0\widctlpar\wrapdefault\aspalpha\aspnum\faauto\adjustright\rin0\lin0\itap0 \rtlch\fcs1 \af0\afs20\alang1025 \ltrch\fcs0 \fs24\lang2057\langfe2057\cgrid\langnp2057\langfenp2057 {\rtlch\fcs1 \af0 _x000d__x000a_\ltrch\fcs0 \insrsid458874 \chftnsepc _x000d__x000a_\par }}{\*\aftnsep \ltrpar \pard\plain \ltrpar\ql \li0\ri0\widctlpar\wrapdefault\aspalpha\aspnum\faauto\adjustright\rin0\lin0\itap0 \rtlch\fcs1 \af0\afs20\alang1025 \ltrch\fcs0 \fs24\lang2057\langfe2057\cgrid\langnp2057\langfenp2057 {\rtlch\fcs1 \af0 _x000d__x000a_\ltrch\fcs0 \insrsid458874 \chftnsep _x000d__x000a_\par }}{\*\aftnsepc \ltrpar \pard\plain \ltrpar\ql \li0\ri0\widctlpar\wrapdefault\aspalpha\aspnum\faauto\adjustright\rin0\lin0\itap0 \rtlch\fcs1 \af0\afs20\alang1025 \ltrch\fcs0 \fs24\lang2057\langfe2057\cgrid\langnp2057\langfenp2057 {\rtlch\fcs1 \af0 _x000d__x000a_\ltrch\fcs0 \insrsid4588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482744 \rtlch\fcs1 _x000d__x000a_\af0\afs20\alang1025 \ltrch\fcs0 \b\fs24\lang2057\langfe2057\cgrid\langnp2057\langfenp2057 {\rtlch\fcs1 \af0 \ltrch\fcs0 \cs17\b0\v\fs20\cf9\lang1024\langfe1024\loch\af1\hich\af1\dbch\af31501\noproof\insrsid3482744\charrsid15879488 {\*\bkmkstart restartB}_x000d__x000a_\hich\af1\dbch\af31501\loch\f1 &lt;AmendB&gt;}{\rtlch\fcs1 \af0 \ltrch\fcs0 \insrsid3482744\charrsid15879488 [ZAMENDMENT]\tab \tab }{\rtlch\fcs1 \af0 \ltrch\fcs0 _x000d__x000a_\cs17\b0\v\fs20\cf9\lang1024\langfe1024\loch\af1\hich\af1\dbch\af31501\noproof\insrsid3482744\charrsid15879488 \hich\af1\dbch\af31501\loch\f1 &lt;NumAmB&gt;}{\rtlch\fcs1 \af0 \ltrch\fcs0 \insrsid3482744\charrsid15879488 [ZNRAM]}{\rtlch\fcs1 \af0 \ltrch\fcs0 _x000d__x000a_\cs17\b0\v\fs20\cf9\lang1024\langfe1024\loch\af1\hich\af1\dbch\af31501\noproof\insrsid3482744\charrsid15879488 \hich\af1\dbch\af31501\loch\f1 &lt;/NumAmB&gt;}{\rtlch\fcs1 \af0 \ltrch\fcs0 \insrsid3482744\charrsid15879488 _x000d__x000a_\par }\pard\plain \ltrpar\s25\ql \li0\ri0\sb240\keepn\nowidctlpar\wrapdefault\aspalpha\aspnum\faauto\adjustright\rin0\lin0\itap0\pararsid3482744 \rtlch\fcs1 \af0\afs20\alang1025 \ltrch\fcs0 \b\fs24\lang2057\langfe2057\cgrid\langnp2057\langfenp2057 {_x000d__x000a_\rtlch\fcs1 \af0 \ltrch\fcs0 \cs17\b0\v\fs20\cf9\lang1024\langfe1024\loch\af1\hich\af1\dbch\af31501\noproof\insrsid3482744\charrsid15879488 \hich\af1\dbch\af31501\loch\f1 &lt;DocAmend&gt;}{\rtlch\fcs1 \af0 \ltrch\fcs0 \insrsid3482744\charrsid15879488 _x000d__x000a_[ZPROPOSAL][ZAMACT]}{\rtlch\fcs1 \af0 \ltrch\fcs0 \cs17\b0\v\fs20\cf9\lang1024\langfe1024\loch\af1\hich\af1\dbch\af31501\noproof\insrsid3482744\charrsid15879488 \hich\af1\dbch\af31501\loch\f1 &lt;/DocAmend&gt;}{\rtlch\fcs1 \af0 \ltrch\fcs0 _x000d__x000a_\insrsid3482744\charrsid15879488 _x000d__x000a_\par }\pard\plain \ltrpar\s19\ql \li0\ri0\keepn\nowidctlpar\wrapdefault\aspalpha\aspnum\faauto\adjustright\rin0\lin0\itap0\pararsid3482744 \rtlch\fcs1 \af0\afs20\alang1025 \ltrch\fcs0 \b\fs24\lang2057\langfe2057\cgrid\langnp2057\langfenp2057 {\rtlch\fcs1 \af0 _x000d__x000a_\ltrch\fcs0 \cs17\b0\v\fs20\cf9\lang1024\langfe1024\loch\af1\hich\af1\dbch\af31501\noproof\insrsid3482744\charrsid15879488 \hich\af1\dbch\af31501\loch\f1 &lt;Article&gt;}{\rtlch\fcs1 \af0 \ltrch\fcs0 \insrsid3482744\charrsid15879488 [ZAMPART]}{\rtlch\fcs1 \af0 _x000d__x000a_\ltrch\fcs0 \cs17\b0\v\fs20\cf9\lang1024\langfe1024\loch\af1\hich\af1\dbch\af31501\noproof\insrsid3482744\charrsid15879488 \hich\af1\dbch\af31501\loch\f1 &lt;/Article&gt;}{\rtlch\fcs1 \af0 \ltrch\fcs0 \insrsid3482744\charrsid15879488 _x000d__x000a_\par }\pard\plain \ltrpar\ql \li0\ri0\keepn\widctlpar\wrapdefault\aspalpha\aspnum\faauto\adjustright\rin0\lin0\itap0\pararsid3482744 \rtlch\fcs1 \af0\afs20\alang1025 \ltrch\fcs0 \fs24\lang2057\langfe2057\cgrid\langnp2057\langfenp2057 {\rtlch\fcs1 \af0 _x000d__x000a_\ltrch\fcs0 \cs17\v\fs20\cf9\lang1024\langfe1024\loch\af1\hich\af1\dbch\af31501\noproof\insrsid3482744\charrsid15879488 \hich\af1\dbch\af31501\loch\f1 &lt;DocAmend2&gt;&lt;OptDel&gt;}{\rtlch\fcs1 \af0 \ltrch\fcs0 \insrsid3482744\charrsid15879488 [ZNRACT]}{_x000d__x000a_\rtlch\fcs1 \af0 \ltrch\fcs0 \cs17\v\fs20\cf9\lang1024\langfe1024\loch\af1\hich\af1\dbch\af31501\noproof\insrsid3482744\charrsid15879488 \hich\af1\dbch\af31501\loch\f1 &lt;/OptDel&gt;&lt;/DocAmend2&gt;}{\rtlch\fcs1 \af0 \ltrch\fcs0 \insrsid3482744\charrsid15879488 _x000d__x000a__x000d__x000a_\par }\pard \ltrpar\ql \li0\ri0\widctlpar\wrapdefault\aspalpha\aspnum\faauto\adjustright\rin0\lin0\itap0\pararsid3482744 {\rtlch\fcs1 \af0 \ltrch\fcs0 _x000d__x000a_\cs17\v\fs20\cf9\lang1024\langfe1024\loch\af1\hich\af1\dbch\af31501\noproof\langnp1036\insrsid3482744\charrsid11356624 \hich\af1\dbch\af31501\loch\f1 &lt;Article2&gt;&lt;OptDel&gt;}{\rtlch\fcs1 \af0 \ltrch\fcs0 _x000d__x000a_\lang1036\langfe2057\langnp1036\insrsid3482744\charrsid11356624 [ZACTPART]}{\rtlch\fcs1 \af0 \ltrch\fcs0 \cs17\v\fs20\cf9\lang1024\langfe1024\loch\af1\hich\af1\dbch\af31501\noproof\langnp1036\insrsid3482744\charrsid11356624 \hich\af1\dbch\af31501\loch\f1 _x000d__x000a_&lt;/OptDel&gt;&lt;/Article2&gt;}{\rtlch\fcs1 \af0 \ltrch\fcs0 \lang1036\langfe2057\langnp1036\insrsid348274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482744\charrsid11356624 \cell }\pard \ltrpar\ql \li0\ri0\widctlpar\intbl\wrapdefault\aspalpha\aspnum\faauto\adjustright\rin0\lin0 {\rtlch\fcs1 \af0 \ltrch\fcs0 \insrsid348274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482744\charrsid15879488 [ZLEFTB]\cell [ZRIGHT]\cell }\pard\plain \ltrpar\ql \li0\ri0\widctlpar\intbl\wrapdefault\aspalpha\aspnum\faauto\adjustright\rin0\lin0 \rtlch\fcs1 \af0\afs20\alang1025 \ltrch\fcs0 _x000d__x000a_\fs24\lang2057\langfe2057\cgrid\langnp2057\langfenp2057 {\rtlch\fcs1 \af0 \ltrch\fcs0 \insrsid348274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482744\charrsid15879488 [ZTEXTL]\cell [ZTEXTR]}{\rtlch\fcs1 \af0\afs24 \ltrch\fcs0 \insrsid3482744\charrsid15879488 \cell }\pard\plain \ltrpar\ql \li0\ri0\widctlpar\intbl\wrapdefault\aspalpha\aspnum\faauto\adjustright\rin0\lin0 \rtlch\fcs1 _x000d__x000a_\af0\afs20\alang1025 \ltrch\fcs0 \fs24\lang2057\langfe2057\cgrid\langnp2057\langfenp2057 {\rtlch\fcs1 \af0 \ltrch\fcs0 \insrsid348274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482744 \rtlch\fcs1 \af0\afs20\alang1025 \ltrch\fcs0 \i\fs24\lang2057\langfe2057\cgrid\langnp2057\langfenp2057 {\rtlch\fcs1 \af0 \ltrch\fcs0 _x000d__x000a_\cs17\i0\v\fs20\cf9\lang1024\langfe1024\loch\af1\hich\af1\dbch\af31501\noproof\insrsid3482744\charrsid15879488 \hich\af1\dbch\af31501\loch\f1 &lt;OptDel&gt;}{\rtlch\fcs1 \af0 \ltrch\fcs0 \insrsid3482744\charrsid15879488 [ZCROSSREF]}{\rtlch\fcs1 \af0 _x000d__x000a_\ltrch\fcs0 \cs17\i0\v\fs20\cf9\lang1024\langfe1024\loch\af1\hich\af1\dbch\af31501\noproof\insrsid3482744\charrsid15879488 \hich\af1\dbch\af31501\loch\f1 &lt;/OptDel&gt;}{\rtlch\fcs1 \af0 \ltrch\fcs0 \insrsid3482744\charrsid15879488 _x000d__x000a_\par }\pard\plain \ltrpar\s22\qc \li0\ri0\sb240\sa240\keepn\nowidctlpar\wrapdefault\aspalpha\aspnum\faauto\adjustright\rin0\lin0\itap0\pararsid3482744 \rtlch\fcs1 \af0\afs20\alang1025 \ltrch\fcs0 \i\fs24\lang2057\langfe2057\cgrid\langnp2057\langfenp2057 {_x000d__x000a_\rtlch\fcs1 \af0 \ltrch\fcs0 \cs17\i0\v\fs20\cf9\lang1024\langfe1024\loch\af1\hich\af1\dbch\af31501\noproof\insrsid3482744\charrsid15879488 \hich\af1\dbch\af31501\loch\f1 &lt;TitreJust&gt;}{\rtlch\fcs1 \af0 \ltrch\fcs0 \insrsid3482744\charrsid15879488 _x000d__x000a_[ZJUSTIFICATION]}{\rtlch\fcs1 \af0 \ltrch\fcs0 \cs17\i0\v\fs20\cf9\lang1024\langfe1024\loch\af1\hich\af1\dbch\af31501\noproof\insrsid3482744\charrsid15879488 \hich\af1\dbch\af31501\loch\f1 &lt;/TitreJust&gt;}{\rtlch\fcs1 \af0 \ltrch\fcs0 _x000d__x000a_\insrsid3482744\charrsid15879488 _x000d__x000a_\par }\pard\plain \ltrpar\s20\ql \li0\ri0\sa240\nowidctlpar\wrapdefault\aspalpha\aspnum\faauto\adjustright\rin0\lin0\itap0\pararsid3482744 \rtlch\fcs1 \af0\afs20\alang1025 \ltrch\fcs0 \i\fs24\lang2057\langfe2057\cgrid\langnp2057\langfenp2057 {\rtlch\fcs1 \af0 _x000d__x000a_\ltrch\fcs0 \cs17\i0\v\fs20\cf9\lang1024\langfe1024\loch\af1\hich\af1\dbch\af31501\noproof\insrsid3482744\charrsid15879488 \hich\af1\dbch\af31501\loch\f1 &lt;OptDelPrev&gt;}{\rtlch\fcs1 \af0 \ltrch\fcs0 \insrsid3482744\charrsid15879488 [ZTEXTJUST]}{\rtlch\fcs1 _x000d__x000a_\af0 \ltrch\fcs0 \cs17\i0\v\fs20\cf9\lang1024\langfe1024\loch\af1\hich\af1\dbch\af31501\noproof\insrsid3482744\charrsid15879488 \hich\af1\dbch\af31501\loch\f1 &lt;/OptDelPrev&gt;}{\rtlch\fcs1 \af0 \ltrch\fcs0 \insrsid3482744\charrsid15879488 _x000d__x000a_\par }\pard\plain \ltrpar\ql \li0\ri0\widctlpar\wrapdefault\aspalpha\aspnum\faauto\adjustright\rin0\lin0\itap0\pararsid3482744 \rtlch\fcs1 \af0\afs20\alang1025 \ltrch\fcs0 \fs24\lang2057\langfe2057\cgrid\langnp2057\langfenp2057 {\rtlch\fcs1 \af0 \ltrch\fcs0 _x000d__x000a_\cs17\v\fs20\cf9\lang1024\langfe1024\loch\af1\hich\af1\dbch\af31501\noproof\insrsid3482744\charrsid15879488 \hich\af1\dbch\af31501\loch\f1 &lt;/AmendB&gt;}{\rtlch\fcs1 \af0 \ltrch\fcs0 \insrsid34827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3_x000d__x000a_3eab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7"/>
    <w:docVar w:name="TITLECODMNU" w:val=" 1"/>
    <w:docVar w:name="TVTAMPART" w:val="1"/>
    <w:docVar w:name="TXTLANGUE" w:val="DA"/>
    <w:docVar w:name="TXTLANGUEMIN" w:val="da"/>
    <w:docVar w:name="TXTNRC" w:val="0409/2022"/>
    <w:docVar w:name="TXTNRCOM" w:val="(2022)0688"/>
    <w:docVar w:name="TXTNRFIRSTAM" w:val="1"/>
    <w:docVar w:name="TXTNRLASTAM" w:val="99"/>
    <w:docVar w:name="TXTNRPE" w:val="751.894"/>
    <w:docVar w:name="TXTNRPROC" w:val="2022/0400"/>
    <w:docVar w:name="TXTPEorAP" w:val="PE"/>
    <w:docVar w:name="TXTROUTE" w:val="AD\1287675DA.docx"/>
    <w:docVar w:name="TXTVERSION" w:val="03-00"/>
  </w:docVars>
  <w:rsids>
    <w:rsidRoot w:val="00477071"/>
    <w:rsid w:val="00006096"/>
    <w:rsid w:val="00026559"/>
    <w:rsid w:val="00027FA8"/>
    <w:rsid w:val="0004474F"/>
    <w:rsid w:val="000728F9"/>
    <w:rsid w:val="00074EC8"/>
    <w:rsid w:val="00082EC4"/>
    <w:rsid w:val="000D352B"/>
    <w:rsid w:val="000D3569"/>
    <w:rsid w:val="000D44A6"/>
    <w:rsid w:val="0011190E"/>
    <w:rsid w:val="00122C05"/>
    <w:rsid w:val="001320E6"/>
    <w:rsid w:val="00134974"/>
    <w:rsid w:val="00141CD7"/>
    <w:rsid w:val="001616BD"/>
    <w:rsid w:val="001820A9"/>
    <w:rsid w:val="00186597"/>
    <w:rsid w:val="001A0556"/>
    <w:rsid w:val="001B0A1E"/>
    <w:rsid w:val="001C0886"/>
    <w:rsid w:val="001D5154"/>
    <w:rsid w:val="001E3AC4"/>
    <w:rsid w:val="0020077A"/>
    <w:rsid w:val="0023131B"/>
    <w:rsid w:val="002522B7"/>
    <w:rsid w:val="002A6463"/>
    <w:rsid w:val="002A67EE"/>
    <w:rsid w:val="002C1D57"/>
    <w:rsid w:val="002F405F"/>
    <w:rsid w:val="003046E5"/>
    <w:rsid w:val="00304EA8"/>
    <w:rsid w:val="0032033D"/>
    <w:rsid w:val="00334B3E"/>
    <w:rsid w:val="00341A99"/>
    <w:rsid w:val="00360FAA"/>
    <w:rsid w:val="003700C6"/>
    <w:rsid w:val="00371038"/>
    <w:rsid w:val="0038294E"/>
    <w:rsid w:val="003A2F84"/>
    <w:rsid w:val="003B67A3"/>
    <w:rsid w:val="003C7390"/>
    <w:rsid w:val="003E1280"/>
    <w:rsid w:val="003F128E"/>
    <w:rsid w:val="0040055C"/>
    <w:rsid w:val="0042492D"/>
    <w:rsid w:val="00425FC7"/>
    <w:rsid w:val="00477071"/>
    <w:rsid w:val="00487596"/>
    <w:rsid w:val="004B3A53"/>
    <w:rsid w:val="004C2A0D"/>
    <w:rsid w:val="004C3989"/>
    <w:rsid w:val="004E5D64"/>
    <w:rsid w:val="004E7856"/>
    <w:rsid w:val="004F1D2F"/>
    <w:rsid w:val="00502B76"/>
    <w:rsid w:val="00513F6F"/>
    <w:rsid w:val="00522B51"/>
    <w:rsid w:val="00524707"/>
    <w:rsid w:val="005539B7"/>
    <w:rsid w:val="0055718F"/>
    <w:rsid w:val="00571233"/>
    <w:rsid w:val="005B627F"/>
    <w:rsid w:val="00613134"/>
    <w:rsid w:val="00626D52"/>
    <w:rsid w:val="00643DA8"/>
    <w:rsid w:val="0065259B"/>
    <w:rsid w:val="00657D5C"/>
    <w:rsid w:val="00683DD1"/>
    <w:rsid w:val="006918D7"/>
    <w:rsid w:val="00691B1C"/>
    <w:rsid w:val="006A0F0A"/>
    <w:rsid w:val="006A2026"/>
    <w:rsid w:val="006A48AA"/>
    <w:rsid w:val="006B1267"/>
    <w:rsid w:val="006D292E"/>
    <w:rsid w:val="00705534"/>
    <w:rsid w:val="00712462"/>
    <w:rsid w:val="00716BAA"/>
    <w:rsid w:val="00736930"/>
    <w:rsid w:val="00745EAE"/>
    <w:rsid w:val="00754B09"/>
    <w:rsid w:val="0078548A"/>
    <w:rsid w:val="00793DDA"/>
    <w:rsid w:val="007B7CE3"/>
    <w:rsid w:val="007D7414"/>
    <w:rsid w:val="007E1546"/>
    <w:rsid w:val="007F187F"/>
    <w:rsid w:val="00817D13"/>
    <w:rsid w:val="00820C7D"/>
    <w:rsid w:val="00823CA1"/>
    <w:rsid w:val="00833D11"/>
    <w:rsid w:val="00834CA2"/>
    <w:rsid w:val="00836FD3"/>
    <w:rsid w:val="008375A8"/>
    <w:rsid w:val="008429B6"/>
    <w:rsid w:val="00872A52"/>
    <w:rsid w:val="00876A73"/>
    <w:rsid w:val="0089388A"/>
    <w:rsid w:val="008B113D"/>
    <w:rsid w:val="008F3DB0"/>
    <w:rsid w:val="00904864"/>
    <w:rsid w:val="009052FE"/>
    <w:rsid w:val="009215FC"/>
    <w:rsid w:val="00924555"/>
    <w:rsid w:val="009368B3"/>
    <w:rsid w:val="00954E12"/>
    <w:rsid w:val="0097124D"/>
    <w:rsid w:val="00982B83"/>
    <w:rsid w:val="009857B4"/>
    <w:rsid w:val="009E7319"/>
    <w:rsid w:val="00A30A6E"/>
    <w:rsid w:val="00A36EE1"/>
    <w:rsid w:val="00A37A1A"/>
    <w:rsid w:val="00A57BFD"/>
    <w:rsid w:val="00A71228"/>
    <w:rsid w:val="00A74E25"/>
    <w:rsid w:val="00A77529"/>
    <w:rsid w:val="00AC2A60"/>
    <w:rsid w:val="00AD49D0"/>
    <w:rsid w:val="00B00EE6"/>
    <w:rsid w:val="00B035B6"/>
    <w:rsid w:val="00B0362B"/>
    <w:rsid w:val="00B418CA"/>
    <w:rsid w:val="00B476DC"/>
    <w:rsid w:val="00B51F27"/>
    <w:rsid w:val="00B5291D"/>
    <w:rsid w:val="00B556CD"/>
    <w:rsid w:val="00B62D4B"/>
    <w:rsid w:val="00B659EF"/>
    <w:rsid w:val="00B904FA"/>
    <w:rsid w:val="00BA3E40"/>
    <w:rsid w:val="00BD1F76"/>
    <w:rsid w:val="00BE20CF"/>
    <w:rsid w:val="00C22327"/>
    <w:rsid w:val="00C335C6"/>
    <w:rsid w:val="00C4219C"/>
    <w:rsid w:val="00C52A28"/>
    <w:rsid w:val="00C709B7"/>
    <w:rsid w:val="00C75E98"/>
    <w:rsid w:val="00C81C5B"/>
    <w:rsid w:val="00C83B35"/>
    <w:rsid w:val="00C83F57"/>
    <w:rsid w:val="00C974B1"/>
    <w:rsid w:val="00D25CF2"/>
    <w:rsid w:val="00D325B2"/>
    <w:rsid w:val="00D56CE0"/>
    <w:rsid w:val="00D6254D"/>
    <w:rsid w:val="00D67D0A"/>
    <w:rsid w:val="00D74FD1"/>
    <w:rsid w:val="00D922A7"/>
    <w:rsid w:val="00D943A5"/>
    <w:rsid w:val="00D9581F"/>
    <w:rsid w:val="00DA4238"/>
    <w:rsid w:val="00DB56E4"/>
    <w:rsid w:val="00DB7EE6"/>
    <w:rsid w:val="00DD6E60"/>
    <w:rsid w:val="00E01C82"/>
    <w:rsid w:val="00E27F01"/>
    <w:rsid w:val="00E32700"/>
    <w:rsid w:val="00E77FF5"/>
    <w:rsid w:val="00E94D64"/>
    <w:rsid w:val="00EA3802"/>
    <w:rsid w:val="00EF1432"/>
    <w:rsid w:val="00EF33D5"/>
    <w:rsid w:val="00F15744"/>
    <w:rsid w:val="00F15ED4"/>
    <w:rsid w:val="00F24D40"/>
    <w:rsid w:val="00F37B34"/>
    <w:rsid w:val="00FE413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FD917"/>
  <w15:chartTrackingRefBased/>
  <w15:docId w15:val="{FBA3FE26-CF74-440D-AF6B-96B82756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7D7414"/>
    <w:pPr>
      <w:widowControl/>
      <w:spacing w:before="100" w:beforeAutospacing="1" w:after="100" w:afterAutospacing="1"/>
    </w:pPr>
  </w:style>
  <w:style w:type="paragraph" w:styleId="Footer">
    <w:name w:val="footer"/>
    <w:link w:val="FooterChar"/>
    <w:unhideWhenUsed/>
    <w:rsid w:val="007D741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7D7414"/>
    <w:rPr>
      <w:sz w:val="22"/>
    </w:rPr>
  </w:style>
  <w:style w:type="character" w:customStyle="1" w:styleId="Normal12Char">
    <w:name w:val="Normal12 Char"/>
    <w:basedOn w:val="DefaultParagraphFont"/>
    <w:link w:val="Normal12"/>
    <w:locked/>
    <w:rsid w:val="007D7414"/>
    <w:rPr>
      <w:noProof/>
      <w:sz w:val="24"/>
    </w:rPr>
  </w:style>
  <w:style w:type="paragraph" w:customStyle="1" w:styleId="Normal12">
    <w:name w:val="Normal12"/>
    <w:basedOn w:val="Normal"/>
    <w:link w:val="Normal12Char"/>
    <w:rsid w:val="007D7414"/>
    <w:pPr>
      <w:spacing w:after="240"/>
    </w:pPr>
    <w:rPr>
      <w:noProof/>
      <w:szCs w:val="20"/>
    </w:rPr>
  </w:style>
  <w:style w:type="paragraph" w:customStyle="1" w:styleId="CommitteeAM">
    <w:name w:val="CommitteeAM"/>
    <w:basedOn w:val="Normal"/>
    <w:rsid w:val="007D7414"/>
    <w:pPr>
      <w:spacing w:before="240" w:after="600"/>
      <w:jc w:val="center"/>
    </w:pPr>
    <w:rPr>
      <w:i/>
      <w:szCs w:val="20"/>
    </w:rPr>
  </w:style>
  <w:style w:type="paragraph" w:customStyle="1" w:styleId="ZDateAM">
    <w:name w:val="ZDateAM"/>
    <w:basedOn w:val="Normal"/>
    <w:rsid w:val="007D7414"/>
    <w:pPr>
      <w:tabs>
        <w:tab w:val="right" w:pos="9356"/>
      </w:tabs>
      <w:spacing w:after="480"/>
    </w:pPr>
    <w:rPr>
      <w:noProof/>
      <w:szCs w:val="20"/>
    </w:rPr>
  </w:style>
  <w:style w:type="paragraph" w:customStyle="1" w:styleId="ProjRap">
    <w:name w:val="ProjRap"/>
    <w:basedOn w:val="Normal"/>
    <w:rsid w:val="007D7414"/>
    <w:pPr>
      <w:tabs>
        <w:tab w:val="right" w:pos="9356"/>
      </w:tabs>
    </w:pPr>
    <w:rPr>
      <w:b/>
      <w:noProof/>
      <w:szCs w:val="20"/>
    </w:rPr>
  </w:style>
  <w:style w:type="paragraph" w:customStyle="1" w:styleId="PELeft">
    <w:name w:val="PELeft"/>
    <w:basedOn w:val="Normal"/>
    <w:rsid w:val="007D7414"/>
    <w:pPr>
      <w:spacing w:before="40" w:after="40"/>
    </w:pPr>
    <w:rPr>
      <w:rFonts w:ascii="Arial" w:hAnsi="Arial" w:cs="Arial"/>
      <w:sz w:val="22"/>
      <w:szCs w:val="22"/>
    </w:rPr>
  </w:style>
  <w:style w:type="paragraph" w:customStyle="1" w:styleId="PERight">
    <w:name w:val="PERight"/>
    <w:basedOn w:val="Normal"/>
    <w:next w:val="Normal"/>
    <w:rsid w:val="007D7414"/>
    <w:pPr>
      <w:jc w:val="right"/>
    </w:pPr>
    <w:rPr>
      <w:rFonts w:ascii="Arial" w:hAnsi="Arial" w:cs="Arial"/>
      <w:sz w:val="22"/>
      <w:szCs w:val="22"/>
    </w:rPr>
  </w:style>
  <w:style w:type="character" w:customStyle="1" w:styleId="Normal6Char">
    <w:name w:val="Normal6 Char"/>
    <w:basedOn w:val="DefaultParagraphFont"/>
    <w:link w:val="Normal6"/>
    <w:locked/>
    <w:rsid w:val="007D7414"/>
    <w:rPr>
      <w:sz w:val="24"/>
      <w:lang w:val="da-DK"/>
    </w:rPr>
  </w:style>
  <w:style w:type="paragraph" w:customStyle="1" w:styleId="Normal6">
    <w:name w:val="Normal6"/>
    <w:basedOn w:val="Normal"/>
    <w:link w:val="Normal6Char"/>
    <w:rsid w:val="007D7414"/>
    <w:pPr>
      <w:spacing w:after="120"/>
    </w:pPr>
    <w:rPr>
      <w:szCs w:val="20"/>
    </w:rPr>
  </w:style>
  <w:style w:type="character" w:customStyle="1" w:styleId="NormalBoldChar">
    <w:name w:val="NormalBold Char"/>
    <w:basedOn w:val="DefaultParagraphFont"/>
    <w:link w:val="NormalBold"/>
    <w:locked/>
    <w:rsid w:val="007D7414"/>
    <w:rPr>
      <w:b/>
      <w:sz w:val="24"/>
    </w:rPr>
  </w:style>
  <w:style w:type="paragraph" w:customStyle="1" w:styleId="Normal12Italic">
    <w:name w:val="Normal12Italic"/>
    <w:basedOn w:val="Normal12"/>
    <w:rsid w:val="007D7414"/>
    <w:rPr>
      <w:i/>
    </w:rPr>
  </w:style>
  <w:style w:type="paragraph" w:customStyle="1" w:styleId="JustificationTitle">
    <w:name w:val="JustificationTitle"/>
    <w:basedOn w:val="Normal"/>
    <w:next w:val="Normal12"/>
    <w:rsid w:val="007D7414"/>
    <w:pPr>
      <w:keepNext/>
      <w:spacing w:before="240" w:after="240"/>
      <w:jc w:val="center"/>
    </w:pPr>
    <w:rPr>
      <w:i/>
      <w:noProof/>
      <w:szCs w:val="20"/>
    </w:rPr>
  </w:style>
  <w:style w:type="paragraph" w:customStyle="1" w:styleId="Olang">
    <w:name w:val="Olang"/>
    <w:basedOn w:val="Normal"/>
    <w:rsid w:val="007D7414"/>
    <w:pPr>
      <w:spacing w:before="240" w:after="240"/>
      <w:jc w:val="right"/>
    </w:pPr>
    <w:rPr>
      <w:noProof/>
    </w:rPr>
  </w:style>
  <w:style w:type="paragraph" w:customStyle="1" w:styleId="ColumnHeading">
    <w:name w:val="ColumnHeading"/>
    <w:basedOn w:val="Normal"/>
    <w:rsid w:val="007D7414"/>
    <w:pPr>
      <w:spacing w:after="240"/>
      <w:jc w:val="center"/>
    </w:pPr>
    <w:rPr>
      <w:i/>
      <w:szCs w:val="20"/>
    </w:rPr>
  </w:style>
  <w:style w:type="paragraph" w:customStyle="1" w:styleId="AMNumberTabs0">
    <w:name w:val="AMNumberTabs"/>
    <w:basedOn w:val="Normal"/>
    <w:rsid w:val="007D74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7D7414"/>
    <w:pPr>
      <w:spacing w:before="240"/>
      <w:jc w:val="center"/>
    </w:pPr>
    <w:rPr>
      <w:i/>
      <w:szCs w:val="20"/>
    </w:rPr>
  </w:style>
  <w:style w:type="paragraph" w:customStyle="1" w:styleId="Footer2">
    <w:name w:val="Footer2"/>
    <w:basedOn w:val="Normal12"/>
    <w:rsid w:val="007D7414"/>
    <w:pPr>
      <w:tabs>
        <w:tab w:val="center" w:pos="4535"/>
        <w:tab w:val="right" w:pos="9923"/>
      </w:tabs>
      <w:spacing w:line="480" w:lineRule="auto"/>
      <w:ind w:left="-851"/>
    </w:pPr>
    <w:rPr>
      <w:rFonts w:ascii="Arial" w:cs="Arial"/>
      <w:b/>
      <w:sz w:val="48"/>
    </w:rPr>
  </w:style>
  <w:style w:type="character" w:customStyle="1" w:styleId="Footer2Middle">
    <w:name w:val="Footer2Middle"/>
    <w:rsid w:val="007D7414"/>
    <w:rPr>
      <w:rFonts w:ascii="Arial" w:hAnsi="Arial" w:cs="Arial" w:hint="default"/>
      <w:b w:val="0"/>
      <w:bCs w:val="0"/>
      <w:i/>
      <w:iCs w:val="0"/>
      <w:color w:val="C0C0C0"/>
      <w:sz w:val="22"/>
    </w:rPr>
  </w:style>
  <w:style w:type="paragraph" w:customStyle="1" w:styleId="EntPE">
    <w:name w:val="EntPE"/>
    <w:basedOn w:val="Normal12"/>
    <w:rsid w:val="007D7414"/>
    <w:pPr>
      <w:jc w:val="center"/>
    </w:pPr>
    <w:rPr>
      <w:noProof w:val="0"/>
      <w:sz w:val="56"/>
    </w:rPr>
  </w:style>
  <w:style w:type="paragraph" w:styleId="BalloonText">
    <w:name w:val="Balloon Text"/>
    <w:basedOn w:val="Normal"/>
    <w:link w:val="BalloonTextChar"/>
    <w:semiHidden/>
    <w:unhideWhenUsed/>
    <w:rsid w:val="008B113D"/>
    <w:rPr>
      <w:rFonts w:ascii="Segoe UI" w:hAnsi="Segoe UI" w:cs="Segoe UI"/>
      <w:sz w:val="18"/>
      <w:szCs w:val="18"/>
    </w:rPr>
  </w:style>
  <w:style w:type="character" w:customStyle="1" w:styleId="BalloonTextChar">
    <w:name w:val="Balloon Text Char"/>
    <w:basedOn w:val="DefaultParagraphFont"/>
    <w:link w:val="BalloonText"/>
    <w:semiHidden/>
    <w:rsid w:val="008B113D"/>
    <w:rPr>
      <w:rFonts w:ascii="Segoe UI" w:hAnsi="Segoe UI" w:cs="Segoe UI"/>
      <w:sz w:val="18"/>
      <w:szCs w:val="18"/>
    </w:rPr>
  </w:style>
  <w:style w:type="paragraph" w:styleId="Revision">
    <w:name w:val="Revision"/>
    <w:hidden/>
    <w:uiPriority w:val="99"/>
    <w:semiHidden/>
    <w:rsid w:val="004249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B5087-967D-4B01-AA32-3E39829D3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13869</Words>
  <Characters>91335</Characters>
  <Application>Microsoft Office Word</Application>
  <DocSecurity>0</DocSecurity>
  <Lines>3373</Lines>
  <Paragraphs>759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2023-10-10T13:48:00Z</cp:lastPrinted>
  <dcterms:created xsi:type="dcterms:W3CDTF">2023-11-06T09:12:00Z</dcterms:created>
  <dcterms:modified xsi:type="dcterms:W3CDTF">2023-11-06T09:12:00Z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1287675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AD\1287675DA.docx</vt:lpwstr>
  </property>
  <property fmtid="{D5CDD505-2E9C-101B-9397-08002B2CF9AE}" pid="10" name="LastEdited with">
    <vt:lpwstr>9.16.1 Build [20230915]</vt:lpwstr>
  </property>
  <property fmtid="{D5CDD505-2E9C-101B-9397-08002B2CF9AE}" pid="11" name="PE number">
    <vt:lpwstr>751.894</vt:lpwstr>
  </property>
  <property fmtid="{D5CDD505-2E9C-101B-9397-08002B2CF9AE}" pid="12" name="SDLStudio">
    <vt:lpwstr/>
  </property>
  <property fmtid="{D5CDD505-2E9C-101B-9397-08002B2CF9AE}" pid="13" name="SendToEpades">
    <vt:lpwstr>OK - 2023/10/12 17:52</vt:lpwstr>
  </property>
  <property fmtid="{D5CDD505-2E9C-101B-9397-08002B2CF9AE}" pid="14" name="Bookout">
    <vt:lpwstr>OK - 2023/11/06 10:12</vt:lpwstr>
  </property>
</Properties>
</file>