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471E0" w:rsidTr="00C85D0F">
        <w:trPr>
          <w:trHeight w:hRule="exact" w:val="1418"/>
        </w:trPr>
        <w:tc>
          <w:tcPr>
            <w:tcW w:w="6804" w:type="dxa"/>
            <w:shd w:val="clear" w:color="auto" w:fill="auto"/>
            <w:vAlign w:val="center"/>
          </w:tcPr>
          <w:p w:rsidR="00BA3E40" w:rsidRPr="00C83F57" w:rsidRDefault="0025755D" w:rsidP="00C85D0F">
            <w:pPr>
              <w:pStyle w:val="EPName"/>
            </w:pPr>
            <w:bookmarkStart w:id="0" w:name="_GoBack"/>
            <w:bookmarkEnd w:id="0"/>
            <w:r>
              <w:t>Europos Parlamentas</w:t>
            </w:r>
          </w:p>
          <w:p w:rsidR="00BA3E40" w:rsidRPr="00C83F57" w:rsidRDefault="0025755D" w:rsidP="007D7414">
            <w:pPr>
              <w:pStyle w:val="EPTerm"/>
            </w:pPr>
            <w:r>
              <w:t>2019-2024</w:t>
            </w:r>
          </w:p>
        </w:tc>
        <w:tc>
          <w:tcPr>
            <w:tcW w:w="2268" w:type="dxa"/>
            <w:shd w:val="clear" w:color="auto" w:fill="auto"/>
          </w:tcPr>
          <w:p w:rsidR="00BA3E40" w:rsidRPr="00C83F57" w:rsidRDefault="0025755D" w:rsidP="00C85D0F">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83F57" w:rsidRDefault="00F24D40" w:rsidP="00F24D40">
      <w:pPr>
        <w:pStyle w:val="LineTop"/>
      </w:pPr>
    </w:p>
    <w:p w:rsidR="00F24D40" w:rsidRPr="00C83F57" w:rsidRDefault="0025755D" w:rsidP="00F24D40">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F24D40" w:rsidRPr="00C83F57" w:rsidRDefault="00F24D40" w:rsidP="00F24D40">
      <w:pPr>
        <w:pStyle w:val="LineBottom"/>
      </w:pPr>
    </w:p>
    <w:p w:rsidR="00DB56E4" w:rsidRPr="00C83F57" w:rsidRDefault="0025755D" w:rsidP="00DB56E4">
      <w:pPr>
        <w:pStyle w:val="CoverReference"/>
      </w:pPr>
      <w:r>
        <w:rPr>
          <w:rStyle w:val="HideTWBExt"/>
          <w:b w:val="0"/>
        </w:rPr>
        <w:t>&lt;RefProc&gt;</w:t>
      </w:r>
      <w:r>
        <w:t>2022/0400</w:t>
      </w:r>
      <w:r>
        <w:rPr>
          <w:rStyle w:val="HideTWBExt"/>
          <w:b w:val="0"/>
        </w:rPr>
        <w:t>&lt;/RefProc&gt;&lt;RefTypeProc&gt;</w:t>
      </w:r>
      <w:r>
        <w:t>(COD)</w:t>
      </w:r>
      <w:r>
        <w:rPr>
          <w:rStyle w:val="HideTWBExt"/>
          <w:b w:val="0"/>
        </w:rPr>
        <w:t>&lt;/RefTypeProc&gt;</w:t>
      </w:r>
    </w:p>
    <w:p w:rsidR="00DB56E4" w:rsidRPr="00C83F57" w:rsidRDefault="0025755D" w:rsidP="00DB56E4">
      <w:pPr>
        <w:pStyle w:val="CoverDate"/>
      </w:pPr>
      <w:r>
        <w:rPr>
          <w:rStyle w:val="HideTWBExt"/>
        </w:rPr>
        <w:t>&lt;Date&gt;</w:t>
      </w:r>
      <w:r>
        <w:rPr>
          <w:rStyle w:val="HideTWBInt"/>
          <w:color w:val="auto"/>
        </w:rPr>
        <w:t>{12/10/2023}</w:t>
      </w:r>
      <w:r>
        <w:t>12.10.2023</w:t>
      </w:r>
      <w:r>
        <w:rPr>
          <w:rStyle w:val="HideTWBExt"/>
        </w:rPr>
        <w:t>&lt;/Date&gt;</w:t>
      </w:r>
    </w:p>
    <w:p w:rsidR="00DB56E4" w:rsidRPr="00C83F57" w:rsidRDefault="0025755D" w:rsidP="00DB56E4">
      <w:pPr>
        <w:pStyle w:val="CoverDocType24a"/>
      </w:pPr>
      <w:r>
        <w:rPr>
          <w:rStyle w:val="HideTWBExt"/>
          <w:b w:val="0"/>
        </w:rPr>
        <w:t>&lt;TitreType&gt;</w:t>
      </w:r>
      <w:r>
        <w:t>NUOMONĖ</w:t>
      </w:r>
      <w:r>
        <w:rPr>
          <w:rStyle w:val="HideTWBExt"/>
          <w:b w:val="0"/>
        </w:rPr>
        <w:t>&lt;/TitreType&gt;</w:t>
      </w:r>
    </w:p>
    <w:p w:rsidR="00DB56E4" w:rsidRPr="00C83F57" w:rsidRDefault="0025755D" w:rsidP="00DB56E4">
      <w:pPr>
        <w:pStyle w:val="CoverNormal24a"/>
      </w:pPr>
      <w:r>
        <w:rPr>
          <w:rStyle w:val="HideTWBExt"/>
        </w:rPr>
        <w:t>&lt;CommissionResp&gt;</w:t>
      </w:r>
      <w:r>
        <w:t>Piliečių laisvių, teisingumo ir vidaus reikalų komiteto</w:t>
      </w:r>
      <w:r>
        <w:rPr>
          <w:rStyle w:val="HideTWBExt"/>
        </w:rPr>
        <w:t>&lt;/CommissionResp&gt;</w:t>
      </w:r>
    </w:p>
    <w:p w:rsidR="00DB56E4" w:rsidRPr="006471B1" w:rsidRDefault="0025755D" w:rsidP="00DB56E4">
      <w:pPr>
        <w:pStyle w:val="CoverNormal24a"/>
      </w:pPr>
      <w:r>
        <w:rPr>
          <w:rStyle w:val="HideTWBExt"/>
        </w:rPr>
        <w:t>&lt;CommissionInt&gt;</w:t>
      </w:r>
      <w:r>
        <w:t>pateikta Užimtumo ir socialinių reikalų komitetui ir Moterų teisių ir lyčių lygybės komitetui</w:t>
      </w:r>
      <w:r>
        <w:rPr>
          <w:rStyle w:val="HideTWBExt"/>
        </w:rPr>
        <w:t>&lt;/CommissionInt&gt;</w:t>
      </w:r>
    </w:p>
    <w:p w:rsidR="00DB56E4" w:rsidRPr="00C83F57" w:rsidRDefault="0025755D" w:rsidP="00DB56E4">
      <w:pPr>
        <w:pStyle w:val="CoverNormal"/>
      </w:pPr>
      <w:r>
        <w:rPr>
          <w:rStyle w:val="HideTWBExt"/>
        </w:rPr>
        <w:t>&lt;Titre&gt;</w:t>
      </w:r>
      <w:r>
        <w:t>dėl pasiūlymo dėl Europos Parlament</w:t>
      </w:r>
      <w:r>
        <w:t>o ir Tarybos direktyvos dėl lygybės įstaigoms taikomų standartų dėl vienodo požiūrio į moteris ir vyrus ir vienodų jų galimybių užimtumo ir profesinės veiklos srityje, kuria panaikinami Direktyvos 2006/54/EB 20 straipsnis ir Direktyvos 2010/41/ES 11 straip</w:t>
      </w:r>
      <w:r>
        <w:t>snis</w:t>
      </w:r>
      <w:r>
        <w:rPr>
          <w:rStyle w:val="HideTWBExt"/>
        </w:rPr>
        <w:t>&lt;/Titre&gt;</w:t>
      </w:r>
    </w:p>
    <w:p w:rsidR="00DB56E4" w:rsidRPr="00C83F57" w:rsidRDefault="0025755D" w:rsidP="00DB56E4">
      <w:pPr>
        <w:pStyle w:val="CoverNormal24a"/>
      </w:pPr>
      <w:r>
        <w:rPr>
          <w:rStyle w:val="HideTWBExt"/>
        </w:rPr>
        <w:t>&lt;DocRef&gt;</w:t>
      </w:r>
      <w:r>
        <w:t>(COM(2022)0688 – C9</w:t>
      </w:r>
      <w:r>
        <w:noBreakHyphen/>
        <w:t>0409/2022 – 2022/0400(COD))</w:t>
      </w:r>
      <w:r>
        <w:rPr>
          <w:rStyle w:val="HideTWBExt"/>
        </w:rPr>
        <w:t>&lt;/DocRef&gt;</w:t>
      </w:r>
    </w:p>
    <w:p w:rsidR="00DB56E4" w:rsidRPr="00C83F57" w:rsidRDefault="0025755D" w:rsidP="00DB56E4">
      <w:pPr>
        <w:pStyle w:val="CoverNormal24a"/>
      </w:pPr>
      <w:r>
        <w:t xml:space="preserve">Nuomonės referentė: </w:t>
      </w:r>
      <w:r>
        <w:rPr>
          <w:rStyle w:val="HideTWBExt"/>
        </w:rPr>
        <w:t>&lt;Depute&gt;</w:t>
      </w:r>
      <w:r>
        <w:t>Alice Kuhnke</w:t>
      </w:r>
      <w:r>
        <w:rPr>
          <w:rStyle w:val="HideTWBExt"/>
        </w:rPr>
        <w:t>&lt;/Depute&gt;</w:t>
      </w:r>
    </w:p>
    <w:p w:rsidR="00487596" w:rsidRPr="00C83F57" w:rsidRDefault="00487596" w:rsidP="00487596">
      <w:pPr>
        <w:pStyle w:val="CoverNormal"/>
      </w:pPr>
    </w:p>
    <w:p w:rsidR="00DB56E4" w:rsidRPr="00C83F57" w:rsidRDefault="0025755D" w:rsidP="0004474F">
      <w:pPr>
        <w:tabs>
          <w:tab w:val="center" w:pos="4677"/>
        </w:tabs>
      </w:pPr>
      <w:r>
        <w:br w:type="page"/>
      </w:r>
      <w:r>
        <w:lastRenderedPageBreak/>
        <w:t>PA_Legam</w:t>
      </w:r>
    </w:p>
    <w:p w:rsidR="00DB56E4" w:rsidRPr="00C83F57" w:rsidRDefault="0025755D" w:rsidP="007D7414">
      <w:pPr>
        <w:pStyle w:val="AmHeadingPA"/>
      </w:pPr>
      <w:r>
        <w:br w:type="page"/>
      </w:r>
      <w:r>
        <w:lastRenderedPageBreak/>
        <w:t>PAKEITIMAI</w:t>
      </w:r>
    </w:p>
    <w:p w:rsidR="00DB56E4" w:rsidRPr="00C83F57" w:rsidRDefault="0025755D" w:rsidP="001E3AC4">
      <w:pPr>
        <w:pStyle w:val="Normal12a"/>
      </w:pPr>
      <w:bookmarkStart w:id="1" w:name="IntroA"/>
      <w:r>
        <w:t>Piliečių laisvių, teisingumo ir vidaus reikalų komitetas ragina atsakingus Užimtumo ir socialinių reikalų</w:t>
      </w:r>
      <w:r>
        <w:t xml:space="preserve"> komitetą ir Moterų teisių ir lyčių lygybės komitetą atsižvelgti į šiuos pakeitimus:</w:t>
      </w:r>
    </w:p>
    <w:bookmarkEnd w:id="1"/>
    <w:p w:rsidR="00EB6090" w:rsidRPr="0065259B" w:rsidRDefault="00EB6090" w:rsidP="00EB6090"/>
    <w:p w:rsidR="00EB6090" w:rsidRPr="0065259B" w:rsidRDefault="0025755D" w:rsidP="00EB6090">
      <w:bookmarkStart w:id="2" w:name="PasteOldAMEnd"/>
      <w:bookmarkEnd w:id="2"/>
      <w:r>
        <w:rPr>
          <w:rStyle w:val="HideTWBExt"/>
        </w:rPr>
        <w:t>&lt;RepeatBlock-Amend&gt;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 xml:space="preserve">Komisijos siūlomas </w:t>
            </w:r>
            <w:r>
              <w:t>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t>Sutartyse ir Europos Sąjungos pagrindinių teisių chartijoje teisė į lygybę ir teisė į nediskriminavimą pripažįstamos esminėmis Sąjungos vertybėmis</w:t>
            </w:r>
            <w:r>
              <w:rPr>
                <w:b/>
                <w:i/>
                <w:vertAlign w:val="superscript"/>
              </w:rPr>
              <w:t>57</w:t>
            </w:r>
            <w:r>
              <w:rPr>
                <w:b/>
                <w:i/>
              </w:rPr>
              <w:t>, o</w:t>
            </w:r>
            <w:r>
              <w:t xml:space="preserve"> Sąjunga jau yra priėmusi kelias direktyvas, kuriomis draudžiama diskriminacija;</w:t>
            </w:r>
          </w:p>
        </w:tc>
        <w:tc>
          <w:tcPr>
            <w:tcW w:w="4876" w:type="dxa"/>
            <w:hideMark/>
          </w:tcPr>
          <w:p w:rsidR="00EB6090" w:rsidRPr="0065259B" w:rsidRDefault="0025755D" w:rsidP="008A459A">
            <w:pPr>
              <w:pStyle w:val="Normal6"/>
              <w:rPr>
                <w:szCs w:val="24"/>
              </w:rPr>
            </w:pPr>
            <w:r>
              <w:t>(1)</w:t>
            </w:r>
            <w:r>
              <w:tab/>
              <w:t>Sutartyse ir Europos Sąjungos pagrindinių teisių chartijoje teisė į lygybę ir teisė į nediskriminavimą pripažįstamos esminėmis Sąjungos vertybėmis</w:t>
            </w:r>
            <w:r>
              <w:rPr>
                <w:b/>
                <w:i/>
              </w:rPr>
              <w:t>[1];</w:t>
            </w:r>
            <w:r>
              <w:t xml:space="preserve"> Sąjunga jau yra priėmusi kelias direktyvas, kuriomis draudžiama diskriminacija</w:t>
            </w:r>
            <w:r>
              <w:rPr>
                <w:b/>
                <w:i/>
              </w:rPr>
              <w:t>, tačiau vis dar nėra p</w:t>
            </w:r>
            <w:r>
              <w:rPr>
                <w:b/>
                <w:i/>
              </w:rPr>
              <w:t>riėmusi horizontaliosios vienodo požiūrio direktyvos, nesusijusios su užimtumo ir profesinės veiklos sritimi, kuri apimtų visus diskriminacijos motyvus, dėl kurių taikoma apsauga</w:t>
            </w:r>
            <w:r>
              <w:t xml:space="preserve">; </w:t>
            </w:r>
          </w:p>
        </w:tc>
      </w:tr>
      <w:tr w:rsidR="00E471E0" w:rsidTr="008A459A">
        <w:trPr>
          <w:jc w:val="center"/>
        </w:trPr>
        <w:tc>
          <w:tcPr>
            <w:tcW w:w="4876" w:type="dxa"/>
            <w:hideMark/>
          </w:tcPr>
          <w:p w:rsidR="00EB6090" w:rsidRPr="0065259B" w:rsidRDefault="0025755D" w:rsidP="008A459A">
            <w:pPr>
              <w:pStyle w:val="Normal6"/>
            </w:pPr>
            <w:r>
              <w:t>__________________</w:t>
            </w:r>
          </w:p>
        </w:tc>
        <w:tc>
          <w:tcPr>
            <w:tcW w:w="4876" w:type="dxa"/>
            <w:hideMark/>
          </w:tcPr>
          <w:p w:rsidR="00EB6090" w:rsidRPr="0065259B" w:rsidRDefault="0025755D" w:rsidP="008A459A">
            <w:pPr>
              <w:pStyle w:val="Normal6"/>
              <w:rPr>
                <w:szCs w:val="24"/>
              </w:rPr>
            </w:pPr>
            <w:r>
              <w:t>__________________</w:t>
            </w:r>
          </w:p>
        </w:tc>
      </w:tr>
      <w:tr w:rsidR="00E471E0" w:rsidTr="008A459A">
        <w:trPr>
          <w:jc w:val="center"/>
        </w:trPr>
        <w:tc>
          <w:tcPr>
            <w:tcW w:w="4876" w:type="dxa"/>
            <w:hideMark/>
          </w:tcPr>
          <w:p w:rsidR="00EB6090" w:rsidRPr="0065259B" w:rsidRDefault="0025755D" w:rsidP="008A459A">
            <w:pPr>
              <w:pStyle w:val="Normal6"/>
            </w:pPr>
            <w:r>
              <w:rPr>
                <w:vertAlign w:val="superscript"/>
              </w:rPr>
              <w:t>57</w:t>
            </w:r>
            <w:r>
              <w:t xml:space="preserve"> Europos Sąjungos sutarties 2 ir </w:t>
            </w:r>
            <w:r>
              <w:t>3 straipsniuose, Sutarties dėl Europos Sąjungos veikimo (SESV) 8 ir 10 straipsniuose, taip pat Chartijos 21, 23 ir 26 straipsniuose.</w:t>
            </w:r>
          </w:p>
        </w:tc>
        <w:tc>
          <w:tcPr>
            <w:tcW w:w="4876" w:type="dxa"/>
            <w:hideMark/>
          </w:tcPr>
          <w:p w:rsidR="00EB6090" w:rsidRPr="0065259B" w:rsidRDefault="0025755D" w:rsidP="008A459A">
            <w:pPr>
              <w:pStyle w:val="Normal6"/>
              <w:rPr>
                <w:szCs w:val="24"/>
              </w:rPr>
            </w:pPr>
            <w:r>
              <w:rPr>
                <w:vertAlign w:val="superscript"/>
              </w:rPr>
              <w:t>57</w:t>
            </w:r>
            <w:r>
              <w:t xml:space="preserve"> Europos Sąjungos sutarties 2 ir 3 straipsniuose, Sutarties dėl Europos Sąjungos veikimo (SESV) 8 ir 10 straipsniuose, ta</w:t>
            </w:r>
            <w:r>
              <w:t>ip pat Chartijos 21, 23 ir 26 straipsniuose.</w:t>
            </w:r>
          </w:p>
        </w:tc>
      </w:tr>
    </w:tbl>
    <w:p w:rsidR="00EB6090" w:rsidRPr="0065259B" w:rsidRDefault="0025755D" w:rsidP="00EB6090">
      <w:r>
        <w:rPr>
          <w:rStyle w:val="HideTWBExt"/>
        </w:rPr>
        <w:t>&lt;/Amend&gt;</w:t>
      </w:r>
    </w:p>
    <w:p w:rsidR="00EB6090" w:rsidRPr="0065259B" w:rsidRDefault="0025755D" w:rsidP="00EB6090">
      <w:pPr>
        <w:pStyle w:val="AMNumberTabs0"/>
        <w:keepNext/>
      </w:pPr>
      <w:r>
        <w:rPr>
          <w:rStyle w:val="HideTWBExt"/>
          <w:b w:val="0"/>
          <w:lang w:val="en-GB"/>
        </w:rPr>
        <w:t>&lt;Amend&gt;</w:t>
      </w:r>
      <w:r>
        <w:t>Pakeitimas</w:t>
      </w:r>
      <w:r>
        <w:tab/>
      </w:r>
      <w:r>
        <w:tab/>
      </w:r>
      <w:r>
        <w:rPr>
          <w:rStyle w:val="HideTWBExt"/>
          <w:b w:val="0"/>
          <w:lang w:val="en-GB"/>
        </w:rPr>
        <w:t>&lt;NumAm&gt;</w:t>
      </w:r>
      <w:r>
        <w:t>2</w:t>
      </w:r>
      <w:r>
        <w:rPr>
          <w:rStyle w:val="HideTWBExt"/>
          <w:b w:val="0"/>
          <w:lang w:val="en-GB"/>
        </w:rPr>
        <w:t>&lt;/NumAm&gt;</w:t>
      </w:r>
    </w:p>
    <w:p w:rsidR="00EB6090" w:rsidRPr="0065259B" w:rsidRDefault="00EB6090" w:rsidP="00EB6090">
      <w:pPr>
        <w:pStyle w:val="NormalBold"/>
      </w:pPr>
    </w:p>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(1a)</w:t>
            </w:r>
            <w:r>
              <w:rPr>
                <w:b/>
                <w:i/>
              </w:rPr>
              <w:tab/>
              <w:t xml:space="preserve">Teisingumo </w:t>
            </w:r>
            <w:r>
              <w:rPr>
                <w:b/>
                <w:i/>
              </w:rPr>
              <w:t xml:space="preserve">Teismas yra nusprendęs, kad vienodo požiūrio į moteris ir vyrus principo taikymo sritis negali apsiriboti diskriminacijos dėl vienos ar kitos lyties draudimu. </w:t>
            </w:r>
            <w:r>
              <w:rPr>
                <w:b/>
                <w:i/>
              </w:rPr>
              <w:lastRenderedPageBreak/>
              <w:t xml:space="preserve">Atsižvelgiant į šio principo tikslą ir teisių, kurias siekiama juo apginti, pobūdį, jis taip pat </w:t>
            </w:r>
            <w:r>
              <w:rPr>
                <w:b/>
                <w:i/>
              </w:rPr>
              <w:t xml:space="preserve">taikomas diskriminacijai dėl lytinės tapatybės, lyties raiškos arba lyties požymių; </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(6)</w:t>
            </w:r>
            <w:r>
              <w:tab/>
              <w:t>direktyvose 2006/54/EB ir 2010/41/ES reikalaujama, kad valstybės narės paskirtų vieną ar kelias įstaigą (-as), kuri (-ios) skatintų, taip pat analizuotų, stebėtų ir remtų vienodą požiūrį į visus asmenis nediskriminuojant jų atitinkamose dir</w:t>
            </w:r>
            <w:r>
              <w:t>ektyvose nurodytu pagrindu (toliau – lygybės įstaigos). Jose iš valstybių narių reikalaujama užtikrinti, kad šios įstaigos, be kita ko, turėtų kompetenciją teikti nepriklausomą pagalbą aukoms, vykdyti nepriklausomus diskriminacijos tyrimus, skelbti neprikl</w:t>
            </w:r>
            <w:r>
              <w:t>ausomas ataskaitas ir teikti rekomendacijas visais su tokia diskriminacija susijusiais klausimais. Jose taip pat reikalaujama, kad valstybės narės užtikrintų, kad be visų šių įstaigų vykdomų užduočių, jos taip pat keistųsi informacija su atitinkamomis Euro</w:t>
            </w:r>
            <w:r>
              <w:t>pos įstaigomis, pavyzdžiui, Europos lyčių lygybės institutu;</w:t>
            </w:r>
          </w:p>
        </w:tc>
        <w:tc>
          <w:tcPr>
            <w:tcW w:w="4876" w:type="dxa"/>
            <w:hideMark/>
          </w:tcPr>
          <w:p w:rsidR="00EB6090" w:rsidRPr="0065259B" w:rsidRDefault="0025755D" w:rsidP="008A459A">
            <w:pPr>
              <w:pStyle w:val="Normal6"/>
              <w:rPr>
                <w:szCs w:val="24"/>
              </w:rPr>
            </w:pPr>
            <w:r>
              <w:t>(6)</w:t>
            </w:r>
            <w:r>
              <w:tab/>
              <w:t>direktyvose 2006/54/EB ir 2010/41/ES reikalaujama, kad valstybės narės paskirtų vieną ar kelias įstaigą (-as), kuri (-ios) skatintų, taip pat analizuotų, stebėtų ir remtų vienodą požiūrį į vi</w:t>
            </w:r>
            <w:r>
              <w:t>sus asmenis nediskriminuojant jų atitinkamose direktyvose nurodytu pagrindu (toliau – lygybės įstaigos). Jose iš valstybių narių reikalaujama užtikrinti, kad šios įstaigos, be kita ko, turėtų kompetenciją teikti nepriklausomą pagalbą aukoms, vykdyti neprik</w:t>
            </w:r>
            <w:r>
              <w:t>lausomus diskriminacijos tyrimus, skelbti nepriklausomas ataskaitas ir teikti rekomendacijas visais su tokia diskriminacija susijusiais klausimais. Jose taip pat reikalaujama, kad valstybės narės užtikrintų, kad be visų šių įstaigų vykdomų užduočių, jos ta</w:t>
            </w:r>
            <w:r>
              <w:t>ip pat keistųsi informacija su atitinkamomis Europos įstaigomis, pavyzdžiui, Europos lyčių lygybės institutu</w:t>
            </w:r>
            <w:r>
              <w:rPr>
                <w:b/>
                <w:i/>
              </w:rPr>
              <w:t xml:space="preserve"> ir Europos Sąjungos pagrindinių teisių agentūra (FRA)</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(9)</w:t>
            </w:r>
            <w:r>
              <w:tab/>
              <w:t xml:space="preserve">pagal direktyvas 2006/54/EB ir 2010/41/ES valstybėms narėms paliekama daug veiksmų laisvės sprendžiant dėl </w:t>
            </w:r>
            <w:r>
              <w:lastRenderedPageBreak/>
              <w:t>lygybės įstaigų struktūros ir veikimo. Todėl vals</w:t>
            </w:r>
            <w:r>
              <w:t>tybėse narėse įsteigtų lygybės įstaigų įgaliojimai, kompetencijos sritys, struktūra, ištekliai ir veikimo principai labai skiriasi. Tai reiškia, kad valstybėse narėse skiriasi ir apsauga nuo diskriminacijos;</w:t>
            </w:r>
          </w:p>
        </w:tc>
        <w:tc>
          <w:tcPr>
            <w:tcW w:w="4876" w:type="dxa"/>
            <w:hideMark/>
          </w:tcPr>
          <w:p w:rsidR="00EB6090" w:rsidRPr="0065259B" w:rsidRDefault="0025755D" w:rsidP="008A459A">
            <w:pPr>
              <w:pStyle w:val="Normal6"/>
              <w:rPr>
                <w:szCs w:val="24"/>
              </w:rPr>
            </w:pPr>
            <w:r>
              <w:lastRenderedPageBreak/>
              <w:t>(9)</w:t>
            </w:r>
            <w:r>
              <w:tab/>
              <w:t>pagal direktyvas 2006/54/EB ir 2010/41/ES va</w:t>
            </w:r>
            <w:r>
              <w:t xml:space="preserve">lstybėms narėms paliekama daug veiksmų laisvės sprendžiant dėl </w:t>
            </w:r>
            <w:r>
              <w:lastRenderedPageBreak/>
              <w:t>lygybės įstaigų struktūros ir veikimo. Todėl valstybėse narėse įsteigtų lygybės įstaigų įgaliojimai, kompetencijos sritys, struktūra, ištekliai ir veikimo principai labai skiriasi. Tai reiškia,</w:t>
            </w:r>
            <w:r>
              <w:t xml:space="preserve"> kad valstybėse narėse skiriasi ir apsauga nuo diskriminacijos</w:t>
            </w:r>
            <w:r>
              <w:rPr>
                <w:b/>
                <w:i/>
              </w:rPr>
              <w:t>, todėl diskriminacijos aukoms neužtikrinama vienoda apsauga visoje Sąjungoje ir netinkamai įgyvendinami Sąjungos teisės aktai dėl vienodo požiūrio. Siekdamos užtikrinti holistinę, veiksmingą ir</w:t>
            </w:r>
            <w:r>
              <w:rPr>
                <w:b/>
                <w:i/>
              </w:rPr>
              <w:t xml:space="preserve"> visapusišką apsaugą nuo diskriminacijos, valstybės narės turėtų populiarinti ir finansuoti lygybės įstaigas, kad būtų užtikrinama apsauga nuo diskriminacijos bet kokiu pagrindu pagal nebaigtinę Chartijos 21 straipsnio nuostatą</w:t>
            </w:r>
            <w:r>
              <w:t>;</w:t>
            </w:r>
            <w:r>
              <w:rPr>
                <w:b/>
                <w:i/>
              </w:rPr>
              <w:t xml:space="preserve"> </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(12)</w:t>
            </w:r>
            <w:r>
              <w:tab/>
              <w:t>ši direktyva turėtų būti taikoma lygybės įstaigų veiksmams srityse, kurioms taikomos dire</w:t>
            </w:r>
            <w:r>
              <w:t>ktyvos 2006/54/EB ir 2010/41/ES. Standartai turėtų būti susiję tik su lygybės įstaigų veikimu ir jais neturėtų būti išplėsta tų direktyvų materialinė ar subjektinė taikymo sritis;</w:t>
            </w:r>
          </w:p>
        </w:tc>
        <w:tc>
          <w:tcPr>
            <w:tcW w:w="4876" w:type="dxa"/>
            <w:hideMark/>
          </w:tcPr>
          <w:p w:rsidR="00EB6090" w:rsidRPr="0065259B" w:rsidRDefault="0025755D" w:rsidP="008A459A">
            <w:pPr>
              <w:pStyle w:val="Normal6"/>
              <w:rPr>
                <w:szCs w:val="24"/>
              </w:rPr>
            </w:pPr>
            <w:r>
              <w:t>(12)</w:t>
            </w:r>
            <w:r>
              <w:tab/>
              <w:t xml:space="preserve">ši direktyva turėtų būti taikoma lygybės įstaigų veiksmams srityse, </w:t>
            </w:r>
            <w:r>
              <w:t>kurioms taikomos direktyvos 2006/54/EB ir 2010/41/ES. Standartai turėtų būti susiję tik su lygybės įstaigų veikimu ir jais neturėtų būti išplėsta tų direktyvų materialinė ar subjektinė taikymo sritis</w:t>
            </w:r>
            <w:r>
              <w:rPr>
                <w:b/>
                <w:i/>
              </w:rPr>
              <w:t>. Kelete valstybių narių lygybės įstaigoms, vadovaujantis</w:t>
            </w:r>
            <w:r>
              <w:rPr>
                <w:b/>
                <w:i/>
              </w:rPr>
              <w:t xml:space="preserve"> gerąja praktika ir remiantis ESTT pateiktu plačiu sąvokos „lytis“, kaip diskriminacijos motyvo, paaiškinimu, taip pat suteikta kompetencija skatinti lygybę ir kovoti su diskriminacija dėl lytinės tapatybės, lyties raiškos ir lyties požymių</w:t>
            </w:r>
            <w:r>
              <w:rPr>
                <w:b/>
                <w:i/>
                <w:vertAlign w:val="superscript"/>
              </w:rPr>
              <w:t>13a</w:t>
            </w:r>
            <w:r>
              <w:rPr>
                <w:b/>
                <w:i/>
              </w:rPr>
              <w:t>. Tačiau taip</w:t>
            </w:r>
            <w:r>
              <w:rPr>
                <w:b/>
                <w:i/>
              </w:rPr>
              <w:t xml:space="preserve"> yra ne visose valstybėse narėse, todėl srityse, kurioms taikomos tos direktyvos, apsaugos nuo diskriminacijos lygis Sąjungoje skiriasi</w:t>
            </w:r>
            <w:r>
              <w:t>;</w:t>
            </w:r>
            <w:r>
              <w:rPr>
                <w:b/>
                <w:i/>
              </w:rPr>
              <w:t xml:space="preserve"> </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t>__________________</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vertAlign w:val="superscript"/>
              </w:rPr>
              <w:t>13a</w:t>
            </w:r>
            <w:r>
              <w:rPr>
                <w:b/>
                <w:i/>
              </w:rPr>
              <w:t xml:space="preserve"> 1994 m. balandžio 30 d. Teisingumo Teismo sprendimas byloje P prieš S, C-13/94, ECLI:EU:C:1</w:t>
            </w:r>
            <w:r>
              <w:rPr>
                <w:b/>
                <w:i/>
              </w:rPr>
              <w:t>996:170; 2004 m. sausio 7 d. Teisingumo Teismo sprendimas byloje K.B., C-117/01, ECLI:EU:C:2004:7; 2006 m. balandžio 27 d. Teisingumo Teismo sprendimas byloje Richards, C-423/04, ECLI:EU:C:2006:256; 2018 m. birželio 26 d. Teisingumo Teismo sprendimas byloj</w:t>
            </w:r>
            <w:r>
              <w:rPr>
                <w:b/>
                <w:i/>
              </w:rPr>
              <w:t>e M.B., C-451/16, ECLI:EU:C:2018:492.</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(14)</w:t>
            </w:r>
            <w:r>
              <w:tab/>
            </w:r>
            <w:r>
              <w:rPr>
                <w:b/>
                <w:i/>
              </w:rPr>
              <w:t>siūloma</w:t>
            </w:r>
            <w:r>
              <w:t xml:space="preserve"> direktyva</w:t>
            </w:r>
            <w:r>
              <w:rPr>
                <w:b/>
                <w:i/>
              </w:rPr>
              <w:t xml:space="preserve">, kuria siekiama </w:t>
            </w:r>
            <w:r>
              <w:rPr>
                <w:b/>
                <w:i/>
              </w:rPr>
              <w:t>sustiprinti vienodo užmokesčio abiejų lyčių darbuotojams už vienodą arba vienodos vertės darbą principo taikymą taikant darbo užmokesčio skaidrumo ir vykdymo užtikrinimo mechanizmus</w:t>
            </w:r>
            <w:r>
              <w:rPr>
                <w:b/>
                <w:i/>
                <w:vertAlign w:val="superscript"/>
              </w:rPr>
              <w:t>69</w:t>
            </w:r>
            <w:r>
              <w:rPr>
                <w:b/>
                <w:i/>
              </w:rPr>
              <w:t>,</w:t>
            </w:r>
            <w:r>
              <w:t xml:space="preserve"> turėtų būti laikoma Direktyvos 2006/54/EB vykdymo užtikrinimo nuostatų,</w:t>
            </w:r>
            <w:r>
              <w:t xml:space="preserve"> kurios bus pakeistos šia direktyva, </w:t>
            </w:r>
            <w:r>
              <w:rPr>
                <w:i/>
                <w:iCs/>
              </w:rPr>
              <w:t>lex specialis</w:t>
            </w:r>
            <w:r>
              <w:t xml:space="preserve">. Bet kokie griežtesni, palyginti su šioje direktyvoje </w:t>
            </w:r>
            <w:r>
              <w:rPr>
                <w:b/>
                <w:i/>
              </w:rPr>
              <w:t>nustatytus</w:t>
            </w:r>
            <w:r>
              <w:t>, būtiniausi standartai, nustatyti</w:t>
            </w:r>
            <w:r>
              <w:rPr>
                <w:b/>
                <w:i/>
              </w:rPr>
              <w:t xml:space="preserve"> būsima</w:t>
            </w:r>
            <w:r>
              <w:t xml:space="preserve"> direktyva dėl darbo užmokesčio skaidrumo, taikomi lygybės įstaigoms klausimais, susijusiais su vien</w:t>
            </w:r>
            <w:r>
              <w:t>odu darbo užmokesčiu už tą patį darbą arba vienodos vertės darbą, įskaitant darbo užmokesčio skaidrumą, turėtų būti viršesni už šioje direktyvoje nustatytuosius;</w:t>
            </w:r>
          </w:p>
        </w:tc>
        <w:tc>
          <w:tcPr>
            <w:tcW w:w="4876" w:type="dxa"/>
            <w:hideMark/>
          </w:tcPr>
          <w:p w:rsidR="00EB6090" w:rsidRPr="0065259B" w:rsidRDefault="0025755D" w:rsidP="008A459A">
            <w:pPr>
              <w:pStyle w:val="Normal6"/>
              <w:rPr>
                <w:szCs w:val="24"/>
              </w:rPr>
            </w:pPr>
            <w:r>
              <w:t>(14)</w:t>
            </w:r>
            <w:r>
              <w:tab/>
              <w:t>Direktyva</w:t>
            </w:r>
            <w:r>
              <w:rPr>
                <w:b/>
                <w:i/>
              </w:rPr>
              <w:t xml:space="preserve"> (ES) 2023/970</w:t>
            </w:r>
            <w:r>
              <w:rPr>
                <w:b/>
                <w:i/>
                <w:vertAlign w:val="superscript"/>
              </w:rPr>
              <w:t>14a</w:t>
            </w:r>
            <w:r>
              <w:t xml:space="preserve"> turėtų būti laikoma Direktyvos 2006/54/EB vykdymo užtikrinimo </w:t>
            </w:r>
            <w:r>
              <w:t xml:space="preserve">nuostatų, kurios bus pakeistos šia direktyva, </w:t>
            </w:r>
            <w:r>
              <w:rPr>
                <w:i/>
                <w:iCs/>
              </w:rPr>
              <w:t>lex specialis</w:t>
            </w:r>
            <w:r>
              <w:t xml:space="preserve">. Bet kokie griežtesni, palyginti su šioje direktyvoje </w:t>
            </w:r>
            <w:r>
              <w:rPr>
                <w:b/>
                <w:i/>
              </w:rPr>
              <w:t>nustatytais</w:t>
            </w:r>
            <w:r>
              <w:t>, būtiniausi standartai, nustatyti direktyva dėl darbo užmokesčio skaidrumo, taikomi lygybės įstaigoms klausimais, susijusiais su v</w:t>
            </w:r>
            <w:r>
              <w:t>ienodu darbo užmokesčiu už tą patį darbą arba vienodos vertės darbą, įskaitant darbo užmokesčio skaidrumą, turėtų būti viršesni už šioje direktyvoje nustatytuosius;</w:t>
            </w:r>
          </w:p>
        </w:tc>
      </w:tr>
      <w:tr w:rsidR="00E471E0" w:rsidTr="008A459A">
        <w:trPr>
          <w:jc w:val="center"/>
        </w:trPr>
        <w:tc>
          <w:tcPr>
            <w:tcW w:w="4876" w:type="dxa"/>
            <w:hideMark/>
          </w:tcPr>
          <w:p w:rsidR="00EB6090" w:rsidRPr="0065259B" w:rsidRDefault="0025755D" w:rsidP="008A459A">
            <w:pPr>
              <w:pStyle w:val="Normal6"/>
            </w:pPr>
            <w:r>
              <w:t>__________________</w:t>
            </w:r>
          </w:p>
        </w:tc>
        <w:tc>
          <w:tcPr>
            <w:tcW w:w="4876" w:type="dxa"/>
            <w:hideMark/>
          </w:tcPr>
          <w:p w:rsidR="00EB6090" w:rsidRPr="0065259B" w:rsidRDefault="0025755D" w:rsidP="008A459A">
            <w:pPr>
              <w:pStyle w:val="Normal6"/>
              <w:rPr>
                <w:szCs w:val="24"/>
              </w:rPr>
            </w:pPr>
            <w:r>
              <w:t>__________________</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vertAlign w:val="superscript"/>
              </w:rPr>
              <w:t>14a</w:t>
            </w:r>
            <w:r>
              <w:rPr>
                <w:b/>
                <w:i/>
              </w:rPr>
              <w:t xml:space="preserve"> 2023 m. gegužės 10 d. Europos Parlamento ir Tarybos direktyva (ES) 2023/970, kuria, nustatant darbo užmokesčio skaidrumo ir vykdymo užtikrinimo mechanizmus, griežčiau taikomas vienodo vyrų ir moterų darbo užmokesčio už vienodą arba vienodos </w:t>
            </w:r>
            <w:r>
              <w:rPr>
                <w:b/>
                <w:i/>
              </w:rPr>
              <w:lastRenderedPageBreak/>
              <w:t>vertės darbą p</w:t>
            </w:r>
            <w:r>
              <w:rPr>
                <w:b/>
                <w:i/>
              </w:rPr>
              <w:t>rincipas (OL L 132, 2023 5 17, p. 21).</w:t>
            </w:r>
          </w:p>
        </w:tc>
      </w:tr>
      <w:tr w:rsidR="00E471E0" w:rsidTr="008A459A">
        <w:trPr>
          <w:jc w:val="center"/>
        </w:trPr>
        <w:tc>
          <w:tcPr>
            <w:tcW w:w="4876" w:type="dxa"/>
            <w:hideMark/>
          </w:tcPr>
          <w:p w:rsidR="00EB6090" w:rsidRPr="0065259B" w:rsidRDefault="0025755D" w:rsidP="008A459A">
            <w:pPr>
              <w:pStyle w:val="Normal6"/>
            </w:pPr>
            <w:r>
              <w:rPr>
                <w:b/>
                <w:i/>
              </w:rPr>
              <w:lastRenderedPageBreak/>
              <w:t>69</w:t>
            </w:r>
            <w:r>
              <w:rPr>
                <w:b/>
                <w:i/>
              </w:rPr>
              <w:t xml:space="preserve"> Pasiūlymas dėl Europos Parlamento ir Tarybos direktyvos, kuria siekiant griežtesnio vienodo vyrų ir moterų darbo užmokesčio už vienodą arba vienodos vertės darbą principo taikymo nustatomi minimalieji darbo užmokesčio skaidrumo reikalavimai (COM/2021/93 f</w:t>
            </w:r>
            <w:r>
              <w:rPr>
                <w:b/>
                <w:i/>
              </w:rPr>
              <w:t>inal).</w:t>
            </w:r>
          </w:p>
        </w:tc>
        <w:tc>
          <w:tcPr>
            <w:tcW w:w="4876" w:type="dxa"/>
          </w:tcPr>
          <w:p w:rsidR="00EB6090" w:rsidRPr="0065259B" w:rsidRDefault="00EB6090" w:rsidP="008A459A">
            <w:pPr>
              <w:pStyle w:val="Normal6"/>
              <w:rPr>
                <w:szCs w:val="24"/>
                <w:lang w:val="en-GB"/>
              </w:rPr>
            </w:pP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(15)</w:t>
            </w:r>
            <w:r>
              <w:tab/>
              <w:t xml:space="preserve">skatindamos vienodą požiūrį, vykdydamos diskriminacijos </w:t>
            </w:r>
            <w:r>
              <w:t>prevenciją ir padėdamos diskriminacijos aukoms, lygybės įstaigos turėtų skirti ypatingą dėmesį diskriminacijai keliais pagrindais, dėl kurių taikoma apsauga pagal direktyvas 79/7/EEB, 2000/43/EB, 2000/78/EB, 2004/113/EB, 2006/54/EB ir 2010/41/ES;</w:t>
            </w:r>
          </w:p>
        </w:tc>
        <w:tc>
          <w:tcPr>
            <w:tcW w:w="4876" w:type="dxa"/>
            <w:hideMark/>
          </w:tcPr>
          <w:p w:rsidR="00EB6090" w:rsidRPr="0065259B" w:rsidRDefault="0025755D" w:rsidP="008A459A">
            <w:pPr>
              <w:pStyle w:val="Normal6"/>
              <w:rPr>
                <w:szCs w:val="24"/>
              </w:rPr>
            </w:pPr>
            <w:r>
              <w:t>(15)</w:t>
            </w:r>
            <w:r>
              <w:tab/>
              <w:t>skat</w:t>
            </w:r>
            <w:r>
              <w:t xml:space="preserve">indamos vienodą požiūrį, vykdydamos diskriminacijos prevenciją ir padėdamos diskriminacijos aukoms, lygybės įstaigos turėtų skirti ypatingą dėmesį </w:t>
            </w:r>
            <w:r>
              <w:rPr>
                <w:b/>
                <w:i/>
              </w:rPr>
              <w:t xml:space="preserve">daugialypei ir sąveikinei </w:t>
            </w:r>
            <w:r>
              <w:t>diskriminacijai keliais pagrindais, dėl kurių taikoma apsauga pagal direktyvas 79/7</w:t>
            </w:r>
            <w:r>
              <w:t>/EEB, 2000/43/EB, 2000/78/EB, 2004/113/EB, 2006/54/EB ir 2010/41/ES</w:t>
            </w:r>
            <w:r>
              <w:rPr>
                <w:b/>
                <w:i/>
              </w:rPr>
              <w:t>, taip pat Chartijoje nurodytų motyvų pagrindu, pripažįstant, kad žmonės dažnai diskriminuojami daugiau nei vienu pagrindu ir tai lemia specifinius sunkumus.</w:t>
            </w:r>
            <w:r>
              <w:t xml:space="preserve"> </w:t>
            </w:r>
            <w:r>
              <w:rPr>
                <w:b/>
                <w:i/>
              </w:rPr>
              <w:t>Siekiant suprasti socialinę nel</w:t>
            </w:r>
            <w:r>
              <w:rPr>
                <w:b/>
                <w:i/>
              </w:rPr>
              <w:t>ygybę, atskirtį ir diskriminaciją laikantis visapusiško, sisteminio ir struktūrinio požiūrio, kartu atsisakant vienkrypčio požiūrio į diskriminaciją, dėl kurio sumenkinami instituciniai ir istoriniai aspektai, itin svarbu laikytis sąveikinio požiūrio. Lygy</w:t>
            </w:r>
            <w:r>
              <w:rPr>
                <w:b/>
                <w:i/>
              </w:rPr>
              <w:t>bės įstaigos turėtų aiškiai ir tinkamai sutelkti dėmesį į kiekvieną teisės aktuose nurodytą diskriminacijos motyvą ir jų sąveiką. Įgyvendinant šią direktyvą turėtų būti atsižvelgiama į Direktyvos (ES) 2023/970 nuostatas, susijusias su sąveikine diskriminac</w:t>
            </w:r>
            <w:r>
              <w:rPr>
                <w:b/>
                <w:i/>
              </w:rPr>
              <w:t>ija</w:t>
            </w:r>
            <w:r>
              <w:t>;</w:t>
            </w:r>
            <w:r>
              <w:rPr>
                <w:b/>
                <w:i/>
              </w:rPr>
              <w:t xml:space="preserve"> </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lastRenderedPageBreak/>
        <w:t>&lt;Amend&gt;</w:t>
      </w:r>
      <w:r>
        <w:t>Pakeitimas</w:t>
      </w:r>
      <w:r>
        <w:tab/>
      </w:r>
      <w:r>
        <w:tab/>
      </w:r>
      <w:r>
        <w:rPr>
          <w:rStyle w:val="HideTWBExt"/>
          <w:b w:val="0"/>
        </w:rPr>
        <w:t>&lt;NumAm&gt;</w:t>
      </w:r>
      <w:r>
        <w:t>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(16)</w:t>
            </w:r>
            <w:r>
              <w:tab/>
              <w:t xml:space="preserve">lygybės įstaigos gali veiksmingai atlikti savo vaidmenį tik jei </w:t>
            </w:r>
            <w:r>
              <w:t xml:space="preserve">turi galimybių veikti visiškai nepriklausomai, nepatirdamos jokios išorinės įtakos. Tuo tikslu valstybės narės turėtų atsižvelgti į tam tikrus kriterijus, kurie </w:t>
            </w:r>
            <w:r>
              <w:rPr>
                <w:b/>
                <w:i/>
              </w:rPr>
              <w:t>padeda užtikrinti</w:t>
            </w:r>
            <w:r>
              <w:t xml:space="preserve"> lygybės įstaigų nepriklausomumą. Lygybės įstaigos neturėtų būti įsteigtos kai</w:t>
            </w:r>
            <w:r>
              <w:t xml:space="preserve">p ministerijos ar vyriausybei tiesiogiai pavaldžios įstaigos dalis. Visi darbuotojai ar vadovų pareigas einantys asmenys – pvz., lygybės </w:t>
            </w:r>
            <w:r>
              <w:rPr>
                <w:b/>
                <w:i/>
              </w:rPr>
              <w:t>įstaigai</w:t>
            </w:r>
            <w:r>
              <w:t xml:space="preserve"> vadovaujančios valdybos nariai, lygybės </w:t>
            </w:r>
            <w:r>
              <w:rPr>
                <w:b/>
                <w:i/>
              </w:rPr>
              <w:t>įstaigos</w:t>
            </w:r>
            <w:r>
              <w:t xml:space="preserve"> vadovai, jų pavaduotojai ar laikinai einantys</w:t>
            </w:r>
            <w:r>
              <w:rPr>
                <w:b/>
                <w:i/>
              </w:rPr>
              <w:t xml:space="preserve"> pareigas</w:t>
            </w:r>
            <w:r>
              <w:t xml:space="preserve"> asmeny</w:t>
            </w:r>
            <w:r>
              <w:t xml:space="preserve">s – turėtų būti </w:t>
            </w:r>
            <w:r>
              <w:rPr>
                <w:b/>
                <w:i/>
              </w:rPr>
              <w:t>nepriklausomi, pareigas atitinkančios kvalifikacijos</w:t>
            </w:r>
            <w:r>
              <w:t xml:space="preserve"> ir </w:t>
            </w:r>
            <w:r>
              <w:rPr>
                <w:b/>
                <w:i/>
              </w:rPr>
              <w:t>atrenkami vykdant skaidrų procesą</w:t>
            </w:r>
            <w:r>
              <w:t xml:space="preserve">. Lygybės įstaigos turėtų turėti galimybę pačios valdyti savo biudžetą ir išteklius, be kita ko, </w:t>
            </w:r>
            <w:r>
              <w:rPr>
                <w:b/>
                <w:i/>
              </w:rPr>
              <w:t>vykdyti</w:t>
            </w:r>
            <w:r>
              <w:t xml:space="preserve"> darbuotojų atranką ir jiems </w:t>
            </w:r>
            <w:r>
              <w:rPr>
                <w:b/>
                <w:i/>
              </w:rPr>
              <w:t>vadovauti</w:t>
            </w:r>
            <w:r>
              <w:t>, taip pa</w:t>
            </w:r>
            <w:r>
              <w:t>t turėtų galėti pačios nustatyti savo prioritetus;</w:t>
            </w:r>
          </w:p>
        </w:tc>
        <w:tc>
          <w:tcPr>
            <w:tcW w:w="4876" w:type="dxa"/>
            <w:hideMark/>
          </w:tcPr>
          <w:p w:rsidR="00EB6090" w:rsidRPr="0065259B" w:rsidRDefault="0025755D" w:rsidP="008A459A">
            <w:pPr>
              <w:pStyle w:val="Normal6"/>
              <w:rPr>
                <w:szCs w:val="24"/>
              </w:rPr>
            </w:pPr>
            <w:r>
              <w:t>(16)</w:t>
            </w:r>
            <w:r>
              <w:tab/>
              <w:t xml:space="preserve">lygybės įstaigos gali veiksmingai atlikti savo vaidmenį tik jei turi galimybių </w:t>
            </w:r>
            <w:r>
              <w:rPr>
                <w:b/>
                <w:i/>
              </w:rPr>
              <w:t xml:space="preserve">priimti sprendimus ir </w:t>
            </w:r>
            <w:r>
              <w:t>veikti visiškai nepriklausomai, nepatirdamos jokios išorinės įtakos</w:t>
            </w:r>
            <w:r>
              <w:rPr>
                <w:b/>
                <w:i/>
              </w:rPr>
              <w:t>, ypač politinės</w:t>
            </w:r>
            <w:r>
              <w:t>. Tuo tikslu val</w:t>
            </w:r>
            <w:r>
              <w:t xml:space="preserve">stybės narės turėtų atsižvelgti į tam tikrus kriterijus, kurie </w:t>
            </w:r>
            <w:r>
              <w:rPr>
                <w:b/>
                <w:i/>
              </w:rPr>
              <w:t>užtikrina</w:t>
            </w:r>
            <w:r>
              <w:t xml:space="preserve"> lygybės įstaigų nepriklausomumą. Lygybės įstaigos neturėtų būti įsteigtos kaip ministerijos ar vyriausybei tiesiogiai pavaldžios įstaigos dalis. Visi darbuotojai ar vadovų pareigas ei</w:t>
            </w:r>
            <w:r>
              <w:t xml:space="preserve">nantys asmenys – pvz., lygybės </w:t>
            </w:r>
            <w:r>
              <w:rPr>
                <w:b/>
                <w:i/>
              </w:rPr>
              <w:t>įstaigoms</w:t>
            </w:r>
            <w:r>
              <w:t xml:space="preserve"> vadovaujančios valdybos nariai, lygybės </w:t>
            </w:r>
            <w:r>
              <w:rPr>
                <w:b/>
                <w:i/>
              </w:rPr>
              <w:t>įstaigų</w:t>
            </w:r>
            <w:r>
              <w:t xml:space="preserve"> vadovai, jų pavaduotojai ar laikinai </w:t>
            </w:r>
            <w:r>
              <w:rPr>
                <w:b/>
                <w:i/>
              </w:rPr>
              <w:t xml:space="preserve">vadovo pareigas </w:t>
            </w:r>
            <w:r>
              <w:t xml:space="preserve">einantys asmenys – turėtų būti </w:t>
            </w:r>
            <w:r>
              <w:rPr>
                <w:b/>
                <w:i/>
              </w:rPr>
              <w:t>atrenkami taikant nuopelnais grindžiamas</w:t>
            </w:r>
            <w:r>
              <w:t xml:space="preserve"> ir </w:t>
            </w:r>
            <w:r>
              <w:rPr>
                <w:b/>
                <w:i/>
              </w:rPr>
              <w:t>skaidrias viešųjų konkursų procedūras</w:t>
            </w:r>
            <w:r>
              <w:t xml:space="preserve">. </w:t>
            </w:r>
            <w:r>
              <w:t xml:space="preserve">Lygybės įstaigos turėtų turėti galimybę pačios </w:t>
            </w:r>
            <w:r>
              <w:rPr>
                <w:b/>
                <w:i/>
              </w:rPr>
              <w:t xml:space="preserve">priimti sprendimus dėl savo vidaus struktūros ir dėl to, kaip </w:t>
            </w:r>
            <w:r>
              <w:t xml:space="preserve">valdyti savo biudžetą ir išteklius, be kita ko, </w:t>
            </w:r>
            <w:r>
              <w:rPr>
                <w:b/>
                <w:i/>
              </w:rPr>
              <w:t>vykdant</w:t>
            </w:r>
            <w:r>
              <w:t xml:space="preserve"> darbuotojų atranką ir jiems </w:t>
            </w:r>
            <w:r>
              <w:rPr>
                <w:b/>
                <w:i/>
              </w:rPr>
              <w:t>vadovaujant</w:t>
            </w:r>
            <w:r>
              <w:t>, taip pat turėtų galėti pačios nustatyti savo prior</w:t>
            </w:r>
            <w:r>
              <w:t>itetus</w:t>
            </w:r>
            <w:r>
              <w:rPr>
                <w:b/>
                <w:i/>
              </w:rPr>
              <w:t>, atsižvelgdamos į Sąjungos prioritetus dėl lyčių lygybės</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(17)</w:t>
            </w:r>
            <w:r>
              <w:tab/>
            </w:r>
            <w:r>
              <w:t xml:space="preserve">siekdamos užtikrinti, kad </w:t>
            </w:r>
            <w:r>
              <w:rPr>
                <w:b/>
                <w:i/>
              </w:rPr>
              <w:t xml:space="preserve">lygybės įstaigos </w:t>
            </w:r>
            <w:r>
              <w:t xml:space="preserve">galėtų veikti visose savo kompetencijos srityse ir vykdyti visas savo užduotis, </w:t>
            </w:r>
            <w:r>
              <w:rPr>
                <w:b/>
                <w:i/>
              </w:rPr>
              <w:t>valstybės narės</w:t>
            </w:r>
            <w:r>
              <w:t xml:space="preserve"> turėtų </w:t>
            </w:r>
            <w:r>
              <w:rPr>
                <w:b/>
                <w:i/>
              </w:rPr>
              <w:t>užtikrinti, kad dėl lygybės įstaigų vidinės struktūros būtų įmanoma</w:t>
            </w:r>
            <w:r>
              <w:t xml:space="preserve"> įvairiose </w:t>
            </w:r>
            <w:r>
              <w:rPr>
                <w:b/>
                <w:i/>
              </w:rPr>
              <w:t>jų</w:t>
            </w:r>
            <w:r>
              <w:t xml:space="preserve"> kompetencijos srityse</w:t>
            </w:r>
            <w:r>
              <w:rPr>
                <w:b/>
                <w:i/>
              </w:rPr>
              <w:t xml:space="preserve"> veikti </w:t>
            </w:r>
            <w:r>
              <w:rPr>
                <w:b/>
                <w:i/>
              </w:rPr>
              <w:t>nepriklausomai</w:t>
            </w:r>
            <w:r>
              <w:t xml:space="preserve">. Ypatingą </w:t>
            </w:r>
            <w:r>
              <w:lastRenderedPageBreak/>
              <w:t>dėmesį reikėtų skirti situacijoms, kuriose reikalaujama, kad įstaigos būtų nešališkos ir kartu teiktų pagalbą aukoms. Tai ypač aktualu, jeigu lygybės įstaiga turi įgaliojimų priimti privalomus sprendimus, kuriems būtinas nešališkum</w:t>
            </w:r>
            <w:r>
              <w:t>as, arba yra įvairių įgaliojimų turinčios įstaigos dalis, jeigu jos kitam įgaliojimui vykdyti būtinas nešališkumas. Vidinė struktūra, kurioje atitinkamos kompetencijos sritys ir užduotys būtų griežtai atskirtos, turėtų užtikrinti, kad lygybės įstaiga galėt</w:t>
            </w:r>
            <w:r>
              <w:t>ų veiksmingai jas vykdyti;</w:t>
            </w:r>
          </w:p>
        </w:tc>
        <w:tc>
          <w:tcPr>
            <w:tcW w:w="4876" w:type="dxa"/>
            <w:hideMark/>
          </w:tcPr>
          <w:p w:rsidR="00EB6090" w:rsidRPr="0065259B" w:rsidRDefault="0025755D" w:rsidP="008A459A">
            <w:pPr>
              <w:pStyle w:val="Normal6"/>
              <w:rPr>
                <w:szCs w:val="24"/>
              </w:rPr>
            </w:pPr>
            <w:r>
              <w:lastRenderedPageBreak/>
              <w:t>(17)</w:t>
            </w:r>
            <w:r>
              <w:tab/>
              <w:t xml:space="preserve">siekdamos užtikrinti, kad galėtų veikti visose savo kompetencijos srityse ir vykdyti visas savo užduotis, </w:t>
            </w:r>
            <w:r>
              <w:rPr>
                <w:b/>
                <w:i/>
              </w:rPr>
              <w:t>lygybės įstaigos</w:t>
            </w:r>
            <w:r>
              <w:t xml:space="preserve"> turėtų </w:t>
            </w:r>
            <w:r>
              <w:rPr>
                <w:b/>
                <w:i/>
              </w:rPr>
              <w:t>turėti galimybę nustatyti tokią savo vidinę struktūrą, kad galėtų nepriklausomai veikti</w:t>
            </w:r>
            <w:r>
              <w:t xml:space="preserve"> įvairi</w:t>
            </w:r>
            <w:r>
              <w:t xml:space="preserve">ose </w:t>
            </w:r>
            <w:r>
              <w:rPr>
                <w:b/>
                <w:i/>
              </w:rPr>
              <w:t>savo</w:t>
            </w:r>
            <w:r>
              <w:t xml:space="preserve"> kompetencijos srityse</w:t>
            </w:r>
            <w:r>
              <w:rPr>
                <w:b/>
                <w:i/>
              </w:rPr>
              <w:t xml:space="preserve">, įskaitant sprendimų </w:t>
            </w:r>
            <w:r>
              <w:rPr>
                <w:b/>
                <w:i/>
              </w:rPr>
              <w:lastRenderedPageBreak/>
              <w:t>priėmimo kompetenciją, ir, be kita ko, visapusiškai naudotis plačiau taikomomis skatinimo, prevencijos, paramos ir bylinėjimosi kompetencijomis</w:t>
            </w:r>
            <w:r>
              <w:t xml:space="preserve">. Ypatingą dėmesį reikėtų skirti situacijoms, kuriose </w:t>
            </w:r>
            <w:r>
              <w:t xml:space="preserve">reikalaujama, kad įstaigos būtų nešališkos ir kartu teiktų pagalbą aukoms. Tai ypač aktualu, jeigu lygybės įstaiga turi įgaliojimų priimti privalomus sprendimus, kuriems būtinas nešališkumas, arba yra įvairių įgaliojimų turinčios įstaigos dalis, jeigu jos </w:t>
            </w:r>
            <w:r>
              <w:t>kitam įgaliojimui vykdyti būtinas nešališkumas. Vidinė struktūra, kurioje atitinkamos kompetencijos sritys ir užduotys būtų griežtai atskirtos, turėtų užtikrinti, kad lygybės įstaiga galėtų veiksmingai jas vykdyti;</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10</w:t>
      </w:r>
      <w:r>
        <w:rPr>
          <w:rStyle w:val="HideTWBExt"/>
          <w:b w:val="0"/>
        </w:rPr>
        <w:t>&lt;/N</w:t>
      </w:r>
      <w:r>
        <w:rPr>
          <w:rStyle w:val="HideTWBExt"/>
          <w:b w:val="0"/>
        </w:rPr>
        <w:t>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(18)</w:t>
            </w:r>
            <w:r>
              <w:tab/>
              <w:t xml:space="preserve">reikiamų išteklių trūkumas – viena pagrindinių problemų, trukdančių lygybės įstaigoms deramai atlikti užduotis. </w:t>
            </w:r>
            <w:r>
              <w:t>Todėl valstybės narės turėtų užtikrinti, kad lygybės įstaigos gautų pakankamai lėšų, galėtų samdyti kvalifikuotus darbuotojus ir turėtų tinkamas patalpas bei infrastruktūrą, todėl galėtų kiekvieną užduotį atlikti veiksmingai, per pagrįstą laiką ir laikydam</w:t>
            </w:r>
            <w:r>
              <w:t>osi nacionalinės teisės aktais nustatytų terminų. Jų biudžeto asignavimai turėtų būti stabilūs, nebent padaugėtų daugiamečiuose planuose nustatomų kompetencijos sričių, ir jų turėtų pakakti padengti išlaidoms, kurias gali būti sunku numatyti, pvz., su byli</w:t>
            </w:r>
            <w:r>
              <w:t>nėjimusi susijusioms išlaidoms. Siekiant užtikrinti, kad lygybės įstaigoms būtų parūpinama pakankamai išteklių, jų biudžetas</w:t>
            </w:r>
            <w:r>
              <w:rPr>
                <w:b/>
                <w:i/>
              </w:rPr>
              <w:t>, pvz.,</w:t>
            </w:r>
            <w:r>
              <w:t xml:space="preserve"> neturėtų būti mažinamas</w:t>
            </w:r>
            <w:r>
              <w:rPr>
                <w:b/>
                <w:i/>
              </w:rPr>
              <w:t xml:space="preserve"> gerokai labiau, nei vidutiniškai mažinamas kitų viešojo sektoriaus subjektų biudžetas</w:t>
            </w:r>
            <w:r>
              <w:t>,</w:t>
            </w:r>
            <w:r>
              <w:rPr>
                <w:b/>
                <w:i/>
              </w:rPr>
              <w:t xml:space="preserve"> </w:t>
            </w:r>
            <w:r>
              <w:t xml:space="preserve">o jų metinis </w:t>
            </w:r>
            <w:r>
              <w:lastRenderedPageBreak/>
              <w:t>finansavimo augimas turėtų bent atitikti vidutinį kitų subjektų finansavimo augimą. Išplėtus lygybės įstaigų užduotis ir įgaliojimus, reikėtų proporcingai skirti daugiau išteklių;</w:t>
            </w:r>
          </w:p>
        </w:tc>
        <w:tc>
          <w:tcPr>
            <w:tcW w:w="4876" w:type="dxa"/>
            <w:hideMark/>
          </w:tcPr>
          <w:p w:rsidR="00EB6090" w:rsidRPr="0065259B" w:rsidRDefault="0025755D" w:rsidP="008A459A">
            <w:pPr>
              <w:pStyle w:val="Normal6"/>
              <w:rPr>
                <w:szCs w:val="24"/>
              </w:rPr>
            </w:pPr>
            <w:r>
              <w:lastRenderedPageBreak/>
              <w:t>(18)</w:t>
            </w:r>
            <w:r>
              <w:tab/>
              <w:t xml:space="preserve">reikiamų </w:t>
            </w:r>
            <w:r>
              <w:rPr>
                <w:b/>
                <w:i/>
              </w:rPr>
              <w:t xml:space="preserve">finansinių ir žmogiškųjų </w:t>
            </w:r>
            <w:r>
              <w:t>išteklių trūkumas – viena pagrindinių</w:t>
            </w:r>
            <w:r>
              <w:t xml:space="preserve"> problemų, trukdančių lygybės įstaigoms deramai atlikti užduotis. Todėl valstybės narės turėtų užtikrinti, kad lygybės įstaigos gautų pakankamai lėšų</w:t>
            </w:r>
            <w:r>
              <w:rPr>
                <w:b/>
                <w:i/>
              </w:rPr>
              <w:t xml:space="preserve"> savo užduotims atlikti</w:t>
            </w:r>
            <w:r>
              <w:t>, galėtų samdyti kvalifikuotus darbuotojus ir turėtų tinkamas patalpas bei infrastru</w:t>
            </w:r>
            <w:r>
              <w:t>ktūrą, todėl galėtų kiekvieną užduotį atlikti veiksmingai, per pagrįstą laiką ir laikydamosi nacionalinės teisės aktais nustatytų terminų. Jų biudžeto asignavimai turėtų būti stabilūs, nebent padaugėtų daugiamečiuose planuose nustatomų kompetencijos sričių</w:t>
            </w:r>
            <w:r>
              <w:rPr>
                <w:b/>
                <w:i/>
              </w:rPr>
              <w:t xml:space="preserve"> ar darbuotojų</w:t>
            </w:r>
            <w:r>
              <w:t xml:space="preserve">, ir jų turėtų pakakti padengti išlaidoms, kurias gali būti sunku numatyti, pvz., su bylinėjimusi susijusioms išlaidoms. </w:t>
            </w:r>
            <w:r>
              <w:rPr>
                <w:b/>
                <w:i/>
              </w:rPr>
              <w:t>Valstybės narės privalo užtikrinti, kad padidinus lygybės įstaigų kompetenciją jų biudžetas būtų atitinkamai pakoreguotas</w:t>
            </w:r>
            <w:r>
              <w:rPr>
                <w:b/>
                <w:i/>
              </w:rPr>
              <w:t>.</w:t>
            </w:r>
            <w:r>
              <w:t xml:space="preserve"> Siekiant </w:t>
            </w:r>
            <w:r>
              <w:lastRenderedPageBreak/>
              <w:t>užtikrinti, kad lygybės įstaigoms būtų parūpinama pakankamai išteklių, jų biudžetas neturėtų būti mažinamas, o jų metinis finansavimo augimas turėtų bent atitikti vidutinį kitų subjektų finansavimo augimą. Išplėtus lygybės įstaigų užduotis ir įg</w:t>
            </w:r>
            <w:r>
              <w:t>aliojimus, reikėtų proporcingai skirti daugiau išteklių;</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(19)</w:t>
            </w:r>
            <w:r>
              <w:tab/>
            </w:r>
            <w:r>
              <w:t xml:space="preserve">automatinės sistemos, be kita ko, dirbtinio intelekto, </w:t>
            </w:r>
            <w:r>
              <w:rPr>
                <w:b/>
                <w:i/>
              </w:rPr>
              <w:t>yra naudinga</w:t>
            </w:r>
            <w:r>
              <w:t xml:space="preserve"> priemonė diskriminacijos modeliams nustatyti, </w:t>
            </w:r>
            <w:r>
              <w:rPr>
                <w:b/>
                <w:i/>
              </w:rPr>
              <w:t>tačiau algoritminė diskriminacija taip pat kelia riziką</w:t>
            </w:r>
            <w:r>
              <w:t xml:space="preserve">. Todėl lygybės įstaigos turėtų turėti </w:t>
            </w:r>
            <w:r>
              <w:rPr>
                <w:b/>
                <w:i/>
              </w:rPr>
              <w:t xml:space="preserve">galimybę samdyti </w:t>
            </w:r>
            <w:r>
              <w:t>kvalifikuotus darbuotojus ar ga</w:t>
            </w:r>
            <w:r>
              <w:t xml:space="preserve">uti atitinkamas paslaugas, </w:t>
            </w:r>
            <w:r>
              <w:rPr>
                <w:b/>
                <w:i/>
              </w:rPr>
              <w:t>kad galėtų</w:t>
            </w:r>
            <w:r>
              <w:t xml:space="preserve">, </w:t>
            </w:r>
            <w:r>
              <w:rPr>
                <w:b/>
                <w:i/>
              </w:rPr>
              <w:t>viena vertus, naudotis automatinėmis sistemomis savo darbe ir, kita vertus</w:t>
            </w:r>
            <w:r>
              <w:t xml:space="preserve">, įvertinti </w:t>
            </w:r>
            <w:r>
              <w:rPr>
                <w:b/>
                <w:i/>
              </w:rPr>
              <w:t>jų</w:t>
            </w:r>
            <w:r>
              <w:t xml:space="preserve"> atitiktį nediskriminavimo taisyklėms. Ypatingą dėmesį reikėtų skirti lygybės įstaigų aprūpinimui tinkamais skaitmeniniais ištekl</w:t>
            </w:r>
            <w:r>
              <w:t>iais – tiesiogiai arba per subrangovus;</w:t>
            </w:r>
          </w:p>
        </w:tc>
        <w:tc>
          <w:tcPr>
            <w:tcW w:w="4876" w:type="dxa"/>
            <w:hideMark/>
          </w:tcPr>
          <w:p w:rsidR="00EB6090" w:rsidRPr="0065259B" w:rsidRDefault="0025755D" w:rsidP="008A459A">
            <w:pPr>
              <w:pStyle w:val="Normal6"/>
              <w:rPr>
                <w:szCs w:val="24"/>
              </w:rPr>
            </w:pPr>
            <w:r>
              <w:t>(19)</w:t>
            </w:r>
            <w:r>
              <w:tab/>
              <w:t xml:space="preserve">automatinės sistemos, be kita ko, dirbtinio intelekto, </w:t>
            </w:r>
            <w:r>
              <w:rPr>
                <w:b/>
                <w:i/>
              </w:rPr>
              <w:t>gali lemti ir lemia algoritminę diskriminaciją, tačiau jos taip pat yra</w:t>
            </w:r>
            <w:r>
              <w:t xml:space="preserve"> priemonė diskriminacijos modeliams nustatyti</w:t>
            </w:r>
            <w:r>
              <w:rPr>
                <w:b/>
                <w:i/>
              </w:rPr>
              <w:t>.</w:t>
            </w:r>
            <w:r>
              <w:t xml:space="preserve"> </w:t>
            </w:r>
            <w:r>
              <w:rPr>
                <w:b/>
                <w:i/>
              </w:rPr>
              <w:t xml:space="preserve">Dėl algoritminės diskriminacijos gali </w:t>
            </w:r>
            <w:r>
              <w:rPr>
                <w:b/>
                <w:i/>
              </w:rPr>
              <w:t>nepavykti sumažinti esamos nelygybės</w:t>
            </w:r>
            <w:r>
              <w:t xml:space="preserve">, </w:t>
            </w:r>
            <w:r>
              <w:rPr>
                <w:b/>
                <w:i/>
              </w:rPr>
              <w:t>diskriminacijos, atskirties ir skurdo ir situacija gali dar pablogėti</w:t>
            </w:r>
            <w:r>
              <w:t xml:space="preserve">. Todėl lygybės įstaigos turėtų turėti kvalifikuotus darbuotojus ar gauti atitinkamas paslaugas, </w:t>
            </w:r>
            <w:r>
              <w:rPr>
                <w:b/>
                <w:i/>
              </w:rPr>
              <w:t>turėtų pajėgti suprasti</w:t>
            </w:r>
            <w:r>
              <w:t xml:space="preserve">, </w:t>
            </w:r>
            <w:r>
              <w:rPr>
                <w:b/>
                <w:i/>
              </w:rPr>
              <w:t>kaip veikia automatinės sis</w:t>
            </w:r>
            <w:r>
              <w:rPr>
                <w:b/>
                <w:i/>
              </w:rPr>
              <w:t>temos ir kaip jų naudojimas gali lemti algoritminę diskriminaciją</w:t>
            </w:r>
            <w:r>
              <w:t xml:space="preserve">, </w:t>
            </w:r>
            <w:r>
              <w:rPr>
                <w:b/>
                <w:i/>
              </w:rPr>
              <w:t xml:space="preserve">taip pat turėtų galėti </w:t>
            </w:r>
            <w:r>
              <w:t xml:space="preserve">įvertinti </w:t>
            </w:r>
            <w:r>
              <w:rPr>
                <w:b/>
                <w:i/>
              </w:rPr>
              <w:t>tokių sistemų</w:t>
            </w:r>
            <w:r>
              <w:t xml:space="preserve"> atitiktį nediskriminavimo taisyklėms</w:t>
            </w:r>
            <w:r>
              <w:rPr>
                <w:b/>
                <w:i/>
              </w:rPr>
              <w:t>, užkirsti kelią galimoms jų pasekmėms asmenims ir teikti paramą tokios diskriminacijos aukoms</w:t>
            </w:r>
            <w:r>
              <w:t>. Ypatingą d</w:t>
            </w:r>
            <w:r>
              <w:t>ėmesį reikėtų skirti lygybės įstaigų aprūpinimui tinkamais skaitmeniniais ištekliais</w:t>
            </w:r>
            <w:r>
              <w:rPr>
                <w:b/>
                <w:i/>
              </w:rPr>
              <w:t xml:space="preserve"> ir mokymų naudojimosi automatinėmis sistemomis klausimais rengimui</w:t>
            </w:r>
            <w:r>
              <w:t> – tiesiogiai arba per subrangovus</w:t>
            </w:r>
            <w:r>
              <w:rPr>
                <w:b/>
                <w:i/>
              </w:rPr>
              <w:t>. Lygybės įstaigos taip pat turėtų užtikrinti, kad automatinės sistemos</w:t>
            </w:r>
            <w:r>
              <w:rPr>
                <w:b/>
                <w:i/>
              </w:rPr>
              <w:t xml:space="preserve"> atitiktų prieinamumo neįgaliesiems reikalavimus pagal Direktyvos (ES) 2019/882 I priedą</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 xml:space="preserve">Komisijos siūlomas </w:t>
            </w:r>
            <w:r>
              <w:t>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(20)</w:t>
            </w:r>
            <w:r>
              <w:tab/>
              <w:t xml:space="preserve">lygybės įstaigos kartu su kitais subjektais turi atlikti esminį vaidmenį vykdant diskriminacijos prevenciją ir skatinant lygybę. Siekdamos tvarkytis su struktūriniais diskriminacijos aspektais ir prisidėti prie socialinių pokyčių, </w:t>
            </w:r>
            <w:r>
              <w:t>jos turėtų skatinti pareigas užtikrinti lygybę, gerąją praktiką, pozityvius veiksmus ir lygybės aspekto integravimą viešųjų ir privačių subjektų veikloje, taip pat jiems teikti atitinkamus mokymus, informaciją, patarimus, rekomendacijas ir paramą. Jos turė</w:t>
            </w:r>
            <w:r>
              <w:t>tų bendrauti su viešaisiais bei privačiais subjektais ir grupėmis, kuriems gresia diskriminacija, taip pat įsitraukti į viešus debatus siekdamos kovoti su stereotipais ir didinti informuotumą apie įvairovę ir jos naudą, remdamosi vienu iš pagrindinių Sąjun</w:t>
            </w:r>
            <w:r>
              <w:t>gos lygybės strategijų ramsčių;</w:t>
            </w:r>
          </w:p>
        </w:tc>
        <w:tc>
          <w:tcPr>
            <w:tcW w:w="4876" w:type="dxa"/>
            <w:hideMark/>
          </w:tcPr>
          <w:p w:rsidR="00EB6090" w:rsidRPr="0065259B" w:rsidRDefault="0025755D" w:rsidP="008A459A">
            <w:pPr>
              <w:pStyle w:val="Normal6"/>
              <w:rPr>
                <w:szCs w:val="24"/>
              </w:rPr>
            </w:pPr>
            <w:r>
              <w:t>(20)</w:t>
            </w:r>
            <w:r>
              <w:tab/>
              <w:t>lygybės įstaigos kartu su kitais subjektais</w:t>
            </w:r>
            <w:r>
              <w:rPr>
                <w:b/>
                <w:i/>
              </w:rPr>
              <w:t>, kaip antai socialiniais partneriais ir pilietinės visuomenės organizacijomis,</w:t>
            </w:r>
            <w:r>
              <w:t xml:space="preserve"> turi atlikti esminį vaidmenį vykdant diskriminacijos prevenciją ir skatinant lygybę. Siekdamos t</w:t>
            </w:r>
            <w:r>
              <w:t>varkytis su struktūriniais diskriminacijos aspektais ir prisidėti prie socialinių pokyčių, jos turėtų skatinti pareigas užtikrinti lygybę, gerąją praktiką, pozityvius veiksmus ir lygybės aspekto integravimą viešųjų ir privačių subjektų veikloje, taip pat j</w:t>
            </w:r>
            <w:r>
              <w:t>iems teikti atitinkamus mokymus, informaciją, patarimus, rekomendacijas ir paramą. Jos turėtų bendrauti su viešaisiais bei privačiais subjektais ir grupėmis, kuriems gresia diskriminacija, taip pat įsitraukti į viešus debatus siekdamos kovoti su stereotipa</w:t>
            </w:r>
            <w:r>
              <w:t>is ir didinti informuotumą apie įvairovę ir jos naudą, remdamosi vienu iš pagrindinių Sąjungos lygybės strategijų ramsčių</w:t>
            </w:r>
            <w:r>
              <w:rPr>
                <w:b/>
                <w:i/>
              </w:rPr>
              <w:t>. Lygybės įstaigos taip pat turėtų didinti informuotumą apie sąveikinę diskriminaciją ir apie tai, kaip svarbu planuojant politiką, pro</w:t>
            </w:r>
            <w:r>
              <w:rPr>
                <w:b/>
                <w:i/>
              </w:rPr>
              <w:t>gramas, lėšas ir veiklą laikytis sąveikinio požiūrio</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(21)</w:t>
            </w:r>
            <w:r>
              <w:tab/>
              <w:t xml:space="preserve">be prevencijos, </w:t>
            </w:r>
            <w:r>
              <w:t xml:space="preserve">viena iš esminių lygybės įstaigų užduočių – teikti pagalbą diskriminacijos aukoms. </w:t>
            </w:r>
            <w:r>
              <w:rPr>
                <w:b/>
                <w:i/>
              </w:rPr>
              <w:t>Užtikrinant tokią pagalbą, skundą pateikusiems asmenims visada</w:t>
            </w:r>
            <w:r>
              <w:t xml:space="preserve"> turėtų būti </w:t>
            </w:r>
            <w:r>
              <w:rPr>
                <w:b/>
                <w:i/>
              </w:rPr>
              <w:t xml:space="preserve">pateikiama pagrindinė informacija ir preliminariai įvertinamas </w:t>
            </w:r>
            <w:r>
              <w:rPr>
                <w:b/>
                <w:i/>
              </w:rPr>
              <w:lastRenderedPageBreak/>
              <w:t xml:space="preserve">jų skundas, remiantis pradine </w:t>
            </w:r>
            <w:r>
              <w:rPr>
                <w:b/>
                <w:i/>
              </w:rPr>
              <w:t>informacija</w:t>
            </w:r>
            <w:r>
              <w:t xml:space="preserve">, </w:t>
            </w:r>
            <w:r>
              <w:rPr>
                <w:b/>
                <w:i/>
              </w:rPr>
              <w:t>kurią šalys pateikė savo noru. Valstybės narės turėtų būti atsakingos už tai</w:t>
            </w:r>
            <w:r>
              <w:t xml:space="preserve">, </w:t>
            </w:r>
            <w:r>
              <w:rPr>
                <w:b/>
                <w:i/>
              </w:rPr>
              <w:t>kad būtų nustatytos sąlygos, kuriomis lygybės įstaiga turi pateikti tokį įvertinimą</w:t>
            </w:r>
            <w:r>
              <w:t xml:space="preserve">, </w:t>
            </w:r>
            <w:r>
              <w:rPr>
                <w:b/>
                <w:i/>
              </w:rPr>
              <w:t>pvz., nustatytas proceso tvarkaraštis arba procedūrinės apsaugos priemonės sieki</w:t>
            </w:r>
            <w:r>
              <w:rPr>
                <w:b/>
                <w:i/>
              </w:rPr>
              <w:t>ant išvengti kartotinių arba piktnaudžiaujamojo pobūdžio skundų</w:t>
            </w:r>
            <w:r>
              <w:t>;</w:t>
            </w:r>
          </w:p>
        </w:tc>
        <w:tc>
          <w:tcPr>
            <w:tcW w:w="4876" w:type="dxa"/>
            <w:hideMark/>
          </w:tcPr>
          <w:p w:rsidR="00EB6090" w:rsidRPr="0065259B" w:rsidRDefault="0025755D" w:rsidP="008A459A">
            <w:pPr>
              <w:pStyle w:val="Normal6"/>
              <w:rPr>
                <w:szCs w:val="24"/>
              </w:rPr>
            </w:pPr>
            <w:r>
              <w:lastRenderedPageBreak/>
              <w:t>(21)</w:t>
            </w:r>
            <w:r>
              <w:tab/>
              <w:t xml:space="preserve">be prevencijos, viena iš esminių lygybės įstaigų užduočių – teikti </w:t>
            </w:r>
            <w:r>
              <w:rPr>
                <w:b/>
                <w:i/>
              </w:rPr>
              <w:t xml:space="preserve">visapusišką paramą ir </w:t>
            </w:r>
            <w:r>
              <w:t xml:space="preserve">pagalbą diskriminacijos aukoms. </w:t>
            </w:r>
            <w:r>
              <w:rPr>
                <w:b/>
                <w:i/>
              </w:rPr>
              <w:t>Ši parama ir pagalba</w:t>
            </w:r>
            <w:r>
              <w:t xml:space="preserve"> turėtų būti </w:t>
            </w:r>
            <w:r>
              <w:rPr>
                <w:b/>
                <w:i/>
              </w:rPr>
              <w:t>nemokama ir apimti bent pagrindi</w:t>
            </w:r>
            <w:r>
              <w:rPr>
                <w:b/>
                <w:i/>
              </w:rPr>
              <w:t xml:space="preserve">nės informacijos suteikimą </w:t>
            </w:r>
            <w:r>
              <w:rPr>
                <w:b/>
                <w:i/>
              </w:rPr>
              <w:lastRenderedPageBreak/>
              <w:t>skundą pateikusiems asmenims</w:t>
            </w:r>
            <w:r>
              <w:t xml:space="preserve">, </w:t>
            </w:r>
            <w:r>
              <w:rPr>
                <w:b/>
                <w:i/>
              </w:rPr>
              <w:t>įskaitant teisines konsultacijas</w:t>
            </w:r>
            <w:r>
              <w:t xml:space="preserve">, </w:t>
            </w:r>
            <w:r>
              <w:rPr>
                <w:b/>
                <w:i/>
              </w:rPr>
              <w:t>konkrečiais aukų poreikiais pagrįstus patarimus ir informaciją apie procedūrinius aspektus</w:t>
            </w:r>
            <w:r>
              <w:t xml:space="preserve">, </w:t>
            </w:r>
            <w:r>
              <w:rPr>
                <w:b/>
                <w:i/>
              </w:rPr>
              <w:t>įskaitant apie tai, kaip pareikšti ieškinį teisme, ir apie kitas teisių g</w:t>
            </w:r>
            <w:r>
              <w:rPr>
                <w:b/>
                <w:i/>
              </w:rPr>
              <w:t>ynimo priemones</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(22)</w:t>
            </w:r>
            <w:r>
              <w:tab/>
              <w:t xml:space="preserve">siekiant užtikrinti, kad pateikti skundą galėtų visi </w:t>
            </w:r>
            <w:r>
              <w:t>nukentėję asmenys, turėtų būti suteikta galimybė skundą pateikti įvairiais būdais. Valstybės narės taip pat turėtų deramai atsižvelgti į Komisijos rekomendaciją 2018/951</w:t>
            </w:r>
            <w:r>
              <w:rPr>
                <w:b/>
                <w:i/>
              </w:rPr>
              <w:t>, pagal kurią</w:t>
            </w:r>
            <w:r>
              <w:t xml:space="preserve"> skundus turėtų būti įmanoma pateikti skundą teikiančio asmens </w:t>
            </w:r>
            <w:r>
              <w:rPr>
                <w:b/>
                <w:i/>
              </w:rPr>
              <w:t>pasirinkta</w:t>
            </w:r>
            <w:r>
              <w:t xml:space="preserve"> </w:t>
            </w:r>
            <w:r>
              <w:t xml:space="preserve">kalba, </w:t>
            </w:r>
            <w:r>
              <w:rPr>
                <w:b/>
                <w:i/>
              </w:rPr>
              <w:t>įprasta toje valstybėje narėje</w:t>
            </w:r>
            <w:r>
              <w:t xml:space="preserve">, </w:t>
            </w:r>
            <w:r>
              <w:rPr>
                <w:b/>
                <w:i/>
              </w:rPr>
              <w:t>kurioje</w:t>
            </w:r>
            <w:r>
              <w:t xml:space="preserve"> įsikūrusi lygybės įstaiga. Siekiant pašalinti vieną iš nepakankamo pranešimo priežasčių, t. y. baimę sulaukti atsakomųjų veiksmų, ir nedarant poveikio Direktyvai (ES) 2019/1937 dėl asmenų, pranešančių apie Sąj</w:t>
            </w:r>
            <w:r>
              <w:t>ungos teisės pažeidimus, apsaugos</w:t>
            </w:r>
            <w:r>
              <w:rPr>
                <w:vertAlign w:val="superscript"/>
              </w:rPr>
              <w:t>70</w:t>
            </w:r>
            <w:r>
              <w:t>, turėtų būti užtikrinamas liudytojų, pranešėjų ir</w:t>
            </w:r>
            <w:r>
              <w:rPr>
                <w:b/>
                <w:i/>
              </w:rPr>
              <w:t>, kiek įmanoma,</w:t>
            </w:r>
            <w:r>
              <w:t xml:space="preserve"> skundų pateikėjų konfidencialumas;</w:t>
            </w:r>
          </w:p>
        </w:tc>
        <w:tc>
          <w:tcPr>
            <w:tcW w:w="4876" w:type="dxa"/>
            <w:hideMark/>
          </w:tcPr>
          <w:p w:rsidR="00EB6090" w:rsidRPr="0065259B" w:rsidRDefault="0025755D" w:rsidP="008A459A">
            <w:pPr>
              <w:pStyle w:val="Normal6"/>
              <w:rPr>
                <w:szCs w:val="24"/>
              </w:rPr>
            </w:pPr>
            <w:r>
              <w:t>(22)</w:t>
            </w:r>
            <w:r>
              <w:tab/>
              <w:t xml:space="preserve">siekiant užtikrinti, kad pateikti skundą galėtų visi nukentėję asmenys, turėtų būti suteikta galimybė skundą </w:t>
            </w:r>
            <w:r>
              <w:t>pateikti įvairiais būdais</w:t>
            </w:r>
            <w:r>
              <w:rPr>
                <w:b/>
                <w:i/>
              </w:rPr>
              <w:t>, be kita ko, per regioninius ar vietos biurus arba skaitmenines priemones ir platformas</w:t>
            </w:r>
            <w:r>
              <w:t>. Valstybės narės taip pat turėtų deramai atsižvelgti į Komisijos rekomendaciją 2018/951</w:t>
            </w:r>
            <w:r>
              <w:rPr>
                <w:b/>
                <w:i/>
              </w:rPr>
              <w:t xml:space="preserve"> ir užtikrinti, kad</w:t>
            </w:r>
            <w:r>
              <w:t xml:space="preserve"> skundus turėtų būti įmanoma pateikt</w:t>
            </w:r>
            <w:r>
              <w:t xml:space="preserve">i skundą teikiančio asmens </w:t>
            </w:r>
            <w:r>
              <w:rPr>
                <w:b/>
                <w:i/>
              </w:rPr>
              <w:t>suprantama</w:t>
            </w:r>
            <w:r>
              <w:t xml:space="preserve"> kalba, </w:t>
            </w:r>
            <w:r>
              <w:rPr>
                <w:b/>
                <w:i/>
              </w:rPr>
              <w:t>įskaitant kalbą, kuri įprasta ten</w:t>
            </w:r>
            <w:r>
              <w:t xml:space="preserve">, </w:t>
            </w:r>
            <w:r>
              <w:rPr>
                <w:b/>
                <w:i/>
              </w:rPr>
              <w:t>kur</w:t>
            </w:r>
            <w:r>
              <w:t xml:space="preserve"> įsikūrusi lygybės įstaiga</w:t>
            </w:r>
            <w:r>
              <w:rPr>
                <w:b/>
                <w:i/>
              </w:rPr>
              <w:t>, arba lygybės įstaigos nurodytą kalbą</w:t>
            </w:r>
            <w:r>
              <w:t>. Siekiant pašalinti vieną iš nepakankamo pranešimo priežasčių, t. y. baimę sulaukti atsakomųjų veiksmų, ir n</w:t>
            </w:r>
            <w:r>
              <w:t>edarant poveikio Direktyvai (ES) 2019/1937 dėl asmenų, pranešančių apie Sąjungos teisės pažeidimus, apsaugos</w:t>
            </w:r>
            <w:r>
              <w:rPr>
                <w:vertAlign w:val="superscript"/>
              </w:rPr>
              <w:t>70</w:t>
            </w:r>
            <w:r>
              <w:t>, turėtų būti užtikrinamas liudytojų, pranešėjų ir skundų pateikėjų konfidencialumas;</w:t>
            </w:r>
          </w:p>
        </w:tc>
      </w:tr>
      <w:tr w:rsidR="00E471E0" w:rsidTr="008A459A">
        <w:trPr>
          <w:jc w:val="center"/>
        </w:trPr>
        <w:tc>
          <w:tcPr>
            <w:tcW w:w="4876" w:type="dxa"/>
            <w:hideMark/>
          </w:tcPr>
          <w:p w:rsidR="00EB6090" w:rsidRPr="0065259B" w:rsidRDefault="0025755D" w:rsidP="008A459A">
            <w:pPr>
              <w:pStyle w:val="Normal6"/>
            </w:pPr>
            <w:r>
              <w:t>__________________</w:t>
            </w:r>
          </w:p>
        </w:tc>
        <w:tc>
          <w:tcPr>
            <w:tcW w:w="4876" w:type="dxa"/>
            <w:hideMark/>
          </w:tcPr>
          <w:p w:rsidR="00EB6090" w:rsidRPr="0065259B" w:rsidRDefault="0025755D" w:rsidP="008A459A">
            <w:pPr>
              <w:pStyle w:val="Normal6"/>
              <w:rPr>
                <w:szCs w:val="24"/>
              </w:rPr>
            </w:pPr>
            <w:r>
              <w:t>__________________</w:t>
            </w:r>
          </w:p>
        </w:tc>
      </w:tr>
      <w:tr w:rsidR="00E471E0" w:rsidTr="008A459A">
        <w:trPr>
          <w:jc w:val="center"/>
        </w:trPr>
        <w:tc>
          <w:tcPr>
            <w:tcW w:w="4876" w:type="dxa"/>
            <w:hideMark/>
          </w:tcPr>
          <w:p w:rsidR="00EB6090" w:rsidRPr="0065259B" w:rsidRDefault="0025755D" w:rsidP="008A459A">
            <w:pPr>
              <w:pStyle w:val="Normal6"/>
            </w:pPr>
            <w:r>
              <w:rPr>
                <w:vertAlign w:val="superscript"/>
              </w:rPr>
              <w:t>70</w:t>
            </w:r>
            <w:r>
              <w:t xml:space="preserve"> 2019 m. spalio 23 d. Europos Parlamento ir Tarybos direktyva (ES) 2019/1937 dėl asmenų, pranešančių apie Sąjungos teisės pažeidimus, apsaugos (OL L 305, </w:t>
            </w:r>
            <w:r>
              <w:lastRenderedPageBreak/>
              <w:t>2019 11 26, p. 17).</w:t>
            </w:r>
          </w:p>
        </w:tc>
        <w:tc>
          <w:tcPr>
            <w:tcW w:w="4876" w:type="dxa"/>
            <w:hideMark/>
          </w:tcPr>
          <w:p w:rsidR="00EB6090" w:rsidRPr="0065259B" w:rsidRDefault="0025755D" w:rsidP="008A459A">
            <w:pPr>
              <w:pStyle w:val="Normal6"/>
              <w:rPr>
                <w:szCs w:val="24"/>
              </w:rPr>
            </w:pPr>
            <w:r>
              <w:rPr>
                <w:vertAlign w:val="superscript"/>
              </w:rPr>
              <w:lastRenderedPageBreak/>
              <w:t>70</w:t>
            </w:r>
            <w:r>
              <w:t xml:space="preserve"> 2019 m. spalio 23 d. Europos Parlamento ir Tarybos direktyva (ES) 2019/1937 dėl</w:t>
            </w:r>
            <w:r>
              <w:t xml:space="preserve"> asmenų, pranešančių apie Sąjungos teisės pažeidimus, apsaugos (OL L 305, </w:t>
            </w:r>
            <w:r>
              <w:lastRenderedPageBreak/>
              <w:t>2019 11 26, p. 17).</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22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 xml:space="preserve">Komisijos </w:t>
            </w:r>
            <w:r>
              <w:t>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(22a)</w:t>
            </w:r>
            <w:r>
              <w:rPr>
                <w:b/>
                <w:i/>
              </w:rPr>
              <w:tab/>
              <w:t>pagal šią direktyvą valstybėms narėms nustatomos pareigos ir lygybės įstaigoms pavedamos užduotys, susijusios su pagalba aukoms, turėtų būti vertinamos kartu su valstybių narių pareigomis ir aukų teisėmis, nustatytomis D</w:t>
            </w:r>
            <w:r>
              <w:rPr>
                <w:b/>
                <w:i/>
              </w:rPr>
              <w:t>irektyvoje 2012/29/ES;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(23)</w:t>
            </w:r>
            <w:r>
              <w:tab/>
              <w:t xml:space="preserve">kad būtų galima ginčus išspręsti greitai, </w:t>
            </w:r>
            <w:r>
              <w:t>nebrangiai ir ne teisme, valstybės narės turėtų numatyti galimybę ginčo šalims prašyti lygybės įstaigos ar kitos esamos specialios įstaigos padėti jų ginčus išspręsti draugiškai. Jos turėtų nustatyti draugiško ginčų sprendimo proceso sąlygas pagal nacional</w:t>
            </w:r>
            <w:r>
              <w:t>inę teisę;</w:t>
            </w:r>
          </w:p>
        </w:tc>
        <w:tc>
          <w:tcPr>
            <w:tcW w:w="4876" w:type="dxa"/>
            <w:hideMark/>
          </w:tcPr>
          <w:p w:rsidR="00EB6090" w:rsidRPr="0065259B" w:rsidRDefault="0025755D" w:rsidP="008A459A">
            <w:pPr>
              <w:pStyle w:val="Normal6"/>
              <w:rPr>
                <w:szCs w:val="24"/>
              </w:rPr>
            </w:pPr>
            <w:r>
              <w:t>(23)</w:t>
            </w:r>
            <w:r>
              <w:tab/>
              <w:t>kad būtų galima ginčus išspręsti greitai, nebrangiai ir ne teisme, valstybės narės turėtų numatyti galimybę ginčo šalims prašyti lygybės įstaigos ar kitos esamos specialios įstaigos padėti jų ginčus išspręsti draugiškai. Jos turėtų nustatyt</w:t>
            </w:r>
            <w:r>
              <w:t>i draugiško ginčų sprendimo proceso sąlygas pagal nacionalinę teisę</w:t>
            </w:r>
            <w:r>
              <w:rPr>
                <w:b/>
                <w:i/>
              </w:rPr>
              <w:t>. Šalys turėtų susitarti dėl dalyvavimo taikinimo ir mediacijos procese ir tai neturėtų trukdyti bet kuriai šaliai pasinaudoti teise kreiptis į teismą, jei ta šalis nesutinka su taikinimo i</w:t>
            </w:r>
            <w:r>
              <w:rPr>
                <w:b/>
                <w:i/>
              </w:rPr>
              <w:t>r mediacijos komisijos sprendimu</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(25)</w:t>
            </w:r>
            <w:r>
              <w:tab/>
              <w:t xml:space="preserve">siekiant nustatyti, ar pasireiškė </w:t>
            </w:r>
            <w:r>
              <w:t>diskriminacija, būtini įrodymai, o juos dažnai turi įtariamas nusikalstamos veikos vykdytojas. Todėl lygybės įstaigos turėtų turėti galimybę gauti reikiamą informaciją, kad galėtų nustatyti diskriminacijos faktą, ir bendradarbiauti su atitinkamomis viešosi</w:t>
            </w:r>
            <w:r>
              <w:t>omis tarnybomis, kaip antai darbo ar švietimo inspekcijomis. Valstybės narės turėtų nustatyti tinkamą sistemą, kad būtų galima veikti šioje kompetencijos srityje laikantis nacionalinių taisyklių ir procedūrų;</w:t>
            </w:r>
          </w:p>
        </w:tc>
        <w:tc>
          <w:tcPr>
            <w:tcW w:w="4876" w:type="dxa"/>
            <w:hideMark/>
          </w:tcPr>
          <w:p w:rsidR="00EB6090" w:rsidRPr="0065259B" w:rsidRDefault="0025755D" w:rsidP="008A459A">
            <w:pPr>
              <w:pStyle w:val="Normal6"/>
              <w:rPr>
                <w:szCs w:val="24"/>
              </w:rPr>
            </w:pPr>
            <w:r>
              <w:rPr>
                <w:i/>
              </w:rPr>
              <w:t>(Tekstas lietuvių kalba nekeičiamas.)</w:t>
            </w:r>
            <w:r>
              <w:tab/>
              <w:t xml:space="preserve">     </w:t>
            </w:r>
          </w:p>
        </w:tc>
      </w:tr>
    </w:tbl>
    <w:p w:rsidR="00EB6090" w:rsidRPr="0065259B" w:rsidRDefault="0025755D" w:rsidP="00EB6090">
      <w:r>
        <w:rPr>
          <w:rStyle w:val="HideTWBExt"/>
        </w:rPr>
        <w:t>&lt;/</w:t>
      </w:r>
      <w:r>
        <w:rPr>
          <w:rStyle w:val="HideTWBExt"/>
        </w:rPr>
        <w: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(26)</w:t>
            </w:r>
            <w:r>
              <w:tab/>
              <w:t xml:space="preserve">remdamosi surinktais įrodymais, </w:t>
            </w:r>
            <w:r>
              <w:rPr>
                <w:b/>
                <w:i/>
              </w:rPr>
              <w:t xml:space="preserve">kurie buvo pateikti savo noru arba gauti atlikus tyrimą, </w:t>
            </w:r>
            <w:r>
              <w:t>lygybės įstaigos turėtų skundą pateikusiam asmeniui ir įtariamam nusikalstamos veikos vykdytojui</w:t>
            </w:r>
            <w:r>
              <w:rPr>
                <w:b/>
                <w:i/>
              </w:rPr>
              <w:t xml:space="preserve"> pateikti savo vertinimą</w:t>
            </w:r>
            <w:r>
              <w:t xml:space="preserve">. </w:t>
            </w:r>
            <w:r>
              <w:rPr>
                <w:b/>
                <w:i/>
              </w:rPr>
              <w:t>Valstybės narės</w:t>
            </w:r>
            <w:r>
              <w:t xml:space="preserve"> turėtų nustatyti tokio vertinimo teisinę galią: tai gali būti</w:t>
            </w:r>
            <w:r>
              <w:t xml:space="preserve"> neprivaloma nuomonė arba vykdytinas privalomas sprendimas. </w:t>
            </w:r>
            <w:r>
              <w:rPr>
                <w:b/>
                <w:i/>
              </w:rPr>
              <w:t>Abiem atvejais</w:t>
            </w:r>
            <w:r>
              <w:t xml:space="preserve"> reikėtų nurodyti vertinimo priežastis ir, jei reikia, įtraukti priemones nustatytiems pažeidimams pašalinti ir paskesniems atvejams išvengti. Siekdamos užtikrinti lygybės įstaigų da</w:t>
            </w:r>
            <w:r>
              <w:t>rbo veiksmingumą, valstybės narės turėtų priimti tinkamų priemonių nuomonių įgyvendinimo pažangai stebėti ir sprendimų vykdymui užtikrinti;</w:t>
            </w:r>
          </w:p>
        </w:tc>
        <w:tc>
          <w:tcPr>
            <w:tcW w:w="4876" w:type="dxa"/>
            <w:hideMark/>
          </w:tcPr>
          <w:p w:rsidR="00EB6090" w:rsidRPr="0065259B" w:rsidRDefault="0025755D" w:rsidP="008A459A">
            <w:pPr>
              <w:pStyle w:val="Normal6"/>
              <w:rPr>
                <w:szCs w:val="24"/>
              </w:rPr>
            </w:pPr>
            <w:r>
              <w:t>(26)</w:t>
            </w:r>
            <w:r>
              <w:tab/>
              <w:t>remdamosi surinktais įrodymais, lygybės įstaigos turėtų</w:t>
            </w:r>
            <w:r>
              <w:rPr>
                <w:b/>
                <w:i/>
              </w:rPr>
              <w:t xml:space="preserve"> būti įgaliotos pateikti savo vertinimą</w:t>
            </w:r>
            <w:r>
              <w:t xml:space="preserve"> skundą pateikusi</w:t>
            </w:r>
            <w:r>
              <w:t xml:space="preserve">am asmeniui ir įtariamam nusikalstamos veikos vykdytojui. </w:t>
            </w:r>
            <w:r>
              <w:rPr>
                <w:b/>
                <w:i/>
              </w:rPr>
              <w:t>Lygybės įstaigos</w:t>
            </w:r>
            <w:r>
              <w:t xml:space="preserve"> turėtų nustatyti tokio vertinimo teisinę galią: tai gali būti neprivaloma nuomonė arba vykdytinas privalomas sprendimas. </w:t>
            </w:r>
            <w:r>
              <w:rPr>
                <w:b/>
                <w:i/>
              </w:rPr>
              <w:t>Tiek nuomonėse, tiek sprendimuose</w:t>
            </w:r>
            <w:r>
              <w:t xml:space="preserve"> reikėtų nurodyti vertinimo</w:t>
            </w:r>
            <w:r>
              <w:t xml:space="preserve"> priežastis ir, jei reikia, įtraukti priemones nustatytiems pažeidimams pašalinti ir paskesniems atvejams išvengti</w:t>
            </w:r>
            <w:r>
              <w:rPr>
                <w:b/>
                <w:i/>
              </w:rPr>
              <w:t>. Vykdytinais privalomais sprendimais gali būti skiriamos sankcijos</w:t>
            </w:r>
            <w:r>
              <w:t xml:space="preserve">. Siekdamos užtikrinti lygybės įstaigų darbo veiksmingumą, valstybės narės </w:t>
            </w:r>
            <w:r>
              <w:t>turėtų priimti tinkamų priemonių nuomonių įgyvendinimo pažangai stebėti ir sprendimų vykdymui užtikrinti;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19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w:t>
            </w:r>
            <w:r>
              <w:t xml:space="preserve">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(27)</w:t>
            </w:r>
            <w:r>
              <w:tab/>
              <w:t xml:space="preserve">propaguodamos savo darbą ir skatindamos laikytis lygybės teisės aktų, lygybės įstaigos turėtų turėti galimybę skelbti savo </w:t>
            </w:r>
            <w:r>
              <w:rPr>
                <w:b/>
                <w:i/>
              </w:rPr>
              <w:t>nuomonių</w:t>
            </w:r>
            <w:r>
              <w:t xml:space="preserve"> ir </w:t>
            </w:r>
            <w:r>
              <w:rPr>
                <w:b/>
                <w:i/>
              </w:rPr>
              <w:t>sprendimų</w:t>
            </w:r>
            <w:r>
              <w:t xml:space="preserve"> santrauką neatskleisdamos asmens duomenų;</w:t>
            </w:r>
          </w:p>
        </w:tc>
        <w:tc>
          <w:tcPr>
            <w:tcW w:w="4876" w:type="dxa"/>
            <w:hideMark/>
          </w:tcPr>
          <w:p w:rsidR="00EB6090" w:rsidRPr="0065259B" w:rsidRDefault="0025755D" w:rsidP="008A459A">
            <w:pPr>
              <w:pStyle w:val="Normal6"/>
              <w:rPr>
                <w:szCs w:val="24"/>
              </w:rPr>
            </w:pPr>
            <w:r>
              <w:t>(27)</w:t>
            </w:r>
            <w:r>
              <w:tab/>
              <w:t>propaguodamos savo darbą ir s</w:t>
            </w:r>
            <w:r>
              <w:t xml:space="preserve">katindamos laikytis lygybės teisės aktų, lygybės įstaigos turėtų turėti galimybę skelbti savo </w:t>
            </w:r>
            <w:r>
              <w:rPr>
                <w:b/>
                <w:i/>
              </w:rPr>
              <w:t>nuomones</w:t>
            </w:r>
            <w:r>
              <w:t xml:space="preserve"> ir </w:t>
            </w:r>
            <w:r>
              <w:rPr>
                <w:b/>
                <w:i/>
              </w:rPr>
              <w:t>sprendimus, įskaitant jų</w:t>
            </w:r>
            <w:r>
              <w:t xml:space="preserve"> santrauką</w:t>
            </w:r>
            <w:r>
              <w:rPr>
                <w:b/>
                <w:i/>
              </w:rPr>
              <w:t>,</w:t>
            </w:r>
            <w:r>
              <w:t xml:space="preserve"> neatskleisdamos asmens duomenų;</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20</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 xml:space="preserve">Pasiūlymas dėl </w:t>
      </w:r>
      <w:r>
        <w:t>direktyvos</w:t>
      </w:r>
      <w:r>
        <w:rPr>
          <w:rStyle w:val="HideTWBExt"/>
          <w:b w:val="0"/>
        </w:rPr>
        <w:t>&lt;/DocAmend&gt;</w:t>
      </w:r>
    </w:p>
    <w:p w:rsidR="00EB6090" w:rsidRPr="0065259B" w:rsidRDefault="0025755D" w:rsidP="00EB6090">
      <w:pPr>
        <w:pStyle w:val="NormalBold"/>
      </w:pPr>
      <w:r>
        <w:rPr>
          <w:rStyle w:val="HideTWBExt"/>
          <w:b w:val="0"/>
        </w:rPr>
        <w:t>&lt;Article&gt;</w:t>
      </w:r>
      <w:r>
        <w:t>28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(28)</w:t>
            </w:r>
            <w:r>
              <w:tab/>
              <w:t>lygybės įstaigos turėtų turėti teisę veikti teismo procesuose civilinės ar administracinės teisenos bylose, kad galėtų padėti užtikrinti direkty</w:t>
            </w:r>
            <w:r>
              <w:t>vose 2006/54/EB ir 2010/41/ES nustatyto vienodo požiūrio principo paisymą. Nors tokie teismo procesai turėtų vykti pagal nacionalinę proceso teisę, įskaitant nacionalines taisykles dėl ieškinių priimtinumo, tokios taisyklės, ypač bet kokios teisėto interes</w:t>
            </w:r>
            <w:r>
              <w:t>o sąlygos, negali būti taikomos taip, kad būtų sumažintas lygybės įstaigų teisės veikti veiksmingumas; Šia direktyva lygybės įstaigoms suteikti tyrimo ir sprendimų priėmimo įgaliojimai ir teisė veikti teismo procese padės praktiškai įgyvendinti galiojančia</w:t>
            </w:r>
            <w:r>
              <w:t>s direktyvų 2000/43/EB, 2000/78/EB ir 2004/113/EB nuostatas dėl įrodinėjimo pareigos ir teisių gynimo. Šioje direktyvoje numatytomis sąlygomis lygybės įstaigos galės nustatyti faktus, „kuriais remiantis galima daryti prielaidą, kad buvo tiesioginė ar netie</w:t>
            </w:r>
            <w:r>
              <w:t xml:space="preserve">sioginė diskriminacija“, tokiu būdu bus įvykdytos Direktyvos 2000/43/EB 8 straipsnyje, Direktyvos 2000/78/EB 10 straipsnyje ir Direktyvos 2004/113/EB 9 straipsnyje </w:t>
            </w:r>
            <w:r>
              <w:lastRenderedPageBreak/>
              <w:t>nustatytos sąlygos. Taigi jų teikiama parama sudarys palankesnes sąlygas aukoms kreiptis į t</w:t>
            </w:r>
            <w:r>
              <w:t>eismą;</w:t>
            </w:r>
          </w:p>
        </w:tc>
        <w:tc>
          <w:tcPr>
            <w:tcW w:w="4876" w:type="dxa"/>
            <w:hideMark/>
          </w:tcPr>
          <w:p w:rsidR="00EB6090" w:rsidRPr="0065259B" w:rsidRDefault="0025755D" w:rsidP="008A459A">
            <w:pPr>
              <w:pStyle w:val="Normal6"/>
              <w:rPr>
                <w:szCs w:val="24"/>
              </w:rPr>
            </w:pPr>
            <w:r>
              <w:lastRenderedPageBreak/>
              <w:t>(28)</w:t>
            </w:r>
            <w:r>
              <w:tab/>
              <w:t xml:space="preserve">lygybės įstaigos turėtų turėti teisę </w:t>
            </w:r>
            <w:r>
              <w:rPr>
                <w:b/>
                <w:i/>
              </w:rPr>
              <w:t xml:space="preserve">kreiptis į valdžios institucijas bei ginčų sprendimo institucijas ir </w:t>
            </w:r>
            <w:r>
              <w:t xml:space="preserve">veikti teismo procesuose civilinės ar administracinės teisenos bylose, kad galėtų padėti užtikrinti direktyvose 2006/54/EB ir 2010/41/ES </w:t>
            </w:r>
            <w:r>
              <w:t>nustatyto vienodo požiūrio principo paisymą. Nors tokie teismo procesai turėtų vykti pagal nacionalinę proceso teisę, įskaitant nacionalines taisykles dėl ieškinių priimtinumo, tokios taisyklės, ypač bet kokios teisėto intereso sąlygos, negali būti taikomo</w:t>
            </w:r>
            <w:r>
              <w:t>s taip, kad būtų sumažintas lygybės įstaigų teisės veikti veiksmingumas; Šia direktyva lygybės įstaigoms suteikti tyrimo ir sprendimų priėmimo įgaliojimai ir teisė</w:t>
            </w:r>
            <w:r>
              <w:rPr>
                <w:b/>
                <w:i/>
              </w:rPr>
              <w:t xml:space="preserve"> kreiptis į valdžios institucijas bei ginčų sprendimo institucijas ir</w:t>
            </w:r>
            <w:r>
              <w:t xml:space="preserve"> veikti teismo procese p</w:t>
            </w:r>
            <w:r>
              <w:t xml:space="preserve">adės praktiškai įgyvendinti galiojančias direktyvų 2000/43/EB, 2000/78/EB ir 2004/113/EB nuostatas dėl įrodinėjimo pareigos ir teisių gynimo. Šioje direktyvoje numatytomis sąlygomis lygybės įstaigos galės nustatyti faktus, „kuriais remiantis galima daryti </w:t>
            </w:r>
            <w:r>
              <w:t xml:space="preserve">prielaidą, kad buvo tiesioginė ar netiesioginė diskriminacija“, tokiu būdu bus įvykdytos </w:t>
            </w:r>
            <w:r>
              <w:lastRenderedPageBreak/>
              <w:t xml:space="preserve">Direktyvos 2000/43/EB 8 straipsnyje, Direktyvos 2000/78/EB 10 straipsnyje ir Direktyvos 2004/113/EB 9 straipsnyje nustatytos sąlygos. Taigi jų teikiama parama sudarys </w:t>
            </w:r>
            <w:r>
              <w:t>palankesnes sąlygas aukoms kreiptis į teismą;</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(29)</w:t>
            </w:r>
            <w:r>
              <w:tab/>
              <w:t>turėdamos teisę pareikšti</w:t>
            </w:r>
            <w:r>
              <w:t xml:space="preserve"> ieškinį, lygybės įstaigos gali veikti aukų vardu arba jas remdamos, suteikdamos jiems galimybę kreiptis į teismą, kai procesinės ir finansinės kliūtys arba viktimizacijos baimė dažnai juos atbaido. Teisė pareikšti ieškinį taip pat leidžia lygybės įstaigom</w:t>
            </w:r>
            <w:r>
              <w:t>s strategiškai pasirinkti bylas, kurias jos nusprendžia nagrinėti nacionaliniuose teismuose, ir prisidėti prie tinkamo vienodą požiūrį užtikrinančių teisės aktų aiškinimo ir taikymo;</w:t>
            </w:r>
          </w:p>
        </w:tc>
        <w:tc>
          <w:tcPr>
            <w:tcW w:w="4876" w:type="dxa"/>
            <w:hideMark/>
          </w:tcPr>
          <w:p w:rsidR="00EB6090" w:rsidRPr="0065259B" w:rsidRDefault="0025755D" w:rsidP="008A459A">
            <w:pPr>
              <w:pStyle w:val="Normal6"/>
              <w:rPr>
                <w:szCs w:val="24"/>
              </w:rPr>
            </w:pPr>
            <w:r>
              <w:t>(29)</w:t>
            </w:r>
            <w:r>
              <w:tab/>
              <w:t>turėdamos teisę pareikšti ieškinį, lygybės įstaigos gali veikti aukų</w:t>
            </w:r>
            <w:r>
              <w:t xml:space="preserve"> vardu arba jas remdamos, suteikdamos jiems galimybę kreiptis į teismą, kai procesinės ir finansinės kliūtys arba viktimizacijos baimė dažnai juos atbaido. Teisė pareikšti ieškinį taip pat leidžia lygybės įstaigoms strategiškai pasirinkti bylas, kurias jos</w:t>
            </w:r>
            <w:r>
              <w:t xml:space="preserve"> nusprendžia nagrinėti nacionaliniuose teismuose, ir prisidėti prie tinkamo vienodą požiūrį užtikrinančių teisės aktų aiškinimo ir taikymo</w:t>
            </w:r>
            <w:r>
              <w:rPr>
                <w:b/>
                <w:i/>
              </w:rPr>
              <w:t>, taip pat teikti pasiūlymus, kaip galima patobulinti ir atnaujinti esamus teisės aktus</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(30)</w:t>
            </w:r>
            <w:r>
              <w:tab/>
              <w:t xml:space="preserve">su kai kuriais diskriminacijos atvejais kovoti sunku, nes skundą pateikusių asmenų, kurie patys </w:t>
            </w:r>
            <w:r>
              <w:t xml:space="preserve">teiktų ieškinį, nėra. Sprendime </w:t>
            </w:r>
            <w:r>
              <w:rPr>
                <w:i/>
                <w:iCs/>
              </w:rPr>
              <w:t>Feryn</w:t>
            </w:r>
            <w:r>
              <w:t xml:space="preserve"> C-54/07</w:t>
            </w:r>
            <w:r>
              <w:rPr>
                <w:b/>
                <w:i/>
                <w:vertAlign w:val="superscript"/>
              </w:rPr>
              <w:t>71</w:t>
            </w:r>
            <w:r>
              <w:t xml:space="preserve"> byloje, kurią iškėlė lygybės įstaiga savo vardu, Teisingumo Teismas patvirtino, kad diskriminacija gali būti </w:t>
            </w:r>
            <w:r>
              <w:rPr>
                <w:b/>
                <w:i/>
              </w:rPr>
              <w:t>nustatyta</w:t>
            </w:r>
            <w:r>
              <w:t xml:space="preserve"> net ir </w:t>
            </w:r>
            <w:r>
              <w:rPr>
                <w:b/>
                <w:i/>
              </w:rPr>
              <w:t>nenurodžius</w:t>
            </w:r>
            <w:r>
              <w:t xml:space="preserve"> nukentėjusio asmens. Todėl svarbu, kad lygybės įstaigos galėtų veikti </w:t>
            </w:r>
            <w:r>
              <w:lastRenderedPageBreak/>
              <w:t>savo vardu, gindamos viešąjį interesą;</w:t>
            </w:r>
          </w:p>
        </w:tc>
        <w:tc>
          <w:tcPr>
            <w:tcW w:w="4876" w:type="dxa"/>
            <w:hideMark/>
          </w:tcPr>
          <w:p w:rsidR="00EB6090" w:rsidRPr="0065259B" w:rsidRDefault="0025755D" w:rsidP="008A459A">
            <w:pPr>
              <w:pStyle w:val="Normal6"/>
              <w:rPr>
                <w:szCs w:val="24"/>
              </w:rPr>
            </w:pPr>
            <w:r>
              <w:lastRenderedPageBreak/>
              <w:t>(30)</w:t>
            </w:r>
            <w:r>
              <w:tab/>
              <w:t xml:space="preserve">su kai kuriais diskriminacijos atvejais kovoti sunku, nes skundą pateikusių asmenų, kurie patys teiktų ieškinį, nėra. Sprendime </w:t>
            </w:r>
            <w:r>
              <w:rPr>
                <w:i/>
                <w:iCs/>
              </w:rPr>
              <w:t>Feryn</w:t>
            </w:r>
            <w:r>
              <w:t xml:space="preserve"> C-54/07 byloje</w:t>
            </w:r>
            <w:r>
              <w:rPr>
                <w:b/>
                <w:i/>
                <w:vertAlign w:val="superscript"/>
              </w:rPr>
              <w:t>71</w:t>
            </w:r>
            <w:r>
              <w:t xml:space="preserve">, kurią iškėlė lygybės įstaiga savo vardu, Teisingumo Teismas </w:t>
            </w:r>
            <w:r>
              <w:t xml:space="preserve">patvirtino, kad diskriminacija gali būti </w:t>
            </w:r>
            <w:r>
              <w:rPr>
                <w:b/>
                <w:i/>
              </w:rPr>
              <w:t>konstatuojama</w:t>
            </w:r>
            <w:r>
              <w:t xml:space="preserve"> net ir </w:t>
            </w:r>
            <w:r>
              <w:rPr>
                <w:b/>
                <w:i/>
              </w:rPr>
              <w:t>nesant konkretaus</w:t>
            </w:r>
            <w:r>
              <w:t xml:space="preserve"> nukentėjusio asmens</w:t>
            </w:r>
            <w:r>
              <w:rPr>
                <w:b/>
                <w:i/>
              </w:rPr>
              <w:t>, pvz., struktūrinės arba sisteminės diskriminacijos atvejais</w:t>
            </w:r>
            <w:r>
              <w:t xml:space="preserve">. Todėl svarbu, kad </w:t>
            </w:r>
            <w:r>
              <w:lastRenderedPageBreak/>
              <w:t xml:space="preserve">lygybės įstaigos galėtų veikti </w:t>
            </w:r>
            <w:r>
              <w:rPr>
                <w:b/>
                <w:i/>
              </w:rPr>
              <w:t xml:space="preserve">ir pradėti teismo procesą </w:t>
            </w:r>
            <w:r>
              <w:t>savo vardu, gindamo</w:t>
            </w:r>
            <w:r>
              <w:t>s viešąjį interesą</w:t>
            </w:r>
            <w:r>
              <w:rPr>
                <w:b/>
                <w:i/>
              </w:rPr>
              <w:t>, tais atvejais, kai buvo nustatyta diskriminacija, nedalyvaujant nustatytam nukentėjusiam asmeniui.</w:t>
            </w:r>
            <w:r>
              <w:t xml:space="preserve"> </w:t>
            </w:r>
            <w:r>
              <w:rPr>
                <w:b/>
                <w:i/>
              </w:rPr>
              <w:t>Taip pat svarbu, kad jos galėtų imtis veiksmų tais atvejais, kai naudojamasi kolektyviniu teisių gynimu</w:t>
            </w:r>
            <w:r>
              <w:t>;</w:t>
            </w:r>
          </w:p>
        </w:tc>
      </w:tr>
      <w:tr w:rsidR="00E471E0" w:rsidTr="008A459A">
        <w:trPr>
          <w:jc w:val="center"/>
        </w:trPr>
        <w:tc>
          <w:tcPr>
            <w:tcW w:w="4876" w:type="dxa"/>
            <w:hideMark/>
          </w:tcPr>
          <w:p w:rsidR="00EB6090" w:rsidRPr="0065259B" w:rsidRDefault="0025755D" w:rsidP="008A459A">
            <w:pPr>
              <w:pStyle w:val="Normal6"/>
            </w:pPr>
            <w:r>
              <w:lastRenderedPageBreak/>
              <w:t>__________________</w:t>
            </w:r>
          </w:p>
        </w:tc>
        <w:tc>
          <w:tcPr>
            <w:tcW w:w="4876" w:type="dxa"/>
            <w:hideMark/>
          </w:tcPr>
          <w:p w:rsidR="00EB6090" w:rsidRPr="0065259B" w:rsidRDefault="0025755D" w:rsidP="008A459A">
            <w:pPr>
              <w:pStyle w:val="Normal6"/>
              <w:rPr>
                <w:szCs w:val="24"/>
              </w:rPr>
            </w:pPr>
            <w:r>
              <w:t>____________</w:t>
            </w:r>
            <w:r>
              <w:t>______</w:t>
            </w:r>
          </w:p>
        </w:tc>
      </w:tr>
      <w:tr w:rsidR="00E471E0" w:rsidTr="008A459A">
        <w:trPr>
          <w:jc w:val="center"/>
        </w:trPr>
        <w:tc>
          <w:tcPr>
            <w:tcW w:w="4876" w:type="dxa"/>
            <w:hideMark/>
          </w:tcPr>
          <w:p w:rsidR="00EB6090" w:rsidRPr="0065259B" w:rsidRDefault="0025755D" w:rsidP="008A459A">
            <w:pPr>
              <w:pStyle w:val="Normal6"/>
            </w:pPr>
            <w:r>
              <w:rPr>
                <w:vertAlign w:val="superscript"/>
              </w:rPr>
              <w:t>71</w:t>
            </w:r>
            <w:r>
              <w:t xml:space="preserve"> 2008 m. liepos 10 d. Sprendimas </w:t>
            </w:r>
            <w:r>
              <w:rPr>
                <w:i/>
                <w:iCs/>
              </w:rPr>
              <w:t>Feryn</w:t>
            </w:r>
            <w:r>
              <w:t>, C-54/07, ECLI:EU:C:2008:397.</w:t>
            </w:r>
          </w:p>
        </w:tc>
        <w:tc>
          <w:tcPr>
            <w:tcW w:w="4876" w:type="dxa"/>
            <w:hideMark/>
          </w:tcPr>
          <w:p w:rsidR="00EB6090" w:rsidRPr="0065259B" w:rsidRDefault="0025755D" w:rsidP="008A459A">
            <w:pPr>
              <w:pStyle w:val="Normal6"/>
              <w:rPr>
                <w:szCs w:val="24"/>
              </w:rPr>
            </w:pPr>
            <w:r>
              <w:rPr>
                <w:vertAlign w:val="superscript"/>
              </w:rPr>
              <w:t>71</w:t>
            </w:r>
            <w:r>
              <w:t xml:space="preserve"> 2008 m. liepos 10 d. Sprendimas </w:t>
            </w:r>
            <w:r>
              <w:rPr>
                <w:i/>
                <w:iCs/>
              </w:rPr>
              <w:t>Feryn</w:t>
            </w:r>
            <w:r>
              <w:t>, C-54/07, ECLI:EU:C:2008:397.</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30</w:t>
      </w:r>
      <w:r>
        <w:t xml:space="preserve">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(30a)</w:t>
            </w:r>
            <w:r>
              <w:rPr>
                <w:b/>
                <w:i/>
              </w:rPr>
              <w:tab/>
              <w:t xml:space="preserve">šia direktyva taip pat siekiama spręsti diskriminacijos atvejus, susijusius su bet kurios privačios ar viešosios organizacijos, įskaitant teisėsaugos institucijas, </w:t>
            </w:r>
            <w:r>
              <w:rPr>
                <w:b/>
                <w:i/>
              </w:rPr>
              <w:t>procedūromis, nusistovėjusia tvarka ir organizacine kultūra, kuriais prisidedama prie to, kad kai kurios gyventojų grupės pasiekia mažiau palankių rezultatų. Lygybės įstaigos turėtų turėti galimybę sustiprinti institucinės diskriminacijos prevencijos priem</w:t>
            </w:r>
            <w:r>
              <w:rPr>
                <w:b/>
                <w:i/>
              </w:rPr>
              <w:t>ones ir parengti sistemines teisių gynimo priemones, kurios leistų nuosekliai reaguoti į struktūrinę ar sisteminę diskriminaciją visuose sektoriuose;</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31</w:t>
      </w:r>
      <w:r>
        <w:t xml:space="preserve">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(31)</w:t>
            </w:r>
            <w:r>
              <w:tab/>
              <w:t xml:space="preserve">lygybės įstaigos taip pat turėtų turėti galimybę teismams žodžiu ar raštu </w:t>
            </w:r>
            <w:r>
              <w:lastRenderedPageBreak/>
              <w:t xml:space="preserve">teikti pareiškimus – pvz., kaip </w:t>
            </w:r>
            <w:r>
              <w:rPr>
                <w:i/>
                <w:iCs/>
              </w:rPr>
              <w:t>amicus curiae</w:t>
            </w:r>
            <w:r>
              <w:t> – ir taip paprastesniu būdu padėti nagrinėti bylas teikda</w:t>
            </w:r>
            <w:r>
              <w:t>mos savo ekspertų nuomonę;</w:t>
            </w:r>
          </w:p>
        </w:tc>
        <w:tc>
          <w:tcPr>
            <w:tcW w:w="4876" w:type="dxa"/>
            <w:hideMark/>
          </w:tcPr>
          <w:p w:rsidR="00EB6090" w:rsidRPr="0065259B" w:rsidRDefault="0025755D" w:rsidP="008A459A">
            <w:pPr>
              <w:pStyle w:val="Normal6"/>
              <w:rPr>
                <w:szCs w:val="24"/>
              </w:rPr>
            </w:pPr>
            <w:r>
              <w:lastRenderedPageBreak/>
              <w:t>(31)</w:t>
            </w:r>
            <w:r>
              <w:tab/>
              <w:t>lygybės įstaigos taip pat turėtų turėti galimybę teismams</w:t>
            </w:r>
            <w:r>
              <w:rPr>
                <w:b/>
                <w:i/>
              </w:rPr>
              <w:t xml:space="preserve">, valdžios </w:t>
            </w:r>
            <w:r>
              <w:rPr>
                <w:b/>
                <w:i/>
              </w:rPr>
              <w:lastRenderedPageBreak/>
              <w:t>institucijoms ir ginčų sprendimo institucijoms</w:t>
            </w:r>
            <w:r>
              <w:t xml:space="preserve"> žodžiu ar raštu teikti pareiškimus – pvz., kaip </w:t>
            </w:r>
            <w:r>
              <w:rPr>
                <w:i/>
                <w:iCs/>
              </w:rPr>
              <w:t>amicus curiae</w:t>
            </w:r>
            <w:r>
              <w:rPr>
                <w:b/>
                <w:i/>
              </w:rPr>
              <w:t>, trečiosios šalys ar ekspertai</w:t>
            </w:r>
            <w:r>
              <w:t> – ir taip papras</w:t>
            </w:r>
            <w:r>
              <w:t>tesniu būdu padėti nagrinėti bylas teikdamos savo ekspertų nuomonę;</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(32)</w:t>
            </w:r>
            <w:r>
              <w:tab/>
            </w:r>
            <w:r>
              <w:t xml:space="preserve">lygybės įstaigų </w:t>
            </w:r>
            <w:r>
              <w:rPr>
                <w:b/>
                <w:i/>
              </w:rPr>
              <w:t>teisė</w:t>
            </w:r>
            <w:r>
              <w:t xml:space="preserve"> veikti teisme turi atitikti teisingo bylos nagrinėjimo ir procesinės lygybės principus. Todėl, išskyrus atvejus, kai lygybės įstaiga veikia kaip proceso dėl savo sprendimo vykdymo užtikrinimo ar teisminės peržiūros šalis arba veikia k</w:t>
            </w:r>
            <w:r>
              <w:t xml:space="preserve">aip </w:t>
            </w:r>
            <w:r>
              <w:rPr>
                <w:i/>
                <w:iCs/>
              </w:rPr>
              <w:t>amicus curiae</w:t>
            </w:r>
            <w:r>
              <w:t>, lygybės įstaigai neturėtų būti leidžiama teismo procese pateikti įrodymų, gautų atliekant ankstesnius tos pačios bylos tyrimus, kuriuos įtariamas nusikalstamos veikos vykdytojas arba bet kuri trečioji šalis teisiškai privalėjo pateikti;</w:t>
            </w:r>
          </w:p>
        </w:tc>
        <w:tc>
          <w:tcPr>
            <w:tcW w:w="4876" w:type="dxa"/>
            <w:hideMark/>
          </w:tcPr>
          <w:p w:rsidR="00EB6090" w:rsidRPr="0065259B" w:rsidRDefault="0025755D" w:rsidP="008A459A">
            <w:pPr>
              <w:pStyle w:val="Normal6"/>
              <w:rPr>
                <w:szCs w:val="24"/>
              </w:rPr>
            </w:pPr>
            <w:r>
              <w:t>(32)</w:t>
            </w:r>
            <w:r>
              <w:tab/>
              <w:t xml:space="preserve">lygybės įstaigų </w:t>
            </w:r>
            <w:r>
              <w:rPr>
                <w:b/>
                <w:i/>
              </w:rPr>
              <w:t>teisės kreiptis į institucijas bei ginčų sprendimo institucijas ir</w:t>
            </w:r>
            <w:r>
              <w:t xml:space="preserve"> veikti teisme turi atitikti teisingo bylos nagrinėjimo ir procesinės lygybės principus. Todėl, išskyrus atvejus, kai lygybės įstaiga veikia kaip proceso dėl savo sprend</w:t>
            </w:r>
            <w:r>
              <w:t xml:space="preserve">imo vykdymo užtikrinimo ar teisminės peržiūros šalis arba veikia kaip </w:t>
            </w:r>
            <w:r>
              <w:rPr>
                <w:i/>
                <w:iCs/>
              </w:rPr>
              <w:t>amicus curiae</w:t>
            </w:r>
            <w:r>
              <w:t>, lygybės įstaigai neturėtų būti leidžiama teismo procese pateikti įrodymų, gautų atliekant ankstesnius tos pačios bylos tyrimus, kuriuos įtariamas nusikalstamos veikos vykd</w:t>
            </w:r>
            <w:r>
              <w:t>ytojas arba bet kuri trečioji šalis teisiškai privalėjo pateikti;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(34)</w:t>
            </w:r>
            <w:r>
              <w:tab/>
            </w:r>
            <w:r>
              <w:t>nuostatos dėl lygybės įstaigų teisės veikti teismo procese nekeičia aukų teisių ir asociacijų, organizacijų ar kitų juridinių asmenų, kurie užtikrina, kad būtų paisoma aukų teisių ir kurie pagal jų nacionalinėje teisėje nustatytus kriterijus turi teisėtą i</w:t>
            </w:r>
            <w:r>
              <w:t xml:space="preserve">nteresą užtikrinti, kad būtų laikomasi direktyvų 2006/54/EB ir 2010/41/ES, </w:t>
            </w:r>
            <w:r>
              <w:lastRenderedPageBreak/>
              <w:t>teisių, kaip nustatyta tose direktyvose;</w:t>
            </w:r>
          </w:p>
        </w:tc>
        <w:tc>
          <w:tcPr>
            <w:tcW w:w="4876" w:type="dxa"/>
            <w:hideMark/>
          </w:tcPr>
          <w:p w:rsidR="00EB6090" w:rsidRPr="0065259B" w:rsidRDefault="0025755D" w:rsidP="008A459A">
            <w:pPr>
              <w:pStyle w:val="Normal6"/>
              <w:rPr>
                <w:szCs w:val="24"/>
              </w:rPr>
            </w:pPr>
            <w:r>
              <w:lastRenderedPageBreak/>
              <w:t>(34)</w:t>
            </w:r>
            <w:r>
              <w:tab/>
              <w:t xml:space="preserve">nuostatos dėl lygybės įstaigų teisės </w:t>
            </w:r>
            <w:r>
              <w:rPr>
                <w:b/>
                <w:i/>
              </w:rPr>
              <w:t xml:space="preserve">kreiptis į valdžios institucijas bei ginčų sprendimo institucijas ir </w:t>
            </w:r>
            <w:r>
              <w:t>veikti teismo procese nekeiči</w:t>
            </w:r>
            <w:r>
              <w:t xml:space="preserve">a aukų teisių ir asociacijų, organizacijų ar kitų juridinių asmenų, kurie užtikrina, kad būtų paisoma aukų teisių ir kurie pagal jų nacionalinėje teisėje nustatytus kriterijus turi teisėtą interesą užtikrinti, kad būtų laikomasi direktyvų </w:t>
            </w:r>
            <w:r>
              <w:lastRenderedPageBreak/>
              <w:t>2006/54/EB ir 201</w:t>
            </w:r>
            <w:r>
              <w:t>0/41/ES, teisių, kaip nustatyta tose direktyvose;</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(36)</w:t>
            </w:r>
            <w:r>
              <w:tab/>
              <w:t xml:space="preserve">reikėtų užtikrinti, </w:t>
            </w:r>
            <w:r>
              <w:t>kad lygybės įstaigų paslaugomis ir leidiniais galėtų vienodomis sąlygomis naudotis visi. Tuo tikslu reikėtų nustatyti ir pašalinti galimas kliūtis naudotis lygybės įstaigų paslaugomis. Skundą pateikusiems asmenims paslaugos turėtų būti teikiamos nemokamai.</w:t>
            </w:r>
            <w:r>
              <w:t xml:space="preserve"> Valstybės narės taip pat turėtų užtikrinti, kad lygybės įstaigų paslaugos visiems nuo diskriminacijos galintiems nekentėti asmenims būtų prieinamos visoje jų teritorijoje, pvz., įkurdamos vietos </w:t>
            </w:r>
            <w:r>
              <w:rPr>
                <w:b/>
                <w:i/>
              </w:rPr>
              <w:t>biurų</w:t>
            </w:r>
            <w:r>
              <w:t>, įskaitant mobiliuosius biurus, rengdamos vietines kam</w:t>
            </w:r>
            <w:r>
              <w:t>panijas arba bendradarbiaudamos su vietos atstovais ar pilietinės visuomenės organizacijomis;</w:t>
            </w:r>
          </w:p>
        </w:tc>
        <w:tc>
          <w:tcPr>
            <w:tcW w:w="4876" w:type="dxa"/>
            <w:hideMark/>
          </w:tcPr>
          <w:p w:rsidR="00EB6090" w:rsidRPr="0065259B" w:rsidRDefault="0025755D" w:rsidP="008A459A">
            <w:pPr>
              <w:pStyle w:val="Normal6"/>
              <w:rPr>
                <w:szCs w:val="24"/>
              </w:rPr>
            </w:pPr>
            <w:r>
              <w:t>(36)</w:t>
            </w:r>
            <w:r>
              <w:tab/>
              <w:t>reikėtų užtikrinti, kad lygybės įstaigų paslaugomis ir leidiniais</w:t>
            </w:r>
            <w:r>
              <w:rPr>
                <w:b/>
                <w:i/>
              </w:rPr>
              <w:t>, įskaitant internetu,</w:t>
            </w:r>
            <w:r>
              <w:t xml:space="preserve"> galėtų vienodomis sąlygomis naudotis visi. Tuo tikslu reikėtų nustaty</w:t>
            </w:r>
            <w:r>
              <w:t>ti ir pašalinti galimas kliūtis naudotis lygybės įstaigų paslaugomis. Skundą pateikusiems asmenims paslaugos turėtų būti teikiamos nemokamai. Valstybės narės taip pat turėtų</w:t>
            </w:r>
            <w:r>
              <w:rPr>
                <w:b/>
                <w:i/>
              </w:rPr>
              <w:t>, atsižvelgdamos į regionų ir vietos valdžios institucijoms paskirtas kompetencijas</w:t>
            </w:r>
            <w:r>
              <w:rPr>
                <w:b/>
                <w:i/>
              </w:rPr>
              <w:t>,</w:t>
            </w:r>
            <w:r>
              <w:t xml:space="preserve"> užtikrinti, kad lygybės įstaigų paslaugos visiems nuo diskriminacijos galintiems nekentėti asmenims būtų prieinamos visoje jų teritorijoje, pvz., įkurdamos</w:t>
            </w:r>
            <w:r>
              <w:rPr>
                <w:b/>
                <w:i/>
              </w:rPr>
              <w:t>, kai reikia,</w:t>
            </w:r>
            <w:r>
              <w:t xml:space="preserve"> vietos </w:t>
            </w:r>
            <w:r>
              <w:rPr>
                <w:b/>
                <w:i/>
              </w:rPr>
              <w:t>ir regionų biurus</w:t>
            </w:r>
            <w:r>
              <w:t xml:space="preserve">, įskaitant mobiliuosius biurus, rengdamos vietines </w:t>
            </w:r>
            <w:r>
              <w:t>kampanijas arba bendradarbiaudamos su vietos atstovais ar pilietinės visuomenės organizacijomis</w:t>
            </w:r>
            <w:r>
              <w:rPr>
                <w:b/>
                <w:i/>
              </w:rPr>
              <w:t>.</w:t>
            </w:r>
            <w:r>
              <w:t xml:space="preserve"> </w:t>
            </w:r>
            <w:r>
              <w:rPr>
                <w:b/>
                <w:i/>
              </w:rPr>
              <w:t>Ypatingas dėmesys turėtų būti skiriamas tam, kad būtų užtikrintos galimybės naudotis paslaugomis nepalankioje padėtyje esančioms grupėms</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28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(37)</w:t>
            </w:r>
            <w:r>
              <w:tab/>
              <w:t>Sąjunga ir visos valstybės narės yra prisijungusios prie JT neįgaliųjų teisių konvencijo</w:t>
            </w:r>
            <w:r>
              <w:t>s</w:t>
            </w:r>
            <w:r>
              <w:rPr>
                <w:vertAlign w:val="superscript"/>
              </w:rPr>
              <w:t>73</w:t>
            </w:r>
            <w:r>
              <w:t xml:space="preserve"> (JT NTK), kurioje nustatyta pareiga drausti diskriminaciją dėl negalios </w:t>
            </w:r>
            <w:r>
              <w:lastRenderedPageBreak/>
              <w:t>ir žmonėms su negalia užtikrinti vienodą ir veiksmingą teisinę apsaugą nuo diskriminacijos bet kokiu pagrindu. Ši direktyva turėtų būti aiškinama taip, kad derėtų su JT NTK. Siekia</w:t>
            </w:r>
            <w:r>
              <w:t>nt žmonėms su negalia užtikrinti vienodą ir veiksmingą teisinę apsaugą ir galimybę naudotis visomis lygybės įstaigų paslaugomis ir veiksmais, būtina užtikrinti prieinamumą pagal Direktyvoje (ES) 2019/882 nustatytus reikalavimus ir sudaryti tinkamas sąlygas</w:t>
            </w:r>
            <w:r>
              <w:t>. Lygybės įstaigos turėtų užtikrinti fizinį ir skaitmeninį</w:t>
            </w:r>
            <w:r>
              <w:rPr>
                <w:vertAlign w:val="superscript"/>
              </w:rPr>
              <w:t>74</w:t>
            </w:r>
            <w:r>
              <w:t xml:space="preserve"> prieinamumą neleisdamos kurti kliūčių ir šalindamos kliūtis, su kuriomis žmonės su negalia gali susidurti siekdami pasinaudoti jų paslaugomis ir gauti informacijos, taip pat turėtų sudaryti tinka</w:t>
            </w:r>
            <w:r>
              <w:t>mas sąlygas imdamosi reikiamų ir tinkamų pakeitimų ir pataisymų, kai to reikia konkrečiu atveju;</w:t>
            </w:r>
          </w:p>
        </w:tc>
        <w:tc>
          <w:tcPr>
            <w:tcW w:w="4876" w:type="dxa"/>
            <w:hideMark/>
          </w:tcPr>
          <w:p w:rsidR="00EB6090" w:rsidRPr="0065259B" w:rsidRDefault="0025755D" w:rsidP="008A459A">
            <w:pPr>
              <w:pStyle w:val="Normal6"/>
              <w:rPr>
                <w:szCs w:val="24"/>
              </w:rPr>
            </w:pPr>
            <w:r>
              <w:lastRenderedPageBreak/>
              <w:t>(37)</w:t>
            </w:r>
            <w:r>
              <w:tab/>
              <w:t>Sąjunga ir visos valstybės narės yra prisijungusios prie JT neįgaliųjų teisių konvencijos</w:t>
            </w:r>
            <w:r>
              <w:rPr>
                <w:vertAlign w:val="superscript"/>
              </w:rPr>
              <w:t>73</w:t>
            </w:r>
            <w:r>
              <w:t xml:space="preserve"> (JT NTK), kurioje nustatyta pareiga drausti diskriminaciją dėl negalios </w:t>
            </w:r>
            <w:r>
              <w:lastRenderedPageBreak/>
              <w:t xml:space="preserve">ir žmonėms su negalia užtikrinti vienodą ir veiksmingą teisinę apsaugą nuo diskriminacijos bet kokiu pagrindu. Ši direktyva turėtų būti aiškinama taip, kad derėtų su JT NTK. Siekiant </w:t>
            </w:r>
            <w:r>
              <w:t>žmonėms su negalia užtikrinti vienodą ir veiksmingą teisinę apsaugą ir galimybę naudotis visomis lygybės įstaigų paslaugomis ir veiksmais, būtina užtikrinti prieinamumą pagal Direktyvoje (ES) 2019/882 nustatytus reikalavimus ir sudaryti tinkamas sąlygas. L</w:t>
            </w:r>
            <w:r>
              <w:t>ygybės įstaigos turėtų užtikrinti fizinį ir skaitmeninį</w:t>
            </w:r>
            <w:r>
              <w:rPr>
                <w:vertAlign w:val="superscript"/>
              </w:rPr>
              <w:t>74</w:t>
            </w:r>
            <w:r>
              <w:t xml:space="preserve"> prieinamumą neleisdamos kurti kliūčių ir šalindamos kliūtis, su kuriomis žmonės su negalia gali susidurti siekdami pasinaudoti jų paslaugomis ir gauti informacijos, taip pat turėtų sudaryti tinkamas</w:t>
            </w:r>
            <w:r>
              <w:t xml:space="preserve"> sąlygas imdamosi reikiamų ir tinkamų pakeitimų ir pataisymų, kai to reikia konkrečiu atveju</w:t>
            </w:r>
            <w:r>
              <w:rPr>
                <w:b/>
                <w:i/>
              </w:rPr>
              <w:t>. Lygybės įstaigos pagal savo įgaliojimus turėtų aprėpti visų formų diskriminaciją, patiriamą neįgaliųjų, vadovaujantis JT NTK, įskaitant tiesioginę ir netiesioginę</w:t>
            </w:r>
            <w:r>
              <w:rPr>
                <w:b/>
                <w:i/>
              </w:rPr>
              <w:t xml:space="preserve"> diskriminaciją, atsisakymą tinkamai pritaikyti sąlygas, asociatyviąją diskriminaciją, priekabiavimą, nurodymus diskriminuoti, taip pat viktimizaciją ir neapykantos retoriką</w:t>
            </w:r>
            <w:r>
              <w:t>;</w:t>
            </w:r>
          </w:p>
        </w:tc>
      </w:tr>
      <w:tr w:rsidR="00E471E0" w:rsidTr="008A459A">
        <w:trPr>
          <w:jc w:val="center"/>
        </w:trPr>
        <w:tc>
          <w:tcPr>
            <w:tcW w:w="4876" w:type="dxa"/>
            <w:hideMark/>
          </w:tcPr>
          <w:p w:rsidR="00EB6090" w:rsidRPr="0065259B" w:rsidRDefault="0025755D" w:rsidP="008A459A">
            <w:pPr>
              <w:pStyle w:val="Normal6"/>
            </w:pPr>
            <w:r>
              <w:lastRenderedPageBreak/>
              <w:t>__________________</w:t>
            </w:r>
          </w:p>
        </w:tc>
        <w:tc>
          <w:tcPr>
            <w:tcW w:w="4876" w:type="dxa"/>
            <w:hideMark/>
          </w:tcPr>
          <w:p w:rsidR="00EB6090" w:rsidRPr="0065259B" w:rsidRDefault="0025755D" w:rsidP="008A459A">
            <w:pPr>
              <w:pStyle w:val="Normal6"/>
              <w:rPr>
                <w:szCs w:val="24"/>
              </w:rPr>
            </w:pPr>
            <w:r>
              <w:t>__________________</w:t>
            </w:r>
          </w:p>
        </w:tc>
      </w:tr>
      <w:tr w:rsidR="00E471E0" w:rsidTr="008A459A">
        <w:trPr>
          <w:jc w:val="center"/>
        </w:trPr>
        <w:tc>
          <w:tcPr>
            <w:tcW w:w="4876" w:type="dxa"/>
            <w:hideMark/>
          </w:tcPr>
          <w:p w:rsidR="00EB6090" w:rsidRPr="0065259B" w:rsidRDefault="0025755D" w:rsidP="008A459A">
            <w:pPr>
              <w:pStyle w:val="Normal6"/>
            </w:pPr>
            <w:r>
              <w:rPr>
                <w:vertAlign w:val="superscript"/>
              </w:rPr>
              <w:t>73</w:t>
            </w:r>
            <w:r>
              <w:t xml:space="preserve"> OL L 23, 2010 1 27, p. 37.</w:t>
            </w:r>
          </w:p>
        </w:tc>
        <w:tc>
          <w:tcPr>
            <w:tcW w:w="4876" w:type="dxa"/>
            <w:hideMark/>
          </w:tcPr>
          <w:p w:rsidR="00EB6090" w:rsidRPr="0065259B" w:rsidRDefault="0025755D" w:rsidP="008A459A">
            <w:pPr>
              <w:pStyle w:val="Normal6"/>
              <w:rPr>
                <w:szCs w:val="24"/>
              </w:rPr>
            </w:pPr>
            <w:r>
              <w:rPr>
                <w:vertAlign w:val="superscript"/>
              </w:rPr>
              <w:t>73</w:t>
            </w:r>
            <w:r>
              <w:t xml:space="preserve"> OL L 23,</w:t>
            </w:r>
            <w:r>
              <w:t xml:space="preserve"> 2010 1 27, p. 37.</w:t>
            </w:r>
          </w:p>
        </w:tc>
      </w:tr>
      <w:tr w:rsidR="00E471E0" w:rsidTr="008A459A">
        <w:trPr>
          <w:jc w:val="center"/>
        </w:trPr>
        <w:tc>
          <w:tcPr>
            <w:tcW w:w="4876" w:type="dxa"/>
            <w:hideMark/>
          </w:tcPr>
          <w:p w:rsidR="00EB6090" w:rsidRPr="0065259B" w:rsidRDefault="0025755D" w:rsidP="008A459A">
            <w:pPr>
              <w:pStyle w:val="Normal6"/>
            </w:pPr>
            <w:r>
              <w:rPr>
                <w:vertAlign w:val="superscript"/>
              </w:rPr>
              <w:t>74</w:t>
            </w:r>
            <w:r>
              <w:t xml:space="preserve"> Žr. 2016 m. spalio 26 d. Europos Parlamento ir Tarybos direktyvą (ES) 2016/2102 dėl viešojo sektoriaus institucijų interneto svetainių ir mobiliųjų programų prieinamumo (OL L 327, 2016 12 2, p. 1–15) ir susijusį Įgyvendinimo sprendim</w:t>
            </w:r>
            <w:r>
              <w:t>ą.</w:t>
            </w:r>
          </w:p>
        </w:tc>
        <w:tc>
          <w:tcPr>
            <w:tcW w:w="4876" w:type="dxa"/>
            <w:hideMark/>
          </w:tcPr>
          <w:p w:rsidR="00EB6090" w:rsidRPr="0065259B" w:rsidRDefault="0025755D" w:rsidP="008A459A">
            <w:pPr>
              <w:pStyle w:val="Normal6"/>
              <w:rPr>
                <w:szCs w:val="24"/>
              </w:rPr>
            </w:pPr>
            <w:r>
              <w:rPr>
                <w:vertAlign w:val="superscript"/>
              </w:rPr>
              <w:t>74</w:t>
            </w:r>
            <w:r>
              <w:t xml:space="preserve"> Žr. 2016 m. spalio 26 d. Europos Parlamento ir Tarybos direktyvą (ES) 2016/2102 dėl viešojo sektoriaus institucijų interneto svetainių ir mobiliųjų programų prieinamumo (OL L 327, 2016 12 2, p. 1–15) ir susijusį Įgyvendinimo sprendimą.</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w:t>
      </w:r>
      <w:r>
        <w:rPr>
          <w:rStyle w:val="HideTWBExt"/>
          <w:b w:val="0"/>
        </w:rPr>
        <w:t>nd&gt;</w:t>
      </w:r>
      <w:r>
        <w:t>Pakeitimas</w:t>
      </w:r>
      <w:r>
        <w:tab/>
      </w:r>
      <w:r>
        <w:tab/>
      </w:r>
      <w:r>
        <w:rPr>
          <w:rStyle w:val="HideTWBExt"/>
          <w:b w:val="0"/>
        </w:rPr>
        <w:t>&lt;NumAm&gt;</w:t>
      </w:r>
      <w:r>
        <w:t>29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(38)</w:t>
            </w:r>
            <w:r>
              <w:tab/>
              <w:t>lygybės įstaigoms būtina sudaryti sąlygas ilguoju laikotarpiu reguliariai koordinuoti</w:t>
            </w:r>
            <w:r>
              <w:t xml:space="preserve"> veiklą ir bendradarbiauti įvairiais lygiais, kad jos mokytųsi vienos iš kitų, derintų veiklą ir užtikrintų jos nuoseklumą, be to, taip galima išplėsti jų veiklos aprėptį ir poveikį. Lygybės įstaigos</w:t>
            </w:r>
            <w:r>
              <w:rPr>
                <w:b/>
                <w:i/>
              </w:rPr>
              <w:t xml:space="preserve"> visų pirma</w:t>
            </w:r>
            <w:r>
              <w:t xml:space="preserve"> turėtų bendradarbiauti su kitomis lygybės įst</w:t>
            </w:r>
            <w:r>
              <w:t>aigomis toje pačioje ir kitose valstybėse narėse – be kita ko, Europos nacionalinių lygybės įstaigų tinkle („Equinet“), – taip pat vietos, regioninio, nacionalinio, Sąjungos ir tarptautinio lygmens viešaisiais ir privačiais subjektais, pvz., pilietinės vis</w:t>
            </w:r>
            <w:r>
              <w:t>uomenės organizacijomis, duomenų apsaugos institucijomis, profesinėmis sąjungomis, darbo ir švietimo inspekcijomis, teisėsaugos institucijomis, už žmogaus teisių gynimą nacionaliniu lygmeniu atsakingomis agentūromis, Sąjungos fondus tvarkančiomis instituci</w:t>
            </w:r>
            <w:r>
              <w:t>jomis, nacionaliniais romų informaciniais punktais, vartotojų įstaigomis ir nacionaliniais nepriklausomais JT NTK skatinimo, apsaugos ir stebėsenos mechanizmais. Taip bendradarbiaujant neturėtų būti keičiamasi asmens duomenimis (t. y. tokio pavidalo lygybė</w:t>
            </w:r>
            <w:r>
              <w:t>s duomenimis, iš kurių būtų galima nustatyti asmenis);</w:t>
            </w:r>
          </w:p>
        </w:tc>
        <w:tc>
          <w:tcPr>
            <w:tcW w:w="4876" w:type="dxa"/>
            <w:hideMark/>
          </w:tcPr>
          <w:p w:rsidR="00EB6090" w:rsidRPr="0065259B" w:rsidRDefault="0025755D" w:rsidP="008A459A">
            <w:pPr>
              <w:pStyle w:val="Normal6"/>
              <w:rPr>
                <w:szCs w:val="24"/>
              </w:rPr>
            </w:pPr>
            <w:r>
              <w:t>(38)</w:t>
            </w:r>
            <w:r>
              <w:tab/>
              <w:t>lygybės įstaigoms būtina sudaryti sąlygas ilguoju laikotarpiu reguliariai koordinuoti veiklą ir bendradarbiauti įvairiais lygiais, kad jos mokytųsi vienos iš kitų, derintų veiklą ir užtikrintų jos</w:t>
            </w:r>
            <w:r>
              <w:t xml:space="preserve"> nuoseklumą, be to, taip galima išplėsti jų veiklos aprėptį ir poveikį. </w:t>
            </w:r>
            <w:r>
              <w:rPr>
                <w:b/>
                <w:i/>
              </w:rPr>
              <w:t>Jeigu veiklą vykdo skirtingos lygybės įstaigos, jų kompetencija ir įgaliojimai turėtų būti sustiprinti ir turėtų būti užtikrinamas jų veiklos koordinavimas, kad būtų išvengta veiklos d</w:t>
            </w:r>
            <w:r>
              <w:rPr>
                <w:b/>
                <w:i/>
              </w:rPr>
              <w:t>ubliavimo, jos galėtų įgyvendinti bendrus veiksmus ir būtų galima optimizuoti išteklių naudojimą.</w:t>
            </w:r>
            <w:r>
              <w:t xml:space="preserve"> Lygybės įstaigos turėtų bendradarbiauti su kitomis lygybės įstaigomis toje pačioje ir kitose valstybėse narėse – be kita ko, Europos nacionalinių lygybės įsta</w:t>
            </w:r>
            <w:r>
              <w:t>igų tinkle („Equinet“), – taip pat vietos, regioninio, nacionalinio, Sąjungos ir tarptautinio lygmens viešaisiais ir privačiais subjektais, pvz.</w:t>
            </w:r>
            <w:r>
              <w:rPr>
                <w:b/>
                <w:i/>
              </w:rPr>
              <w:t>, socialiniais partneriais</w:t>
            </w:r>
            <w:r>
              <w:t>, pilietinės visuomenės organizacijomis, duomenų apsaugos institucijomis, profesinėmis</w:t>
            </w:r>
            <w:r>
              <w:t xml:space="preserve"> sąjungomis, darbo ir švietimo inspekcijomis, teisėsaugos institucijomis, už žmogaus teisių gynimą nacionaliniu lygmeniu atsakingomis agentūromis, Sąjungos fondus tvarkančiomis institucijomis, nacionaliniais romų informaciniais punktais, vartotojų įstaigom</w:t>
            </w:r>
            <w:r>
              <w:t>is ir nacionaliniais nepriklausomais JT NTK skatinimo, apsaugos ir stebėsenos mechanizmais. Taip bendradarbiaujant neturėtų būti keičiamasi asmens duomenimis (t. y. tokio pavidalo lygybės duomenimis, iš kurių būtų galima nustatyti asmenis)</w:t>
            </w:r>
            <w:r>
              <w:rPr>
                <w:b/>
                <w:i/>
              </w:rPr>
              <w:t>.</w:t>
            </w:r>
            <w:r>
              <w:t xml:space="preserve"> </w:t>
            </w:r>
            <w:r>
              <w:rPr>
                <w:b/>
                <w:i/>
              </w:rPr>
              <w:t>Be to, bet koks</w:t>
            </w:r>
            <w:r>
              <w:rPr>
                <w:b/>
                <w:i/>
              </w:rPr>
              <w:t xml:space="preserve"> lygybės įstaigų dalyvavimas sprendžiant su darboviete susijusius klausimus turėtų būti grindžiamas socialinių partnerių savarankiškumu, kompetencija ir prerogatyvomis, taip pat visų atitinkamų vyriausybinių agentūrų, įskaitant darbo inspekcijas, nacionali</w:t>
            </w:r>
            <w:r>
              <w:rPr>
                <w:b/>
                <w:i/>
              </w:rPr>
              <w:t xml:space="preserve">nius teismus ir </w:t>
            </w:r>
            <w:r>
              <w:rPr>
                <w:b/>
                <w:i/>
              </w:rPr>
              <w:lastRenderedPageBreak/>
              <w:t>kvaziteismines institucijas, pripažinta kompetencija, vadovaujantis nacionaline teise ir praktika. Vis dėlto jų egzistavimas neturėtų trukdyti lygybės įstaigoms vykdyti savo užduotis pagal savo kompetenciją</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w:t>
      </w:r>
      <w:r>
        <w:rPr>
          <w:rStyle w:val="HideTWBExt"/>
          <w:b w:val="0"/>
        </w:rPr>
        <w:t>mAm&gt;</w:t>
      </w:r>
      <w:r>
        <w:t>30</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(39)</w:t>
            </w:r>
            <w:r>
              <w:tab/>
              <w:t xml:space="preserve">lygybės įstaigos negali visapusiškai atlikti savo kaip vienodo požiūrio srities ekspertų vaidmens, </w:t>
            </w:r>
            <w:r>
              <w:t>jeigu politikos formavimo procese su jomis nėra pakankamai anksti konsultuojamasi klausimais, susijusiais su teisėmis ir pareigomis pagal direktyvas 2006/54/EB ir 2010/41/ES. Todėl valstybės narės turėtų įdiegti skaidrias procedūras, skirtas užtikrinti, ka</w:t>
            </w:r>
            <w:r>
              <w:t xml:space="preserve">d konsultacijos vyktų laiku. Jos taip pat turėtų leisti lygybės įstaigoms teikti rekomendacijas ir </w:t>
            </w:r>
            <w:r>
              <w:rPr>
                <w:b/>
                <w:i/>
              </w:rPr>
              <w:t>jas skelbti</w:t>
            </w:r>
            <w:r>
              <w:t>;</w:t>
            </w:r>
          </w:p>
        </w:tc>
        <w:tc>
          <w:tcPr>
            <w:tcW w:w="4876" w:type="dxa"/>
            <w:hideMark/>
          </w:tcPr>
          <w:p w:rsidR="00EB6090" w:rsidRPr="0065259B" w:rsidRDefault="0025755D" w:rsidP="008A459A">
            <w:pPr>
              <w:pStyle w:val="Normal6"/>
              <w:rPr>
                <w:szCs w:val="24"/>
              </w:rPr>
            </w:pPr>
            <w:r>
              <w:t>(39)</w:t>
            </w:r>
            <w:r>
              <w:tab/>
              <w:t>lygybės įstaigos negali visapusiškai atlikti savo kaip vienodo požiūrio srities ekspertų vaidmens, jeigu politikos formavimo procese su jom</w:t>
            </w:r>
            <w:r>
              <w:t>is nėra pakankamai anksti konsultuojamasi klausimais, susijusiais su teisėmis ir pareigomis pagal direktyvas 2006/54/EB ir 2010/41/ES. Todėl valstybės narės turėtų įdiegti skaidrias procedūras, skirtas užtikrinti, kad konsultacijos vyktų laiku. Jos taip pa</w:t>
            </w:r>
            <w:r>
              <w:t xml:space="preserve">t turėtų leisti lygybės įstaigoms teikti </w:t>
            </w:r>
            <w:r>
              <w:rPr>
                <w:b/>
                <w:i/>
              </w:rPr>
              <w:t xml:space="preserve">ir skelbti </w:t>
            </w:r>
            <w:r>
              <w:t xml:space="preserve">rekomendacijas ir </w:t>
            </w:r>
            <w:r>
              <w:rPr>
                <w:b/>
                <w:i/>
              </w:rPr>
              <w:t>galėti reikalauti, kad valdžios institucijos ir tarnautojai atsakytų per pagrįstą laikotarpį</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w:t>
      </w:r>
      <w:r>
        <w:rPr>
          <w:rStyle w:val="HideTWBExt"/>
          <w:b w:val="0"/>
        </w:rPr>
        <w:t>d&gt;</w:t>
      </w:r>
    </w:p>
    <w:p w:rsidR="00EB6090" w:rsidRPr="0065259B" w:rsidRDefault="0025755D" w:rsidP="00EB6090">
      <w:pPr>
        <w:pStyle w:val="NormalBold"/>
      </w:pPr>
      <w:r>
        <w:rPr>
          <w:rStyle w:val="HideTWBExt"/>
          <w:b w:val="0"/>
        </w:rPr>
        <w:t>&lt;Article&gt;</w:t>
      </w:r>
      <w:r>
        <w:t>40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(40)</w:t>
            </w:r>
            <w:r>
              <w:tab/>
              <w:t xml:space="preserve">lygybės duomenys labai svarbūs didinant informuotumą, teikiant žmonėms mokymą lyčių klausimu, kiekybiškai įvertinant diskriminaciją, nustatant tendencijas per tam </w:t>
            </w:r>
            <w:r>
              <w:t xml:space="preserve">tikrą laiką, įrodant diskriminacijos buvimą, vertinant lygybės srities teisės aktų įgyvendinimą, įrodant būtinumą imtis pozityvių veiksmų ir prisidedant prie įrodymais grindžiamo </w:t>
            </w:r>
            <w:r>
              <w:lastRenderedPageBreak/>
              <w:t>politikos formavimo</w:t>
            </w:r>
            <w:r>
              <w:rPr>
                <w:vertAlign w:val="superscript"/>
              </w:rPr>
              <w:t>75</w:t>
            </w:r>
            <w:r>
              <w:t>. Lygybės įstaigos turi tam tikru būdu prisidėti tais ti</w:t>
            </w:r>
            <w:r>
              <w:t>kslais rengiant atitinkamus lygybės duomenis, pvz., reguliariai organizuodamos apskritojo stalo diskusijas, kuriose dalyvautų visi susiję subjektai. Jos taip pat turėtų rinkti ir analizuoti savo veiklos duomenis arba vykdyti tyrimus ir turėtų turėti galimy</w:t>
            </w:r>
            <w:r>
              <w:t>bę gauti ir naudoti kitų viešųjų ar privačių subjektų – pvz., nacionalinių statistikos tarnybų, nacionalinių teismų, darbo ir švietimo inspekcijų, profesinių sąjungų ar pilietinės visuomenės organizacijų – surinktą statistinę informaciją srityse, joms pave</w:t>
            </w:r>
            <w:r>
              <w:t>stose pagal direktyvas 2006/54/EB ir 2010/41/ES. Tokioje statistinėje informacijoje neturėtų būti jokių asmens duomenų;</w:t>
            </w:r>
          </w:p>
        </w:tc>
        <w:tc>
          <w:tcPr>
            <w:tcW w:w="4876" w:type="dxa"/>
            <w:hideMark/>
          </w:tcPr>
          <w:p w:rsidR="00EB6090" w:rsidRPr="0065259B" w:rsidRDefault="0025755D" w:rsidP="008A459A">
            <w:pPr>
              <w:pStyle w:val="Normal6"/>
              <w:rPr>
                <w:szCs w:val="24"/>
              </w:rPr>
            </w:pPr>
            <w:r>
              <w:lastRenderedPageBreak/>
              <w:t>(40)</w:t>
            </w:r>
            <w:r>
              <w:tab/>
              <w:t>lygybės duomenys labai svarbūs didinant informuotumą, teikiant žmonėms mokymą lyčių klausimu, kiekybiškai įvertinant diskriminaciją</w:t>
            </w:r>
            <w:r>
              <w:t xml:space="preserve">, nustatant tendencijas per tam tikrą laiką, įrodant diskriminacijos buvimą, vertinant lygybės srities teisės aktų įgyvendinimą, įrodant būtinumą imtis pozityvių veiksmų ir prisidedant prie įrodymais grindžiamo </w:t>
            </w:r>
            <w:r>
              <w:lastRenderedPageBreak/>
              <w:t>politikos formavimo</w:t>
            </w:r>
            <w:r>
              <w:rPr>
                <w:vertAlign w:val="superscript"/>
              </w:rPr>
              <w:t>75</w:t>
            </w:r>
            <w:r>
              <w:t xml:space="preserve">. Lygybės įstaigos turi </w:t>
            </w:r>
            <w:r>
              <w:t>tam tikru būdu prisidėti tais tikslais rengiant atitinkamus lygybės duomenis, pvz., reguliariai organizuodamos apskritojo stalo diskusijas, kuriose dalyvautų visi susiję subjektai. Jos taip pat turėtų rinkti ir analizuoti savo veiklos duomenis arba vykdyti</w:t>
            </w:r>
            <w:r>
              <w:t xml:space="preserve"> tyrimus ir turėtų turėti galimybę gauti ir naudoti kitų viešųjų ar privačių subjektų – pvz., nacionalinių statistikos tarnybų, nacionalinių teismų, darbo ir švietimo inspekcijų, profesinių sąjungų ar pilietinės visuomenės organizacijų – surinktą statistin</w:t>
            </w:r>
            <w:r>
              <w:t>ę informaciją srityse, joms pavestose pagal direktyvas 2006/54/EB ir 2010/41/ES. Tokioje statistinėje informacijoje neturėtų būti jokių asmens duomenų</w:t>
            </w:r>
            <w:r>
              <w:rPr>
                <w:b/>
                <w:i/>
              </w:rPr>
              <w:t xml:space="preserve"> ir ji turėtų būti pateikiama prieinama forma, kad lygybės įstaigos galėtų ja lengvai naudotis.</w:t>
            </w:r>
            <w:r>
              <w:t xml:space="preserve"> </w:t>
            </w:r>
            <w:r>
              <w:rPr>
                <w:b/>
                <w:i/>
              </w:rPr>
              <w:t>Lygybės įs</w:t>
            </w:r>
            <w:r>
              <w:rPr>
                <w:b/>
                <w:i/>
              </w:rPr>
              <w:t>taigų darbe, susijusiame su lygybės duomenimis, turėtų būti atsižvelgiama į esamas gaires ir išteklius, skirtus lygybės duomenims, įskaitant tuos, kurie parengti ES nediskriminavimo, lygybės ir įvairovės aukšto lygio grupės Duomenų apie lygybę pogrupyje</w:t>
            </w:r>
            <w:r>
              <w:t>;</w:t>
            </w:r>
          </w:p>
        </w:tc>
      </w:tr>
      <w:tr w:rsidR="00E471E0" w:rsidTr="008A459A">
        <w:trPr>
          <w:jc w:val="center"/>
        </w:trPr>
        <w:tc>
          <w:tcPr>
            <w:tcW w:w="4876" w:type="dxa"/>
            <w:hideMark/>
          </w:tcPr>
          <w:p w:rsidR="00EB6090" w:rsidRPr="0065259B" w:rsidRDefault="0025755D" w:rsidP="008A459A">
            <w:pPr>
              <w:pStyle w:val="Normal6"/>
            </w:pPr>
            <w:r>
              <w:lastRenderedPageBreak/>
              <w:t>__________________</w:t>
            </w:r>
          </w:p>
        </w:tc>
        <w:tc>
          <w:tcPr>
            <w:tcW w:w="4876" w:type="dxa"/>
            <w:hideMark/>
          </w:tcPr>
          <w:p w:rsidR="00EB6090" w:rsidRPr="0065259B" w:rsidRDefault="0025755D" w:rsidP="008A459A">
            <w:pPr>
              <w:pStyle w:val="Normal6"/>
              <w:rPr>
                <w:szCs w:val="24"/>
              </w:rPr>
            </w:pPr>
            <w:r>
              <w:t>__________________</w:t>
            </w:r>
          </w:p>
        </w:tc>
      </w:tr>
      <w:tr w:rsidR="00E471E0" w:rsidTr="008A459A">
        <w:trPr>
          <w:jc w:val="center"/>
        </w:trPr>
        <w:tc>
          <w:tcPr>
            <w:tcW w:w="4876" w:type="dxa"/>
            <w:hideMark/>
          </w:tcPr>
          <w:p w:rsidR="00EB6090" w:rsidRPr="0065259B" w:rsidRDefault="0025755D" w:rsidP="008A459A">
            <w:pPr>
              <w:pStyle w:val="Normal6"/>
            </w:pPr>
            <w:r>
              <w:rPr>
                <w:vertAlign w:val="superscript"/>
              </w:rPr>
              <w:t>75</w:t>
            </w:r>
            <w:r>
              <w:t xml:space="preserve"> Komisijos ataskaita Europos Parlamentui ir Tarybai dėl Tarybos direktyvos 2000/43/EB, įgyvendinančios vienodo požiūrio principą asmenims nepriklausomai nuo jų rasės arba etninės priklausomybės (Rasinės lygybės dire</w:t>
            </w:r>
            <w:r>
              <w:t>ktyvos), ir Tarybos direktyvos 2000/78/EB, nustatančios vienodo požiūrio užimtumo ir profesinėje srityje bendruosius pagrindus (Lygių galimybių užimtumo srityje direktyvos), taikymo, SWD(2021) 63 final.</w:t>
            </w:r>
          </w:p>
        </w:tc>
        <w:tc>
          <w:tcPr>
            <w:tcW w:w="4876" w:type="dxa"/>
            <w:hideMark/>
          </w:tcPr>
          <w:p w:rsidR="00EB6090" w:rsidRPr="0065259B" w:rsidRDefault="0025755D" w:rsidP="008A459A">
            <w:pPr>
              <w:pStyle w:val="Normal6"/>
              <w:rPr>
                <w:szCs w:val="24"/>
              </w:rPr>
            </w:pPr>
            <w:r>
              <w:rPr>
                <w:vertAlign w:val="superscript"/>
              </w:rPr>
              <w:t>75</w:t>
            </w:r>
            <w:r>
              <w:t xml:space="preserve"> Komisijos ataskaita Europos Parlamentui ir Tarybai</w:t>
            </w:r>
            <w:r>
              <w:t xml:space="preserve"> dėl Tarybos direktyvos 2000/43/EB, įgyvendinančios vienodo požiūrio principą asmenims nepriklausomai nuo jų rasės arba etninės priklausomybės (Rasinės lygybės direktyvos), ir Tarybos direktyvos 2000/78/EB, nustatančios vienodo požiūrio užimtumo ir profesi</w:t>
            </w:r>
            <w:r>
              <w:t>nėje srityje bendruosius pagrindus (Lygių galimybių užimtumo srityje direktyvos), taikymo, SWD(2021) 63 final.</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(41)</w:t>
            </w:r>
            <w:r>
              <w:tab/>
              <w:t xml:space="preserve">lygybės įstaigos turėtų ne tik skelbti metinę savo veiklos ataskaitą, bet ir </w:t>
            </w:r>
            <w:r>
              <w:rPr>
                <w:b/>
                <w:i/>
              </w:rPr>
              <w:t>reguliariai</w:t>
            </w:r>
            <w:r>
              <w:t xml:space="preserve"> teikti su diskriminacija susijusios padėties, kuri valstybėse narėse patenka į jų įgaliojimų sritį, bendro vertinimo ataska</w:t>
            </w:r>
            <w:r>
              <w:t>itą. Tokioje ataskaitoje turėtų būti teikiama informacija viešiesiems ir privatiems subjektams, taip pat ja turėtų būti galima vadovautis nustatant lygybės įstaigų ateities prioritetus. Ataskaitose neturėtų būti pateikiama asmens duomenų;</w:t>
            </w:r>
          </w:p>
        </w:tc>
        <w:tc>
          <w:tcPr>
            <w:tcW w:w="4876" w:type="dxa"/>
            <w:hideMark/>
          </w:tcPr>
          <w:p w:rsidR="00EB6090" w:rsidRPr="0065259B" w:rsidRDefault="0025755D" w:rsidP="008A459A">
            <w:pPr>
              <w:pStyle w:val="Normal6"/>
              <w:rPr>
                <w:szCs w:val="24"/>
              </w:rPr>
            </w:pPr>
            <w:r>
              <w:t>(41)</w:t>
            </w:r>
            <w:r>
              <w:tab/>
            </w:r>
            <w:r>
              <w:t xml:space="preserve">lygybės įstaigos turėtų ne tik skelbti metinę savo veiklos ataskaitą, bet ir </w:t>
            </w:r>
            <w:r>
              <w:rPr>
                <w:b/>
                <w:i/>
              </w:rPr>
              <w:t>kas dvejus metus</w:t>
            </w:r>
            <w:r>
              <w:t xml:space="preserve"> teikti su diskriminacija susijusios padėties, kuri valstybėse narėse patenka į jų įgaliojimų sritį, bendro vertinimo ataskaitą. Tokioje ataskaitoje turėtų būti te</w:t>
            </w:r>
            <w:r>
              <w:t>ikiama informacija</w:t>
            </w:r>
            <w:r>
              <w:rPr>
                <w:b/>
                <w:i/>
              </w:rPr>
              <w:t>, rekomendacijos ir pastabos dėl jų įgyvendinimo</w:t>
            </w:r>
            <w:r>
              <w:t xml:space="preserve"> viešiesiems ir privatiems subjektams, taip pat ja turėtų būti galima vadovautis nustatant lygybės įstaigų ateities prioritetus. Ataskaitose neturėtų būti pateikiama asmens duomenų</w:t>
            </w:r>
            <w:r>
              <w:rPr>
                <w:b/>
                <w:i/>
              </w:rPr>
              <w:t>.</w:t>
            </w:r>
            <w:r>
              <w:t xml:space="preserve"> </w:t>
            </w:r>
            <w:r>
              <w:rPr>
                <w:b/>
                <w:i/>
              </w:rPr>
              <w:t xml:space="preserve">Lygybės </w:t>
            </w:r>
            <w:r>
              <w:rPr>
                <w:b/>
                <w:i/>
              </w:rPr>
              <w:t>įstaigoms turėtų būti skirta pakankamai išteklių, kad jos galėtų vykdyti joms patikėtas ataskaitų teikimo užduotis</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(42)</w:t>
            </w:r>
            <w:r>
              <w:tab/>
              <w:t xml:space="preserve">kad apibrėžtų ateities viziją ir nustatytų organizacijos siekius bei tikslus, lygybės įstaigos turėtų priimti daugiametę programą. Tai turėtų joms padėti užtikrinti, kad įvairios darbo kryptys ilgainiui derėtų, </w:t>
            </w:r>
            <w:r>
              <w:t>ir spręsti jų įgaliojimų sričiai priklausančias sistemines diskriminacijos problemas laikantis ilgalaikio veiksmų plano;</w:t>
            </w:r>
          </w:p>
        </w:tc>
        <w:tc>
          <w:tcPr>
            <w:tcW w:w="4876" w:type="dxa"/>
            <w:hideMark/>
          </w:tcPr>
          <w:p w:rsidR="00EB6090" w:rsidRPr="0065259B" w:rsidRDefault="0025755D" w:rsidP="008A459A">
            <w:pPr>
              <w:pStyle w:val="Normal6"/>
              <w:rPr>
                <w:szCs w:val="24"/>
              </w:rPr>
            </w:pPr>
            <w:r>
              <w:t>(42)</w:t>
            </w:r>
            <w:r>
              <w:tab/>
              <w:t>kad apibrėžtų ateities viziją ir nustatytų organizacijos siekius bei tikslus, lygybės įstaigos turėtų priimti daugiametę programą.</w:t>
            </w:r>
            <w:r>
              <w:t xml:space="preserve"> Tai turėtų joms padėti užtikrinti, kad įvairios darbo kryptys ilgainiui derėtų, ir spręsti jų įgaliojimų sričiai priklausančias </w:t>
            </w:r>
            <w:r>
              <w:rPr>
                <w:b/>
                <w:i/>
              </w:rPr>
              <w:t xml:space="preserve">struktūrines arba </w:t>
            </w:r>
            <w:r>
              <w:t>sistemines diskriminacijos</w:t>
            </w:r>
            <w:r>
              <w:rPr>
                <w:b/>
                <w:i/>
              </w:rPr>
              <w:t>, įskaitant diskriminaciją internete,</w:t>
            </w:r>
            <w:r>
              <w:t xml:space="preserve"> problemas laikantis ilgalaikio veiksmų plano</w:t>
            </w:r>
            <w:r>
              <w:rPr>
                <w:b/>
                <w:i/>
              </w:rPr>
              <w:t>.</w:t>
            </w:r>
            <w:r>
              <w:t xml:space="preserve"> </w:t>
            </w:r>
            <w:r>
              <w:rPr>
                <w:b/>
                <w:i/>
              </w:rPr>
              <w:t>Su visomis tokios institucijos įgaliojimo sritimis susijusi kompetencija ir įgaliojimai turėtų būti suderinti ir sustiprinti, kad kiekvienoje įgaliojimo srityje būtų galima naudotis kuo platesne kompetencija ir įgaliojimais, kuriais galima naudotis kitose</w:t>
            </w:r>
            <w:r>
              <w:rPr>
                <w:b/>
                <w:i/>
              </w:rPr>
              <w:t xml:space="preserve"> įgaliojimo srityse</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(43)</w:t>
            </w:r>
            <w:r>
              <w:tab/>
              <w:t xml:space="preserve">siekiant įvertinti šios direktyvos veiksmingumą, </w:t>
            </w:r>
            <w:r>
              <w:t>reikia nustatyti jos taikymo stebėsenos mechanizmą ir ne tik stebėti atitiktį, bet ir vertinti jos praktinį poveikį. Komisija turėtų būti atsakinga už tokią stebėseną ir reguliariai rengti taikymo ataskaitas. Siekiant užtikrinti vienodas sąlygas įgyvendint</w:t>
            </w:r>
            <w:r>
              <w:t xml:space="preserve">i 16 straipsnio 2 dalyje valstybėms narėms nustatytas pareigas teikti informaciją apie šios direktyvos praktinį poveikį, Komisijai reikėtų suteikti </w:t>
            </w:r>
            <w:r>
              <w:rPr>
                <w:b/>
                <w:i/>
              </w:rPr>
              <w:t>įgyvendinimo</w:t>
            </w:r>
            <w:r>
              <w:t xml:space="preserve"> įgaliojimus parengti atitinkamų rodiklių sąrašą, atsižvelgiant į tai, kokie duomenys turėtų būt</w:t>
            </w:r>
            <w:r>
              <w:t>i renkami. Ši stebėsena neturėtų apimti asmens duomenų tvarkymo;</w:t>
            </w:r>
          </w:p>
        </w:tc>
        <w:tc>
          <w:tcPr>
            <w:tcW w:w="4876" w:type="dxa"/>
            <w:hideMark/>
          </w:tcPr>
          <w:p w:rsidR="00EB6090" w:rsidRPr="0065259B" w:rsidRDefault="0025755D" w:rsidP="008A459A">
            <w:pPr>
              <w:pStyle w:val="Normal6"/>
              <w:rPr>
                <w:szCs w:val="24"/>
              </w:rPr>
            </w:pPr>
            <w:r>
              <w:t>(43)</w:t>
            </w:r>
            <w:r>
              <w:tab/>
              <w:t>siekiant įvertinti šios direktyvos veiksmingumą, reikia nustatyti jos taikymo stebėsenos mechanizmą ir ne tik stebėti atitiktį, bet ir vertinti jos praktinį poveikį. Komisija turėtų būti</w:t>
            </w:r>
            <w:r>
              <w:t xml:space="preserve"> atsakinga už tokią stebėseną ir reguliariai </w:t>
            </w:r>
            <w:r>
              <w:rPr>
                <w:b/>
                <w:i/>
              </w:rPr>
              <w:t xml:space="preserve">kas trejus metus </w:t>
            </w:r>
            <w:r>
              <w:t>rengti taikymo ataskaitas</w:t>
            </w:r>
            <w:r>
              <w:rPr>
                <w:b/>
                <w:i/>
              </w:rPr>
              <w:t>, grindžiamas iš valstybių narių gauta informacija ir papildomais susijusiais duomenimis, surinktais nacionaliniu ir Sąjungos lygmeniu, iš lygybės įstaigų, kitų suintere</w:t>
            </w:r>
            <w:r>
              <w:rPr>
                <w:b/>
                <w:i/>
              </w:rPr>
              <w:t>suotųjų subjektų, taip pat surinktais Europos Sąjungos pagrindinių teisių agentūros ir Europos lyčių lygybės instituto</w:t>
            </w:r>
            <w:r>
              <w:t>. Siekiant užtikrinti vienodas sąlygas įgyvendinti 16 straipsnio 2 dalyje valstybėms narėms nustatytas pareigas teikti informaciją apie ši</w:t>
            </w:r>
            <w:r>
              <w:t xml:space="preserve">os direktyvos praktinį poveikį, Komisijai reikėtų suteikti </w:t>
            </w:r>
            <w:r>
              <w:rPr>
                <w:b/>
                <w:i/>
              </w:rPr>
              <w:t>deleguotuosius</w:t>
            </w:r>
            <w:r>
              <w:t xml:space="preserve"> įgaliojimus parengti atitinkamų rodiklių sąrašą, atsižvelgiant į tai, kokie duomenys turėtų būti renkami. </w:t>
            </w:r>
            <w:r>
              <w:rPr>
                <w:b/>
                <w:i/>
              </w:rPr>
              <w:t>Į ataskaitą gali būti įtrauktas specialus vertinimas, kurio tikslas – įverti</w:t>
            </w:r>
            <w:r>
              <w:rPr>
                <w:b/>
                <w:i/>
              </w:rPr>
              <w:t xml:space="preserve">nti, ar lygybės įstaigos veikia nepriklausomai. </w:t>
            </w:r>
            <w:r>
              <w:t>Ši stebėsena neturėtų apimti asmens duomenų tvarkymo</w:t>
            </w:r>
            <w:r>
              <w:rPr>
                <w:b/>
                <w:i/>
              </w:rPr>
              <w:t>.</w:t>
            </w:r>
            <w:r>
              <w:t xml:space="preserve"> </w:t>
            </w:r>
            <w:r>
              <w:rPr>
                <w:b/>
                <w:i/>
              </w:rPr>
              <w:t>Turėtų būti įmanoma Komisijai pateikti skundus dėl tariamo nepagrįsto trukdymo lygybės įstaigoms veikti nepriklausomai</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w:t>
      </w:r>
      <w:r>
        <w:rPr>
          <w:rStyle w:val="HideTWBExt"/>
          <w:b w:val="0"/>
        </w:rPr>
        <w:t>m&gt;</w:t>
      </w:r>
      <w:r>
        <w:t>35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(44)</w:t>
            </w:r>
            <w:r>
              <w:tab/>
              <w:t>šia direktyva nustatomi būtiniausi reikalavimai</w:t>
            </w:r>
            <w:r>
              <w:rPr>
                <w:b/>
                <w:i/>
              </w:rPr>
              <w:t>, taigi valstybėms narėms suteikiama galimybė priimti</w:t>
            </w:r>
            <w:r>
              <w:t xml:space="preserve"> arba </w:t>
            </w:r>
            <w:r>
              <w:rPr>
                <w:b/>
                <w:i/>
              </w:rPr>
              <w:t xml:space="preserve">palikti </w:t>
            </w:r>
            <w:r>
              <w:rPr>
                <w:b/>
                <w:i/>
              </w:rPr>
              <w:lastRenderedPageBreak/>
              <w:t>galioti</w:t>
            </w:r>
            <w:r>
              <w:t xml:space="preserve"> palankesnes nuostatas. Šios direktyvos įgyvendinimu neturėtų būti remiamasi siekiant pateisinti kiekvienoje valstybėje narėje jau nusistovėjusios padėties </w:t>
            </w:r>
            <w:r>
              <w:rPr>
                <w:b/>
                <w:i/>
              </w:rPr>
              <w:t>suprastėjimą</w:t>
            </w:r>
            <w:r>
              <w:t>;</w:t>
            </w:r>
          </w:p>
        </w:tc>
        <w:tc>
          <w:tcPr>
            <w:tcW w:w="4876" w:type="dxa"/>
            <w:hideMark/>
          </w:tcPr>
          <w:p w:rsidR="00EB6090" w:rsidRPr="0065259B" w:rsidRDefault="0025755D" w:rsidP="008A459A">
            <w:pPr>
              <w:pStyle w:val="Normal6"/>
              <w:rPr>
                <w:szCs w:val="24"/>
              </w:rPr>
            </w:pPr>
            <w:r>
              <w:lastRenderedPageBreak/>
              <w:t>(44)</w:t>
            </w:r>
            <w:r>
              <w:tab/>
              <w:t>šia direktyva nustatomi būtiniausi reikalavimai</w:t>
            </w:r>
            <w:r>
              <w:rPr>
                <w:b/>
                <w:i/>
              </w:rPr>
              <w:t xml:space="preserve"> ir todėl val</w:t>
            </w:r>
            <w:r>
              <w:rPr>
                <w:b/>
                <w:i/>
              </w:rPr>
              <w:t>stybės narės raginamos nustatyti</w:t>
            </w:r>
            <w:r>
              <w:t xml:space="preserve"> arba </w:t>
            </w:r>
            <w:r>
              <w:rPr>
                <w:b/>
                <w:i/>
              </w:rPr>
              <w:t>toliau taikyti</w:t>
            </w:r>
            <w:r>
              <w:t xml:space="preserve"> </w:t>
            </w:r>
            <w:r>
              <w:lastRenderedPageBreak/>
              <w:t>palankesnes nuostatas. Šios direktyvos įgyvendinimu</w:t>
            </w:r>
            <w:r>
              <w:rPr>
                <w:b/>
                <w:i/>
              </w:rPr>
              <w:t xml:space="preserve"> jokiomis aplinkybėmis</w:t>
            </w:r>
            <w:r>
              <w:t xml:space="preserve"> neturėtų būti remiamasi siekiant pateisinti kiekvienoje valstybėje narėje jau nusistovėjusios padėties </w:t>
            </w:r>
            <w:r>
              <w:rPr>
                <w:b/>
                <w:i/>
              </w:rPr>
              <w:t>pablogėjimą</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w:t>
      </w:r>
      <w:r>
        <w:rPr>
          <w:rStyle w:val="HideTWBExt"/>
          <w:b w:val="0"/>
        </w:rPr>
        <w:t>end&gt;</w:t>
      </w:r>
      <w:r>
        <w:t>Pakeitimas</w:t>
      </w:r>
      <w:r>
        <w:tab/>
      </w:r>
      <w:r>
        <w:tab/>
      </w:r>
      <w:r>
        <w:rPr>
          <w:rStyle w:val="HideTWBExt"/>
          <w:b w:val="0"/>
        </w:rPr>
        <w:t>&lt;NumAm&gt;</w:t>
      </w:r>
      <w:r>
        <w:t>36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t xml:space="preserve">Šioje direktyvoje nustatomi būtiniausi lygybės įstaigų veikimo reikalavimai siekiant </w:t>
            </w:r>
            <w:r>
              <w:t>padidinti jų veiksmingumą ir užtikrinti nepriklausomumą, kad būtų griežčiau taikomas vienodo požiūrio principas, nustatytas direktyvose 2006/54/EB ir 2010/41/ES.</w:t>
            </w:r>
          </w:p>
        </w:tc>
        <w:tc>
          <w:tcPr>
            <w:tcW w:w="4876" w:type="dxa"/>
            <w:hideMark/>
          </w:tcPr>
          <w:p w:rsidR="00EB6090" w:rsidRPr="0065259B" w:rsidRDefault="0025755D" w:rsidP="008A459A">
            <w:pPr>
              <w:pStyle w:val="Normal6"/>
              <w:rPr>
                <w:szCs w:val="24"/>
              </w:rPr>
            </w:pPr>
            <w:r>
              <w:t>1.</w:t>
            </w:r>
            <w:r>
              <w:tab/>
              <w:t>Šioje direktyvoje nustatomi būtiniausi lygybės įstaigų veikimo reikalavimai siekiant padidi</w:t>
            </w:r>
            <w:r>
              <w:t xml:space="preserve">nti jų veiksmingumą </w:t>
            </w:r>
            <w:r>
              <w:rPr>
                <w:b/>
                <w:i/>
              </w:rPr>
              <w:t xml:space="preserve">tiek de jure, tiek de facto </w:t>
            </w:r>
            <w:r>
              <w:t>ir užtikrinti nepriklausomumą, kad būtų griežčiau taikomas vienodo požiūrio principas, nustatytas direktyvose 2006/54/EB ir 2010/41/ES.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w:t>
      </w:r>
      <w:r>
        <w:t xml:space="preserve"> direktyvos</w:t>
      </w:r>
      <w:r>
        <w:rPr>
          <w:rStyle w:val="HideTWBExt"/>
          <w:b w:val="0"/>
        </w:rPr>
        <w:t>&lt;/DocAmend&gt;</w:t>
      </w:r>
    </w:p>
    <w:p w:rsidR="00EB6090" w:rsidRPr="0065259B" w:rsidRDefault="0025755D" w:rsidP="00EB6090">
      <w:pPr>
        <w:pStyle w:val="NormalBold"/>
      </w:pPr>
      <w:r>
        <w:rPr>
          <w:rStyle w:val="HideTWBExt"/>
          <w:b w:val="0"/>
        </w:rPr>
        <w:t>&lt;Article&gt;</w:t>
      </w:r>
      <w:r>
        <w:t>1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w:t>
            </w:r>
            <w:r>
              <w:tab/>
              <w:t>Pagal šią direktyvą valstybėms narėms nustatomos pareigos ir lygybės įstaigoms pavedamos užduotys apima teises ir pareigas pagal direktyvas</w:t>
            </w:r>
            <w:r>
              <w:rPr>
                <w:b/>
                <w:i/>
              </w:rPr>
              <w:t xml:space="preserve"> </w:t>
            </w:r>
            <w:r>
              <w:t>2006/54/EB ir 2010/41/ES.</w:t>
            </w:r>
          </w:p>
        </w:tc>
        <w:tc>
          <w:tcPr>
            <w:tcW w:w="4876" w:type="dxa"/>
            <w:hideMark/>
          </w:tcPr>
          <w:p w:rsidR="00EB6090" w:rsidRPr="0065259B" w:rsidRDefault="0025755D" w:rsidP="008A459A">
            <w:pPr>
              <w:pStyle w:val="Normal6"/>
              <w:rPr>
                <w:szCs w:val="24"/>
              </w:rPr>
            </w:pPr>
            <w:r>
              <w:t>2.</w:t>
            </w:r>
            <w:r>
              <w:tab/>
              <w:t>Pagal šią direktyvą valstybėms narėms nustatomos pareigos ir lygybės įstaigoms pavedamos užduotys apima teises ir pareigas pagal direktyvas</w:t>
            </w:r>
            <w:r>
              <w:rPr>
                <w:b/>
                <w:i/>
              </w:rPr>
              <w:t> </w:t>
            </w:r>
            <w:r>
              <w:t>2006/54/EB ir 2010/41/ES</w:t>
            </w:r>
            <w:r>
              <w:rPr>
                <w:b/>
                <w:i/>
              </w:rPr>
              <w:t xml:space="preserve"> ir struktūrinės arba sisteminės diskriminacijos privačiame ir viešajame sektoriuose, įskaitant švietimo, mokymo, būsto, sveikatos, socialinės apsaugos ir teisėsaugos sritis, atvejus</w:t>
            </w:r>
            <w:r>
              <w:t xml:space="preserve">. </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w:t>
      </w:r>
      <w:r>
        <w:t>l direktyvos</w:t>
      </w:r>
      <w:r>
        <w:rPr>
          <w:rStyle w:val="HideTWBExt"/>
          <w:b w:val="0"/>
        </w:rPr>
        <w:t>&lt;/DocAmend&gt;</w:t>
      </w:r>
    </w:p>
    <w:p w:rsidR="00EB6090" w:rsidRPr="0065259B" w:rsidRDefault="0025755D" w:rsidP="00EB6090">
      <w:pPr>
        <w:pStyle w:val="NormalBold"/>
      </w:pPr>
      <w:r>
        <w:rPr>
          <w:rStyle w:val="HideTWBExt"/>
          <w:b w:val="0"/>
        </w:rPr>
        <w:t>&lt;Article&gt;</w:t>
      </w:r>
      <w:r>
        <w:t>1a straipsnis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jc w:val="center"/>
              <w:rPr>
                <w:szCs w:val="24"/>
              </w:rPr>
            </w:pPr>
            <w:r>
              <w:rPr>
                <w:b/>
                <w:i/>
              </w:rPr>
              <w:t>1a straipsnis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jc w:val="center"/>
              <w:rPr>
                <w:szCs w:val="24"/>
              </w:rPr>
            </w:pPr>
            <w:r>
              <w:rPr>
                <w:b/>
                <w:i/>
              </w:rPr>
              <w:t>Apibrėžtys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 Šioje direktyvoje vartojamų terminų apibrėžtys: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a) struktūrinė arba sisteminė diskriminacija – diskriminacija, </w:t>
            </w:r>
            <w:r>
              <w:rPr>
                <w:b/>
                <w:i/>
              </w:rPr>
              <w:t>kuri atsiranda tais atvejais, kai institucijose ir kitose visuomenės struktūrose esama taisyklių, normų, nusistovėjusios tvarkos, požiūrio ir elgesio modelių, kuriais, sąmoningai ar nesąmoningai, sudaromos kliūtys grupėms ar asmenims pasinaudoti tomis pači</w:t>
            </w:r>
            <w:r>
              <w:rPr>
                <w:b/>
                <w:i/>
              </w:rPr>
              <w:t>omis kaip ir kitų grupių ar asmenų teisėmis ir galimybėmis ir kuriais prisidedama prie to, kad tokios grupės ar asmenys pasiekia mažiau palankių rezultatų nei dauguma žmonių;</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b) sąveikinė diskriminacija – situacija, kai diskriminaciją lemia du ar daugiau</w:t>
            </w:r>
            <w:r>
              <w:rPr>
                <w:b/>
                <w:i/>
              </w:rPr>
              <w:t xml:space="preserve"> motyvų, dėl kurių taikoma apsauga pagal direktyvas 79/7/EEB, 2000/43/EB, 2000/78/EB, 2004/113/EB, 2006/54/EB ir 2010/41/ES, kurie veikia ir tuo pat metu sąveikauja vienas su kitu ir dėl to jie yra neatsiejami ir lemia skirtingų ir specifinių formų diskrim</w:t>
            </w:r>
            <w:r>
              <w:rPr>
                <w:b/>
                <w:i/>
              </w:rPr>
              <w:t>inaciją.</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39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 straipsnio pavadinimas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Lygybės įstaigų skyrimas</w:t>
            </w:r>
          </w:p>
        </w:tc>
        <w:tc>
          <w:tcPr>
            <w:tcW w:w="4876" w:type="dxa"/>
            <w:hideMark/>
          </w:tcPr>
          <w:p w:rsidR="00EB6090" w:rsidRPr="0065259B" w:rsidRDefault="0025755D" w:rsidP="008A459A">
            <w:pPr>
              <w:pStyle w:val="Normal6"/>
              <w:rPr>
                <w:szCs w:val="24"/>
              </w:rPr>
            </w:pPr>
            <w:r>
              <w:t>Lygybės įstaigų skyrimas</w:t>
            </w:r>
            <w:r>
              <w:rPr>
                <w:b/>
                <w:i/>
              </w:rPr>
              <w:t xml:space="preserve"> ir struktūra</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40</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Valstybės narės paskiria vieną ar kelias įstaigą (-as) (toliau – lygybės įstaigos) </w:t>
            </w:r>
            <w:r>
              <w:rPr>
                <w:b/>
                <w:i/>
              </w:rPr>
              <w:t>veikti</w:t>
            </w:r>
            <w:r>
              <w:t xml:space="preserve"> šioje direktyvoje nustatytose kompetencijos srityse.</w:t>
            </w:r>
          </w:p>
        </w:tc>
        <w:tc>
          <w:tcPr>
            <w:tcW w:w="4876" w:type="dxa"/>
            <w:hideMark/>
          </w:tcPr>
          <w:p w:rsidR="00EB6090" w:rsidRPr="0065259B" w:rsidRDefault="0025755D" w:rsidP="008A459A">
            <w:pPr>
              <w:pStyle w:val="Normal6"/>
              <w:rPr>
                <w:szCs w:val="24"/>
              </w:rPr>
            </w:pPr>
            <w:r>
              <w:t xml:space="preserve">Valstybės narės paskiria vieną ar kelias įstaigą (-as) (toliau – lygybės įstaigos) </w:t>
            </w:r>
            <w:r>
              <w:rPr>
                <w:b/>
                <w:i/>
              </w:rPr>
              <w:t xml:space="preserve">ir suteikia jai (joms) būtinų </w:t>
            </w:r>
            <w:r>
              <w:rPr>
                <w:b/>
                <w:i/>
              </w:rPr>
              <w:t>išteklių, kad veiktų</w:t>
            </w:r>
            <w:r>
              <w:t xml:space="preserve"> šioje direktyvoje nustatytose kompetencijos srityse.</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 straipsnio 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1a. Lygybės įstaigos veikla gali būti susijusi su vienu ar keliais diskriminacijos motyvais. Jeigu lygybės įstaigos veikla susijusi su keliais diskriminacijos motyvais, valstybės narės užtikrina, kad lygybės įstaigos dėmesys būtų aiškiai ir ti</w:t>
            </w:r>
            <w:r>
              <w:rPr>
                <w:b/>
                <w:i/>
              </w:rPr>
              <w:t>nkamai sutelktas į kiekvieną iš tų motyvų. Su visomis tokios institucijos įgaliojimo sritimis susijusi kompetencija ir įgaliojimai yra suderinti ir sustiprinti, kad kiekvienoje įgaliojimo srityje būtų galima naudotis kuo platesne kompetencija ir įgaliojima</w:t>
            </w:r>
            <w:r>
              <w:rPr>
                <w:b/>
                <w:i/>
              </w:rPr>
              <w:t>is, kuriais galima naudotis kitose įgaliojimo srityse.</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Lygybės įstaigos gali būti agentūrų, atsakingų už žmogaus teisių </w:t>
            </w:r>
            <w:r>
              <w:rPr>
                <w:b/>
                <w:i/>
              </w:rPr>
              <w:t>gynimą</w:t>
            </w:r>
            <w:r>
              <w:t xml:space="preserve"> arba asmenų teisių apsaugą nacionaliniu lygmeniu, dalis.</w:t>
            </w:r>
          </w:p>
        </w:tc>
        <w:tc>
          <w:tcPr>
            <w:tcW w:w="4876" w:type="dxa"/>
            <w:hideMark/>
          </w:tcPr>
          <w:p w:rsidR="00EB6090" w:rsidRPr="0065259B" w:rsidRDefault="0025755D" w:rsidP="008A459A">
            <w:pPr>
              <w:pStyle w:val="Normal6"/>
              <w:rPr>
                <w:szCs w:val="24"/>
              </w:rPr>
            </w:pPr>
            <w:r>
              <w:rPr>
                <w:b/>
                <w:i/>
              </w:rPr>
              <w:t>2.</w:t>
            </w:r>
            <w:r>
              <w:t xml:space="preserve"> Lygybės įstaigos gali būti agentūrų, atsakingų už žmogaus teisių </w:t>
            </w:r>
            <w:r>
              <w:rPr>
                <w:b/>
                <w:i/>
              </w:rPr>
              <w:t>apsaugą ir skatinimą</w:t>
            </w:r>
            <w:r>
              <w:t xml:space="preserve"> arba asmenų teisių apsaugą nacionaliniu lygmeniu, dalis</w:t>
            </w:r>
            <w:r>
              <w:rPr>
                <w:b/>
                <w:i/>
              </w:rPr>
              <w:t xml:space="preserve">, jei tai nekenkia nei lygybės įstaigos, nei atitinkamos agentūros gebėjimui atlikti savo darbą. Tokia struktūra užtikrina lygybės įstaigos matomumą ir dalyvavimą </w:t>
            </w:r>
            <w:r>
              <w:rPr>
                <w:b/>
                <w:i/>
              </w:rPr>
              <w:lastRenderedPageBreak/>
              <w:t xml:space="preserve">visais etapais ir garantuoja visišką </w:t>
            </w:r>
            <w:r>
              <w:rPr>
                <w:b/>
                <w:i/>
              </w:rPr>
              <w:t>proceso skaidrumą ir atskaitomybę</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2 straipsnio 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2a. Lygybės įstaigos užtikrina </w:t>
            </w:r>
            <w:r>
              <w:rPr>
                <w:b/>
                <w:i/>
              </w:rPr>
              <w:t>lyčių pusiausvyrą vadovų ir vyresniųjų vadovų pareigose ir yra skatinamos atsižvelgti į visos visuomenės įvairovę.</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t>Valstybės narės imasi priemonių siekdamos užtikrinti, kad lygybės įstaigos vykdydamos savo užduotis ir veikdamos savo kompetencijos srityse būtų nepriklausomos ir nepatirtų išorinės įtakos, ypač susijusios su jų te</w:t>
            </w:r>
            <w:r>
              <w:t xml:space="preserve">isine struktūra, atskaitomybe, biudžetu, aprūpinimu darbuotojais ir </w:t>
            </w:r>
            <w:r>
              <w:rPr>
                <w:b/>
                <w:i/>
              </w:rPr>
              <w:t>organizaciniais reikalais</w:t>
            </w:r>
            <w:r>
              <w:t>.</w:t>
            </w:r>
          </w:p>
        </w:tc>
        <w:tc>
          <w:tcPr>
            <w:tcW w:w="4876" w:type="dxa"/>
            <w:hideMark/>
          </w:tcPr>
          <w:p w:rsidR="00EB6090" w:rsidRPr="0065259B" w:rsidRDefault="0025755D" w:rsidP="008A459A">
            <w:pPr>
              <w:pStyle w:val="Normal6"/>
              <w:rPr>
                <w:szCs w:val="24"/>
              </w:rPr>
            </w:pPr>
            <w:r>
              <w:t>1.</w:t>
            </w:r>
            <w:r>
              <w:tab/>
              <w:t>Valstybės narės imasi priemonių siekdamos užtikrinti, kad lygybės įstaigos vykdydamos savo užduotis</w:t>
            </w:r>
            <w:r>
              <w:rPr>
                <w:b/>
                <w:i/>
              </w:rPr>
              <w:t>, priimdamos sprendimus dėl savo darbo programos ir veiksmų</w:t>
            </w:r>
            <w:r>
              <w:t xml:space="preserve"> ir veikdamos savo kompetencijos srityse būtų </w:t>
            </w:r>
            <w:r>
              <w:rPr>
                <w:b/>
                <w:i/>
              </w:rPr>
              <w:t xml:space="preserve">visiškai </w:t>
            </w:r>
            <w:r>
              <w:t>nepriklausomos</w:t>
            </w:r>
            <w:r>
              <w:rPr>
                <w:b/>
                <w:i/>
              </w:rPr>
              <w:t>, savarankiškos</w:t>
            </w:r>
            <w:r>
              <w:t xml:space="preserve"> ir nepatirtų išorinės įtakos, ypač susijusios su jų teisine struktūra, atskaitomybe, biudžetu, aprūpinimu darbuotojais ir </w:t>
            </w:r>
            <w:r>
              <w:rPr>
                <w:b/>
                <w:i/>
              </w:rPr>
              <w:t>sprendimų priėmimo funkcijomis</w:t>
            </w:r>
            <w:r>
              <w:t xml:space="preserve">. </w:t>
            </w:r>
            <w:r>
              <w:rPr>
                <w:b/>
                <w:i/>
              </w:rPr>
              <w:t xml:space="preserve">Lygybės įstaigos </w:t>
            </w:r>
            <w:r>
              <w:rPr>
                <w:b/>
                <w:i/>
              </w:rPr>
              <w:t>nesteigiamos kaip ministerijos ar vyriausybei tiesiogiai pavaldžios įstaigos dalis.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w:t>
            </w:r>
            <w:r>
              <w:tab/>
              <w:t xml:space="preserve">Valstybės narės numato skaidrias </w:t>
            </w:r>
            <w:r>
              <w:lastRenderedPageBreak/>
              <w:t>taisykles ir apsaugos priemones, susijusias su lygybės įstaigų darbuotojų</w:t>
            </w:r>
            <w:r>
              <w:rPr>
                <w:b/>
                <w:i/>
              </w:rPr>
              <w:t xml:space="preserve">, ypač einančių vadovų pareigas, </w:t>
            </w:r>
            <w:r>
              <w:t xml:space="preserve">atranka, skyrimu, atleidimu ir galimu interesų konfliktu, </w:t>
            </w:r>
            <w:r>
              <w:rPr>
                <w:b/>
                <w:i/>
              </w:rPr>
              <w:t>siekdamos užtikrinti jų kompetenciją</w:t>
            </w:r>
            <w:r>
              <w:t xml:space="preserve"> ir </w:t>
            </w:r>
            <w:r>
              <w:rPr>
                <w:b/>
                <w:i/>
              </w:rPr>
              <w:t>nepr</w:t>
            </w:r>
            <w:r>
              <w:rPr>
                <w:b/>
                <w:i/>
              </w:rPr>
              <w:t>iklausomumą</w:t>
            </w:r>
            <w:r>
              <w:t>.</w:t>
            </w:r>
          </w:p>
        </w:tc>
        <w:tc>
          <w:tcPr>
            <w:tcW w:w="4876" w:type="dxa"/>
            <w:hideMark/>
          </w:tcPr>
          <w:p w:rsidR="00EB6090" w:rsidRPr="0065259B" w:rsidRDefault="0025755D" w:rsidP="008A459A">
            <w:pPr>
              <w:pStyle w:val="Normal6"/>
              <w:rPr>
                <w:szCs w:val="24"/>
              </w:rPr>
            </w:pPr>
            <w:r>
              <w:lastRenderedPageBreak/>
              <w:t>2.</w:t>
            </w:r>
            <w:r>
              <w:tab/>
              <w:t xml:space="preserve">Valstybės narės numato skaidrias </w:t>
            </w:r>
            <w:r>
              <w:rPr>
                <w:b/>
                <w:i/>
              </w:rPr>
              <w:t xml:space="preserve">ir </w:t>
            </w:r>
            <w:r>
              <w:rPr>
                <w:b/>
                <w:i/>
              </w:rPr>
              <w:lastRenderedPageBreak/>
              <w:t xml:space="preserve">aiškias </w:t>
            </w:r>
            <w:r>
              <w:t>taisykles ir apsaugos priemones, susijusias su lygybės įstaigų darbuotojų</w:t>
            </w:r>
            <w:r>
              <w:rPr>
                <w:b/>
                <w:i/>
              </w:rPr>
              <w:t xml:space="preserve"> ir valdybos narių </w:t>
            </w:r>
            <w:r>
              <w:t xml:space="preserve">atranka, skyrimu, </w:t>
            </w:r>
            <w:r>
              <w:rPr>
                <w:b/>
                <w:i/>
              </w:rPr>
              <w:t xml:space="preserve">paaukštinimu tarnyboje, </w:t>
            </w:r>
            <w:r>
              <w:t>atleidimu ir galimu interesų konfliktu</w:t>
            </w:r>
            <w:r>
              <w:rPr>
                <w:b/>
                <w:i/>
              </w:rPr>
              <w:t>. Tos taisyklės ir apsau</w:t>
            </w:r>
            <w:r>
              <w:rPr>
                <w:b/>
                <w:i/>
              </w:rPr>
              <w:t>gos priemonės visų pirma taikomos vadovų pareigas einantiems asmenims ir jomis užtikrinamos skaidrios</w:t>
            </w:r>
            <w:r>
              <w:t xml:space="preserve">, </w:t>
            </w:r>
            <w:r>
              <w:rPr>
                <w:b/>
                <w:i/>
              </w:rPr>
              <w:t>nuopelnais grindžiamos ir dalyvaujamojo pobūdžio procedūros, kad būtų garantuojama lygybės įstaigų kompetencija, savarankiškumas</w:t>
            </w:r>
            <w:r>
              <w:t xml:space="preserve"> ir </w:t>
            </w:r>
            <w:r>
              <w:rPr>
                <w:b/>
                <w:i/>
              </w:rPr>
              <w:t>nepriklausomumas, vis</w:t>
            </w:r>
            <w:r>
              <w:rPr>
                <w:b/>
                <w:i/>
              </w:rPr>
              <w:t>ų pirma siekiant išvengti bet kokio vyriausybės kišimosi</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w:t>
            </w:r>
            <w:r>
              <w:tab/>
            </w:r>
            <w:r>
              <w:t xml:space="preserve">Valstybės narės užtikrina, kad būtų </w:t>
            </w:r>
            <w:r>
              <w:rPr>
                <w:b/>
                <w:i/>
              </w:rPr>
              <w:t>įdiegtos</w:t>
            </w:r>
            <w:r>
              <w:t xml:space="preserve">, visų pirma lygybės įstaigų vidinėje struktūroje, </w:t>
            </w:r>
            <w:r>
              <w:rPr>
                <w:b/>
                <w:i/>
              </w:rPr>
              <w:t>tinkamos</w:t>
            </w:r>
            <w:r>
              <w:t xml:space="preserve"> apsaugos </w:t>
            </w:r>
            <w:r>
              <w:rPr>
                <w:b/>
                <w:i/>
              </w:rPr>
              <w:t>priemonės</w:t>
            </w:r>
            <w:r>
              <w:t>, kuriomis būtų užtikrinamas nepriklausomas veikimas jų kompetencijos srityse, ypač jeigu kai kuriose iš jų susitelkiama į paramą auko</w:t>
            </w:r>
            <w:r>
              <w:t>ms.</w:t>
            </w:r>
          </w:p>
        </w:tc>
        <w:tc>
          <w:tcPr>
            <w:tcW w:w="4876" w:type="dxa"/>
            <w:hideMark/>
          </w:tcPr>
          <w:p w:rsidR="00EB6090" w:rsidRPr="0065259B" w:rsidRDefault="0025755D" w:rsidP="008A459A">
            <w:pPr>
              <w:pStyle w:val="Normal6"/>
              <w:rPr>
                <w:szCs w:val="24"/>
              </w:rPr>
            </w:pPr>
            <w:r>
              <w:t>3.</w:t>
            </w:r>
            <w:r>
              <w:tab/>
              <w:t xml:space="preserve">Valstybės narės užtikrina, kad būtų </w:t>
            </w:r>
            <w:r>
              <w:rPr>
                <w:b/>
                <w:i/>
              </w:rPr>
              <w:t>įdiegta</w:t>
            </w:r>
            <w:r>
              <w:t xml:space="preserve">, visų pirma lygybės įstaigų vidinėje struktūroje, </w:t>
            </w:r>
            <w:r>
              <w:rPr>
                <w:b/>
                <w:i/>
              </w:rPr>
              <w:t>pakankamai tinkamų</w:t>
            </w:r>
            <w:r>
              <w:t xml:space="preserve"> apsaugos </w:t>
            </w:r>
            <w:r>
              <w:rPr>
                <w:b/>
                <w:i/>
              </w:rPr>
              <w:t>priemonių</w:t>
            </w:r>
            <w:r>
              <w:t>, kuriomis būtų užtikrinamas nepriklausomas veikimas</w:t>
            </w:r>
            <w:r>
              <w:rPr>
                <w:b/>
                <w:i/>
              </w:rPr>
              <w:t xml:space="preserve"> visose</w:t>
            </w:r>
            <w:r>
              <w:t xml:space="preserve"> jų kompetencijos srityse</w:t>
            </w:r>
            <w:r>
              <w:rPr>
                <w:b/>
                <w:i/>
              </w:rPr>
              <w:t xml:space="preserve"> (tačiau taip pat skatinant ir nuo</w:t>
            </w:r>
            <w:r>
              <w:rPr>
                <w:b/>
                <w:i/>
              </w:rPr>
              <w:t>seklumą)</w:t>
            </w:r>
            <w:r>
              <w:t xml:space="preserve">, ypač jeigu kai kuriose iš jų </w:t>
            </w:r>
            <w:r>
              <w:rPr>
                <w:b/>
                <w:i/>
              </w:rPr>
              <w:t xml:space="preserve">būtinas nešališkumas, o kitose – </w:t>
            </w:r>
            <w:r>
              <w:t>susitelkiama į paramą aukoms</w:t>
            </w:r>
            <w:r>
              <w:rPr>
                <w:b/>
                <w:i/>
              </w:rPr>
              <w:t xml:space="preserve">, ir kartu būtų užtikrinama galimybė skirtingose įgaliojimo srityse ir bendriems darbuotojams bendradarbiauti ir koordinuoti savo veiksmus, siekiant </w:t>
            </w:r>
            <w:r>
              <w:rPr>
                <w:b/>
                <w:i/>
              </w:rPr>
              <w:t>skatinti nuoseklumą ir veiksmingumą</w:t>
            </w:r>
            <w:r>
              <w:t xml:space="preserve">. </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4.</w:t>
            </w:r>
            <w:r>
              <w:tab/>
            </w:r>
            <w:r>
              <w:t xml:space="preserve">Valstybės narės užtikrina, kad įvairių įgaliojimų turinčių įstaigų vidinėje </w:t>
            </w:r>
            <w:r>
              <w:lastRenderedPageBreak/>
              <w:t xml:space="preserve">struktūroje būtų </w:t>
            </w:r>
            <w:r>
              <w:rPr>
                <w:b/>
                <w:i/>
              </w:rPr>
              <w:t>įdiegtos tinkamos</w:t>
            </w:r>
            <w:r>
              <w:t xml:space="preserve"> apsaugos </w:t>
            </w:r>
            <w:r>
              <w:rPr>
                <w:b/>
                <w:i/>
              </w:rPr>
              <w:t>priemonės</w:t>
            </w:r>
            <w:r>
              <w:t xml:space="preserve"> siekiant, kad lygybės užtikrinimo įgaliojimai būtų vykdomi savarankiškai.</w:t>
            </w:r>
          </w:p>
        </w:tc>
        <w:tc>
          <w:tcPr>
            <w:tcW w:w="4876" w:type="dxa"/>
            <w:hideMark/>
          </w:tcPr>
          <w:p w:rsidR="00EB6090" w:rsidRPr="0065259B" w:rsidRDefault="0025755D" w:rsidP="008A459A">
            <w:pPr>
              <w:pStyle w:val="Normal6"/>
              <w:rPr>
                <w:szCs w:val="24"/>
              </w:rPr>
            </w:pPr>
            <w:r>
              <w:lastRenderedPageBreak/>
              <w:t>4.</w:t>
            </w:r>
            <w:r>
              <w:tab/>
              <w:t>Valstybės narės užtikrina, kad įvairių įgaliojimų</w:t>
            </w:r>
            <w:r>
              <w:t xml:space="preserve"> turinčių įstaigų vidinėje </w:t>
            </w:r>
            <w:r>
              <w:lastRenderedPageBreak/>
              <w:t xml:space="preserve">struktūroje būtų </w:t>
            </w:r>
            <w:r>
              <w:rPr>
                <w:b/>
                <w:i/>
              </w:rPr>
              <w:t>įdiegta pakankamai tinkamų</w:t>
            </w:r>
            <w:r>
              <w:t xml:space="preserve"> apsaugos </w:t>
            </w:r>
            <w:r>
              <w:rPr>
                <w:b/>
                <w:i/>
              </w:rPr>
              <w:t>priemonių</w:t>
            </w:r>
            <w:r>
              <w:t xml:space="preserve"> siekiant, kad lygybės užtikrinimo įgaliojimai būtų vykdomi savarankiškai.</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 straipsnio 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4a.</w:t>
            </w:r>
            <w:r>
              <w:rPr>
                <w:b/>
                <w:i/>
              </w:rPr>
              <w:tab/>
              <w:t>Lygybės įstaigos, kurios turi įvairių įgaliojimų, jei tikslinga, gali imtis veiksmų siekdamos sukurti vidaus struktūrą, kuri garantuotų, kad įvairūs</w:t>
            </w:r>
            <w:r>
              <w:rPr>
                <w:b/>
                <w:i/>
              </w:rPr>
              <w:t xml:space="preserve"> jų įgaliojimai būtų vykdomi savarankiškai.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49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3 straipsnio 4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4b.</w:t>
            </w:r>
            <w:r>
              <w:rPr>
                <w:b/>
                <w:i/>
              </w:rPr>
              <w:tab/>
              <w:t xml:space="preserve">Lygybės įstaigoms </w:t>
            </w:r>
            <w:r>
              <w:rPr>
                <w:b/>
                <w:i/>
              </w:rPr>
              <w:t>suteikiama teisė skelbti viešus pareiškimus, taip pat rengti ir skelbti mokslinius tyrimus, rekomendacijas ir ataskaitas be išankstinio valdžios ar bet kurios kitos institucijos ar išorės šalies leidimo, pritarimo ar informavimo.</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w:t>
      </w:r>
      <w:r>
        <w:t>s</w:t>
      </w:r>
      <w:r>
        <w:tab/>
      </w:r>
      <w:r>
        <w:tab/>
      </w:r>
      <w:r>
        <w:rPr>
          <w:rStyle w:val="HideTWBExt"/>
          <w:b w:val="0"/>
        </w:rPr>
        <w:t>&lt;NumAm&gt;</w:t>
      </w:r>
      <w:r>
        <w:t>50</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t>Valstybės narės užtikrina, kad kiekviena lygybės įstaiga būtų aprūpinta žmogiškaisiais, techniniais</w:t>
            </w:r>
            <w:r>
              <w:rPr>
                <w:b/>
                <w:i/>
              </w:rPr>
              <w:t xml:space="preserve"> ir</w:t>
            </w:r>
            <w:r>
              <w:t xml:space="preserve"> finansiniais ištekliais, kurių reikia veiksmingai vykdyti visoms jų užduotims ir veikti visose jų </w:t>
            </w:r>
            <w:r>
              <w:lastRenderedPageBreak/>
              <w:t>kompetencijos srityse, visais pagrindais ir visose srityse, kurioms taikomos direktyvos 2006/54/EB ir 2010/41/ES</w:t>
            </w:r>
            <w:r>
              <w:rPr>
                <w:b/>
                <w:i/>
              </w:rPr>
              <w:t>, be kita ko, padaugėjus kompetencijos sričių</w:t>
            </w:r>
            <w:r>
              <w:rPr>
                <w:b/>
                <w:i/>
              </w:rPr>
              <w:t>, pagausėjus skundų, padidėjus bylinėjimosi išlaidoms ir naudojant automatines sistemas</w:t>
            </w:r>
            <w:r>
              <w:t>.</w:t>
            </w:r>
          </w:p>
        </w:tc>
        <w:tc>
          <w:tcPr>
            <w:tcW w:w="4876" w:type="dxa"/>
            <w:hideMark/>
          </w:tcPr>
          <w:p w:rsidR="00EB6090" w:rsidRPr="0065259B" w:rsidRDefault="0025755D" w:rsidP="008A459A">
            <w:pPr>
              <w:pStyle w:val="Normal6"/>
              <w:rPr>
                <w:szCs w:val="24"/>
              </w:rPr>
            </w:pPr>
            <w:r>
              <w:lastRenderedPageBreak/>
              <w:t>1.</w:t>
            </w:r>
            <w:r>
              <w:tab/>
              <w:t xml:space="preserve">Valstybės narės </w:t>
            </w:r>
            <w:r>
              <w:rPr>
                <w:b/>
                <w:i/>
              </w:rPr>
              <w:t xml:space="preserve">pagal savo nacionalinius biudžeto sudarymo procesus </w:t>
            </w:r>
            <w:r>
              <w:t>užtikrina, kad kiekviena lygybės įstaiga būtų aprūpinta žmogiškaisiais, techniniais</w:t>
            </w:r>
            <w:r>
              <w:rPr>
                <w:b/>
                <w:i/>
              </w:rPr>
              <w:t>,</w:t>
            </w:r>
            <w:r>
              <w:t xml:space="preserve"> finansiniai</w:t>
            </w:r>
            <w:r>
              <w:t>s</w:t>
            </w:r>
            <w:r>
              <w:rPr>
                <w:b/>
                <w:i/>
              </w:rPr>
              <w:t xml:space="preserve"> ir ekspertiniais</w:t>
            </w:r>
            <w:r>
              <w:t xml:space="preserve"> </w:t>
            </w:r>
            <w:r>
              <w:lastRenderedPageBreak/>
              <w:t>ištekliais, kurių reikia veiksmingai</w:t>
            </w:r>
            <w:r>
              <w:rPr>
                <w:b/>
                <w:i/>
              </w:rPr>
              <w:t xml:space="preserve"> ir darant realų poveikį</w:t>
            </w:r>
            <w:r>
              <w:t xml:space="preserve"> vykdyti visoms jų užduotims ir veikti visose jų kompetencijos srityse, visais pagrindais ir visose srityse, kurioms taikomos direktyvos 2006/54/EB ir 2010/41/ES.</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w:t>
      </w:r>
      <w:r>
        <w:rPr>
          <w:rStyle w:val="HideTWBExt"/>
          <w:b w:val="0"/>
        </w:rPr>
        <w:t>nd&gt;</w:t>
      </w:r>
      <w:r>
        <w:t>Pakeitimas</w:t>
      </w:r>
      <w:r>
        <w:tab/>
      </w:r>
      <w:r>
        <w:tab/>
      </w:r>
      <w:r>
        <w:rPr>
          <w:rStyle w:val="HideTWBExt"/>
          <w:b w:val="0"/>
        </w:rPr>
        <w:t>&lt;NumAm&gt;</w:t>
      </w:r>
      <w:r>
        <w:t>51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 straipsnio 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1a.</w:t>
            </w:r>
            <w:r>
              <w:rPr>
                <w:b/>
                <w:i/>
              </w:rPr>
              <w:tab/>
              <w:t xml:space="preserve">Valstybės narės užtikrina, kad lygybės įstaigoms skiriami biudžeto asignavimai </w:t>
            </w:r>
            <w:r>
              <w:rPr>
                <w:b/>
                <w:i/>
              </w:rPr>
              <w:t>būtų stabilūs, numatyti daugiamečiuose planuose ir kad jų būtų numatyta pakankamai nenumatytiems atvejams, kad būtų galima padengti nenuspėjamas išlaidas. Dėl tokių išteklių suteikimo lygybės įstaigoms jokiu būdu neatsiranda jokia netiesioginė ar tiesiogin</w:t>
            </w:r>
            <w:r>
              <w:rPr>
                <w:b/>
                <w:i/>
              </w:rPr>
              <w:t>ė lygybės įstaigos pareiga tokius išteklius teikiančiai valstybei narei, jos vyriausybei ar ministerijos subjektui.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52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 straipsnio 1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1b.</w:t>
            </w:r>
            <w:r>
              <w:rPr>
                <w:b/>
                <w:i/>
              </w:rPr>
              <w:tab/>
              <w:t>Valstybės narės užtikrina, kad, padidėjus kompetencijai, padaugėjus skundų arba išaugus bylinėjimosi ar kitoms susijusioms išlaidoms, lygybės įstaigos turėtų kvalifikuotus darbuotojus, gautų atitinka</w:t>
            </w:r>
            <w:r>
              <w:rPr>
                <w:b/>
                <w:i/>
              </w:rPr>
              <w:t xml:space="preserve">mas paslaugas ir skaitmeninius išteklius, kurie būtini tam, kad įstaiga galėtų vykdyti savo užduotis, įskaitant mokslinius tyrimus, stebėseną, ataskaitų teikimą ir automatinių sistemų naudojimą. Šiuo tikslu atitinkamai </w:t>
            </w:r>
            <w:r>
              <w:rPr>
                <w:b/>
                <w:i/>
              </w:rPr>
              <w:lastRenderedPageBreak/>
              <w:t>padidinamas lygybės įstaigos biudžeta</w:t>
            </w:r>
            <w:r>
              <w:rPr>
                <w:b/>
                <w:i/>
              </w:rPr>
              <w:t>s. Lygybės įstaigų biudžetas nemažinamas.</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53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 straipsnio 1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1c.</w:t>
            </w:r>
            <w:r>
              <w:rPr>
                <w:b/>
                <w:i/>
              </w:rPr>
              <w:tab/>
              <w:t xml:space="preserve">Valstybės narės </w:t>
            </w:r>
            <w:r>
              <w:rPr>
                <w:b/>
                <w:i/>
              </w:rPr>
              <w:t>užtikrina, kad lygybės įstaigos galėtų teikti Europos nacionalinių lygybės įstaigų tinklui („Equinet“) grįžtamąją informaciją, kad šis galėtų konsultuotis pagal šios direktyvos 13 straipsnį dėl teisės aktų, politikos, procedūrų ir programų Sąjungos lygmeni</w:t>
            </w:r>
            <w:r>
              <w:rPr>
                <w:b/>
                <w:i/>
              </w:rPr>
              <w:t>u.</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54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4 straipsnio 1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1d.</w:t>
            </w:r>
            <w:r>
              <w:rPr>
                <w:b/>
                <w:i/>
              </w:rPr>
              <w:tab/>
              <w:t>Valstybės narės užtikrina, kad bylinėjimosi išlaidoms padengti</w:t>
            </w:r>
            <w:r>
              <w:rPr>
                <w:b/>
                <w:i/>
              </w:rPr>
              <w:t xml:space="preserve"> būtų skiriami specialūs ir nepriklausomi biudžeto asignavimai, kurie kasmet būtų koreguojami atsižvelgiant į faktinę bylų, kurių ėmėsi lygybės įstaiga, apimtį ir kurie būtų reikšmingai bendrai finansuojami pagal ES finansavimo programas.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55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5 straipsnio 1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a)</w:t>
            </w:r>
            <w:r>
              <w:tab/>
              <w:t xml:space="preserve">priima strategiją, kaip visoje jų teritorijoje didinti plačiosios visuomenės </w:t>
            </w:r>
            <w:r>
              <w:lastRenderedPageBreak/>
              <w:t>informuotumą apie teises pagal direktyvas 2006/54/EB ir 2010/41/ES ir apie lygybės įstaigų egzistavimą</w:t>
            </w:r>
            <w:r>
              <w:rPr>
                <w:b/>
                <w:i/>
              </w:rPr>
              <w:t xml:space="preserve"> bei</w:t>
            </w:r>
            <w:r>
              <w:t xml:space="preserve"> jų teikiamas paslaugas, ypač daug dėmesio skirdamos asmenims ir grupėms, kuriems gresia diskriminacija;</w:t>
            </w:r>
          </w:p>
        </w:tc>
        <w:tc>
          <w:tcPr>
            <w:tcW w:w="4876" w:type="dxa"/>
            <w:hideMark/>
          </w:tcPr>
          <w:p w:rsidR="00EB6090" w:rsidRPr="0065259B" w:rsidRDefault="0025755D" w:rsidP="008A459A">
            <w:pPr>
              <w:pStyle w:val="Normal6"/>
              <w:rPr>
                <w:szCs w:val="24"/>
              </w:rPr>
            </w:pPr>
            <w:r>
              <w:lastRenderedPageBreak/>
              <w:t>a)</w:t>
            </w:r>
            <w:r>
              <w:tab/>
            </w:r>
            <w:r>
              <w:rPr>
                <w:b/>
                <w:i/>
              </w:rPr>
              <w:t>pasikonsultavusios su pilietinės visuomenė</w:t>
            </w:r>
            <w:r>
              <w:rPr>
                <w:b/>
                <w:i/>
              </w:rPr>
              <w:t xml:space="preserve">s atstovais ir socialiniais </w:t>
            </w:r>
            <w:r>
              <w:rPr>
                <w:b/>
                <w:i/>
              </w:rPr>
              <w:lastRenderedPageBreak/>
              <w:t xml:space="preserve">partneriais, </w:t>
            </w:r>
            <w:r>
              <w:t xml:space="preserve">priima </w:t>
            </w:r>
            <w:r>
              <w:rPr>
                <w:b/>
                <w:i/>
              </w:rPr>
              <w:t xml:space="preserve">nacionalinę </w:t>
            </w:r>
            <w:r>
              <w:t>strategiją, kaip visoje jų teritorijoje</w:t>
            </w:r>
            <w:r>
              <w:rPr>
                <w:b/>
                <w:i/>
              </w:rPr>
              <w:t xml:space="preserve"> reguliariai teikti informaciją ir</w:t>
            </w:r>
            <w:r>
              <w:t xml:space="preserve"> didinti plačiosios visuomenės informuotumą apie teises pagal direktyvas 2006/54/EB ir 2010/41/ES</w:t>
            </w:r>
            <w:r>
              <w:rPr>
                <w:b/>
                <w:i/>
              </w:rPr>
              <w:t>, galimybę jomis pasinaudo</w:t>
            </w:r>
            <w:r>
              <w:rPr>
                <w:b/>
                <w:i/>
              </w:rPr>
              <w:t>ti</w:t>
            </w:r>
            <w:r>
              <w:t xml:space="preserve"> ir apie </w:t>
            </w:r>
            <w:r>
              <w:rPr>
                <w:b/>
                <w:i/>
              </w:rPr>
              <w:t xml:space="preserve">įvairių </w:t>
            </w:r>
            <w:r>
              <w:t>lygybės įstaigų egzistavimą</w:t>
            </w:r>
            <w:r>
              <w:rPr>
                <w:b/>
                <w:i/>
              </w:rPr>
              <w:t>, kompetenciją, vaidmenį, prieinamumą ir</w:t>
            </w:r>
            <w:r>
              <w:t xml:space="preserve"> jų teikiamas paslaugas, ypač daug dėmesio skirdamos asmenims ir grupėms, kuriems gresia diskriminacija</w:t>
            </w:r>
            <w:r>
              <w:rPr>
                <w:b/>
                <w:i/>
              </w:rPr>
              <w:t>.</w:t>
            </w:r>
            <w:r>
              <w:t xml:space="preserve"> </w:t>
            </w:r>
            <w:r>
              <w:rPr>
                <w:b/>
                <w:i/>
              </w:rPr>
              <w:t>Į šią nacionalinę strategiją įeina informavimo kampanijos, kurios</w:t>
            </w:r>
            <w:r>
              <w:rPr>
                <w:b/>
                <w:i/>
              </w:rPr>
              <w:t>e naudojamos įvairios bendravimo priemonės, įskaitant socialines medijas. Į ją taip pat įeina, be kita ko, informacijos sklaidos, konsultacijų, mokymų, paramos ir rekomendacijų visų amžiaus grupių asmenims ir privačioms bei viešosioms institucijoms planas</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56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5 straipsnio 1 dalies a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aa)</w:t>
            </w:r>
            <w:r>
              <w:rPr>
                <w:b/>
                <w:i/>
              </w:rPr>
              <w:tab/>
              <w:t xml:space="preserve">užtikrina, kad kiekvienos lygybės įstaigos </w:t>
            </w:r>
            <w:r>
              <w:rPr>
                <w:b/>
                <w:i/>
              </w:rPr>
              <w:t>darbuotojams būtų surengti specialūs mokymai visų diskriminacijos pagrindų, nurodytų direktyvose 2006/54/EB ir 2010/41/ES, ir visų su lytimi susijusio smurto formų klausimais;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57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 xml:space="preserve">Pasiūlymas dėl </w:t>
      </w:r>
      <w:r>
        <w:t>direktyvos</w:t>
      </w:r>
      <w:r>
        <w:rPr>
          <w:rStyle w:val="HideTWBExt"/>
          <w:b w:val="0"/>
        </w:rPr>
        <w:t>&lt;/DocAmend&gt;</w:t>
      </w:r>
    </w:p>
    <w:p w:rsidR="00EB6090" w:rsidRPr="0065259B" w:rsidRDefault="0025755D" w:rsidP="00EB6090">
      <w:pPr>
        <w:pStyle w:val="NormalBold"/>
      </w:pPr>
      <w:r>
        <w:rPr>
          <w:rStyle w:val="HideTWBExt"/>
          <w:b w:val="0"/>
        </w:rPr>
        <w:t>&lt;Article&gt;</w:t>
      </w:r>
      <w:r>
        <w:t>5 straipsnio 1 dalies b punktas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b)</w:t>
            </w:r>
            <w:r>
              <w:tab/>
              <w:t xml:space="preserve">užtikrina, kad lygybės įstaigos </w:t>
            </w:r>
            <w:r>
              <w:rPr>
                <w:b/>
                <w:i/>
              </w:rPr>
              <w:t xml:space="preserve">vykdytų </w:t>
            </w:r>
            <w:r>
              <w:t xml:space="preserve">diskriminacijos prevenciją ir </w:t>
            </w:r>
            <w:r>
              <w:rPr>
                <w:b/>
                <w:i/>
              </w:rPr>
              <w:t xml:space="preserve">skatintų </w:t>
            </w:r>
            <w:r>
              <w:t>vienodą požiūrį,</w:t>
            </w:r>
            <w:r>
              <w:rPr>
                <w:b/>
                <w:i/>
              </w:rPr>
              <w:t xml:space="preserve"> ir priima </w:t>
            </w:r>
            <w:r>
              <w:t xml:space="preserve">strategiją, kurioje </w:t>
            </w:r>
            <w:r>
              <w:rPr>
                <w:b/>
                <w:i/>
              </w:rPr>
              <w:t xml:space="preserve">apibrėžiama, kaip jos dalyvaus </w:t>
            </w:r>
            <w:r>
              <w:t>viešajame dialoge,</w:t>
            </w:r>
            <w:r>
              <w:rPr>
                <w:b/>
                <w:i/>
              </w:rPr>
              <w:t xml:space="preserve"> bendraus </w:t>
            </w:r>
            <w:r>
              <w:t xml:space="preserve">su </w:t>
            </w:r>
            <w:r>
              <w:lastRenderedPageBreak/>
              <w:t xml:space="preserve">asmenimis ir grupėmis, kuriems gresia diskriminacija, </w:t>
            </w:r>
            <w:r>
              <w:rPr>
                <w:b/>
                <w:i/>
              </w:rPr>
              <w:t xml:space="preserve">rengs mokymus ir teiks </w:t>
            </w:r>
            <w:r>
              <w:t xml:space="preserve">rekomendacijas, taip pat </w:t>
            </w:r>
            <w:r>
              <w:rPr>
                <w:b/>
                <w:i/>
              </w:rPr>
              <w:t xml:space="preserve">skatins </w:t>
            </w:r>
            <w:r>
              <w:t xml:space="preserve">vykdyti </w:t>
            </w:r>
            <w:r>
              <w:rPr>
                <w:b/>
                <w:i/>
              </w:rPr>
              <w:t xml:space="preserve">lygybės užtikrinimo </w:t>
            </w:r>
            <w:r>
              <w:t xml:space="preserve">pareigas, integruoti lygybės aspektus ir </w:t>
            </w:r>
            <w:r>
              <w:rPr>
                <w:b/>
                <w:i/>
              </w:rPr>
              <w:t xml:space="preserve">skatinti </w:t>
            </w:r>
            <w:r>
              <w:t>pozity</w:t>
            </w:r>
            <w:r>
              <w:t>vius veiksmus viešųjų ir privačių subjektų veikloje.</w:t>
            </w:r>
          </w:p>
        </w:tc>
        <w:tc>
          <w:tcPr>
            <w:tcW w:w="4876" w:type="dxa"/>
            <w:hideMark/>
          </w:tcPr>
          <w:p w:rsidR="00EB6090" w:rsidRPr="0065259B" w:rsidRDefault="0025755D" w:rsidP="008A459A">
            <w:pPr>
              <w:pStyle w:val="Normal6"/>
              <w:rPr>
                <w:szCs w:val="24"/>
              </w:rPr>
            </w:pPr>
            <w:r>
              <w:lastRenderedPageBreak/>
              <w:t>b)</w:t>
            </w:r>
            <w:r>
              <w:tab/>
              <w:t xml:space="preserve">užtikrina, kad lygybės įstaigos </w:t>
            </w:r>
            <w:r>
              <w:rPr>
                <w:b/>
                <w:i/>
              </w:rPr>
              <w:t xml:space="preserve">galėtų bent: </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i)</w:t>
            </w:r>
            <w:r>
              <w:t xml:space="preserve"> </w:t>
            </w:r>
            <w:r>
              <w:rPr>
                <w:b/>
                <w:i/>
              </w:rPr>
              <w:t xml:space="preserve">dalyvauti vykdant </w:t>
            </w:r>
            <w:r>
              <w:t>diskriminacijos</w:t>
            </w:r>
            <w:r>
              <w:rPr>
                <w:b/>
                <w:i/>
              </w:rPr>
              <w:t>, įskaitant sąveikinę diskriminaciją,</w:t>
            </w:r>
            <w:r>
              <w:t xml:space="preserve"> prevenciją ir </w:t>
            </w:r>
            <w:r>
              <w:rPr>
                <w:b/>
                <w:i/>
              </w:rPr>
              <w:t xml:space="preserve">skatinant </w:t>
            </w:r>
            <w:r>
              <w:t>vienodą požiūrį,</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ii)</w:t>
            </w:r>
            <w:r>
              <w:t xml:space="preserve"> </w:t>
            </w:r>
            <w:r>
              <w:rPr>
                <w:b/>
                <w:i/>
              </w:rPr>
              <w:t xml:space="preserve">priimti </w:t>
            </w:r>
            <w:r>
              <w:t xml:space="preserve">strategiją, kurioje </w:t>
            </w:r>
            <w:r>
              <w:rPr>
                <w:b/>
                <w:i/>
              </w:rPr>
              <w:t>būt</w:t>
            </w:r>
            <w:r>
              <w:rPr>
                <w:b/>
                <w:i/>
              </w:rPr>
              <w:t xml:space="preserve">ų nurodyti žingsniai, kurių bus imtasi siekiant dalyvauti </w:t>
            </w:r>
            <w:r>
              <w:t>viešajame dialoge,</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iii) bendradarbiauti ir bendrauti </w:t>
            </w:r>
            <w:r>
              <w:t xml:space="preserve">su asmenimis ir grupėmis, kuriems gresia diskriminacija, </w:t>
            </w:r>
            <w:r>
              <w:rPr>
                <w:b/>
                <w:i/>
              </w:rPr>
              <w:t>taip pat su pilietinės visuomenės organizacijomis, vykdančiomis veiklą lyčių lygybės i</w:t>
            </w:r>
            <w:r>
              <w:rPr>
                <w:b/>
                <w:i/>
              </w:rPr>
              <w:t>r nediskriminavimo srityje,</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iv)</w:t>
            </w:r>
            <w:r>
              <w:t xml:space="preserve"> </w:t>
            </w:r>
            <w:r>
              <w:rPr>
                <w:b/>
                <w:i/>
              </w:rPr>
              <w:t xml:space="preserve">teikti informaciją, patarimus, paramą ir </w:t>
            </w:r>
            <w:r>
              <w:t xml:space="preserve">rekomendacijas </w:t>
            </w:r>
            <w:r>
              <w:rPr>
                <w:b/>
                <w:i/>
              </w:rPr>
              <w:t>ir rengti mokymus asmenims</w:t>
            </w:r>
            <w:r>
              <w:t xml:space="preserve">, taip pat </w:t>
            </w:r>
            <w:r>
              <w:rPr>
                <w:b/>
                <w:i/>
              </w:rPr>
              <w:t>viešojo ir privataus sektorių institucijoms lygybės skatinimo ir užtikrinimo bei diskriminacijos prevencijos klausimais,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v)</w:t>
            </w:r>
            <w:r>
              <w:t xml:space="preserve"> </w:t>
            </w:r>
            <w:r>
              <w:rPr>
                <w:b/>
                <w:i/>
              </w:rPr>
              <w:t xml:space="preserve">skatinti ir padėti </w:t>
            </w:r>
            <w:r>
              <w:t>vykdyti pareigas</w:t>
            </w:r>
            <w:r>
              <w:rPr>
                <w:b/>
                <w:i/>
              </w:rPr>
              <w:t xml:space="preserve"> užtikrinti lygybę</w:t>
            </w:r>
            <w:r>
              <w:t xml:space="preserve">, integruoti lygybės aspektus ir </w:t>
            </w:r>
            <w:r>
              <w:rPr>
                <w:b/>
                <w:i/>
              </w:rPr>
              <w:t xml:space="preserve">įgyvendinti </w:t>
            </w:r>
            <w:r>
              <w:t>pozityvius veiksmus viešųjų ir privačių subjektų veikloje,</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vi) atlikti diskriminacijos, įskaitant struktūrinę ar sisteminę diskriminaciją ir sąveikinę </w:t>
            </w:r>
            <w:r>
              <w:rPr>
                <w:b/>
                <w:i/>
              </w:rPr>
              <w:t>diskriminaciją, taip pat diskriminacijos internete, įskaitant algoritminę diskriminaciją, mokslinius tyrimus,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vii) bendradarbiauti rengiant priežiūros institucijų darbuotojams skirtus mokymus nediskriminavimo ir pagrindinių teisių klausimais, siekiant už</w:t>
            </w:r>
            <w:r>
              <w:rPr>
                <w:b/>
                <w:i/>
              </w:rPr>
              <w:t>tikrinti teisingą Sąjungos kovos su diskriminacija ir pagrindinių teisių teisės aktų taikymą, be kita ko, algoritminės diskriminacijos srityje</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0"/>
        <w:keepNext/>
      </w:pPr>
      <w:r>
        <w:rPr>
          <w:rStyle w:val="HideTWBExt"/>
          <w:b w:val="0"/>
          <w:lang w:val="en-GB"/>
        </w:rPr>
        <w:t>&lt;Amend&gt;</w:t>
      </w:r>
      <w:r>
        <w:t>Pakeitimas</w:t>
      </w:r>
      <w:r>
        <w:tab/>
      </w:r>
      <w:r>
        <w:tab/>
      </w:r>
      <w:r>
        <w:rPr>
          <w:rStyle w:val="HideTWBExt"/>
          <w:b w:val="0"/>
          <w:lang w:val="en-GB"/>
        </w:rPr>
        <w:t>&lt;NumAm&gt;</w:t>
      </w:r>
      <w:r>
        <w:t>58</w:t>
      </w:r>
      <w:r>
        <w:rPr>
          <w:rStyle w:val="HideTWBExt"/>
          <w:b w:val="0"/>
          <w:lang w:val="en-GB"/>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5 straip</w:t>
      </w:r>
      <w:r>
        <w:t>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Tai darydamos, valstybės narės ir lygybės įstaigos atsižvelgia į kiekvienai tikslinei grupei tinkamiausias bendravimo priemones ir formatus. Jos ypač daug dėmesio skiria nepalankioje padėtyje </w:t>
            </w:r>
            <w:r>
              <w:t>esančioms grupėms, kurioms gauti tokią informaciją gali trukdyti, pvz., jų ekonominė padėtis, amžius, negalia, raštingumo lygis, pilietybė, gyventojo statusas arba negalėjimas naudotis internetinėmis priemonėmis.</w:t>
            </w:r>
          </w:p>
        </w:tc>
        <w:tc>
          <w:tcPr>
            <w:tcW w:w="4876" w:type="dxa"/>
            <w:hideMark/>
          </w:tcPr>
          <w:p w:rsidR="00EB6090" w:rsidRPr="0065259B" w:rsidRDefault="0025755D" w:rsidP="008A459A">
            <w:pPr>
              <w:pStyle w:val="Normal6"/>
              <w:rPr>
                <w:szCs w:val="24"/>
              </w:rPr>
            </w:pPr>
            <w:r>
              <w:t>Tai darydamos, valstybės narės ir lygybės į</w:t>
            </w:r>
            <w:r>
              <w:t>staigos atsižvelgia į kiekvienai tikslinei grupei tinkamiausias bendravimo priemones ir formatus. Jos ypač daug dėmesio skiria nepalankioje padėtyje esančioms grupėms, kurioms gauti tokią informaciją gali trukdyti, pvz., jų ekonominė padėtis, amžius, negal</w:t>
            </w:r>
            <w:r>
              <w:t xml:space="preserve">ia, </w:t>
            </w:r>
            <w:r>
              <w:rPr>
                <w:b/>
                <w:i/>
              </w:rPr>
              <w:t xml:space="preserve">sveikatos būklė, </w:t>
            </w:r>
            <w:r>
              <w:t xml:space="preserve">raštingumo lygis, pilietybė, </w:t>
            </w:r>
            <w:r>
              <w:rPr>
                <w:b/>
                <w:i/>
              </w:rPr>
              <w:t xml:space="preserve">etninė kilmė, </w:t>
            </w:r>
            <w:r>
              <w:t>gyventojo statusas arba negalėjimas naudotis internetinėmis priemonėmis</w:t>
            </w:r>
            <w:r>
              <w:rPr>
                <w:b/>
                <w:i/>
              </w:rPr>
              <w:t>, atsižvelgdamos į konkrečius tokių grupių atitinkamoje valstybėje narėje poreikius</w:t>
            </w:r>
            <w:r>
              <w:t xml:space="preserve">. </w:t>
            </w:r>
          </w:p>
        </w:tc>
      </w:tr>
    </w:tbl>
    <w:p w:rsidR="00EB6090" w:rsidRPr="0065259B" w:rsidRDefault="0025755D" w:rsidP="00EB6090">
      <w:pPr>
        <w:rPr>
          <w:rStyle w:val="HideTWBExt"/>
        </w:rPr>
      </w:pPr>
      <w:r>
        <w:rPr>
          <w:rStyle w:val="HideTWBExt"/>
        </w:rPr>
        <w:t>&lt;/Amend&gt;</w:t>
      </w:r>
    </w:p>
    <w:p w:rsidR="00EB6090" w:rsidRPr="0065259B" w:rsidRDefault="0025755D" w:rsidP="00EB6090">
      <w:pPr>
        <w:pStyle w:val="AMNumberTabs0"/>
        <w:keepNext/>
      </w:pPr>
      <w:r>
        <w:rPr>
          <w:rStyle w:val="HideTWBExt"/>
          <w:b w:val="0"/>
          <w:lang w:val="en-GB"/>
        </w:rPr>
        <w:t>&lt;Amend&gt;</w:t>
      </w:r>
      <w:r>
        <w:t>Pakeitimas</w:t>
      </w:r>
      <w:r>
        <w:tab/>
      </w:r>
      <w:r>
        <w:tab/>
      </w:r>
      <w:r>
        <w:rPr>
          <w:rStyle w:val="HideTWBExt"/>
          <w:b w:val="0"/>
          <w:lang w:val="en-GB"/>
        </w:rPr>
        <w:t>&lt;NumAm</w:t>
      </w:r>
      <w:r>
        <w:rPr>
          <w:rStyle w:val="HideTWBExt"/>
          <w:b w:val="0"/>
          <w:lang w:val="en-GB"/>
        </w:rPr>
        <w:t>&gt;</w:t>
      </w:r>
      <w:r>
        <w:t>59</w:t>
      </w:r>
      <w:r>
        <w:rPr>
          <w:rStyle w:val="HideTWBExt"/>
          <w:b w:val="0"/>
          <w:lang w:val="en-GB"/>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5 straipsnio 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(2a)</w:t>
            </w:r>
            <w:r>
              <w:rPr>
                <w:b/>
                <w:i/>
              </w:rPr>
              <w:tab/>
              <w:t xml:space="preserve">Komisija paskelbia rekomendacijas dėl abiejų strategijų praėjus 6 mėnesiams nuo šios direktyvos </w:t>
            </w:r>
            <w:r>
              <w:rPr>
                <w:b/>
                <w:i/>
              </w:rPr>
              <w:t>priėmimo, pateikia nuomonę dėl strategijų kokybės ir veiksmingumo ir stebi, kaip jos įgyvendinamos, be kita ko, kas pusę metų skelbia jų įgyvendinimo pažangos ataskaitą.</w:t>
            </w:r>
          </w:p>
        </w:tc>
      </w:tr>
    </w:tbl>
    <w:p w:rsidR="00EB6090" w:rsidRPr="0065259B" w:rsidRDefault="0025755D" w:rsidP="00EB6090">
      <w:pPr>
        <w:rPr>
          <w:rStyle w:val="HideTWBExt"/>
        </w:rPr>
      </w:pPr>
      <w:r>
        <w:rPr>
          <w:rStyle w:val="HideTWBExt"/>
        </w:rPr>
        <w:t>&lt;/Amend&gt;</w:t>
      </w:r>
    </w:p>
    <w:p w:rsidR="00EB6090" w:rsidRPr="0065259B" w:rsidRDefault="00EB6090" w:rsidP="00EB6090">
      <w:pPr>
        <w:rPr>
          <w:rStyle w:val="HideTWBExt"/>
        </w:rPr>
      </w:pPr>
    </w:p>
    <w:p w:rsidR="00EB6090" w:rsidRPr="0065259B" w:rsidRDefault="0025755D" w:rsidP="00EB6090">
      <w:r>
        <w:rPr>
          <w:rStyle w:val="HideTWBExt"/>
          <w:b/>
        </w:rPr>
        <w:t>&lt;Amend&gt;</w:t>
      </w:r>
      <w:r>
        <w:t>Pakeitimas</w:t>
      </w:r>
      <w:r>
        <w:tab/>
      </w:r>
      <w:r>
        <w:tab/>
      </w:r>
      <w:r>
        <w:rPr>
          <w:rStyle w:val="HideTWBExt"/>
          <w:b/>
        </w:rPr>
        <w:t>&lt;NumAm&gt;</w:t>
      </w:r>
      <w:r>
        <w:t>60</w:t>
      </w:r>
      <w:r>
        <w:rPr>
          <w:rStyle w:val="HideTWBExt"/>
          <w:b/>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6 straipsnio pavadinimas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Pagalba aukoms</w:t>
            </w:r>
          </w:p>
        </w:tc>
        <w:tc>
          <w:tcPr>
            <w:tcW w:w="4876" w:type="dxa"/>
            <w:hideMark/>
          </w:tcPr>
          <w:p w:rsidR="00EB6090" w:rsidRPr="0065259B" w:rsidRDefault="0025755D" w:rsidP="008A459A">
            <w:pPr>
              <w:pStyle w:val="Normal6"/>
              <w:rPr>
                <w:szCs w:val="24"/>
              </w:rPr>
            </w:pPr>
            <w:r>
              <w:rPr>
                <w:b/>
                <w:i/>
              </w:rPr>
              <w:t xml:space="preserve">Parama ir </w:t>
            </w:r>
            <w:r>
              <w:t>pagalba</w:t>
            </w:r>
            <w:r>
              <w:rPr>
                <w:b/>
                <w:i/>
              </w:rPr>
              <w:t xml:space="preserve"> diskriminacijos</w:t>
            </w:r>
            <w:r>
              <w:t xml:space="preserve"> aukoms</w:t>
            </w:r>
          </w:p>
        </w:tc>
      </w:tr>
    </w:tbl>
    <w:p w:rsidR="00EB6090" w:rsidRPr="0065259B" w:rsidRDefault="0025755D" w:rsidP="00EB6090">
      <w:pPr>
        <w:pStyle w:val="AmNumberTabs"/>
        <w:rPr>
          <w:rStyle w:val="HideTWBExt"/>
        </w:rPr>
      </w:pPr>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t>Valstybės narės užtikrina, kad lygybės įstaigos galėtų teikti pagalbą aukoms</w:t>
            </w:r>
            <w:r>
              <w:rPr>
                <w:b/>
                <w:i/>
              </w:rPr>
              <w:t>, kaip nustatyta 2–4 dalyse</w:t>
            </w:r>
            <w:r>
              <w:t>.</w:t>
            </w:r>
          </w:p>
        </w:tc>
        <w:tc>
          <w:tcPr>
            <w:tcW w:w="4876" w:type="dxa"/>
            <w:hideMark/>
          </w:tcPr>
          <w:p w:rsidR="00EB6090" w:rsidRPr="0065259B" w:rsidRDefault="0025755D" w:rsidP="008A459A">
            <w:pPr>
              <w:pStyle w:val="Normal6"/>
              <w:rPr>
                <w:szCs w:val="24"/>
              </w:rPr>
            </w:pPr>
            <w:r>
              <w:t>1.</w:t>
            </w:r>
            <w:r>
              <w:tab/>
              <w:t xml:space="preserve">Valstybės narės užtikrina, kad lygybės įstaigos galėtų </w:t>
            </w:r>
            <w:r>
              <w:rPr>
                <w:b/>
                <w:i/>
              </w:rPr>
              <w:t>nemokamai</w:t>
            </w:r>
            <w:r>
              <w:rPr>
                <w:b/>
                <w:i/>
              </w:rPr>
              <w:t xml:space="preserve"> </w:t>
            </w:r>
            <w:r>
              <w:t xml:space="preserve">teikti </w:t>
            </w:r>
            <w:r>
              <w:rPr>
                <w:b/>
                <w:i/>
              </w:rPr>
              <w:t xml:space="preserve">paramą ir </w:t>
            </w:r>
            <w:r>
              <w:t>pagalbą aukoms</w:t>
            </w:r>
            <w:r>
              <w:rPr>
                <w:b/>
                <w:i/>
              </w:rPr>
              <w:t xml:space="preserve"> pagal šią direktyvą</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w:t>
            </w:r>
            <w:r>
              <w:tab/>
              <w:t xml:space="preserve">Lygybės įstaigos turi </w:t>
            </w:r>
            <w:r>
              <w:t>galimybę priimti žodžiu, raštu ir internetu teikiamus skundus dėl diskriminacijos.</w:t>
            </w:r>
          </w:p>
        </w:tc>
        <w:tc>
          <w:tcPr>
            <w:tcW w:w="4876" w:type="dxa"/>
            <w:hideMark/>
          </w:tcPr>
          <w:p w:rsidR="00EB6090" w:rsidRPr="0065259B" w:rsidRDefault="0025755D" w:rsidP="008A459A">
            <w:pPr>
              <w:pStyle w:val="Normal6"/>
              <w:rPr>
                <w:szCs w:val="24"/>
              </w:rPr>
            </w:pPr>
            <w:r>
              <w:t>2.</w:t>
            </w:r>
            <w:r>
              <w:tab/>
              <w:t xml:space="preserve">Lygybės įstaigos turi galimybę priimti </w:t>
            </w:r>
            <w:r>
              <w:rPr>
                <w:b/>
                <w:i/>
              </w:rPr>
              <w:t xml:space="preserve">bet kokiomis galimomis formomis, įskaitant </w:t>
            </w:r>
            <w:r>
              <w:t>žodžiu, raštu ir internetu teikiamus skundus dėl diskriminacijos.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6 straipsnio 3 dalies 1 pastraipa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Lygybės įstaigos teikia pagalbą aukoms, </w:t>
            </w:r>
            <w:r>
              <w:rPr>
                <w:b/>
                <w:i/>
              </w:rPr>
              <w:t>iš pradžių informuodamos juos</w:t>
            </w:r>
            <w:r>
              <w:t xml:space="preserve"> apie teisinę s</w:t>
            </w:r>
            <w:r>
              <w:t xml:space="preserve">istemą, </w:t>
            </w:r>
            <w:r>
              <w:rPr>
                <w:b/>
                <w:i/>
              </w:rPr>
              <w:t>be kita ko</w:t>
            </w:r>
            <w:r>
              <w:t xml:space="preserve">, </w:t>
            </w:r>
            <w:r>
              <w:rPr>
                <w:b/>
                <w:i/>
              </w:rPr>
              <w:t>patardamos dėl jų konkrečios situacijos</w:t>
            </w:r>
            <w:r>
              <w:t xml:space="preserve">, apie lygybės įstaigos teikiamas paslaugas ir susijusius procedūrinius aspektus, </w:t>
            </w:r>
            <w:r>
              <w:rPr>
                <w:b/>
                <w:i/>
              </w:rPr>
              <w:t>taip pat</w:t>
            </w:r>
            <w:r>
              <w:t xml:space="preserve"> apie </w:t>
            </w:r>
            <w:r>
              <w:rPr>
                <w:b/>
                <w:i/>
              </w:rPr>
              <w:t xml:space="preserve">galimas teisių gynimo priemones, </w:t>
            </w:r>
            <w:r>
              <w:rPr>
                <w:b/>
                <w:i/>
              </w:rPr>
              <w:lastRenderedPageBreak/>
              <w:t>įskaitant galimybę iškelti bylą teisme</w:t>
            </w:r>
            <w:r>
              <w:t>.</w:t>
            </w:r>
          </w:p>
        </w:tc>
        <w:tc>
          <w:tcPr>
            <w:tcW w:w="4876" w:type="dxa"/>
            <w:hideMark/>
          </w:tcPr>
          <w:p w:rsidR="00EB6090" w:rsidRPr="0065259B" w:rsidRDefault="0025755D" w:rsidP="008A459A">
            <w:pPr>
              <w:pStyle w:val="Normal6"/>
              <w:rPr>
                <w:szCs w:val="24"/>
              </w:rPr>
            </w:pPr>
            <w:r>
              <w:lastRenderedPageBreak/>
              <w:t xml:space="preserve">Lygybės įstaigos </w:t>
            </w:r>
            <w:r>
              <w:rPr>
                <w:b/>
                <w:i/>
              </w:rPr>
              <w:t>skundą pate</w:t>
            </w:r>
            <w:r>
              <w:rPr>
                <w:b/>
                <w:i/>
              </w:rPr>
              <w:t xml:space="preserve">ikusioms aukoms </w:t>
            </w:r>
            <w:r>
              <w:t xml:space="preserve">teikia </w:t>
            </w:r>
            <w:r>
              <w:rPr>
                <w:b/>
                <w:i/>
              </w:rPr>
              <w:t xml:space="preserve">paramą ir </w:t>
            </w:r>
            <w:r>
              <w:t>pagalbą</w:t>
            </w:r>
            <w:r>
              <w:rPr>
                <w:b/>
                <w:i/>
              </w:rPr>
              <w:t xml:space="preserve">, įskaitant teisinę paramą. Lygybės įstaigų darbuotojai geba </w:t>
            </w:r>
            <w:r>
              <w:t>aukoms</w:t>
            </w:r>
            <w:r>
              <w:rPr>
                <w:b/>
                <w:i/>
              </w:rPr>
              <w:t xml:space="preserve"> tiesiogiai teikti informaciją ir turi įgūdžių</w:t>
            </w:r>
            <w:r>
              <w:t>,</w:t>
            </w:r>
            <w:r>
              <w:rPr>
                <w:b/>
                <w:i/>
              </w:rPr>
              <w:t xml:space="preserve"> kad galėtų atpažinti psichologinius poreikius. Lygybės įstaigos taip pat geba konsultuoti, </w:t>
            </w:r>
            <w:r>
              <w:rPr>
                <w:b/>
                <w:i/>
              </w:rPr>
              <w:lastRenderedPageBreak/>
              <w:t>kaip patei</w:t>
            </w:r>
            <w:r>
              <w:rPr>
                <w:b/>
                <w:i/>
              </w:rPr>
              <w:t>kti skundą, įskaitant informaciją</w:t>
            </w:r>
            <w:r>
              <w:t xml:space="preserve"> apie teisinę sistemą</w:t>
            </w:r>
            <w:r>
              <w:rPr>
                <w:b/>
                <w:i/>
              </w:rPr>
              <w:t xml:space="preserve"> ir jų teises pagal šią sistemą</w:t>
            </w:r>
            <w:r>
              <w:t xml:space="preserve">, </w:t>
            </w:r>
            <w:r>
              <w:rPr>
                <w:b/>
                <w:i/>
              </w:rPr>
              <w:t>taip pat patarimus</w:t>
            </w:r>
            <w:r>
              <w:t xml:space="preserve">, </w:t>
            </w:r>
            <w:r>
              <w:rPr>
                <w:b/>
                <w:i/>
              </w:rPr>
              <w:t>atsižvelgdamos į konkrečias aukų situacijas ir poreikius</w:t>
            </w:r>
            <w:r>
              <w:t>,</w:t>
            </w:r>
            <w:r>
              <w:rPr>
                <w:b/>
                <w:i/>
              </w:rPr>
              <w:t xml:space="preserve"> informaciją</w:t>
            </w:r>
            <w:r>
              <w:t xml:space="preserve"> apie lygybės įstaigos teikiamas paslaugas ir susijusius procedūrinius aspektus, </w:t>
            </w:r>
            <w:r>
              <w:rPr>
                <w:b/>
                <w:i/>
              </w:rPr>
              <w:t>be to,</w:t>
            </w:r>
            <w:r>
              <w:t xml:space="preserve"> apie </w:t>
            </w:r>
            <w:r>
              <w:rPr>
                <w:b/>
                <w:i/>
              </w:rPr>
              <w:t>galimybę iškelti bylą teisme ir kitas galimas teisių gynimo priemones</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6 straipsnio 4 dalies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Lygybės įstaigos pateikia preliminarų skundo vertinimą remdamosi informacija, kurią savanoriškai pateikė susiję subjektai.</w:t>
            </w:r>
            <w:r>
              <w:rPr>
                <w:b/>
                <w:i/>
              </w:rPr>
              <w:t xml:space="preserve"> </w:t>
            </w:r>
            <w:r>
              <w:t xml:space="preserve">Valstybės narės nustato </w:t>
            </w:r>
            <w:r>
              <w:t>tikslias sąlygas, kuriomis lygybės įstaiga turi pateikti tokį preliminarų vertinimą.</w:t>
            </w:r>
          </w:p>
        </w:tc>
        <w:tc>
          <w:tcPr>
            <w:tcW w:w="4876" w:type="dxa"/>
            <w:hideMark/>
          </w:tcPr>
          <w:p w:rsidR="00EB6090" w:rsidRPr="0065259B" w:rsidRDefault="0025755D" w:rsidP="008A459A">
            <w:pPr>
              <w:pStyle w:val="Normal6"/>
              <w:rPr>
                <w:b/>
                <w:i/>
                <w:szCs w:val="24"/>
              </w:rPr>
            </w:pPr>
            <w:r>
              <w:rPr>
                <w:b/>
                <w:i/>
              </w:rPr>
              <w:t xml:space="preserve">Išbraukta. </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7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w:t>
            </w:r>
            <w:r>
              <w:t>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Lygybės įstaigos gali ginčo šalims pasiūlyti galimybę mėginti ginčą išspręsti draugiškai. Ginčo šalys turi pritarti tam procesui, o jam gali vadovauti pati lygybės įstaiga arba kitas esamas specialus subjektas – tokiu atveju lygybės </w:t>
            </w:r>
            <w:r>
              <w:t>įstaiga gali tam subjektui teikti pastabas. Dalyvaudamos tokiame procese, ginčo šalys nepraranda teisės kreiptis į teismą.</w:t>
            </w:r>
          </w:p>
        </w:tc>
        <w:tc>
          <w:tcPr>
            <w:tcW w:w="4876" w:type="dxa"/>
            <w:hideMark/>
          </w:tcPr>
          <w:p w:rsidR="00EB6090" w:rsidRPr="0065259B" w:rsidRDefault="0025755D" w:rsidP="008A459A">
            <w:pPr>
              <w:pStyle w:val="Normal6"/>
              <w:rPr>
                <w:szCs w:val="24"/>
              </w:rPr>
            </w:pPr>
            <w:r>
              <w:t>Lygybės įstaigos gali ginčo šalims pasiūlyti galimybę mėginti ginčą išspręsti draugiškai</w:t>
            </w:r>
            <w:r>
              <w:rPr>
                <w:b/>
                <w:i/>
              </w:rPr>
              <w:t xml:space="preserve"> (teisme arba ne teisme)</w:t>
            </w:r>
            <w:r>
              <w:t>. Ginčo šalys turi pr</w:t>
            </w:r>
            <w:r>
              <w:t>itarti tam procesui, o jam gali vadovauti pati lygybės įstaiga arba kitas esamas specialus subjektas – tokiu atveju lygybės įstaiga gali tam subjektui teikti pastabas. Dalyvaudamos tokiame procese, ginčo šalys nepraranda teisės kreiptis į teismą.</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7 a straipsnis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jc w:val="center"/>
              <w:rPr>
                <w:szCs w:val="24"/>
              </w:rPr>
            </w:pPr>
            <w:r>
              <w:rPr>
                <w:b/>
                <w:i/>
              </w:rPr>
              <w:t>7a straipsnis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jc w:val="center"/>
              <w:rPr>
                <w:szCs w:val="24"/>
              </w:rPr>
            </w:pPr>
            <w:r>
              <w:rPr>
                <w:b/>
                <w:i/>
              </w:rPr>
              <w:t>Tyrimai</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1. Valstybės narės užtikrina, kad lygybės įstaigos būtų </w:t>
            </w:r>
            <w:r>
              <w:rPr>
                <w:b/>
                <w:i/>
              </w:rPr>
              <w:t>įgaliotos, gavusios skundą arba savo pačių iniciatyva, veiksmingai ištirti, ar buvo pažeistas direktyvose 2006/54/EB ir 2010/41/ES nustatytas vienodo požiūrio principas, ir siektų išspręsti tiek asmens, tiek struktūrinės ar sisteminės diskriminacijos probl</w:t>
            </w:r>
            <w:r>
              <w:rPr>
                <w:b/>
                <w:i/>
              </w:rPr>
              <w:t xml:space="preserve">emą. </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2. Valstybės narės nustato sistemą, pagal kurią lygybės įstaigos, gavusios skundą arba savo iniciatyva, kai yra pagrįstų įtarimų, gali atlikti faktų nustatymo tyrimus, siekdamos užtikrinti, kad priimant galutinį sprendimą būtų atsižvelgta į visus t</w:t>
            </w:r>
            <w:r>
              <w:rPr>
                <w:b/>
                <w:i/>
              </w:rPr>
              <w:t>o atvejo faktus. Visų pirma pagal tą sistemą garantuojama, kad lygybės įstaigoms būtų suteikiamos veiksmingos teisės gauti informaciją, reikalingą siekiant nustatyti, ar būta diskriminacijos.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3. Valstybės narės užtikrina, kad viešieji ir privatūs </w:t>
            </w:r>
            <w:r>
              <w:rPr>
                <w:b/>
                <w:i/>
              </w:rPr>
              <w:t>subjektai, taip pat visos kitos susijusios trečiosios šalys ir įtariamas nusikalstamos veikos vykdytojas privalėtų bendradarbiauti su lygybės įstaigomis joms atliekant tyrimus ir nustatant faktus ir pateikti prašomą informaciją; tai nedaro poveikio kiekvie</w:t>
            </w:r>
            <w:r>
              <w:rPr>
                <w:b/>
                <w:i/>
              </w:rPr>
              <w:t xml:space="preserve">no asmens duomenų teisėms. Lygybės įstaigoms suteikiama teisė skirti sankcijas, jeigu joms nepateikiami jų prašomi įrodymai ir (arba) atitinkama informacija. Sankcijos skiriamos pagal nacionalinės teisės aktus ir praktiką tik tuo atveju, jei nėra tinkamai </w:t>
            </w:r>
            <w:r>
              <w:rPr>
                <w:b/>
                <w:i/>
              </w:rPr>
              <w:t xml:space="preserve">pagrįstos priežasties nepateikti prašomų įrodymų ir (arba) informacijos ir neprašoma pateikti asmens duomenų. </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7 b straipsnis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w:t>
            </w:r>
            <w:r>
              <w:t>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jc w:val="center"/>
              <w:rPr>
                <w:szCs w:val="24"/>
              </w:rPr>
            </w:pPr>
            <w:r>
              <w:rPr>
                <w:b/>
                <w:i/>
              </w:rPr>
              <w:t>7b straipsnis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jc w:val="center"/>
              <w:rPr>
                <w:szCs w:val="24"/>
              </w:rPr>
            </w:pPr>
            <w:r>
              <w:rPr>
                <w:b/>
                <w:i/>
              </w:rPr>
              <w:t>Nuomonės ir sprendimų priėmimo funkcijos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1. Valstybės narės užtikrina, kad lygybės įstaigos turėtų tinkamus įgaliojimus ir galėtų veiksmingai kovoti su diskriminacija.</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2. Funkcijos, kurios gali būti </w:t>
            </w:r>
            <w:r>
              <w:rPr>
                <w:b/>
                <w:i/>
              </w:rPr>
              <w:t>priskirtos lygybės įstaigoms, apima šias: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a) priimti, ištirti ir nagrinėti individualius ir kolektyvinius skundus dėl diskriminacijos ir taikyti taikinimo procedūras, taip pat priimti sprendimus dėl šių skundų remiantis atitinkamais teisės aktais, </w:t>
            </w:r>
            <w:r>
              <w:rPr>
                <w:b/>
                <w:i/>
              </w:rPr>
              <w:t>įskaitant nuostatas dėl bendros įrodinėjimo pareigos;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b) nuspręsti, ar buvo pažeisti kovos su diskriminacija teisės aktai;</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c) raštu registruoti bylos ar tyrimo vertinimą, be kita ko, nustatytus faktus ir pagrįstą išvadą dėl diskriminacijos buvimo;</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d)</w:t>
            </w:r>
            <w:r>
              <w:rPr>
                <w:b/>
                <w:i/>
              </w:rPr>
              <w:t xml:space="preserve"> kai taikytina, priimti teisiškai privalomus sprendimus, kuriais reikalaujama imtis veiksmų siekiant nutraukti diskriminaciją, užtikrinti visišką lygybę ir užkirsti kelią diskriminacijai ateityje;</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e) taikyti priemones bet kokiam nustatytam pažeidimui paš</w:t>
            </w:r>
            <w:r>
              <w:rPr>
                <w:b/>
                <w:i/>
              </w:rPr>
              <w:t>alinti ir užkirsti kelią tokių pažeidimų pasikartojimui ateityje. Valstybės narės užtikrina, kad lygybės įstaigos galėtų nustatyti tinkamus tolesnių veiksmų mechanizmus, pvz., pareigas pateikti atsiliepimą, ir turėtų būdų užtikrinti sprendimų vykdymą;</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f)</w:t>
            </w:r>
            <w:r>
              <w:rPr>
                <w:b/>
                <w:i/>
              </w:rPr>
              <w:t xml:space="preserve"> pagal nacionalinės teisės aktus ir praktiką skirti veiksmingas, proporcingas </w:t>
            </w:r>
            <w:r>
              <w:rPr>
                <w:b/>
                <w:i/>
              </w:rPr>
              <w:lastRenderedPageBreak/>
              <w:t>ir atgrasančias sankcijas, pvz., kompensacijos už turtinę ir neturtinę žalą mokėjimą ir baudas, kai nustatoma, kad buvo pažeisti nediskriminavimo teisės aktai;</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g) pateikti nepr</w:t>
            </w:r>
            <w:r>
              <w:rPr>
                <w:b/>
                <w:i/>
              </w:rPr>
              <w:t xml:space="preserve">ivalomas nuomones ir rekomendacijas, kuriose reikalaujama imtis veiksmų siekiant nutraukti diskriminaciją, užtikrinti visišką lygybę ir užkirsti kelią diskriminacijai ateityje; </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h) užtikrinti, kad būtų įgyvendinami jų sprendimai, nuomonės ir rekomendacij</w:t>
            </w:r>
            <w:r>
              <w:rPr>
                <w:b/>
                <w:i/>
              </w:rPr>
              <w:t>os;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i) skelbti savo sprendimus, nuomones ir rekomendacijas neatskleidžiant asmens duomenų, įskaitant, kai taikytina, pritaikytas sankcijas.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 xml:space="preserve">3. Valstybės narės užtikrina, kad nacionalinės teisės aktuose būtų numatyta teisė teisme apskųsti lygybės </w:t>
            </w:r>
            <w:r>
              <w:rPr>
                <w:b/>
                <w:i/>
              </w:rPr>
              <w:t>įstaigos priimtus teisiškai privalomus galutinius sprendimus.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8 straipsnis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jc w:val="center"/>
            </w:pPr>
            <w:r>
              <w:rPr>
                <w:b/>
                <w:i/>
              </w:rPr>
              <w:t>8 straipsnis</w:t>
            </w:r>
          </w:p>
        </w:tc>
        <w:tc>
          <w:tcPr>
            <w:tcW w:w="4876" w:type="dxa"/>
            <w:hideMark/>
          </w:tcPr>
          <w:p w:rsidR="00EB6090" w:rsidRPr="0065259B" w:rsidRDefault="0025755D" w:rsidP="008A459A">
            <w:pPr>
              <w:pStyle w:val="Normal6"/>
              <w:rPr>
                <w:szCs w:val="24"/>
              </w:rPr>
            </w:pPr>
            <w:r>
              <w:rPr>
                <w:b/>
                <w:i/>
              </w:rPr>
              <w:t>Išbraukta.</w:t>
            </w:r>
          </w:p>
        </w:tc>
      </w:tr>
      <w:tr w:rsidR="00E471E0" w:rsidTr="008A459A">
        <w:trPr>
          <w:jc w:val="center"/>
        </w:trPr>
        <w:tc>
          <w:tcPr>
            <w:tcW w:w="4876" w:type="dxa"/>
            <w:hideMark/>
          </w:tcPr>
          <w:p w:rsidR="00EB6090" w:rsidRPr="0065259B" w:rsidRDefault="0025755D" w:rsidP="008A459A">
            <w:pPr>
              <w:pStyle w:val="Normal6"/>
              <w:jc w:val="center"/>
            </w:pPr>
            <w:r>
              <w:rPr>
                <w:b/>
                <w:i/>
              </w:rPr>
              <w:t>Nuomonės ir sprendimai</w:t>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1.</w:t>
            </w:r>
            <w:r>
              <w:rPr>
                <w:b/>
                <w:i/>
              </w:rPr>
              <w:tab/>
              <w:t xml:space="preserve">Valstybės narės užtikrina, kad lygybės įstaigos, gavusios skundą ar savo iniciatyva manydamos, jog direktyvose 2006/54/EB ir 2010/41/ES nustatytas vienodo požiūrio principas galėjo būti pažeistas, būtų įgaliotos toliau tirti tą </w:t>
            </w:r>
            <w:r>
              <w:rPr>
                <w:b/>
                <w:i/>
              </w:rPr>
              <w:t>atvejį.</w:t>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2.</w:t>
            </w:r>
            <w:r>
              <w:rPr>
                <w:b/>
                <w:i/>
              </w:rPr>
              <w:tab/>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Valstybės narės nustato sistemą, pagal kurią lygybės įstaigoms sudaromos sąlygos nustatyti faktus.</w:t>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lastRenderedPageBreak/>
              <w:t xml:space="preserve">Visų pirma pagal tą sistemą lygybės įstaigoms suteikiamos veiksmingos teisės gauti informaciją, reikalingą siekiant nustatyti, ar būta </w:t>
            </w:r>
            <w:r>
              <w:rPr>
                <w:b/>
                <w:i/>
              </w:rPr>
              <w:t>diskriminacijos. Joje taip pat numatomi tinkami mechanizmai, kad lygybės įstaigos tuo tikslu galėtų bendradarbiauti su atitinkamomis viešosiomis įstaigomis.</w:t>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3.</w:t>
            </w:r>
            <w:r>
              <w:rPr>
                <w:b/>
                <w:i/>
              </w:rPr>
              <w:tab/>
              <w:t xml:space="preserve">Valstybės narės taip pat gali nustatyti, kad įtariamas nusikalstamos veikos vykdytojas ir bet </w:t>
            </w:r>
            <w:r>
              <w:rPr>
                <w:b/>
                <w:i/>
              </w:rPr>
              <w:t>kuri trečioji šalis teisiškai privalo pateikti visą lygybės įstaigų prašomą informaciją ir dokumentus.</w:t>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4.</w:t>
            </w:r>
            <w:r>
              <w:rPr>
                <w:b/>
                <w:i/>
              </w:rPr>
              <w:tab/>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Valstybės narės užtikrina, kad lygybės įstaigos raštu registruotų savo atliktą atvejo vertinimą, be kita ko, nustatytus faktus ir pagrįstą išvadą</w:t>
            </w:r>
            <w:r>
              <w:rPr>
                <w:b/>
                <w:i/>
              </w:rPr>
              <w:t xml:space="preserve"> dėl diskriminacijos buvimo. Valstybės narės nustato, ar tai turi būti daroma teikiant neprivalomas nuomones, ar priimant vykdytinus privalomus sprendimus.</w:t>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Prireikus, nuomonėse ir sprendimuose nurodomos konkrečios priemonės nustatytiems pažeidimams pašal</w:t>
            </w:r>
            <w:r>
              <w:rPr>
                <w:b/>
                <w:i/>
              </w:rPr>
              <w:t>inti ir paskesniems atvejams išvengti. Valstybės narės nustato tinkamus mechanizmus, pagal kuriuos būtų atsižvelgiama į nuomones, pvz., nustato pareigas pateikti atsiliepimą, ir pagal kuriuos būtų užtikrinamas sprendimų vykdymas.</w:t>
            </w:r>
          </w:p>
        </w:tc>
        <w:tc>
          <w:tcPr>
            <w:tcW w:w="4876" w:type="dxa"/>
          </w:tcPr>
          <w:p w:rsidR="00EB6090" w:rsidRPr="0065259B" w:rsidRDefault="00EB6090" w:rsidP="008A459A">
            <w:pPr>
              <w:pStyle w:val="Normal6"/>
              <w:rPr>
                <w:szCs w:val="24"/>
                <w:lang w:val="en-GB"/>
              </w:rPr>
            </w:pPr>
          </w:p>
        </w:tc>
      </w:tr>
      <w:tr w:rsidR="00E471E0" w:rsidTr="008A459A">
        <w:trPr>
          <w:jc w:val="center"/>
        </w:trPr>
        <w:tc>
          <w:tcPr>
            <w:tcW w:w="4876" w:type="dxa"/>
            <w:hideMark/>
          </w:tcPr>
          <w:p w:rsidR="00EB6090" w:rsidRPr="0065259B" w:rsidRDefault="0025755D" w:rsidP="008A459A">
            <w:pPr>
              <w:pStyle w:val="Normal6"/>
            </w:pPr>
            <w:r>
              <w:rPr>
                <w:b/>
                <w:i/>
              </w:rPr>
              <w:t>Lygybės įstaigos skelbia</w:t>
            </w:r>
            <w:r>
              <w:rPr>
                <w:b/>
                <w:i/>
              </w:rPr>
              <w:t xml:space="preserve"> savo nuomonių ir sprendimų santraukas, neatskleisdamos asmens duomenų.</w:t>
            </w:r>
          </w:p>
        </w:tc>
        <w:tc>
          <w:tcPr>
            <w:tcW w:w="4876" w:type="dxa"/>
          </w:tcPr>
          <w:p w:rsidR="00EB6090" w:rsidRPr="0065259B" w:rsidRDefault="00EB6090" w:rsidP="008A459A">
            <w:pPr>
              <w:pStyle w:val="Normal6"/>
              <w:rPr>
                <w:szCs w:val="24"/>
                <w:lang w:val="en-GB"/>
              </w:rPr>
            </w:pP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69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r>
            <w:r>
              <w:t xml:space="preserve">Valstybės narės užtikrina, kad lygybės įstaigos turėtų teisę pagal </w:t>
            </w:r>
            <w:r>
              <w:rPr>
                <w:b/>
                <w:i/>
              </w:rPr>
              <w:t xml:space="preserve">2–5 dalis </w:t>
            </w:r>
            <w:r>
              <w:rPr>
                <w:b/>
                <w:i/>
              </w:rPr>
              <w:lastRenderedPageBreak/>
              <w:t>veikti teismo procese administracinės ir civilinės teisenos bylose</w:t>
            </w:r>
            <w:r>
              <w:t xml:space="preserve">, </w:t>
            </w:r>
            <w:r>
              <w:rPr>
                <w:b/>
                <w:i/>
              </w:rPr>
              <w:t>susijusiame su</w:t>
            </w:r>
            <w:r>
              <w:t xml:space="preserve"> direktyvose 2006/54/EB ir 2010/41/ES nustatyto vienodo požiūrio principo </w:t>
            </w:r>
            <w:r>
              <w:rPr>
                <w:b/>
                <w:i/>
              </w:rPr>
              <w:t>įgyvendinimu</w:t>
            </w:r>
            <w:r>
              <w:t>, nedarydam</w:t>
            </w:r>
            <w:r>
              <w:t>os poveikio nacionalinėms taisyklėms dėl ieškinių priimtinumo.</w:t>
            </w:r>
          </w:p>
        </w:tc>
        <w:tc>
          <w:tcPr>
            <w:tcW w:w="4876" w:type="dxa"/>
            <w:hideMark/>
          </w:tcPr>
          <w:p w:rsidR="00EB6090" w:rsidRPr="0065259B" w:rsidRDefault="0025755D" w:rsidP="008A459A">
            <w:pPr>
              <w:pStyle w:val="Normal6"/>
              <w:rPr>
                <w:szCs w:val="24"/>
              </w:rPr>
            </w:pPr>
            <w:r>
              <w:lastRenderedPageBreak/>
              <w:t>1.</w:t>
            </w:r>
            <w:r>
              <w:tab/>
              <w:t xml:space="preserve">Valstybės narės užtikrina, kad lygybės įstaigos turėtų teisę pagal </w:t>
            </w:r>
            <w:r>
              <w:rPr>
                <w:b/>
                <w:i/>
              </w:rPr>
              <w:t xml:space="preserve">šį </w:t>
            </w:r>
            <w:r>
              <w:rPr>
                <w:b/>
                <w:i/>
              </w:rPr>
              <w:lastRenderedPageBreak/>
              <w:t>straipsnį kreiptis į valdžios institucijas, ginčų sprendimo institucijas, įskaitant administracinius teismus</w:t>
            </w:r>
            <w:r>
              <w:t xml:space="preserve">, </w:t>
            </w:r>
            <w:r>
              <w:rPr>
                <w:b/>
                <w:i/>
              </w:rPr>
              <w:t xml:space="preserve">ir veikti </w:t>
            </w:r>
            <w:r>
              <w:rPr>
                <w:b/>
                <w:i/>
              </w:rPr>
              <w:t>teismo procese dėl</w:t>
            </w:r>
            <w:r>
              <w:t xml:space="preserve"> direktyvose 2006/54/EB ir 2010/41/ES nustatyto vienodo požiūrio principo </w:t>
            </w:r>
            <w:r>
              <w:rPr>
                <w:b/>
                <w:i/>
              </w:rPr>
              <w:t>įgyvendinimo</w:t>
            </w:r>
            <w:r>
              <w:t>, nedarydamos poveikio nacionalinėms taisyklėms dėl ieškinių priimtinumo.</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70</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 xml:space="preserve">Pasiūlymas dėl </w:t>
      </w:r>
      <w:r>
        <w:t>direktyvos</w:t>
      </w:r>
      <w:r>
        <w:rPr>
          <w:rStyle w:val="HideTWBExt"/>
          <w:b w:val="0"/>
        </w:rPr>
        <w:t>&lt;/DocAmend&gt;</w:t>
      </w:r>
    </w:p>
    <w:p w:rsidR="00EB6090" w:rsidRPr="0065259B" w:rsidRDefault="0025755D" w:rsidP="00EB6090">
      <w:pPr>
        <w:pStyle w:val="NormalBold"/>
      </w:pPr>
      <w:r>
        <w:rPr>
          <w:rStyle w:val="HideTWBExt"/>
          <w:b w:val="0"/>
        </w:rPr>
        <w:t>&lt;Article&gt;</w:t>
      </w:r>
      <w:r>
        <w:t>9 straipsnio 2 dalies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w:t>
            </w:r>
            <w:r>
              <w:tab/>
              <w:t>Teisė veikti teismo procese apima:</w:t>
            </w:r>
          </w:p>
        </w:tc>
        <w:tc>
          <w:tcPr>
            <w:tcW w:w="4876" w:type="dxa"/>
            <w:hideMark/>
          </w:tcPr>
          <w:p w:rsidR="00EB6090" w:rsidRPr="0065259B" w:rsidRDefault="0025755D" w:rsidP="008A459A">
            <w:pPr>
              <w:pStyle w:val="Normal6"/>
              <w:rPr>
                <w:szCs w:val="24"/>
              </w:rPr>
            </w:pPr>
            <w:r>
              <w:t>2.</w:t>
            </w:r>
            <w:r>
              <w:tab/>
              <w:t>Teisė veikti teismo procese apima</w:t>
            </w:r>
            <w:r>
              <w:rPr>
                <w:b/>
                <w:i/>
              </w:rPr>
              <w:t>, be kita ko</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a)</w:t>
            </w:r>
            <w:r>
              <w:tab/>
              <w:t xml:space="preserve">lygybės įstaigos teisę veikti kaip proceso šaliai dėl sprendimo, priimto pagal 8 straipsnio </w:t>
            </w:r>
            <w:r>
              <w:rPr>
                <w:b/>
                <w:i/>
              </w:rPr>
              <w:t>4</w:t>
            </w:r>
            <w:r>
              <w:t xml:space="preserve"> dalį, vykdymo užtikrinimo ar teisminės peržiūros;</w:t>
            </w:r>
          </w:p>
        </w:tc>
        <w:tc>
          <w:tcPr>
            <w:tcW w:w="4876" w:type="dxa"/>
            <w:hideMark/>
          </w:tcPr>
          <w:p w:rsidR="00EB6090" w:rsidRPr="0065259B" w:rsidRDefault="0025755D" w:rsidP="008A459A">
            <w:pPr>
              <w:pStyle w:val="Normal6"/>
              <w:rPr>
                <w:szCs w:val="24"/>
              </w:rPr>
            </w:pPr>
            <w:r>
              <w:t>a)</w:t>
            </w:r>
            <w:r>
              <w:tab/>
              <w:t xml:space="preserve">lygybės įstaigos teisę veikti kaip proceso šaliai dėl sprendimo, priimto pagal 8 straipsnio </w:t>
            </w:r>
            <w:r>
              <w:rPr>
                <w:b/>
                <w:i/>
              </w:rPr>
              <w:t>2</w:t>
            </w:r>
            <w:r>
              <w:t xml:space="preserve"> dalį, vykdymo užtikrinimo ar teisminės peržiūros;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b)</w:t>
            </w:r>
            <w:r>
              <w:tab/>
              <w:t xml:space="preserve">lygybės įstaigos teisę teikti pastabas teismui veikiant kaip </w:t>
            </w:r>
            <w:r>
              <w:rPr>
                <w:i/>
                <w:iCs/>
              </w:rPr>
              <w:t>amicus curiae</w:t>
            </w:r>
            <w:r>
              <w:t>;</w:t>
            </w:r>
          </w:p>
        </w:tc>
        <w:tc>
          <w:tcPr>
            <w:tcW w:w="4876" w:type="dxa"/>
            <w:hideMark/>
          </w:tcPr>
          <w:p w:rsidR="00EB6090" w:rsidRPr="0065259B" w:rsidRDefault="0025755D" w:rsidP="008A459A">
            <w:pPr>
              <w:pStyle w:val="Normal6"/>
              <w:rPr>
                <w:szCs w:val="24"/>
              </w:rPr>
            </w:pPr>
            <w:r>
              <w:t>b)</w:t>
            </w:r>
            <w:r>
              <w:tab/>
              <w:t xml:space="preserve">lygybės įstaigos teisę teikti pastabas </w:t>
            </w:r>
            <w:r>
              <w:t>teismui</w:t>
            </w:r>
            <w:r>
              <w:rPr>
                <w:b/>
                <w:i/>
              </w:rPr>
              <w:t>, valdžios institucijoms ir ginčų sprendimo institucijoms, įskaitant administracinius teismus,</w:t>
            </w:r>
            <w:r>
              <w:t xml:space="preserve"> veikiant kaip </w:t>
            </w:r>
            <w:r>
              <w:rPr>
                <w:i/>
                <w:iCs/>
              </w:rPr>
              <w:t>amicus curiae</w:t>
            </w:r>
            <w:r>
              <w:rPr>
                <w:b/>
                <w:i/>
              </w:rPr>
              <w:t>, trečiajai šaliai ar ekspertui</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lastRenderedPageBreak/>
        <w:t>&lt;Amend&gt;</w:t>
      </w:r>
      <w:r>
        <w:t>Pakeitimas</w:t>
      </w:r>
      <w:r>
        <w:tab/>
      </w:r>
      <w:r>
        <w:tab/>
      </w:r>
      <w:r>
        <w:rPr>
          <w:rStyle w:val="HideTWBExt"/>
          <w:b w:val="0"/>
        </w:rPr>
        <w:t>&lt;NumAm&gt;</w:t>
      </w:r>
      <w:r>
        <w:t>73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dalies c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c)</w:t>
            </w:r>
            <w:r>
              <w:tab/>
              <w:t>lygybės įstaigos teisę pradėti procesą arba jame dalyvauti vienos ar kelių aukų vardu ar jas palaikant</w:t>
            </w:r>
            <w:r>
              <w:rPr>
                <w:b/>
                <w:i/>
              </w:rPr>
              <w:t>;</w:t>
            </w:r>
            <w:r>
              <w:t xml:space="preserve"> tokiu atveju būtinas aukų sutikimas</w:t>
            </w:r>
            <w:r>
              <w:rPr>
                <w:b/>
                <w:i/>
              </w:rPr>
              <w:t>.</w:t>
            </w:r>
          </w:p>
        </w:tc>
        <w:tc>
          <w:tcPr>
            <w:tcW w:w="4876" w:type="dxa"/>
            <w:hideMark/>
          </w:tcPr>
          <w:p w:rsidR="00EB6090" w:rsidRPr="0065259B" w:rsidRDefault="0025755D" w:rsidP="008A459A">
            <w:pPr>
              <w:pStyle w:val="Normal6"/>
              <w:rPr>
                <w:szCs w:val="24"/>
              </w:rPr>
            </w:pPr>
            <w:r>
              <w:t>c)</w:t>
            </w:r>
            <w:r>
              <w:tab/>
            </w:r>
            <w:r>
              <w:t xml:space="preserve">lygybės įstaigos teisę pradėti procesą arba jame dalyvauti </w:t>
            </w:r>
            <w:r>
              <w:rPr>
                <w:b/>
                <w:i/>
              </w:rPr>
              <w:t xml:space="preserve">savo vardu arba </w:t>
            </w:r>
            <w:r>
              <w:t>vienos ar kelių aukų vardu ar jas palaikant</w:t>
            </w:r>
            <w:r>
              <w:rPr>
                <w:b/>
                <w:i/>
              </w:rPr>
              <w:t>, visų pirma siekiant kovoti su struktūrine ar sistemine diskriminacija, be kita ko, internete.</w:t>
            </w:r>
            <w:r>
              <w:t xml:space="preserve"> Tokiu atveju būtinas </w:t>
            </w:r>
            <w:r>
              <w:rPr>
                <w:b/>
                <w:i/>
              </w:rPr>
              <w:t>informacija grindžiam</w:t>
            </w:r>
            <w:r>
              <w:rPr>
                <w:b/>
                <w:i/>
              </w:rPr>
              <w:t xml:space="preserve">as </w:t>
            </w:r>
            <w:r>
              <w:t>aukų sutikimas</w:t>
            </w:r>
            <w:r>
              <w:rPr>
                <w:b/>
                <w:i/>
              </w:rP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dalies c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ca)</w:t>
            </w:r>
            <w:r>
              <w:rPr>
                <w:b/>
                <w:i/>
              </w:rPr>
              <w:tab/>
              <w:t xml:space="preserve">teisę pasinaudoti alternatyviais </w:t>
            </w:r>
            <w:r>
              <w:rPr>
                <w:b/>
                <w:i/>
              </w:rPr>
              <w:t>ginčų sprendimo procesais, įskaitant, kai tinkama, taikius susitarimus;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dalies c b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 xml:space="preserve">Komisijos siūlomas </w:t>
            </w:r>
            <w:r>
              <w:t>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cb)</w:t>
            </w:r>
            <w:r>
              <w:rPr>
                <w:b/>
                <w:i/>
              </w:rPr>
              <w:tab/>
              <w:t>lygybės įstaigos teisę pradėti teismo procesą savo vardu, ypač siekiant spręsti su struktūrine ar sistemine diskriminacija, įskaitant diskriminaciją internete, susijusias problemas atvejais, lygybės įstaigos atrinktais dėl jų gauso</w:t>
            </w:r>
            <w:r>
              <w:rPr>
                <w:b/>
                <w:i/>
              </w:rPr>
              <w:t>s, rimtumo ar būtinumo gauti teisinį išaiškinimą, pagal paskelbtus lygybės įstaigos nustatytus kriterijus.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lastRenderedPageBreak/>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2a.</w:t>
            </w:r>
            <w:r>
              <w:rPr>
                <w:b/>
                <w:i/>
              </w:rPr>
              <w:tab/>
              <w:t xml:space="preserve">Valstybės narės užtikrina, kad lygybės įstaigos turėtų teisę stebėti, kaip vykdomi valdžios institucijų, ginčo sprendimo institucijų ir teismų, nagrinėjančių lygybės, diskriminacijos ir netolerancijos klausimus, </w:t>
            </w:r>
            <w:r>
              <w:rPr>
                <w:b/>
                <w:i/>
              </w:rPr>
              <w:t>sprendimai.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2b.</w:t>
            </w:r>
            <w:r>
              <w:rPr>
                <w:b/>
                <w:i/>
              </w:rPr>
              <w:tab/>
              <w:t xml:space="preserve">Valstybės narės užtikrina, kad lygybės įstaigos </w:t>
            </w:r>
            <w:r>
              <w:rPr>
                <w:b/>
                <w:i/>
              </w:rPr>
              <w:t>galėtų sukurti sistemą, pagal kurią aukoms nereikėtų padengti teismo ir administracinių mokesčių arba atstovavimo mokesčių, visų pirma struktūrinės ar sisteminės diskriminacijos, įskaitant diskriminaciją internete, atvejais ir kai dėl jų bylų pateikiami st</w:t>
            </w:r>
            <w:r>
              <w:rPr>
                <w:b/>
                <w:i/>
              </w:rPr>
              <w:t>rateginiai ieškiniai.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2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2c.</w:t>
            </w:r>
            <w:r>
              <w:rPr>
                <w:b/>
                <w:i/>
              </w:rPr>
              <w:tab/>
              <w:t xml:space="preserve">Valstybės narės užtikrina, kad lygybės </w:t>
            </w:r>
            <w:r>
              <w:rPr>
                <w:b/>
                <w:i/>
              </w:rPr>
              <w:t>įstaigos turėtų teisę pradėti teismo procesą iš karto, pasinaudojusios tyrimo įgaliojimais pagal 7a straipsnį, nereikalaujant pateikti nuomonės ar priimti sprendimo prieš pradedant procesą.</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79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rPr>
                <w:b/>
                <w:i/>
              </w:rPr>
              <w:t>3.</w:t>
            </w:r>
            <w:r>
              <w:rPr>
                <w:b/>
                <w:i/>
              </w:rPr>
              <w:tab/>
              <w:t>Valstybės narės užtikrina, kad lygybės įstaiga galėtų pradėti teismo procesą savo vardu, ypač siekdama spręsti su struktūrine ir sistem</w:t>
            </w:r>
            <w:r>
              <w:rPr>
                <w:b/>
                <w:i/>
              </w:rPr>
              <w:t>ine diskriminacija susijusias problemas atvejais, lygybės įstaigos atrinktais dėl jų gausos, rimtumo ar būtinumo gauti teisinį išaiškinimą.</w:t>
            </w:r>
          </w:p>
        </w:tc>
        <w:tc>
          <w:tcPr>
            <w:tcW w:w="4876" w:type="dxa"/>
            <w:hideMark/>
          </w:tcPr>
          <w:p w:rsidR="00EB6090" w:rsidRPr="0065259B" w:rsidRDefault="0025755D" w:rsidP="008A459A">
            <w:pPr>
              <w:pStyle w:val="Normal6"/>
              <w:rPr>
                <w:szCs w:val="24"/>
              </w:rPr>
            </w:pPr>
            <w:r>
              <w:rPr>
                <w:b/>
                <w:i/>
              </w:rPr>
              <w:t>Išbraukta.</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80</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w:t>
      </w:r>
      <w:r>
        <w:t xml:space="preserve">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rPr>
                <w:b/>
                <w:i/>
              </w:rPr>
              <w:t>4.</w:t>
            </w:r>
            <w:r>
              <w:rPr>
                <w:b/>
                <w:i/>
              </w:rPr>
              <w:tab/>
              <w:t xml:space="preserve">Valstybės narės užtikrina, kad, išskyrus 2 dalies a ir b punktuose nurodytus atvejus, lygybės įstaiga teismo procese neteiktų įrodymų, kuriuos ji gavo naudodamasi įgaliojimais pagal </w:t>
            </w:r>
            <w:r>
              <w:rPr>
                <w:b/>
                <w:i/>
              </w:rPr>
              <w:t>8 straipsnio 3 dalį.</w:t>
            </w:r>
          </w:p>
        </w:tc>
        <w:tc>
          <w:tcPr>
            <w:tcW w:w="4876" w:type="dxa"/>
            <w:hideMark/>
          </w:tcPr>
          <w:p w:rsidR="00EB6090" w:rsidRPr="0065259B" w:rsidRDefault="0025755D" w:rsidP="008A459A">
            <w:pPr>
              <w:pStyle w:val="Normal6"/>
              <w:rPr>
                <w:szCs w:val="24"/>
              </w:rPr>
            </w:pPr>
            <w:r>
              <w:rPr>
                <w:b/>
                <w:i/>
              </w:rPr>
              <w:t>Išbraukta.</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5.</w:t>
            </w:r>
            <w:r>
              <w:tab/>
              <w:t xml:space="preserve">Valstybės narės </w:t>
            </w:r>
            <w:r>
              <w:rPr>
                <w:b/>
                <w:i/>
              </w:rPr>
              <w:t>užtikrina</w:t>
            </w:r>
            <w:r>
              <w:t>, kad nebūtų pagal 8</w:t>
            </w:r>
            <w:r>
              <w:t xml:space="preserve"> straipsnio 2–4 dalis pradedama ar tęsiama jokių tyrimų, kol dėl to paties atvejo vyksta teismo procesas.</w:t>
            </w:r>
          </w:p>
        </w:tc>
        <w:tc>
          <w:tcPr>
            <w:tcW w:w="4876" w:type="dxa"/>
            <w:hideMark/>
          </w:tcPr>
          <w:p w:rsidR="00EB6090" w:rsidRPr="0065259B" w:rsidRDefault="0025755D" w:rsidP="008A459A">
            <w:pPr>
              <w:pStyle w:val="Normal6"/>
              <w:rPr>
                <w:szCs w:val="24"/>
              </w:rPr>
            </w:pPr>
            <w:r>
              <w:t>5.</w:t>
            </w:r>
            <w:r>
              <w:tab/>
              <w:t xml:space="preserve">Valstybės narės </w:t>
            </w:r>
            <w:r>
              <w:rPr>
                <w:b/>
                <w:i/>
              </w:rPr>
              <w:t>gali numatyti</w:t>
            </w:r>
            <w:r>
              <w:t>, kad nebūtų pagal 8 straipsnio 2–4 dalis pradedama ar tęsiama jokių tyrimų, kol dėl to paties atvejo vyksta teismo pr</w:t>
            </w:r>
            <w:r>
              <w:t>ocesas.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9 straipsnio 5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5a.</w:t>
            </w:r>
            <w:r>
              <w:rPr>
                <w:b/>
                <w:i/>
              </w:rPr>
              <w:tab/>
              <w:t xml:space="preserve">Valstybės narės užtikrina, kad lygybės įstaigos galėtų </w:t>
            </w:r>
            <w:r>
              <w:rPr>
                <w:b/>
                <w:i/>
              </w:rPr>
              <w:t>dalyvauti teismo procese naudodamos įrodymus, surinktus pagal 7a straipsnio 2 ir 3 dalis, iš anksto neprivalėdamos pateikti nuomonės ar priimti privalomo sprendimo.</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10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Valstybės narės užtikrina, kad 6, 7, 8 ir 9 straipsniuose nurodytose procedūrose būtų tinkamai saugomos susijusių fizinių ir juridinių asmenų teisės į gynybą. </w:t>
            </w:r>
            <w:r>
              <w:t>Valstybės narės užtikrina, kad lygybės įstaigos garantuotų liudytojų, pranešėjų ir, kiek įmanoma, skundų pateikėjų konfidencialumą.</w:t>
            </w:r>
          </w:p>
        </w:tc>
        <w:tc>
          <w:tcPr>
            <w:tcW w:w="4876" w:type="dxa"/>
            <w:hideMark/>
          </w:tcPr>
          <w:p w:rsidR="00EB6090" w:rsidRPr="0065259B" w:rsidRDefault="0025755D" w:rsidP="008A459A">
            <w:pPr>
              <w:pStyle w:val="Normal6"/>
              <w:rPr>
                <w:szCs w:val="24"/>
              </w:rPr>
            </w:pPr>
            <w:r>
              <w:t xml:space="preserve">Valstybės narės užtikrina, kad 6, 7, </w:t>
            </w:r>
            <w:r>
              <w:rPr>
                <w:b/>
                <w:i/>
              </w:rPr>
              <w:t xml:space="preserve">7a, 7b, </w:t>
            </w:r>
            <w:r>
              <w:t>8 ir 9 straipsniuose nurodytose procedūrose būtų tinkamai saugomos susijusių fi</w:t>
            </w:r>
            <w:r>
              <w:t>zinių ir juridinių asmenų teisės į gynybą. Valstybės narės užtikrina, kad lygybės įstaigos garantuotų liudytojų, pranešėjų ir, kiek įmanoma, skundų pateikėjų konfidencialumą</w:t>
            </w:r>
            <w:r>
              <w:rPr>
                <w:b/>
                <w:i/>
              </w:rPr>
              <w:t xml:space="preserve"> ir kad nustatytų vidaus informatorių apsaugos mechanizmus</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w:t>
      </w:r>
      <w:r>
        <w:t>imas</w:t>
      </w:r>
      <w:r>
        <w:tab/>
      </w:r>
      <w:r>
        <w:tab/>
      </w:r>
      <w:r>
        <w:rPr>
          <w:rStyle w:val="HideTWBExt"/>
          <w:b w:val="0"/>
        </w:rPr>
        <w:t>&lt;NumAm&gt;</w:t>
      </w:r>
      <w:r>
        <w:t>84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10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rPr>
                <w:b/>
                <w:i/>
              </w:rPr>
              <w:t>8</w:t>
            </w:r>
            <w:r>
              <w:t xml:space="preserve"> straipsnio </w:t>
            </w:r>
            <w:r>
              <w:rPr>
                <w:b/>
                <w:i/>
              </w:rPr>
              <w:t>4 dalyje</w:t>
            </w:r>
            <w:r>
              <w:t xml:space="preserve"> nurodytiems sprendimams taikoma teisminė peržiūra pagal nacionalinę teisę.</w:t>
            </w:r>
          </w:p>
        </w:tc>
        <w:tc>
          <w:tcPr>
            <w:tcW w:w="4876" w:type="dxa"/>
            <w:hideMark/>
          </w:tcPr>
          <w:p w:rsidR="00EB6090" w:rsidRPr="0065259B" w:rsidRDefault="0025755D" w:rsidP="008A459A">
            <w:pPr>
              <w:pStyle w:val="Normal6"/>
              <w:rPr>
                <w:szCs w:val="24"/>
              </w:rPr>
            </w:pPr>
            <w:r>
              <w:rPr>
                <w:b/>
                <w:i/>
              </w:rPr>
              <w:t>7b</w:t>
            </w:r>
            <w:r>
              <w:t xml:space="preserve"> straipsnio </w:t>
            </w:r>
            <w:r>
              <w:rPr>
                <w:b/>
                <w:i/>
              </w:rPr>
              <w:t>1 dalies c–g punktuose</w:t>
            </w:r>
            <w:r>
              <w:t xml:space="preserve"> nurodytiems sprendimams taikoma teisminė peržiūra pagal nacionalinę teisę.</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11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w:t>
            </w:r>
            <w:r>
              <w:tab/>
              <w:t>Valstybės narės užtikrina, kad lygybės įstaigos visas savo paslaugas skundą pateikusiems asmenims teiktų nemokamai, visoje savo teritorijoje, be kita ko, kaimo ir atokiose vietovėse.</w:t>
            </w:r>
          </w:p>
        </w:tc>
        <w:tc>
          <w:tcPr>
            <w:tcW w:w="4876" w:type="dxa"/>
            <w:hideMark/>
          </w:tcPr>
          <w:p w:rsidR="00EB6090" w:rsidRPr="0065259B" w:rsidRDefault="0025755D" w:rsidP="008A459A">
            <w:pPr>
              <w:pStyle w:val="Normal6"/>
              <w:rPr>
                <w:szCs w:val="24"/>
              </w:rPr>
            </w:pPr>
            <w:r>
              <w:t>2.</w:t>
            </w:r>
            <w:r>
              <w:tab/>
              <w:t>Valstybės narės užtikrina, k</w:t>
            </w:r>
            <w:r>
              <w:t xml:space="preserve">ad lygybės įstaigos visas savo paslaugas skundą pateikusiems asmenims teiktų nemokamai, visoje savo teritorijoje, </w:t>
            </w:r>
            <w:r>
              <w:rPr>
                <w:b/>
                <w:i/>
              </w:rPr>
              <w:t xml:space="preserve">prireikus įsteigdamos vietos ir regioninius biurus, </w:t>
            </w:r>
            <w:r>
              <w:t>be kita ko, kaimo ir atokiose vietovėse.</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w:t>
      </w:r>
      <w:r>
        <w:rPr>
          <w:rStyle w:val="HideTWBExt"/>
          <w:b w:val="0"/>
        </w:rPr>
        <w: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11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w:t>
            </w:r>
            <w:r>
              <w:tab/>
              <w:t>Valstybės narės užtikrina</w:t>
            </w:r>
            <w:r>
              <w:rPr>
                <w:b/>
                <w:i/>
              </w:rPr>
              <w:t xml:space="preserve"> prieinamumą</w:t>
            </w:r>
            <w:r>
              <w:t xml:space="preserve"> ir </w:t>
            </w:r>
            <w:r>
              <w:rPr>
                <w:b/>
                <w:i/>
              </w:rPr>
              <w:t>sudaro tinkamas sąlygas žmonėms su negalia</w:t>
            </w:r>
            <w:r>
              <w:t xml:space="preserve">, kad jie galėtų vienodai naudotis visomis lygybės įstaigų paslaugomis ir </w:t>
            </w:r>
            <w:r>
              <w:rPr>
                <w:b/>
                <w:i/>
              </w:rPr>
              <w:t>veiksmais</w:t>
            </w:r>
            <w:r>
              <w:t>, įskaitant pagalbą aukoms, skundų nagrinėjimą, draugiško ginčų sprendimo mechanizmus, informaciją ir leidinius, taip pat prevencijos, skatinimo ir informuotumo didinimo vei</w:t>
            </w:r>
            <w:r>
              <w:t>klą.</w:t>
            </w:r>
          </w:p>
        </w:tc>
        <w:tc>
          <w:tcPr>
            <w:tcW w:w="4876" w:type="dxa"/>
            <w:hideMark/>
          </w:tcPr>
          <w:p w:rsidR="00EB6090" w:rsidRPr="0065259B" w:rsidRDefault="0025755D" w:rsidP="008A459A">
            <w:pPr>
              <w:pStyle w:val="Normal6"/>
              <w:rPr>
                <w:szCs w:val="24"/>
              </w:rPr>
            </w:pPr>
            <w:r>
              <w:t>3.</w:t>
            </w:r>
            <w:r>
              <w:tab/>
              <w:t>Valstybės narės užtikrina</w:t>
            </w:r>
            <w:r>
              <w:rPr>
                <w:b/>
                <w:i/>
              </w:rPr>
              <w:t>, kad lygybės įstaigos turėtų kvalifikuotų darbuotojų, reikalingų, kad būtų galima bendradarbiauti su neįgaliaisiais</w:t>
            </w:r>
            <w:r>
              <w:t xml:space="preserve"> ir </w:t>
            </w:r>
            <w:r>
              <w:rPr>
                <w:b/>
                <w:i/>
              </w:rPr>
              <w:t>asmenimis, priklausantiems kitoms grupėms, kurioms gresia diskriminacija, siekiant užtikrinti</w:t>
            </w:r>
            <w:r>
              <w:t xml:space="preserve">, kad jie </w:t>
            </w:r>
            <w:r>
              <w:t xml:space="preserve">galėtų vienodai </w:t>
            </w:r>
            <w:r>
              <w:rPr>
                <w:b/>
                <w:i/>
              </w:rPr>
              <w:t xml:space="preserve">žmonėms su negalia prieinamomis formomis </w:t>
            </w:r>
            <w:r>
              <w:t>naudotis visomis lygybės įstaigų paslaugomis</w:t>
            </w:r>
            <w:r>
              <w:rPr>
                <w:b/>
                <w:i/>
              </w:rPr>
              <w:t>, veiksmais</w:t>
            </w:r>
            <w:r>
              <w:t xml:space="preserve"> ir </w:t>
            </w:r>
            <w:r>
              <w:rPr>
                <w:b/>
                <w:i/>
              </w:rPr>
              <w:t>informacija</w:t>
            </w:r>
            <w:r>
              <w:t>, įskaitant pagalbą aukoms, skundų nagrinėjimą, draugiško ginčų sprendimo mechanizmus, informaciją ir leidinius, taip pat prevenc</w:t>
            </w:r>
            <w:r>
              <w:t>ijos, skatinimo ir informuotumo didinimo veiklą</w:t>
            </w:r>
            <w:r>
              <w:rPr>
                <w:b/>
                <w:i/>
              </w:rPr>
              <w:t xml:space="preserve"> pagal Direktyvą (ES) 2016/2102</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12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Valstybės narės užtikrina, kad lygybės įstaigos įdiegtų tinkamus mechanizmus atitinkamose savo kompetencijos srityse bendradarbiauti su kitomis lygybės </w:t>
            </w:r>
            <w:r>
              <w:lastRenderedPageBreak/>
              <w:t>įstaigomis</w:t>
            </w:r>
            <w:r>
              <w:rPr>
                <w:b/>
                <w:i/>
              </w:rPr>
              <w:t xml:space="preserve"> toje pačioje valstybėje narėje</w:t>
            </w:r>
            <w:r>
              <w:t xml:space="preserve"> ir </w:t>
            </w:r>
            <w:r>
              <w:rPr>
                <w:b/>
                <w:i/>
              </w:rPr>
              <w:t>su atitinkamais nacionalinio</w:t>
            </w:r>
            <w:r>
              <w:t xml:space="preserve">, </w:t>
            </w:r>
            <w:r>
              <w:rPr>
                <w:b/>
                <w:i/>
              </w:rPr>
              <w:t>regioninio</w:t>
            </w:r>
            <w:r>
              <w:t xml:space="preserve"> ir vietos </w:t>
            </w:r>
            <w:r>
              <w:rPr>
                <w:b/>
                <w:i/>
              </w:rPr>
              <w:t>lygmens</w:t>
            </w:r>
            <w:r>
              <w:t xml:space="preserve">, taip pat </w:t>
            </w:r>
            <w:r>
              <w:rPr>
                <w:b/>
                <w:i/>
              </w:rPr>
              <w:t>kitų valstybių narių bei</w:t>
            </w:r>
            <w:r>
              <w:t xml:space="preserve"> Sąjungos </w:t>
            </w:r>
            <w:r>
              <w:rPr>
                <w:b/>
                <w:i/>
              </w:rPr>
              <w:t>ir tarptautinio lygmens viešaisiais ir privačiais subjektais, įskaitant</w:t>
            </w:r>
            <w:r>
              <w:t xml:space="preserve"> pilietinės visuomenės </w:t>
            </w:r>
            <w:r>
              <w:rPr>
                <w:b/>
                <w:i/>
              </w:rPr>
              <w:t>organizacijas</w:t>
            </w:r>
            <w:r>
              <w:t>.</w:t>
            </w:r>
          </w:p>
        </w:tc>
        <w:tc>
          <w:tcPr>
            <w:tcW w:w="4876" w:type="dxa"/>
            <w:hideMark/>
          </w:tcPr>
          <w:p w:rsidR="00EB6090" w:rsidRPr="0065259B" w:rsidRDefault="0025755D" w:rsidP="008A459A">
            <w:pPr>
              <w:pStyle w:val="Normal6"/>
              <w:rPr>
                <w:szCs w:val="24"/>
              </w:rPr>
            </w:pPr>
            <w:r>
              <w:lastRenderedPageBreak/>
              <w:t>Valstybės narės užtikrina, kad lygybės įstaigos įdiegtų tinkamus mechanizmus atitinkamose savo kompete</w:t>
            </w:r>
            <w:r>
              <w:t xml:space="preserve">ncijos srityse bendradarbiauti su kitomis lygybės </w:t>
            </w:r>
            <w:r>
              <w:lastRenderedPageBreak/>
              <w:t>įstaigomis</w:t>
            </w:r>
            <w:r>
              <w:rPr>
                <w:b/>
                <w:i/>
              </w:rPr>
              <w:t>, atitinkamais tos pačios valstybės narės viešaisiais ir privačiais subjektais, socialiniais partneriais</w:t>
            </w:r>
            <w:r>
              <w:t xml:space="preserve"> ir </w:t>
            </w:r>
            <w:r>
              <w:rPr>
                <w:b/>
                <w:i/>
              </w:rPr>
              <w:t>pilietinės visuomenės organizacijomis</w:t>
            </w:r>
            <w:r>
              <w:t xml:space="preserve">, </w:t>
            </w:r>
            <w:r>
              <w:rPr>
                <w:b/>
                <w:i/>
              </w:rPr>
              <w:t>be kita ko, regionų</w:t>
            </w:r>
            <w:r>
              <w:t xml:space="preserve"> ir vietos </w:t>
            </w:r>
            <w:r>
              <w:rPr>
                <w:b/>
                <w:i/>
              </w:rPr>
              <w:t>lygmenimis. Valstyb</w:t>
            </w:r>
            <w:r>
              <w:rPr>
                <w:b/>
                <w:i/>
              </w:rPr>
              <w:t>ės narės užtikrina, kad lygybės įstaigos įdiegtų tinkamus mechanizmus bendradarbiauti Sąjungos ir tarptautiniu lygmenimis su kitomis lygybės įstaigomis atitinkamose savo kompetencijos srityse</w:t>
            </w:r>
            <w:r>
              <w:t xml:space="preserve">, taip pat </w:t>
            </w:r>
            <w:r>
              <w:rPr>
                <w:b/>
                <w:i/>
              </w:rPr>
              <w:t>su Europos lyčių lygybės institutu, Europos</w:t>
            </w:r>
            <w:r>
              <w:t xml:space="preserve"> Sąjungos </w:t>
            </w:r>
            <w:r>
              <w:rPr>
                <w:b/>
                <w:i/>
              </w:rPr>
              <w:t>p</w:t>
            </w:r>
            <w:r>
              <w:rPr>
                <w:b/>
                <w:i/>
              </w:rPr>
              <w:t>agrindinių teisių agentūra, Europos nacionalinių lygybės įstaigų tinklu („Equinet“),</w:t>
            </w:r>
            <w:r>
              <w:t xml:space="preserve"> pilietinės visuomenės </w:t>
            </w:r>
            <w:r>
              <w:rPr>
                <w:b/>
                <w:i/>
              </w:rPr>
              <w:t>organizacijomis ir socialiniais partneriais</w:t>
            </w:r>
            <w:r>
              <w:t>.</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13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rPr>
                <w:b/>
                <w:i/>
              </w:rPr>
              <w:t xml:space="preserve">Jos užtikrina, kad </w:t>
            </w:r>
            <w:r>
              <w:t xml:space="preserve">lygybės įstaigos </w:t>
            </w:r>
            <w:r>
              <w:rPr>
                <w:b/>
                <w:i/>
              </w:rPr>
              <w:t>turėtų</w:t>
            </w:r>
            <w:r>
              <w:t xml:space="preserve"> teisę tais klausimais teikti rekomendacijas</w:t>
            </w:r>
            <w:r>
              <w:rPr>
                <w:b/>
                <w:i/>
              </w:rPr>
              <w:t>, jas skelbti</w:t>
            </w:r>
            <w:r>
              <w:t xml:space="preserve"> ir reikalauti susijusių </w:t>
            </w:r>
            <w:r>
              <w:rPr>
                <w:b/>
                <w:i/>
              </w:rPr>
              <w:t xml:space="preserve">valdžios </w:t>
            </w:r>
            <w:r>
              <w:t>institucijų pateikti atsiliepimų.</w:t>
            </w:r>
          </w:p>
        </w:tc>
        <w:tc>
          <w:tcPr>
            <w:tcW w:w="4876" w:type="dxa"/>
            <w:hideMark/>
          </w:tcPr>
          <w:p w:rsidR="00EB6090" w:rsidRPr="0065259B" w:rsidRDefault="0025755D" w:rsidP="008A459A">
            <w:pPr>
              <w:pStyle w:val="Normal6"/>
              <w:rPr>
                <w:szCs w:val="24"/>
              </w:rPr>
            </w:pPr>
            <w:r>
              <w:t>Lygybės įstaigos</w:t>
            </w:r>
            <w:r>
              <w:t xml:space="preserve"> </w:t>
            </w:r>
            <w:r>
              <w:rPr>
                <w:b/>
                <w:i/>
              </w:rPr>
              <w:t>turi</w:t>
            </w:r>
            <w:r>
              <w:t xml:space="preserve"> teisę tais klausimais teikti rekomendacijas ir reikalauti susijusių institucijų pateikti atsiliepimų</w:t>
            </w:r>
            <w:r>
              <w:rPr>
                <w:b/>
                <w:i/>
              </w:rPr>
              <w:t>, taip pat teikti pasiūlymus, kaip patobulinti ir atnaujinti galiojančius teisės aktus, kuriais skatinama lygybė</w:t>
            </w:r>
            <w:r>
              <w:t>.</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Valstybės narės užtikrina, kad rek</w:t>
            </w:r>
            <w:r>
              <w:rPr>
                <w:b/>
                <w:i/>
              </w:rPr>
              <w:t>omendacijos ir atsiliepimai, kurių reikalaujama pagal konsultavimosi procedūrą, būtų skelbiami viešai.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89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14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 xml:space="preserve">Komisijos </w:t>
            </w:r>
            <w:r>
              <w:t>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w:t>
            </w:r>
            <w:r>
              <w:tab/>
              <w:t xml:space="preserve">Valstybės narės užtikrina, kad lygybės įstaigos galėtų naudotis viešųjų ir privačių subjektų, be kita ko, valdžios </w:t>
            </w:r>
            <w:r>
              <w:lastRenderedPageBreak/>
              <w:t xml:space="preserve">institucijų, profesinių sąjungų, bendrovių ir pilietinės visuomenės organizacijų, surinktais statistiniais </w:t>
            </w:r>
            <w:r>
              <w:t xml:space="preserve">duomenimis, susijusiais su teisėmis ir pareigomis pagal direktyvas 2006/54/EB ir 2010/41/ES, jeigu mano, kad tokie statistiniai duomenys reikalingi siekiant bendrai įvertinti su diskriminacija susijusią padėtį valstybėje narėje ir parengti 15 straipsnio c </w:t>
            </w:r>
            <w:r>
              <w:t>punkte nurodytą ataskaitą.</w:t>
            </w:r>
          </w:p>
        </w:tc>
        <w:tc>
          <w:tcPr>
            <w:tcW w:w="4876" w:type="dxa"/>
            <w:hideMark/>
          </w:tcPr>
          <w:p w:rsidR="00EB6090" w:rsidRPr="0065259B" w:rsidRDefault="0025755D" w:rsidP="008A459A">
            <w:pPr>
              <w:pStyle w:val="Normal6"/>
              <w:rPr>
                <w:szCs w:val="24"/>
              </w:rPr>
            </w:pPr>
            <w:r>
              <w:lastRenderedPageBreak/>
              <w:t>3.</w:t>
            </w:r>
            <w:r>
              <w:tab/>
              <w:t xml:space="preserve">Valstybės narės užtikrina, kad lygybės įstaigos galėtų naudotis viešųjų ir privačių subjektų, be kita ko, valdžios </w:t>
            </w:r>
            <w:r>
              <w:lastRenderedPageBreak/>
              <w:t>institucijų, profesinių sąjungų, bendrovių ir pilietinės visuomenės organizacijų, surinktais statistiniais duom</w:t>
            </w:r>
            <w:r>
              <w:t xml:space="preserve">enimis, susijusiais su teisėmis ir pareigomis pagal direktyvas 2006/54/EB ir 2010/41/ES, </w:t>
            </w:r>
            <w:r>
              <w:rPr>
                <w:b/>
                <w:i/>
              </w:rPr>
              <w:t xml:space="preserve">ir kad joms tokie duomenys būtų pateikiami, </w:t>
            </w:r>
            <w:r>
              <w:t>jeigu</w:t>
            </w:r>
            <w:r>
              <w:rPr>
                <w:b/>
                <w:i/>
              </w:rPr>
              <w:t xml:space="preserve"> jos</w:t>
            </w:r>
            <w:r>
              <w:t xml:space="preserve"> mano, kad tokie statistiniai duomenys reikalingi siekiant bendrai įvertinti su diskriminacija susijusią padėtį va</w:t>
            </w:r>
            <w:r>
              <w:t xml:space="preserve">lstybėje narėje ir parengti 15 straipsnio c punkte nurodytą ataskaitą. </w:t>
            </w:r>
            <w:r>
              <w:rPr>
                <w:b/>
                <w:i/>
              </w:rPr>
              <w:t>Valstybės narės užtikrina, kad šie duomenys lygybės įstaigoms būtų pateikiami prieinama forma, kad jos galėtų juos lengvai naudoti.</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90</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w:t>
      </w:r>
      <w:r>
        <w:rPr>
          <w:rStyle w:val="HideTWBExt"/>
          <w:b w:val="0"/>
        </w:rPr>
        <w:t>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14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5.</w:t>
            </w:r>
            <w:r>
              <w:tab/>
              <w:t>Valstybės narės užtikrina, kad lygybės įstaigos galėtų vykdyti nepriklausomus tyrimus dėl diskriminacijos.</w:t>
            </w:r>
          </w:p>
        </w:tc>
        <w:tc>
          <w:tcPr>
            <w:tcW w:w="4876" w:type="dxa"/>
            <w:hideMark/>
          </w:tcPr>
          <w:p w:rsidR="00EB6090" w:rsidRPr="0065259B" w:rsidRDefault="0025755D" w:rsidP="008A459A">
            <w:pPr>
              <w:pStyle w:val="Normal6"/>
              <w:rPr>
                <w:szCs w:val="24"/>
              </w:rPr>
            </w:pPr>
            <w:r>
              <w:t>5.</w:t>
            </w:r>
            <w:r>
              <w:tab/>
              <w:t xml:space="preserve">Valstybės narės </w:t>
            </w:r>
            <w:r>
              <w:t>užtikrina, kad lygybės įstaigos galėtų vykdyti nepriklausomus tyrimus</w:t>
            </w:r>
            <w:r>
              <w:rPr>
                <w:b/>
                <w:i/>
              </w:rPr>
              <w:t>, rengti ataskaitas ir atlikti mokslinius tyrimus</w:t>
            </w:r>
            <w:r>
              <w:t xml:space="preserve"> dėl </w:t>
            </w:r>
            <w:r>
              <w:rPr>
                <w:b/>
                <w:i/>
              </w:rPr>
              <w:t xml:space="preserve">visų formų </w:t>
            </w:r>
            <w:r>
              <w:t>diskriminacijos</w:t>
            </w:r>
            <w:r>
              <w:rPr>
                <w:b/>
                <w:i/>
              </w:rPr>
              <w:t>, įskaitant sąveikinę, struktūrinę ar sisteminę diskriminaciją ir diskriminaciją internete, ir turėtų tam r</w:t>
            </w:r>
            <w:r>
              <w:rPr>
                <w:b/>
                <w:i/>
              </w:rPr>
              <w:t>eikalingų žmogiškųjų ir finansinių išteklių, taip pat pavesti juos vykdyti, rengti ar atlikti išorės subjektams, be kita ko, naudodamosi kompetentingų valstybių narių ir ES įstaigų, sprendžiančių diskriminavimo klausimus, pvz., Europos Sąjungos pagrindinių</w:t>
            </w:r>
            <w:r>
              <w:rPr>
                <w:b/>
                <w:i/>
              </w:rPr>
              <w:t xml:space="preserve"> teisių agentūros ar Europos lyčių lygybės instituto, teikiama ekspertų parama</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91</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15 straipsnio 1 dalies c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c)</w:t>
            </w:r>
            <w:r>
              <w:tab/>
              <w:t xml:space="preserve">bent kartą per </w:t>
            </w:r>
            <w:r>
              <w:rPr>
                <w:b/>
                <w:i/>
              </w:rPr>
              <w:t>ketverius</w:t>
            </w:r>
            <w:r>
              <w:t xml:space="preserve"> metus paskelbtų ataskaitą su rekomendacijomis dėl su vienodu požiūriu ir diskriminacija susijusios padėties, įskaitant </w:t>
            </w:r>
            <w:r>
              <w:rPr>
                <w:b/>
                <w:i/>
              </w:rPr>
              <w:t>galimus struktūrinius klausimus</w:t>
            </w:r>
            <w:r>
              <w:t>, savo valstybėje narėje.</w:t>
            </w:r>
          </w:p>
        </w:tc>
        <w:tc>
          <w:tcPr>
            <w:tcW w:w="4876" w:type="dxa"/>
            <w:hideMark/>
          </w:tcPr>
          <w:p w:rsidR="00EB6090" w:rsidRPr="0065259B" w:rsidRDefault="0025755D" w:rsidP="008A459A">
            <w:pPr>
              <w:pStyle w:val="Normal6"/>
              <w:rPr>
                <w:szCs w:val="24"/>
              </w:rPr>
            </w:pPr>
            <w:r>
              <w:t>c)</w:t>
            </w:r>
            <w:r>
              <w:tab/>
              <w:t xml:space="preserve">bent kartą per </w:t>
            </w:r>
            <w:r>
              <w:rPr>
                <w:b/>
                <w:i/>
              </w:rPr>
              <w:t>dvejus</w:t>
            </w:r>
            <w:r>
              <w:t xml:space="preserve"> metus paskelbtų</w:t>
            </w:r>
            <w:r>
              <w:t xml:space="preserve"> ataskaitą su rekomendacijomis dėl su</w:t>
            </w:r>
            <w:r>
              <w:rPr>
                <w:b/>
                <w:i/>
              </w:rPr>
              <w:t xml:space="preserve"> lyčių lygybe,</w:t>
            </w:r>
            <w:r>
              <w:t xml:space="preserve"> vienodu požiūriu ir diskriminacija susijusios padėties, įskaitant </w:t>
            </w:r>
            <w:r>
              <w:rPr>
                <w:b/>
                <w:i/>
              </w:rPr>
              <w:t xml:space="preserve">galimas struktūrinės ar sisteminės diskriminacijos ir diskriminacijos internete problemas ir veiksmus ar mėginimus nesilaikyti atitinkamų </w:t>
            </w:r>
            <w:r>
              <w:rPr>
                <w:b/>
                <w:i/>
              </w:rPr>
              <w:t>principų šiose srityse bei finansavimo analizę</w:t>
            </w:r>
            <w:r>
              <w:t xml:space="preserve">, savo valstybėje narėje. </w:t>
            </w:r>
            <w:r>
              <w:rPr>
                <w:b/>
                <w:i/>
              </w:rPr>
              <w:t>Ataskaitoje taip pat nurodomi tolesni veiksmai, kuriais atsižvelgta į praeityje pateiktas rekomendacijas, ir veiksmai, kurių buvo imtasi tuo tikslu. Ši ataskaita pateikiama atitinkamam</w:t>
            </w:r>
            <w:r>
              <w:rPr>
                <w:b/>
                <w:i/>
              </w:rPr>
              <w:t xml:space="preserve"> nacionaliniam parlamentui ir nusiunčiama Europos Parlamentui.</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92</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15 straipsnio 1 dalies c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ca)</w:t>
            </w:r>
            <w:r>
              <w:rPr>
                <w:b/>
                <w:i/>
              </w:rPr>
              <w:tab/>
              <w:t xml:space="preserve">palaikytų tvarų dialogą su vyriausybe ir kitomis valdžios institucijomis, kurios atsižvelgia į lygybės įstaigų rekomendacijas dėl teisės aktų, politikos, procedūrų, programų ir praktikos ir per tam tikrą laikotarpį imasi atitinkamų </w:t>
            </w:r>
            <w:r>
              <w:rPr>
                <w:b/>
                <w:i/>
              </w:rPr>
              <w:t>veiksmų.</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93</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t xml:space="preserve">Komisija </w:t>
            </w:r>
            <w:r>
              <w:rPr>
                <w:b/>
                <w:i/>
              </w:rPr>
              <w:t>įgyvendinimo</w:t>
            </w:r>
            <w:r>
              <w:t xml:space="preserve"> aktu nustato bendrų rodiklių sąrašą, pagal kurį būtų kiekybiškai vertinamas šios direktyvos praktinis poveikis. Rengdama </w:t>
            </w:r>
            <w:r>
              <w:lastRenderedPageBreak/>
              <w:t xml:space="preserve">rodiklius, Komisija </w:t>
            </w:r>
            <w:r>
              <w:rPr>
                <w:b/>
                <w:i/>
              </w:rPr>
              <w:t>gali prašyti</w:t>
            </w:r>
            <w:r>
              <w:t xml:space="preserve"> Europos Sąjungos pagrindinių teisių agentūros ir Europos </w:t>
            </w:r>
            <w:r>
              <w:rPr>
                <w:b/>
                <w:i/>
              </w:rPr>
              <w:t>lyčių</w:t>
            </w:r>
            <w:r>
              <w:t xml:space="preserve"> lygybės </w:t>
            </w:r>
            <w:r>
              <w:rPr>
                <w:b/>
                <w:i/>
              </w:rPr>
              <w:t>instituto</w:t>
            </w:r>
            <w:r>
              <w:t xml:space="preserve"> patarimo. Šie rodikl</w:t>
            </w:r>
            <w:r>
              <w:t xml:space="preserve">iai apima lygybės įstaigų išteklius, </w:t>
            </w:r>
            <w:r>
              <w:rPr>
                <w:b/>
                <w:i/>
              </w:rPr>
              <w:t>nepriklausomą veikimą</w:t>
            </w:r>
            <w:r>
              <w:t>, veiklą ir veiksmingumą, taip pat jų įgaliojimų, galių ar struktūros pokyčius, nacionaliniu lygmeniu surinktų duomenų palyginamumo, objektyvumo ir patikimumo užtikrinimą.</w:t>
            </w:r>
          </w:p>
        </w:tc>
        <w:tc>
          <w:tcPr>
            <w:tcW w:w="4876" w:type="dxa"/>
            <w:hideMark/>
          </w:tcPr>
          <w:p w:rsidR="00EB6090" w:rsidRPr="0065259B" w:rsidRDefault="0025755D" w:rsidP="008A459A">
            <w:pPr>
              <w:pStyle w:val="Normal6"/>
              <w:rPr>
                <w:szCs w:val="24"/>
              </w:rPr>
            </w:pPr>
            <w:r>
              <w:lastRenderedPageBreak/>
              <w:t>1.</w:t>
            </w:r>
            <w:r>
              <w:tab/>
              <w:t xml:space="preserve">Komisija </w:t>
            </w:r>
            <w:r>
              <w:rPr>
                <w:b/>
                <w:i/>
              </w:rPr>
              <w:t>deleguotuoju</w:t>
            </w:r>
            <w:r>
              <w:t xml:space="preserve"> a</w:t>
            </w:r>
            <w:r>
              <w:t>ktu nustato</w:t>
            </w:r>
            <w:r>
              <w:rPr>
                <w:b/>
                <w:i/>
              </w:rPr>
              <w:t xml:space="preserve"> Europos lygmens</w:t>
            </w:r>
            <w:r>
              <w:t xml:space="preserve"> bendrų rodiklių sąrašą, pagal kurį būtų kiekybiškai vertinamas šios direktyvos praktinis poveikis. Rengdama </w:t>
            </w:r>
            <w:r>
              <w:lastRenderedPageBreak/>
              <w:t xml:space="preserve">rodiklius, Komisija </w:t>
            </w:r>
            <w:r>
              <w:rPr>
                <w:b/>
                <w:i/>
              </w:rPr>
              <w:t>prašo</w:t>
            </w:r>
            <w:r>
              <w:t xml:space="preserve"> Europos Sąjungos pagrindinių teisių agentūros</w:t>
            </w:r>
            <w:r>
              <w:rPr>
                <w:b/>
                <w:i/>
              </w:rPr>
              <w:t>, Europos lyčių lygybės instituto</w:t>
            </w:r>
            <w:r>
              <w:t xml:space="preserve"> ir Europos </w:t>
            </w:r>
            <w:r>
              <w:rPr>
                <w:b/>
                <w:i/>
              </w:rPr>
              <w:t>naci</w:t>
            </w:r>
            <w:r>
              <w:rPr>
                <w:b/>
                <w:i/>
              </w:rPr>
              <w:t>onalinių</w:t>
            </w:r>
            <w:r>
              <w:t xml:space="preserve"> lygybės </w:t>
            </w:r>
            <w:r>
              <w:rPr>
                <w:b/>
                <w:i/>
              </w:rPr>
              <w:t>įstaigų tinklo („Equinet“)</w:t>
            </w:r>
            <w:r>
              <w:t xml:space="preserve"> patarimo. Šie rodikliai apima lygybės įstaigų </w:t>
            </w:r>
            <w:r>
              <w:rPr>
                <w:b/>
                <w:i/>
              </w:rPr>
              <w:t xml:space="preserve">išteklių, įskaitant finansinius ir žmogiškuosius </w:t>
            </w:r>
            <w:r>
              <w:t xml:space="preserve">išteklius, </w:t>
            </w:r>
            <w:r>
              <w:rPr>
                <w:b/>
                <w:i/>
              </w:rPr>
              <w:t>pakankamumą, pagrindinius nepriklausomo veikimo elementus</w:t>
            </w:r>
            <w:r>
              <w:t>, veiklą ir veiksmingumą, taip pat jų įgaliojimų,</w:t>
            </w:r>
            <w:r>
              <w:t xml:space="preserve"> galių ar struktūros pokyčius, nacionaliniu lygmeniu surinktų duomenų palyginamumo, objektyvumo ir patikimumo užtikrinimą.</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94</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w:t>
            </w:r>
            <w:r>
              <w:tab/>
              <w:t xml:space="preserve">Iki [po </w:t>
            </w:r>
            <w:r>
              <w:rPr>
                <w:b/>
                <w:i/>
              </w:rPr>
              <w:t>5</w:t>
            </w:r>
            <w:r>
              <w:t xml:space="preserve"> metų nuo perkėlimo į nacionalinę teisę datos] ir vėliau kas </w:t>
            </w:r>
            <w:r>
              <w:rPr>
                <w:b/>
                <w:i/>
              </w:rPr>
              <w:t>penkerius</w:t>
            </w:r>
            <w:r>
              <w:t xml:space="preserve"> metus valstybės narės Komisijai pateikia visą susijusią informaciją apie šios direktyvos taikymą, įskaitant jos praktinio poveikio duomenis, surinktus remiantis šio straipsnio 1 dalyje nurodytais rodikliais, visų pirma atsižvelgdamos į lygybės įstaigų ata</w:t>
            </w:r>
            <w:r>
              <w:t>skaitas, parengtas pagal 14 straipsnio b ir c punktus.</w:t>
            </w:r>
          </w:p>
        </w:tc>
        <w:tc>
          <w:tcPr>
            <w:tcW w:w="4876" w:type="dxa"/>
            <w:hideMark/>
          </w:tcPr>
          <w:p w:rsidR="00EB6090" w:rsidRPr="0065259B" w:rsidRDefault="0025755D" w:rsidP="008A459A">
            <w:pPr>
              <w:pStyle w:val="Normal6"/>
              <w:rPr>
                <w:szCs w:val="24"/>
              </w:rPr>
            </w:pPr>
            <w:r>
              <w:t>2.</w:t>
            </w:r>
            <w:r>
              <w:tab/>
              <w:t xml:space="preserve">Iki [po </w:t>
            </w:r>
            <w:r>
              <w:rPr>
                <w:b/>
                <w:i/>
              </w:rPr>
              <w:t>2</w:t>
            </w:r>
            <w:r>
              <w:t xml:space="preserve"> metų nuo perkėlimo į nacionalinę teisę datos] ir vėliau kas </w:t>
            </w:r>
            <w:r>
              <w:rPr>
                <w:b/>
                <w:i/>
              </w:rPr>
              <w:t>dvejus</w:t>
            </w:r>
            <w:r>
              <w:t xml:space="preserve"> metus valstybės narės Komisijai pateikia visą susijusią informaciją apie šios direktyvos taikymą, įskaitant jos praktinio</w:t>
            </w:r>
            <w:r>
              <w:t xml:space="preserve"> poveikio duomenis, surinktus remiantis šio straipsnio 1 dalyje nurodytais rodikliais, visų pirma atsižvelgdamos į lygybės įstaigų ataskaitas, parengtas pagal 14 straipsnio b ir c punktus.</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95</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16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3.</w:t>
            </w:r>
            <w:r>
              <w:tab/>
              <w:t>Komisija parengia šios direktyvos taikymo ir praktinio poveikio ataskaitą, remdamasi 2 dalyje nurodyta informacija ir papildomais susi</w:t>
            </w:r>
            <w:r>
              <w:t xml:space="preserve">jusiais duomenimis, Europos Sąjungos pagrindinių teisių agentūros ir Europos lyčių lygybės instituto </w:t>
            </w:r>
            <w:r>
              <w:lastRenderedPageBreak/>
              <w:t>surinktais nacionaliniu ir Sąjungos lygmeniu, ypač iš suinteresuotųjų subjektų.</w:t>
            </w:r>
          </w:p>
        </w:tc>
        <w:tc>
          <w:tcPr>
            <w:tcW w:w="4876" w:type="dxa"/>
            <w:hideMark/>
          </w:tcPr>
          <w:p w:rsidR="00EB6090" w:rsidRPr="0065259B" w:rsidRDefault="0025755D" w:rsidP="008A459A">
            <w:pPr>
              <w:pStyle w:val="Normal6"/>
              <w:rPr>
                <w:szCs w:val="24"/>
              </w:rPr>
            </w:pPr>
            <w:r>
              <w:lastRenderedPageBreak/>
              <w:t>3.</w:t>
            </w:r>
            <w:r>
              <w:tab/>
              <w:t>Komisija parengia šios direktyvos taikymo ir praktinio poveikio ataskait</w:t>
            </w:r>
            <w:r>
              <w:t xml:space="preserve">ą, remdamasi 2 dalyje nurodyta informacija ir papildomais susijusiais duomenimis, Europos Sąjungos pagrindinių teisių agentūros ir Europos lyčių lygybės instituto </w:t>
            </w:r>
            <w:r>
              <w:lastRenderedPageBreak/>
              <w:t xml:space="preserve">surinktais nacionaliniu ir Sąjungos lygmeniu, ypač iš </w:t>
            </w:r>
            <w:r>
              <w:rPr>
                <w:b/>
                <w:i/>
              </w:rPr>
              <w:t>lygybės įstaigų, Europos nacionalinių l</w:t>
            </w:r>
            <w:r>
              <w:rPr>
                <w:b/>
                <w:i/>
              </w:rPr>
              <w:t xml:space="preserve">ygybės įstaigų tinklo („Equinet“), pilietinės visuomenės organizacijų ir </w:t>
            </w:r>
            <w:r>
              <w:t xml:space="preserve">suinteresuotųjų subjektų. </w:t>
            </w:r>
            <w:r>
              <w:rPr>
                <w:b/>
                <w:i/>
              </w:rPr>
              <w:t>Į ataskaitą gali būti įtrauktas specialus vertinimas, kurio tikslas – įvertinti, ar lygybės įstaigos veikia nepriklausomai. Skundai dėl bet kokio kišimosi ga</w:t>
            </w:r>
            <w:r>
              <w:rPr>
                <w:b/>
                <w:i/>
              </w:rPr>
              <w:t>li būti teikiami Komisijai, kuri toliau ištiria įtarimus ir juos įvertina savo metinės teisinės valstybės principo taikymo ataskaitos su stabdžių ir atsvarų sistema susijusių institucinių klausimų dalyje.</w:t>
            </w:r>
          </w:p>
        </w:tc>
      </w:tr>
    </w:tbl>
    <w:p w:rsidR="00EB6090" w:rsidRPr="0065259B" w:rsidRDefault="0025755D" w:rsidP="00EB6090">
      <w:r>
        <w:rPr>
          <w:rStyle w:val="HideTWBExt"/>
        </w:rPr>
        <w:lastRenderedPageBreak/>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96</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16 straipsnio 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tcPr>
          <w:p w:rsidR="00EB6090" w:rsidRPr="0065259B" w:rsidRDefault="00EB6090" w:rsidP="008A459A">
            <w:pPr>
              <w:pStyle w:val="Normal6"/>
              <w:rPr>
                <w:lang w:val="en-GB"/>
              </w:rPr>
            </w:pPr>
          </w:p>
        </w:tc>
        <w:tc>
          <w:tcPr>
            <w:tcW w:w="4876" w:type="dxa"/>
            <w:hideMark/>
          </w:tcPr>
          <w:p w:rsidR="00EB6090" w:rsidRPr="0065259B" w:rsidRDefault="0025755D" w:rsidP="008A459A">
            <w:pPr>
              <w:pStyle w:val="Normal6"/>
              <w:rPr>
                <w:szCs w:val="24"/>
              </w:rPr>
            </w:pPr>
            <w:r>
              <w:rPr>
                <w:b/>
                <w:i/>
              </w:rPr>
              <w:t>3a.</w:t>
            </w:r>
            <w:r>
              <w:rPr>
                <w:b/>
                <w:i/>
              </w:rPr>
              <w:tab/>
              <w:t>Komisija gali pateikti rekomendacijas dėl tolesnių veiksmų, kuriose, vykdydama kovos su diskriminacija veiksmų v</w:t>
            </w:r>
            <w:r>
              <w:rPr>
                <w:b/>
                <w:i/>
              </w:rPr>
              <w:t>alstybėse narėse stebėseną, atkreipia dėmesį į nerimą keliančius pokyčius valstybėje narėje.</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97</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&lt;/DocAmend&gt;</w:t>
      </w:r>
    </w:p>
    <w:p w:rsidR="00EB6090" w:rsidRPr="0065259B" w:rsidRDefault="0025755D" w:rsidP="00EB6090">
      <w:pPr>
        <w:pStyle w:val="NormalBold"/>
      </w:pPr>
      <w:r>
        <w:rPr>
          <w:rStyle w:val="HideTWBExt"/>
          <w:b w:val="0"/>
        </w:rPr>
        <w:t>&lt;Article&gt;</w:t>
      </w:r>
      <w:r>
        <w:t>18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 xml:space="preserve">Komisijos siūlomas </w:t>
            </w:r>
            <w:r>
              <w:t>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1.</w:t>
            </w:r>
            <w:r>
              <w:tab/>
              <w:t xml:space="preserve">Valstybės narės užtikrina, kad lygybės įstaigos galėtų rinkti asmens duomenis tik jei to reikia </w:t>
            </w:r>
            <w:r>
              <w:rPr>
                <w:b/>
                <w:i/>
              </w:rPr>
              <w:t>užduočiai</w:t>
            </w:r>
            <w:r>
              <w:t xml:space="preserve"> pagal šią direktyvą atlikti.</w:t>
            </w:r>
          </w:p>
        </w:tc>
        <w:tc>
          <w:tcPr>
            <w:tcW w:w="4876" w:type="dxa"/>
            <w:hideMark/>
          </w:tcPr>
          <w:p w:rsidR="00EB6090" w:rsidRPr="0065259B" w:rsidRDefault="0025755D" w:rsidP="008A459A">
            <w:pPr>
              <w:pStyle w:val="Normal6"/>
              <w:rPr>
                <w:szCs w:val="24"/>
              </w:rPr>
            </w:pPr>
            <w:r>
              <w:t>1.</w:t>
            </w:r>
            <w:r>
              <w:tab/>
              <w:t xml:space="preserve">Valstybės narės užtikrina, kad lygybės įstaigos galėtų rinkti </w:t>
            </w:r>
            <w:r>
              <w:rPr>
                <w:b/>
                <w:i/>
              </w:rPr>
              <w:t xml:space="preserve">ir tvarkyti </w:t>
            </w:r>
            <w:r>
              <w:t xml:space="preserve">asmens duomenis tik jei to reikia </w:t>
            </w:r>
            <w:r>
              <w:rPr>
                <w:b/>
                <w:i/>
              </w:rPr>
              <w:t>užduotims</w:t>
            </w:r>
            <w:r>
              <w:t xml:space="preserve"> pagal šią direktyvą atlikti</w:t>
            </w:r>
            <w:r>
              <w:rPr>
                <w:b/>
                <w:i/>
              </w:rPr>
              <w:t xml:space="preserve"> ir tik jei tie duomenys renkami ir tvarkomi visapusiškai laikantis Reglamento (ES) 2016/679</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98</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 dėl direktyvos</w:t>
      </w:r>
      <w:r>
        <w:rPr>
          <w:rStyle w:val="HideTWBExt"/>
          <w:b w:val="0"/>
        </w:rPr>
        <w:t>&lt;/DocAme</w:t>
      </w:r>
      <w:r>
        <w:rPr>
          <w:rStyle w:val="HideTWBExt"/>
          <w:b w:val="0"/>
        </w:rPr>
        <w:t>nd&gt;</w:t>
      </w:r>
    </w:p>
    <w:p w:rsidR="00EB6090" w:rsidRPr="0065259B" w:rsidRDefault="0025755D" w:rsidP="00EB6090">
      <w:pPr>
        <w:pStyle w:val="NormalBold"/>
      </w:pPr>
      <w:r>
        <w:rPr>
          <w:rStyle w:val="HideTWBExt"/>
          <w:b w:val="0"/>
        </w:rPr>
        <w:t>&lt;Article&gt;</w:t>
      </w:r>
      <w:r>
        <w:t>18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2.</w:t>
            </w:r>
            <w:r>
              <w:tab/>
              <w:t xml:space="preserve">Valstybės narės užtikrina, kad lygybės įstaigoms tvarkant specialių kategorijų asmens duomenis, t. y. duomenis apie rasinę ar etninę kilmę, religiją ar tikėjimą, </w:t>
            </w:r>
            <w:r>
              <w:t>negalią</w:t>
            </w:r>
            <w:r>
              <w:rPr>
                <w:b/>
                <w:i/>
              </w:rPr>
              <w:t xml:space="preserve"> ar</w:t>
            </w:r>
            <w:r>
              <w:t xml:space="preserve"> seksualinę orientaciją, būtų taikomos tinkamos ir konkrečios priemonės duomenų subjekto pagrindinėms teisėms ir interesams apsaugoti.</w:t>
            </w:r>
          </w:p>
        </w:tc>
        <w:tc>
          <w:tcPr>
            <w:tcW w:w="4876" w:type="dxa"/>
            <w:hideMark/>
          </w:tcPr>
          <w:p w:rsidR="00EB6090" w:rsidRPr="0065259B" w:rsidRDefault="0025755D" w:rsidP="008A459A">
            <w:pPr>
              <w:pStyle w:val="Normal6"/>
              <w:rPr>
                <w:szCs w:val="24"/>
              </w:rPr>
            </w:pPr>
            <w:r>
              <w:t>2.</w:t>
            </w:r>
            <w:r>
              <w:tab/>
              <w:t xml:space="preserve">Valstybės narės užtikrina, kad lygybės įstaigoms tvarkant specialių kategorijų asmens duomenis, </w:t>
            </w:r>
            <w:r>
              <w:rPr>
                <w:b/>
                <w:i/>
              </w:rPr>
              <w:t>kaip apibrėž</w:t>
            </w:r>
            <w:r>
              <w:rPr>
                <w:b/>
                <w:i/>
              </w:rPr>
              <w:t xml:space="preserve">ta Reglamente (ES) 2016/679, </w:t>
            </w:r>
            <w:r>
              <w:t>t. y. duomenis apie rasinę ar etninę kilmę, religiją ar tikėjimą, negalią</w:t>
            </w:r>
            <w:r>
              <w:rPr>
                <w:b/>
                <w:i/>
              </w:rPr>
              <w:t>, lytinį gyvenimą,</w:t>
            </w:r>
            <w:r>
              <w:t xml:space="preserve"> seksualinę orientaciją, </w:t>
            </w:r>
            <w:r>
              <w:rPr>
                <w:b/>
                <w:i/>
              </w:rPr>
              <w:t xml:space="preserve">sveikatą, biometrinius ar genetinius duomenis, tai būtų daroma visapusiškai laikantis Reglamento (ES) 2016/679 </w:t>
            </w:r>
            <w:r>
              <w:rPr>
                <w:b/>
                <w:i/>
              </w:rPr>
              <w:t xml:space="preserve">9 straipsnio ir </w:t>
            </w:r>
            <w:r>
              <w:t>būtų taikomos tinkamos ir konkrečios priemonės duomenų subjekto pagrindinėms teisėms ir interesams apsaugoti</w:t>
            </w:r>
            <w:r>
              <w:rPr>
                <w:b/>
                <w:i/>
              </w:rPr>
              <w:t xml:space="preserve"> pagal Reglamento (ES) 2016/679 9 straipsnio 2 dalies g punktą</w:t>
            </w:r>
            <w:r>
              <w:t>.</w:t>
            </w:r>
          </w:p>
        </w:tc>
      </w:tr>
    </w:tbl>
    <w:p w:rsidR="00EB6090" w:rsidRPr="0065259B" w:rsidRDefault="0025755D" w:rsidP="00EB6090">
      <w:r>
        <w:rPr>
          <w:rStyle w:val="HideTWBExt"/>
        </w:rPr>
        <w:t>&lt;/Amend&gt;</w:t>
      </w:r>
    </w:p>
    <w:p w:rsidR="00EB6090" w:rsidRPr="0065259B" w:rsidRDefault="0025755D" w:rsidP="00EB6090">
      <w:pPr>
        <w:pStyle w:val="AmNumberTabs"/>
      </w:pPr>
      <w:r>
        <w:rPr>
          <w:rStyle w:val="HideTWBExt"/>
          <w:b w:val="0"/>
        </w:rPr>
        <w:t>&lt;Amend&gt;</w:t>
      </w:r>
      <w:r>
        <w:t>Pakeitimas</w:t>
      </w:r>
      <w:r>
        <w:tab/>
      </w:r>
      <w:r>
        <w:tab/>
      </w:r>
      <w:r>
        <w:rPr>
          <w:rStyle w:val="HideTWBExt"/>
          <w:b w:val="0"/>
        </w:rPr>
        <w:t>&lt;NumAm&gt;</w:t>
      </w:r>
      <w:r>
        <w:t>99</w:t>
      </w:r>
      <w:r>
        <w:rPr>
          <w:rStyle w:val="HideTWBExt"/>
          <w:b w:val="0"/>
        </w:rPr>
        <w:t>&lt;/NumAm&gt;</w:t>
      </w:r>
    </w:p>
    <w:p w:rsidR="00EB6090" w:rsidRPr="0065259B" w:rsidRDefault="00EB6090" w:rsidP="00EB6090"/>
    <w:p w:rsidR="00EB6090" w:rsidRPr="0065259B" w:rsidRDefault="0025755D" w:rsidP="00EB6090">
      <w:pPr>
        <w:pStyle w:val="NormalBold"/>
        <w:keepNext/>
      </w:pPr>
      <w:r>
        <w:rPr>
          <w:rStyle w:val="HideTWBExt"/>
          <w:b w:val="0"/>
        </w:rPr>
        <w:t>&lt;DocAmend&gt;</w:t>
      </w:r>
      <w:r>
        <w:t>Pasiūlymas</w:t>
      </w:r>
      <w:r>
        <w:t xml:space="preserve"> dėl direktyvos</w:t>
      </w:r>
      <w:r>
        <w:rPr>
          <w:rStyle w:val="HideTWBExt"/>
          <w:b w:val="0"/>
        </w:rPr>
        <w:t>&lt;/DocAmend&gt;</w:t>
      </w:r>
    </w:p>
    <w:p w:rsidR="00EB6090" w:rsidRPr="0065259B" w:rsidRDefault="0025755D" w:rsidP="00EB6090">
      <w:pPr>
        <w:pStyle w:val="NormalBold"/>
      </w:pPr>
      <w:r>
        <w:rPr>
          <w:rStyle w:val="HideTWBExt"/>
          <w:b w:val="0"/>
        </w:rPr>
        <w:t>&lt;Article&gt;</w:t>
      </w:r>
      <w:r>
        <w:t>20 straipsnio 1 dalies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71E0" w:rsidTr="008A459A">
        <w:trPr>
          <w:jc w:val="center"/>
        </w:trPr>
        <w:tc>
          <w:tcPr>
            <w:tcW w:w="9752" w:type="dxa"/>
            <w:gridSpan w:val="2"/>
          </w:tcPr>
          <w:p w:rsidR="00EB6090" w:rsidRPr="0065259B" w:rsidRDefault="00EB6090" w:rsidP="008A459A">
            <w:pPr>
              <w:keepNext/>
            </w:pPr>
          </w:p>
        </w:tc>
      </w:tr>
      <w:tr w:rsidR="00E471E0" w:rsidTr="008A459A">
        <w:trPr>
          <w:jc w:val="center"/>
        </w:trPr>
        <w:tc>
          <w:tcPr>
            <w:tcW w:w="4876" w:type="dxa"/>
            <w:hideMark/>
          </w:tcPr>
          <w:p w:rsidR="00EB6090" w:rsidRPr="0065259B" w:rsidRDefault="0025755D" w:rsidP="008A459A">
            <w:pPr>
              <w:pStyle w:val="ColumnHeading"/>
              <w:keepNext/>
            </w:pPr>
            <w:r>
              <w:t>Komisijos siūlomas tekstas</w:t>
            </w:r>
          </w:p>
        </w:tc>
        <w:tc>
          <w:tcPr>
            <w:tcW w:w="4876" w:type="dxa"/>
            <w:hideMark/>
          </w:tcPr>
          <w:p w:rsidR="00EB6090" w:rsidRPr="0065259B" w:rsidRDefault="0025755D" w:rsidP="008A459A">
            <w:pPr>
              <w:pStyle w:val="ColumnHeading"/>
              <w:keepNext/>
            </w:pPr>
            <w:r>
              <w:t>Pakeitimas</w:t>
            </w:r>
          </w:p>
        </w:tc>
      </w:tr>
      <w:tr w:rsidR="00E471E0" w:rsidTr="008A459A">
        <w:trPr>
          <w:jc w:val="center"/>
        </w:trPr>
        <w:tc>
          <w:tcPr>
            <w:tcW w:w="4876" w:type="dxa"/>
            <w:hideMark/>
          </w:tcPr>
          <w:p w:rsidR="00EB6090" w:rsidRPr="0065259B" w:rsidRDefault="0025755D" w:rsidP="008A459A">
            <w:pPr>
              <w:pStyle w:val="Normal6"/>
            </w:pPr>
            <w:r>
              <w:t xml:space="preserve">Valstybės narės užtikrina, kad </w:t>
            </w:r>
            <w:r>
              <w:rPr>
                <w:b/>
                <w:i/>
              </w:rPr>
              <w:t xml:space="preserve">įsigaliotų </w:t>
            </w:r>
            <w:r>
              <w:t xml:space="preserve">įstatymai ir kiti teisės aktai, būtini, kad šios direktyvos būtų laikomasi ne vėliau kaip [po </w:t>
            </w:r>
            <w:r>
              <w:rPr>
                <w:b/>
                <w:i/>
              </w:rPr>
              <w:t>18</w:t>
            </w:r>
            <w:r>
              <w:t xml:space="preserve"> mėnesių]. Apie tai jos nedelsdamos praneša Komisijai.</w:t>
            </w:r>
          </w:p>
        </w:tc>
        <w:tc>
          <w:tcPr>
            <w:tcW w:w="4876" w:type="dxa"/>
            <w:hideMark/>
          </w:tcPr>
          <w:p w:rsidR="00EB6090" w:rsidRPr="0065259B" w:rsidRDefault="0025755D" w:rsidP="008A459A">
            <w:pPr>
              <w:pStyle w:val="Normal6"/>
              <w:rPr>
                <w:szCs w:val="24"/>
              </w:rPr>
            </w:pPr>
            <w:r>
              <w:t>Valstybės narės užtikrina, kad įstatymai ir kiti teisės aktai, būtini, kad šios direktyvos būtų laikomasi</w:t>
            </w:r>
            <w:r>
              <w:rPr>
                <w:b/>
                <w:i/>
              </w:rPr>
              <w:t>, įsigaliotų</w:t>
            </w:r>
            <w:r>
              <w:t xml:space="preserve"> ne vėliau kaip [po </w:t>
            </w:r>
            <w:r>
              <w:rPr>
                <w:b/>
                <w:i/>
              </w:rPr>
              <w:t>12</w:t>
            </w:r>
            <w:r>
              <w:t xml:space="preserve"> mėnesių]. Apie tai jos nedelsdamos praneša Komisijai.</w:t>
            </w:r>
          </w:p>
        </w:tc>
      </w:tr>
    </w:tbl>
    <w:p w:rsidR="00EB6090" w:rsidRPr="0065259B" w:rsidRDefault="0025755D" w:rsidP="00EB6090">
      <w:r>
        <w:rPr>
          <w:rStyle w:val="HideTWBExt"/>
        </w:rPr>
        <w:t>&lt;/Amend&gt;</w:t>
      </w:r>
    </w:p>
    <w:p w:rsidR="00EB6090" w:rsidRPr="0065259B" w:rsidRDefault="00EB6090" w:rsidP="00EB6090">
      <w:pPr>
        <w:rPr>
          <w:rStyle w:val="HideTWBExt"/>
          <w:szCs w:val="20"/>
        </w:rPr>
      </w:pPr>
    </w:p>
    <w:p w:rsidR="00EB6090" w:rsidRPr="0065259B" w:rsidRDefault="0025755D" w:rsidP="00EB6090">
      <w:r>
        <w:rPr>
          <w:rStyle w:val="HideTWBExt"/>
        </w:rPr>
        <w:t>&lt;/RepeatBlock-Amend&gt;</w:t>
      </w:r>
    </w:p>
    <w:p w:rsidR="007D7414" w:rsidRPr="00C83F57" w:rsidRDefault="007D7414" w:rsidP="007D7414"/>
    <w:p w:rsidR="007D7414" w:rsidRPr="00C83F57" w:rsidRDefault="007D7414" w:rsidP="00DB56E4"/>
    <w:p w:rsidR="00FE4134" w:rsidRPr="00C83F57" w:rsidRDefault="00FE4134" w:rsidP="00DB56E4">
      <w:pPr>
        <w:sectPr w:rsidR="00FE4134" w:rsidRPr="00C83F57" w:rsidSect="00CC440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E4134" w:rsidRPr="00C83F57" w:rsidRDefault="0025755D" w:rsidP="00FE4134">
      <w:pPr>
        <w:pStyle w:val="PageHeadingNotTOC"/>
      </w:pPr>
      <w:r>
        <w:lastRenderedPageBreak/>
        <w:t>AIŠKINAMOJI DALIS</w:t>
      </w:r>
    </w:p>
    <w:p w:rsidR="00EB6090" w:rsidRPr="0065259B" w:rsidRDefault="0025755D" w:rsidP="00EB6090">
      <w:pPr>
        <w:pStyle w:val="PageHeadingNotTOC"/>
        <w:jc w:val="left"/>
        <w:rPr>
          <w:rFonts w:ascii="Times New Roman" w:hAnsi="Times New Roman" w:cs="Times New Roman"/>
          <w:b w:val="0"/>
          <w:szCs w:val="24"/>
        </w:rPr>
      </w:pPr>
      <w:r>
        <w:rPr>
          <w:rFonts w:ascii="Times New Roman" w:hAnsi="Times New Roman"/>
          <w:b w:val="0"/>
        </w:rPr>
        <w:t>Visos diskriminacijos aukos nusipelno vienodos apsaugos, paramos ir teisės kreiptis į teismą. T</w:t>
      </w:r>
      <w:r>
        <w:rPr>
          <w:rFonts w:ascii="Times New Roman" w:hAnsi="Times New Roman"/>
          <w:b w:val="0"/>
        </w:rPr>
        <w:t>eisė į nediskriminavimą yra įtvirtinta Chartijoje ir Sutartyse ir turi būti visapusiškai gerbiama. Tačiau priešiška reakcija į lyčių lygybę ir kitas pagrindines teises akivaizdi visame pasaulyje ir sparčiai stiprėja, ir Europa šiuo požiūriu nėra išimtis. D</w:t>
      </w:r>
      <w:r>
        <w:rPr>
          <w:rFonts w:ascii="Times New Roman" w:hAnsi="Times New Roman"/>
          <w:b w:val="0"/>
        </w:rPr>
        <w:t>abar kaip niekada svarbu, kad ES vykdytų savo įgaliojimus aktyviai ir ryžtingai kovoti su diskriminacija. Šiuo atžvilgiu nacionalinių lygybės įstaigų vaidmens ir nepriklausomumo stiprinimas yra svarbus žingsnis kuriant Sąjungą be diskriminacijos.</w:t>
      </w:r>
    </w:p>
    <w:p w:rsidR="00EB6090" w:rsidRPr="0065259B" w:rsidRDefault="0025755D" w:rsidP="00EB6090">
      <w:pPr>
        <w:pStyle w:val="PageHeadingNotTOC"/>
        <w:jc w:val="left"/>
        <w:rPr>
          <w:rFonts w:ascii="Times New Roman" w:hAnsi="Times New Roman" w:cs="Times New Roman"/>
          <w:b w:val="0"/>
          <w:szCs w:val="24"/>
        </w:rPr>
      </w:pPr>
      <w:r>
        <w:rPr>
          <w:rFonts w:ascii="Times New Roman" w:hAnsi="Times New Roman"/>
          <w:b w:val="0"/>
        </w:rPr>
        <w:t>Vienas iš</w:t>
      </w:r>
      <w:r>
        <w:rPr>
          <w:rFonts w:ascii="Times New Roman" w:hAnsi="Times New Roman"/>
          <w:b w:val="0"/>
        </w:rPr>
        <w:t xml:space="preserve"> penkių žmonių ES patiria diskriminaciją ar priekabiavimą dėl įvairių arba dėl kelių motyvų. Deja, ES kovos su diskriminacija sistema yra suskaidyta, todėl sukuriama dirbtinė diskriminacijos motyvų, dėl kurių taikoma apsauga, hierarchija, dėl to aukos yra </w:t>
      </w:r>
      <w:r>
        <w:rPr>
          <w:rFonts w:ascii="Times New Roman" w:hAnsi="Times New Roman"/>
          <w:b w:val="0"/>
        </w:rPr>
        <w:t>apsaugotos nevienodai. Šią problemą būtina nedelsiant išspręsti. Todėl ypač apmaudu, kad, nepaisant pakartotinių Europos Parlamento raginimų, Taryba vis dar blokuoja horizontaliąją kovos su diskriminacija direktyvą, nes tai trukdo žengti į priekį kuriant n</w:t>
      </w:r>
      <w:r>
        <w:rPr>
          <w:rFonts w:ascii="Times New Roman" w:hAnsi="Times New Roman"/>
          <w:b w:val="0"/>
        </w:rPr>
        <w:t>uoseklią ES lygmens kovos su diskriminacija sistemą. Atsižvelgiant į tai, dabartinės direktyvos suteikia galimybę padidinti užmojus ir užtikrinti tvirtą apsaugą nuo diskriminacijos bei paramą aukoms visose valstybėse narėse.</w:t>
      </w:r>
    </w:p>
    <w:p w:rsidR="00EB6090" w:rsidRPr="0065259B" w:rsidRDefault="0025755D" w:rsidP="00EB6090">
      <w:pPr>
        <w:pStyle w:val="PageHeadingNotTOC"/>
        <w:jc w:val="left"/>
        <w:rPr>
          <w:rFonts w:ascii="Times New Roman" w:hAnsi="Times New Roman" w:cs="Times New Roman"/>
          <w:b w:val="0"/>
          <w:szCs w:val="24"/>
        </w:rPr>
      </w:pPr>
      <w:r>
        <w:rPr>
          <w:rFonts w:ascii="Times New Roman" w:hAnsi="Times New Roman"/>
          <w:b w:val="0"/>
        </w:rPr>
        <w:t>Lygybės įstaigos atlieka esminį</w:t>
      </w:r>
      <w:r>
        <w:rPr>
          <w:rFonts w:ascii="Times New Roman" w:hAnsi="Times New Roman"/>
          <w:b w:val="0"/>
        </w:rPr>
        <w:t xml:space="preserve"> vaidmenį skatinant lygybę ir kovojant su diskriminacija. Visų pirma, jos yra labai svarbios teikiant paramą ir pagalbą aukoms, didinant informuotumą, atliekant nepriklausomus tyrimus, rengiant ataskaitas ir vykdant mokslinius tyrimus, taip pat renkant duo</w:t>
      </w:r>
      <w:r>
        <w:rPr>
          <w:rFonts w:ascii="Times New Roman" w:hAnsi="Times New Roman"/>
          <w:b w:val="0"/>
        </w:rPr>
        <w:t>menis, stebint tendencijas, teikiant rekomendacijas ir užtikrinant ES kovos su diskriminacija teisės aktų įgyvendinimą nacionaliniu lygmeniu. Privalomų standartų, susijusių su lygybės įstaigų įgaliojimais, nebuvimas iš dalies lemia nevienodą apsaugą nuo di</w:t>
      </w:r>
      <w:r>
        <w:rPr>
          <w:rFonts w:ascii="Times New Roman" w:hAnsi="Times New Roman"/>
          <w:b w:val="0"/>
        </w:rPr>
        <w:t>skriminacijos skirtingose valstybėse narėse. Būtinieji privalomi lygybės įstaigų standartai užtikrintų, kad jos galėtų išnaudoti visas savo galimybes.</w:t>
      </w:r>
    </w:p>
    <w:p w:rsidR="00EB6090" w:rsidRPr="0065259B" w:rsidRDefault="0025755D" w:rsidP="00EB6090">
      <w:pPr>
        <w:pStyle w:val="PageHeadingNotTOC"/>
        <w:jc w:val="left"/>
        <w:rPr>
          <w:rFonts w:ascii="Times New Roman" w:hAnsi="Times New Roman" w:cs="Times New Roman"/>
          <w:b w:val="0"/>
          <w:szCs w:val="24"/>
        </w:rPr>
      </w:pPr>
      <w:r>
        <w:rPr>
          <w:rFonts w:ascii="Times New Roman" w:hAnsi="Times New Roman"/>
          <w:b w:val="0"/>
        </w:rPr>
        <w:t>Naujosiomis direktyvomis būtina gerokai sustiprinti būtinąją lygybės įstaigų kompetenciją. Turėtų būti už</w:t>
      </w:r>
      <w:r>
        <w:rPr>
          <w:rFonts w:ascii="Times New Roman" w:hAnsi="Times New Roman"/>
          <w:b w:val="0"/>
        </w:rPr>
        <w:t>tikrinamas visiškas jų nepriklausomumas ir savarankiškumas bei apsauga nuo biudžeto mažinimo ir valstybės įtakos. Be to, lygybės įstaigoms turi būti suteikta kompetencija priimti sprendimus ir, be kita ko, teisė priimti skundus, tyrimo ir bylinėjimosi įgal</w:t>
      </w:r>
      <w:r>
        <w:rPr>
          <w:rFonts w:ascii="Times New Roman" w:hAnsi="Times New Roman"/>
          <w:b w:val="0"/>
        </w:rPr>
        <w:t xml:space="preserve">iojimai ir įgaliojimai skirti proporcingas ir atgrasančias sankcijas. Be to, lygybės įstaigos turėtų galėti priimti teisiškai privalomus sprendimus ir teikti neprivalomas nuomones, taip pat teikti rekomendacijas ir vykdyti tolesnę stebėseną.   </w:t>
      </w:r>
    </w:p>
    <w:p w:rsidR="00EB6090" w:rsidRPr="0065259B" w:rsidRDefault="0025755D" w:rsidP="00EB6090">
      <w:pPr>
        <w:pStyle w:val="PageHeadingNotTOC"/>
        <w:jc w:val="left"/>
        <w:rPr>
          <w:rFonts w:ascii="Times New Roman" w:hAnsi="Times New Roman" w:cs="Times New Roman"/>
          <w:b w:val="0"/>
          <w:szCs w:val="24"/>
        </w:rPr>
      </w:pPr>
      <w:r>
        <w:rPr>
          <w:rFonts w:ascii="Times New Roman" w:hAnsi="Times New Roman"/>
          <w:b w:val="0"/>
        </w:rPr>
        <w:t>Lygybės įst</w:t>
      </w:r>
      <w:r>
        <w:rPr>
          <w:rFonts w:ascii="Times New Roman" w:hAnsi="Times New Roman"/>
          <w:b w:val="0"/>
        </w:rPr>
        <w:t xml:space="preserve">aigos turėtų turėti teisę savo iniciatyva imtis spręsti visus klausimus, patenkančius į jų įgaliojimo sritį. Tai apima ir struktūrinės diskriminacijos problemos sprendimą. Tai, kad nėra nacionalinių nuostatų, susijusių su struktūrine diskriminacija, kartu </w:t>
      </w:r>
      <w:r>
        <w:rPr>
          <w:rFonts w:ascii="Times New Roman" w:hAnsi="Times New Roman"/>
          <w:b w:val="0"/>
        </w:rPr>
        <w:t>su ribotais bylinėjimosi įgaliojimais, trukdo lygybės įstaigoms veikti ir neleidžia plėtoti naujos teismų praktikos. Kadangi diskriminaciją patiriantys asmenys dažnai atsiduria pažeidžiamoje padėtyje ir negali savarankiškai kovoti su struktūrine diskrimina</w:t>
      </w:r>
      <w:r>
        <w:rPr>
          <w:rFonts w:ascii="Times New Roman" w:hAnsi="Times New Roman"/>
          <w:b w:val="0"/>
        </w:rPr>
        <w:t xml:space="preserve">cija, svarbu, kad lygybės įstaigos turėtų teisę atlikti tyrimus, rinkti įrodymus ir pradėti teismo procesą savo iniciatyva ir </w:t>
      </w:r>
      <w:r>
        <w:rPr>
          <w:rFonts w:ascii="Times New Roman" w:hAnsi="Times New Roman"/>
          <w:b w:val="0"/>
        </w:rPr>
        <w:lastRenderedPageBreak/>
        <w:t>savo vardu, kad atskleistų ir pašalintų institucijose taikomas kartais nematomas normas ir procesus, dėl kurių galiausiai padidėja</w:t>
      </w:r>
      <w:r>
        <w:rPr>
          <w:rFonts w:ascii="Times New Roman" w:hAnsi="Times New Roman"/>
          <w:b w:val="0"/>
        </w:rPr>
        <w:t xml:space="preserve"> esama nelygybė.</w:t>
      </w:r>
    </w:p>
    <w:p w:rsidR="00EB6090" w:rsidRPr="0065259B" w:rsidRDefault="0025755D" w:rsidP="00EB6090">
      <w:pPr>
        <w:pStyle w:val="PageHeadingNotTOC"/>
        <w:jc w:val="left"/>
        <w:rPr>
          <w:rFonts w:ascii="Times New Roman" w:hAnsi="Times New Roman" w:cs="Times New Roman"/>
          <w:b w:val="0"/>
          <w:szCs w:val="24"/>
        </w:rPr>
      </w:pPr>
      <w:r>
        <w:rPr>
          <w:rFonts w:ascii="Times New Roman" w:hAnsi="Times New Roman"/>
          <w:b w:val="0"/>
        </w:rPr>
        <w:t>Taip pat svarbu stebėti spartų skaitmeninių technologijų, įskaitant dirbtinį intelektą, vystymąsi. Esama daug įrodymų, kad tokios sistemos kelia riziką pažeidžiamoms grupėms priskiriamiems asmenims, nes didžiųjų duomenų ir dirbtinio intele</w:t>
      </w:r>
      <w:r>
        <w:rPr>
          <w:rFonts w:ascii="Times New Roman" w:hAnsi="Times New Roman"/>
          <w:b w:val="0"/>
        </w:rPr>
        <w:t>kto technologijos didina nelygybę, diskriminaciją, atskirtį ir skurdą. Dėl šios priežasties labai svarbu, kad lygybės įstaigos būtų aprūpintos kvalifikuotais darbuotojais, kurie atskleistų informaciją apie diskriminaciją internete, įskaitant algoritminę di</w:t>
      </w:r>
      <w:r>
        <w:rPr>
          <w:rFonts w:ascii="Times New Roman" w:hAnsi="Times New Roman"/>
          <w:b w:val="0"/>
        </w:rPr>
        <w:t xml:space="preserve">skriminaciją, ir spręstų su ja susijusias problemas.  </w:t>
      </w:r>
    </w:p>
    <w:p w:rsidR="00EB6090" w:rsidRPr="0065259B" w:rsidRDefault="0025755D" w:rsidP="00EB6090">
      <w:pPr>
        <w:pStyle w:val="PageHeadingNotTOC"/>
        <w:jc w:val="left"/>
        <w:rPr>
          <w:rFonts w:ascii="Times New Roman" w:hAnsi="Times New Roman" w:cs="Times New Roman"/>
          <w:b w:val="0"/>
          <w:szCs w:val="24"/>
        </w:rPr>
      </w:pPr>
      <w:r>
        <w:rPr>
          <w:rFonts w:ascii="Times New Roman" w:hAnsi="Times New Roman"/>
          <w:b w:val="0"/>
        </w:rPr>
        <w:t>Direktyvoje turi būti numatyti lygybės įstaigų pajėgumai spręsti sąveikinės diskriminacijos problemą. Lygybės įstaigos, vykdydamos visas savo užduotis, turėtų laikytis sąveikinio požiūrio. Siekiant tin</w:t>
      </w:r>
      <w:r>
        <w:rPr>
          <w:rFonts w:ascii="Times New Roman" w:hAnsi="Times New Roman"/>
          <w:b w:val="0"/>
        </w:rPr>
        <w:t>kamai nustatyti skirtingas ir specifines diskriminacijos formas, su kuriomis susiduria dėl dviejų ar daugiau motyvų diskriminuojami asmenys, labai svarbu vertinti tokią diskriminaciją kaip kelių motyvų sąveiką. Atsižvelgiant į tai ir remiantis ESTT praktik</w:t>
      </w:r>
      <w:r>
        <w:rPr>
          <w:rFonts w:ascii="Times New Roman" w:hAnsi="Times New Roman"/>
          <w:b w:val="0"/>
        </w:rPr>
        <w:t>a, šios direktyvos taikymo sritis turėtų būti kuo platesnė. Valstybės narės turėtų skatinti ir finansuoti lygybės įstaigas, kad jų veikla apimtų visus diskriminacijos motyvus pagal nebaigtinę Chartijos 21 straipsnio nuostatą. Lyčių lygybės nepavyks užtikri</w:t>
      </w:r>
      <w:r>
        <w:rPr>
          <w:rFonts w:ascii="Times New Roman" w:hAnsi="Times New Roman"/>
          <w:b w:val="0"/>
        </w:rPr>
        <w:t>nti, jei nepavyks suprasti ir panaikinti tyčinės ar netyčinės daugialypės ir sąveikinės diskriminacijos, atsižvelgiant į jos individualias, struktūrines, institucines ir istorines formas.</w:t>
      </w:r>
    </w:p>
    <w:p w:rsidR="00EB6090" w:rsidRPr="0065259B" w:rsidRDefault="0025755D" w:rsidP="00EB6090">
      <w:r>
        <w:t>Lygybės įstaigos vykdo savo veiklą vis sudėtingesnėje aplinkoje, kur</w:t>
      </w:r>
      <w:r>
        <w:t>ioje nepriimtinai normalizuojamas diskriminacinis požiūris, politika ir veiksmai mūsų visuomenėje. Nepaisant tokių sudėtingų aplinkybių, jau įsitikinta, kad lygybės įstaigų galimybės neišsemiamos. Dabar turime suteikti joms reikiamas priemones, kad jos gal</w:t>
      </w:r>
      <w:r>
        <w:t>ėtų ryžtingai kovoti su visų formų diskriminacija. Negalima gaišti.</w:t>
      </w:r>
    </w:p>
    <w:p w:rsidR="00FE4134" w:rsidRPr="00352596" w:rsidRDefault="00FE4134" w:rsidP="00352596"/>
    <w:sectPr w:rsidR="00FE4134" w:rsidRPr="00352596" w:rsidSect="00FE41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5755D">
      <w:r>
        <w:separator/>
      </w:r>
    </w:p>
  </w:endnote>
  <w:endnote w:type="continuationSeparator" w:id="0">
    <w:p w:rsidR="00000000" w:rsidRDefault="0025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596" w:rsidRDefault="0025755D" w:rsidP="00352596">
    <w:pPr>
      <w:pStyle w:val="EPFooter"/>
    </w:pPr>
    <w:r>
      <w:t>PE</w:t>
    </w:r>
    <w:r w:rsidRPr="00352596">
      <w:rPr>
        <w:rStyle w:val="HideTWBExt"/>
      </w:rPr>
      <w:t>&lt;NoPE&gt;</w:t>
    </w:r>
    <w:r>
      <w:t>751.894</w:t>
    </w:r>
    <w:r w:rsidRPr="00352596">
      <w:rPr>
        <w:rStyle w:val="HideTWBExt"/>
      </w:rPr>
      <w:t>&lt;/NoPE&gt;&lt;Version&gt;</w:t>
    </w:r>
    <w:r>
      <w:t>v03-00</w:t>
    </w:r>
    <w:r w:rsidRPr="00352596">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D55AC8">
      <w:fldChar w:fldCharType="begin"/>
    </w:r>
    <w:r>
      <w:instrText xml:space="preserve"> NUMPAGES  \* MERGEFORMAT </w:instrText>
    </w:r>
    <w:r w:rsidR="00D55AC8">
      <w:fldChar w:fldCharType="separate"/>
    </w:r>
    <w:r>
      <w:rPr>
        <w:noProof/>
      </w:rPr>
      <w:t>56</w:t>
    </w:r>
    <w:r w:rsidR="00D55AC8">
      <w:rPr>
        <w:noProof/>
      </w:rPr>
      <w:fldChar w:fldCharType="end"/>
    </w:r>
    <w:r>
      <w:tab/>
    </w:r>
    <w:r w:rsidRPr="00352596">
      <w:rPr>
        <w:rStyle w:val="HideTWBExt"/>
      </w:rPr>
      <w:t>&lt;PathFdR&gt;</w:t>
    </w:r>
    <w:r>
      <w:t>AD\1287675LT.docx</w:t>
    </w:r>
    <w:r w:rsidRPr="00352596">
      <w:rPr>
        <w:rStyle w:val="HideTWBExt"/>
      </w:rPr>
      <w:t>&lt;/PathFdR&gt;</w:t>
    </w:r>
  </w:p>
  <w:p w:rsidR="007F187F" w:rsidRPr="00705534" w:rsidRDefault="0025755D" w:rsidP="00352596">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596" w:rsidRDefault="0025755D" w:rsidP="00352596">
    <w:pPr>
      <w:pStyle w:val="EPFooter"/>
    </w:pPr>
    <w:r w:rsidRPr="00352596">
      <w:rPr>
        <w:rStyle w:val="HideTWBExt"/>
      </w:rPr>
      <w:t>&lt;PathFdR&gt;</w:t>
    </w:r>
    <w:r>
      <w:t>AD\1287675LT.docx</w:t>
    </w:r>
    <w:r w:rsidRPr="00352596">
      <w:rPr>
        <w:rStyle w:val="HideTWBExt"/>
      </w:rPr>
      <w:t>&lt;/PathFdR&gt;</w:t>
    </w:r>
    <w:r>
      <w:tab/>
    </w:r>
    <w:r>
      <w:fldChar w:fldCharType="begin"/>
    </w:r>
    <w:r>
      <w:instrText xml:space="preserve"> PAGE  \* MERGEFORMAT </w:instrText>
    </w:r>
    <w:r>
      <w:fldChar w:fldCharType="separate"/>
    </w:r>
    <w:r>
      <w:rPr>
        <w:noProof/>
      </w:rPr>
      <w:t>3</w:t>
    </w:r>
    <w:r>
      <w:fldChar w:fldCharType="end"/>
    </w:r>
    <w:r>
      <w:t>/</w:t>
    </w:r>
    <w:r w:rsidR="00D55AC8">
      <w:fldChar w:fldCharType="begin"/>
    </w:r>
    <w:r>
      <w:instrText xml:space="preserve"> NUMPAGES  \* MERGEFORMAT </w:instrText>
    </w:r>
    <w:r w:rsidR="00D55AC8">
      <w:fldChar w:fldCharType="separate"/>
    </w:r>
    <w:r>
      <w:rPr>
        <w:noProof/>
      </w:rPr>
      <w:t>56</w:t>
    </w:r>
    <w:r w:rsidR="00D55AC8">
      <w:rPr>
        <w:noProof/>
      </w:rPr>
      <w:fldChar w:fldCharType="end"/>
    </w:r>
    <w:r>
      <w:tab/>
      <w:t>PE</w:t>
    </w:r>
    <w:r w:rsidRPr="00352596">
      <w:rPr>
        <w:rStyle w:val="HideTWBExt"/>
      </w:rPr>
      <w:t>&lt;NoPE&gt;</w:t>
    </w:r>
    <w:r>
      <w:t>751.894</w:t>
    </w:r>
    <w:r w:rsidRPr="00352596">
      <w:rPr>
        <w:rStyle w:val="HideTWBExt"/>
      </w:rPr>
      <w:t>&lt;/NoPE&gt;&lt;Version&gt;</w:t>
    </w:r>
    <w:r>
      <w:t>v03-00</w:t>
    </w:r>
    <w:r w:rsidRPr="00352596">
      <w:rPr>
        <w:rStyle w:val="HideTWBExt"/>
      </w:rPr>
      <w:t>&lt;/Version&gt;</w:t>
    </w:r>
  </w:p>
  <w:p w:rsidR="007F187F" w:rsidRPr="00705534" w:rsidRDefault="0025755D" w:rsidP="00352596">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596" w:rsidRDefault="0025755D" w:rsidP="00352596">
    <w:pPr>
      <w:pStyle w:val="EPFooter"/>
    </w:pPr>
    <w:r w:rsidRPr="00352596">
      <w:rPr>
        <w:rStyle w:val="HideTWBExt"/>
      </w:rPr>
      <w:t>&lt;PathFdR&gt;</w:t>
    </w:r>
    <w:r>
      <w:t>AD\1287675LT.docx</w:t>
    </w:r>
    <w:r w:rsidRPr="00352596">
      <w:rPr>
        <w:rStyle w:val="HideTWBExt"/>
      </w:rPr>
      <w:t>&lt;/PathFdR&gt;</w:t>
    </w:r>
    <w:r>
      <w:tab/>
    </w:r>
    <w:r>
      <w:tab/>
      <w:t>PE</w:t>
    </w:r>
    <w:r w:rsidRPr="00352596">
      <w:rPr>
        <w:rStyle w:val="HideTWBExt"/>
      </w:rPr>
      <w:t>&lt;NoPE&gt;</w:t>
    </w:r>
    <w:r>
      <w:t>751.894</w:t>
    </w:r>
    <w:r w:rsidRPr="00352596">
      <w:rPr>
        <w:rStyle w:val="HideTWBExt"/>
      </w:rPr>
      <w:t>&lt;/NoPE&gt;&lt;Version&gt;</w:t>
    </w:r>
    <w:r>
      <w:t>v03-00</w:t>
    </w:r>
    <w:r w:rsidRPr="00352596">
      <w:rPr>
        <w:rStyle w:val="HideTWBExt"/>
      </w:rPr>
      <w:t>&lt;/Version&gt;</w:t>
    </w:r>
  </w:p>
  <w:p w:rsidR="007F187F" w:rsidRPr="00705534" w:rsidRDefault="0025755D" w:rsidP="00352596">
    <w:pPr>
      <w:pStyle w:val="EPFooter2"/>
    </w:pPr>
    <w:r>
      <w:t>LT</w:t>
    </w:r>
    <w:r>
      <w:tab/>
    </w:r>
    <w:r w:rsidRPr="00352596">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5755D">
      <w:r>
        <w:separator/>
      </w:r>
    </w:p>
  </w:footnote>
  <w:footnote w:type="continuationSeparator" w:id="0">
    <w:p w:rsidR="00000000" w:rsidRDefault="0025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534" w:rsidRPr="00705534" w:rsidRDefault="0070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534" w:rsidRPr="00705534" w:rsidRDefault="007055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534" w:rsidRPr="00705534" w:rsidRDefault="00705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2"/>
    <w:docVar w:name="CODEMNU" w:val=" 1"/>
    <w:docVar w:name="COM2KEY" w:val="CJ21"/>
    <w:docVar w:name="COMKEY" w:val="LIBE"/>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59437 HideTWBInt;}}{\*\rsidtbl \rsid24658\rsid223860\rsid735077\rsid1718133\rsid2640088\rsid2892074_x000d__x000a_\rsid3565327\rsid4666813\rsid5659437\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3\mo7\dy19\hr19\min38}{\revtim\yr2023\mo7\dy19\hr19\min38}{\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5943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640088 \chftnsep _x000d__x000a_\par }}{\*\ftnsepc \ltrpar \pard\plain \ltrpar\ql \li0\ri0\widctlpar\wrapdefault\aspalpha\aspnum\faauto\adjustright\rin0\lin0\itap0 \rtlch\fcs1 \af0\afs20\alang1025 \ltrch\fcs0 \fs24\lang2057\langfe2057\cgrid\langnp2057\langfenp2057 {\rtlch\fcs1 \af0 _x000d__x000a_\ltrch\fcs0 \insrsid2640088 \chftnsepc _x000d__x000a_\par }}{\*\aftnsep \ltrpar \pard\plain \ltrpar\ql \li0\ri0\widctlpar\wrapdefault\aspalpha\aspnum\faauto\adjustright\rin0\lin0\itap0 \rtlch\fcs1 \af0\afs20\alang1025 \ltrch\fcs0 \fs24\lang2057\langfe2057\cgrid\langnp2057\langfenp2057 {\rtlch\fcs1 \af0 _x000d__x000a_\ltrch\fcs0 \insrsid2640088 \chftnsep _x000d__x000a_\par }}{\*\aftnsepc \ltrpar \pard\plain \ltrpar\ql \li0\ri0\widctlpar\wrapdefault\aspalpha\aspnum\faauto\adjustright\rin0\lin0\itap0 \rtlch\fcs1 \af0\afs20\alang1025 \ltrch\fcs0 \fs24\lang2057\langfe2057\cgrid\langnp2057\langfenp2057 {\rtlch\fcs1 \af0 _x000d__x000a_\ltrch\fcs0 \insrsid26400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59437\charrsid4681841 {\*\bkmkstart ReplaceBookmark}#}{\rtlch\fcs1 \af1 \ltrch\fcs0 _x000d__x000a_\cs17\v\f1\fs20\cf15\insrsid5659437\charrsid4681841 &gt;&gt;&gt;CVAR@@AmendA}{\rtlch\fcs1 \af0 \ltrch\fcs0 \insrsid5659437\charrsid468184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5_x000d__x000a_ddcb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5396 HideTWBExt;}{_x000d__x000a_\s18\ql \li0\ri0\sa120\nowidctlpar\wrapdefault\aspalpha\aspnum\faauto\adjustright\rin0\lin0\itap0 \rtlch\fcs1 \af0\afs20\alang1025 \ltrch\fcs0 \fs24\lang2057\langfe2057\cgrid\langnp2057\langfenp2057 \sbasedon0 \snext18 \spriority0 \styrsid14555396 _x000d__x000a_Normal6a;}{\s19\ql \li0\ri0\nowidctlpar\wrapdefault\aspalpha\aspnum\faauto\adjustright\rin0\lin0\itap0 \rtlch\fcs1 \af0\afs20\alang1025 \ltrch\fcs0 \b\fs24\lang2057\langfe2057\cgrid\langnp2057\langfenp2057 \sbasedon0 \snext19 \spriority0 \styrsid14555396 _x000d__x000a_NormalBold;}{\*\cs20 \additive \v\f1\fs20\cf15 \spriority0 \styrsid14555396 HideTWBInt;}{\s21\qr \li0\ri0\sb240\sa240\nowidctlpar\wrapdefault\aspalpha\aspnum\faauto\adjustright\rin0\lin0\itap0 \rtlch\fcs1 \af0\afs20\alang1025 \ltrch\fcs0 _x000d__x000a_\fs24\lang2057\langfe2057\cgrid\langnp2057\langfenp2057 \sbasedon0 \snext21 \spriority0 \styrsid14555396 AmOrLang;}{\s22\qc \li0\ri0\sa240\nowidctlpar\wrapdefault\aspalpha\aspnum\faauto\adjustright\rin0\lin0\itap0 \rtlch\fcs1 \af0\afs20\alang1025 _x000d__x000a_\ltrch\fcs0 \i\fs24\lang2057\langfe2057\cgrid\langnp2057\langfenp2057 \sbasedon0 \snext22 \spriority0 \styrsid145553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555396 AmNumberTabs;}{\s24\ql \li0\ri0\sb240\nowidctlpar\wrapdefault\aspalpha\aspnum\faauto\adjustright\rin0\lin0\itap0 \rtlch\fcs1 _x000d__x000a_\af0\afs20\alang1025 \ltrch\fcs0 \b\fs24\lang2057\langfe2057\cgrid\langnp2057\langfenp2057 \sbasedon0 \snext24 \spriority0 \styrsid14555396 NormalBold12b;}}{\*\rsidtbl \rsid24658\rsid223860\rsid278057\rsid735077\rsid1718133\rsid2892074\rsid3565327_x000d__x000a_\rsid4666813\rsid6641733\rsid7823322\rsid9636012\rsid10377208\rsid11215221\rsid11549030\rsid12154954\rsid14382809\rsid14424199\rsid14555396\rsid15204470\rsid15285974\rsid15950462\rsid16324206\rsid16662270}{\mmathPr\mmathFont34\mbrkBin0\mbrkBinSub0_x000d__x000a_\msmallFrac0\mdispDef1\mlMargin0\mrMargin0\mdefJc1\mwrapIndent1440\mintLim0\mnaryLim1}{\info{\author KOVACS-MALYI Krisztina}{\operator KOVACS-MALYI Krisztina}{\creatim\yr2023\mo7\dy19\hr19\min32}{\revtim\yr2023\mo7\dy19\hr19\min32}{\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5396\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78057 \chftnsep _x000d__x000a_\par }}{\*\ftnsepc \ltrpar \pard\plain \ltrpar\ql \li0\ri0\widctlpar\wrapdefault\aspalpha\aspnum\faauto\adjustright\rin0\lin0\itap0 \rtlch\fcs1 \af0\afs20\alang1025 \ltrch\fcs0 \fs24\lang2057\langfe2057\cgrid\langnp2057\langfenp2057 {\rtlch\fcs1 \af0 _x000d__x000a_\ltrch\fcs0 \insrsid278057 \chftnsepc _x000d__x000a_\par }}{\*\aftnsep \ltrpar \pard\plain \ltrpar\ql \li0\ri0\widctlpar\wrapdefault\aspalpha\aspnum\faauto\adjustright\rin0\lin0\itap0 \rtlch\fcs1 \af0\afs20\alang1025 \ltrch\fcs0 \fs24\lang2057\langfe2057\cgrid\langnp2057\langfenp2057 {\rtlch\fcs1 \af0 _x000d__x000a_\ltrch\fcs0 \insrsid278057 \chftnsep _x000d__x000a_\par }}{\*\aftnsepc \ltrpar \pard\plain \ltrpar\ql \li0\ri0\widctlpar\wrapdefault\aspalpha\aspnum\faauto\adjustright\rin0\lin0\itap0 \rtlch\fcs1 \af0\afs20\alang1025 \ltrch\fcs0 \fs24\lang2057\langfe2057\cgrid\langnp2057\langfenp2057 {\rtlch\fcs1 \af0 _x000d__x000a_\ltrch\fcs0 \insrsid2780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555396 \rtlch\fcs1 _x000d__x000a_\af0\afs20\alang1025 \ltrch\fcs0 \b\fs24\lang2057\langfe2057\cgrid\langnp2057\langfenp2057 {\rtlch\fcs1 \af0 \ltrch\fcs0 \cs17\b0\v\fs20\cf9\lang1024\langfe1024\loch\af1\hich\af1\dbch\af31501\noproof\insrsid14555396\charrsid4681841 {\*\bkmkstart restartA}_x000d__x000a_\hich\af1\dbch\af31501\loch\f1 &lt;AmendA&gt;}{\rtlch\fcs1 \af0 \ltrch\fcs0 \insrsid14555396\charrsid4681841 Amendment\tab \tab }{\rtlch\fcs1 \af0 \ltrch\fcs0 _x000d__x000a_\cs17\b0\v\fs20\cf9\lang1024\langfe1024\loch\af1\hich\af1\dbch\af31501\noproof\insrsid14555396\charrsid4681841 \hich\af1\dbch\af31501\loch\f1 &lt;NumAmA&gt;}{\rtlch\fcs1 \af0 \ltrch\fcs0 \insrsid14555396\charrsid4681841 #}{\rtlch\fcs1 \af1 \ltrch\fcs0 _x000d__x000a_\cs20\v\f1\fs20\cf15\insrsid14555396\charrsid4681841 ENMIENDA@NRAM@}{\rtlch\fcs1 \af0 \ltrch\fcs0 \insrsid14555396\charrsid4681841 #}{\rtlch\fcs1 \af0 \ltrch\fcs0 _x000d__x000a_\cs17\b0\v\fs20\cf9\lang1024\langfe1024\loch\af1\hich\af1\dbch\af31501\noproof\insrsid14555396\charrsid4681841 \hich\af1\dbch\af31501\loch\f1 &lt;/NumAmA&gt;}{\rtlch\fcs1 \af0 \ltrch\fcs0 \insrsid14555396\charrsid4681841 _x000d__x000a_\par }\pard\plain \ltrpar\s24\ql \li0\ri0\sb240\keepn\nowidctlpar\wrapdefault\aspalpha\aspnum\faauto\adjustright\rin0\lin0\itap0\pararsid14555396 \rtlch\fcs1 \af0\afs20\alang1025 \ltrch\fcs0 \b\fs24\lang2057\langfe2057\cgrid\langnp2057\langfenp2057 {_x000d__x000a_\rtlch\fcs1 \af0 \ltrch\fcs0 \cs17\b0\v\fs20\cf9\lang1024\langfe1024\loch\af1\hich\af1\dbch\af31501\noproof\insrsid14555396\charrsid4681841 \hich\af1\dbch\af31501\loch\f1 &lt;DocAmend&gt;}{\rtlch\fcs1 \af0 \ltrch\fcs0 \insrsid14555396\charrsid4681841 _x000d__x000a_Draft legislative resolution}{\rtlch\fcs1 \af0 \ltrch\fcs0 \cs17\b0\v\fs20\cf9\lang1024\langfe1024\loch\af1\hich\af1\dbch\af31501\noproof\insrsid14555396\charrsid4681841 \hich\af1\dbch\af31501\loch\f1 &lt;/DocAmend&gt;}{\rtlch\fcs1 \af0 \ltrch\fcs0 _x000d__x000a_\insrsid14555396\charrsid4681841 _x000d__x000a_\par }\pard\plain \ltrpar\s19\ql \li0\ri0\nowidctlpar\wrapdefault\aspalpha\aspnum\faauto\adjustright\rin0\lin0\itap0\pararsid14555396 \rtlch\fcs1 \af0\afs20\alang1025 \ltrch\fcs0 \b\fs24\lang2057\langfe2057\cgrid\langnp2057\langfenp2057 {\rtlch\fcs1 \af0 _x000d__x000a_\ltrch\fcs0 \cs17\b0\v\fs20\cf9\lang1024\langfe1024\loch\af1\hich\af1\dbch\af31501\noproof\insrsid14555396\charrsid4681841 \hich\af1\dbch\af31501\loch\f1 &lt;Article&gt;}{\rtlch\fcs1 \af0 \ltrch\fcs0 \cf10\insrsid14555396\charrsid4681841 \u9668\'3f}{_x000d__x000a_\rtlch\fcs1 \af0 \ltrch\fcs0 \insrsid14555396\charrsid4681841 #}{\rtlch\fcs1 \af1 \ltrch\fcs0 \cs20\v\f1\fs20\cf15\insrsid14555396\charrsid4681841 TVTRESPART@RESPART@}{\rtlch\fcs1 \af0 \ltrch\fcs0 \insrsid14555396\charrsid4681841 #}{\rtlch\fcs1 \af0 _x000d__x000a_\ltrch\fcs0 \cf10\insrsid14555396\charrsid4681841 \u9658\'3f}{\rtlch\fcs1 \af0 \ltrch\fcs0 \cs17\b0\v\fs20\cf9\lang1024\langfe1024\loch\af1\hich\af1\dbch\af31501\noproof\insrsid14555396\charrsid4681841 \hich\af1\dbch\af31501\loch\f1 &lt;/Article&gt;}{_x000d__x000a_\rtlch\fcs1 \af0 \ltrch\fcs0 \insrsid14555396\charrsid468184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555396\charrsid4681841 \cell }\pard\plain \ltrpar\ql \li0\ri0\widctlpar\intbl\wrapdefault\aspalpha\aspnum\faauto\adjustright\rin0\lin0 \rtlch\fcs1 _x000d__x000a_\af0\afs20\alang1025 \ltrch\fcs0 \fs24\lang2057\langfe2057\cgrid\langnp2057\langfenp2057 {\rtlch\fcs1 \af0 \ltrch\fcs0 \insrsid14555396\charrsid468184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4555396\charrsid4681841 Draft legislative resolution\cell Amendment\cell }\pard\plain \ltrpar_x000d__x000a_\ql \li0\ri0\widctlpar\intbl\wrapdefault\aspalpha\aspnum\faauto\adjustright\rin0\lin0 \rtlch\fcs1 \af0\afs20\alang1025 \ltrch\fcs0 \fs24\lang2057\langfe2057\cgrid\langnp2057\langfenp2057 {\rtlch\fcs1 \af0 \ltrch\fcs0 \insrsid14555396\charrsid468184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555396\charrsid4681841 ##\cell ##}{\rtlch\fcs1 \af0\afs24 \ltrch\fcs0 \insrsid14555396\charrsid4681841 \cell }\pard\plain \ltrpar\ql \li0\ri0\widctlpar\intbl\wrapdefault\aspalpha\aspnum\faauto\adjustright\rin0\lin0 \rtlch\fcs1 _x000d__x000a_\af0\afs20\alang1025 \ltrch\fcs0 \fs24\lang2057\langfe2057\cgrid\langnp2057\langfenp2057 {\rtlch\fcs1 \af0 \ltrch\fcs0 \insrsid14555396\charrsid468184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555396 \rtlch\fcs1 \af0\afs20\alang1025 \ltrch\fcs0 \fs24\lang2057\langfe2057\cgrid\langnp2057\langfenp2057 {\rtlch\fcs1 \af0 \ltrch\fcs0 _x000d__x000a_\insrsid14555396\charrsid4681841 Or. }{\rtlch\fcs1 \af0 \ltrch\fcs0 \cs17\v\fs20\cf9\lang1024\langfe1024\loch\af1\hich\af1\dbch\af31501\noproof\insrsid14555396\charrsid4681841 \hich\af1\dbch\af31501\loch\f1 &lt;Original&gt;}{\rtlch\fcs1 \af0 \ltrch\fcs0 _x000d__x000a_\insrsid14555396\charrsid4681841 #}{\rtlch\fcs1 \af1 \ltrch\fcs0 \cs20\v\f1\fs20\cf15\insrsid14555396\charrsid4681841 MNU[OPTORLANG][ORLANGMORE]@CHOICE@AMPLURMNU}{\rtlch\fcs1 \af0 \ltrch\fcs0 \insrsid14555396\charrsid4681841 #}{\rtlch\fcs1 \af0 _x000d__x000a_\ltrch\fcs0 \cs17\v\fs20\cf9\lang1024\langfe1024\loch\af1\hich\af1\dbch\af31501\noproof\insrsid14555396\charrsid4681841 \hich\af1\dbch\af31501\loch\f1 &lt;/Original&gt;}{\rtlch\fcs1 \af0 \ltrch\fcs0 \insrsid14555396\charrsid4681841 _x000d__x000a_\par }\pard\plain \ltrpar\ql \li0\ri0\widctlpar\wrapdefault\aspalpha\aspnum\faauto\adjustright\rin0\lin0\itap0\pararsid14555396 \rtlch\fcs1 \af0\afs20\alang1025 \ltrch\fcs0 \fs24\lang2057\langfe2057\cgrid\langnp2057\langfenp2057 {\rtlch\fcs1 \af0 \ltrch\fcs0 _x000d__x000a_\cs17\v\fs20\cf9\lang1024\langfe1024\loch\af1\hich\af1\dbch\af31501\noproof\insrsid14555396\charrsid468184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d_x000d__x000a_300f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643166\rsid10377208_x000d__x000a_\rsid11076571\rsid11215221\rsid11549030\rsid12154954\rsid14382809\rsid14424199\rsid15204470\rsid15285974\rsid15950462\rsid16324206\rsid16662270}{\mmathPr\mmathFont34\mbrkBin0\mbrkBinSub0\msmallFrac0\mdispDef1\mlMargin0\mrMargin0\mdefJc1\mwrapIndent1440_x000d__x000a_\mintLim0\mnaryLim1}{\info{\author VAITIEKUTE Simona}{\operator VAITIEKUTE Simona}{\creatim\yr2023\mo10\dy24\hr10\min8}{\revtim\yr2023\mo10\dy24\hr10\min8}{\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76571\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9643166 \chftnsep _x000d__x000a_\par }}{\*\ftnsepc \ltrpar \pard\plain \ltrpar\ql \li0\ri0\widctlpar\wrapdefault\aspalpha\aspnum\faauto\adjustright\rin0\lin0\itap0 \rtlch\fcs1 \af0\afs20\alang1025 \ltrch\fcs0 \fs24\lang2057\langfe2057\cgrid\langnp2057\langfenp2057 {\rtlch\fcs1 \af0 _x000d__x000a_\ltrch\fcs0 \insrsid9643166 \chftnsepc _x000d__x000a_\par }}{\*\aftnsep \ltrpar \pard\plain \ltrpar\ql \li0\ri0\widctlpar\wrapdefault\aspalpha\aspnum\faauto\adjustright\rin0\lin0\itap0 \rtlch\fcs1 \af0\afs20\alang1025 \ltrch\fcs0 \fs24\lang2057\langfe2057\cgrid\langnp2057\langfenp2057 {\rtlch\fcs1 \af0 _x000d__x000a_\ltrch\fcs0 \insrsid9643166 \chftnsep _x000d__x000a_\par }}{\*\aftnsepc \ltrpar \pard\plain \ltrpar\ql \li0\ri0\widctlpar\wrapdefault\aspalpha\aspnum\faauto\adjustright\rin0\lin0\itap0 \rtlch\fcs1 \af0\afs20\alang1025 \ltrch\fcs0 \fs24\lang2057\langfe2057\cgrid\langnp2057\langfenp2057 {\rtlch\fcs1 \af0 _x000d__x000a_\ltrch\fcs0 \insrsid96431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076571 _x000d__x000a_\rtlch\fcs1 \af0\afs20\alang1025 \ltrch\fcs0 \fs24\lang2057\langfe2057\cgrid\langnp2057\langfenp2057 {\rtlch\fcs1 \af0 \ltrch\fcs0 \insrsid11076571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0_x000d__x000a_b64d510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4113 HideTWBExt;}{_x000d__x000a_\s18\ql \li0\ri0\sa120\nowidctlpar\wrapdefault\aspalpha\aspnum\faauto\adjustright\rin0\lin0\itap0 \rtlch\fcs1 \af0\afs20\alang1025 \ltrch\fcs0 \fs24\lang2057\langfe2057\cgrid\langnp2057\langfenp2057 \sbasedon0 \snext18 \spriority0 \styrsid9254113 _x000d__x000a_Normal6a;}{\s19\ql \li0\ri0\nowidctlpar\wrapdefault\aspalpha\aspnum\faauto\adjustright\rin0\lin0\itap0 \rtlch\fcs1 \af0\afs20\alang1025 \ltrch\fcs0 \b\fs24\lang2057\langfe2057\cgrid\langnp2057\langfenp2057 \sbasedon0 \snext19 \spriority0 \styrsid9254113 _x000d__x000a_NormalBold;}{\s20\ql \li0\ri0\sa240\nowidctlpar\wrapdefault\aspalpha\aspnum\faauto\adjustright\rin0\lin0\itap0 \rtlch\fcs1 \af0\afs20\alang1025 \ltrch\fcs0 \i\fs24\lang2057\langfe2057\cgrid\langnp2057\langfenp2057 _x000d__x000a_\sbasedon0 \snext20 \spriority0 \styrsid9254113 AmJustText;}{\s21\qc \li0\ri0\sb240\sa240\nowidctlpar\wrapdefault\aspalpha\aspnum\faauto\adjustright\rin0\lin0\itap0 \rtlch\fcs1 \af0\afs20\alang1025 \ltrch\fcs0 _x000d__x000a_\i\fs24\lang2057\langfe2057\cgrid\langnp2057\langfenp2057 \sbasedon0 \snext21 \spriority0 \styrsid9254113 AmCrossRef;}{\*\cs22 \additive \v\f1\fs20\cf15 \spriority0 \styrsid9254113 HideTWBInt;}{_x000d__x000a_\s23\qc \li0\ri0\sb240\sa240\keepn\nowidctlpar\wrapdefault\aspalpha\aspnum\faauto\adjustright\rin0\lin0\itap0 \rtlch\fcs1 \af0\afs20\alang1025 \ltrch\fcs0 \i\fs24\lang2057\langfe2057\cgrid\langnp2057\langfenp2057 _x000d__x000a_\sbasedon0 \snext20 \spriority0 \styrsid9254113 AmJustTitle;}{\s24\qr \li0\ri0\sb240\sa240\nowidctlpar\wrapdefault\aspalpha\aspnum\faauto\adjustright\rin0\lin0\itap0 \rtlch\fcs1 \af0\afs20\alang1025 \ltrch\fcs0 _x000d__x000a_\fs24\lang2057\langfe2057\cgrid\langnp2057\langfenp2057 \sbasedon0 \snext24 \spriority0 \styrsid9254113 AmOrLang;}{\s25\qc \li0\ri0\sa240\nowidctlpar\wrapdefault\aspalpha\aspnum\faauto\adjustright\rin0\lin0\itap0 \rtlch\fcs1 \af0\afs20\alang1025 _x000d__x000a_\ltrch\fcs0 \i\fs24\lang2057\langfe2057\cgrid\langnp2057\langfenp2057 \sbasedon0 \snext25 \spriority0 \styrsid92541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254113 AmNumberTabs;}{\s27\ql \li0\ri0\sb240\nowidctlpar\wrapdefault\aspalpha\aspnum\faauto\adjustright\rin0\lin0\itap0 \rtlch\fcs1 _x000d__x000a_\af0\afs20\alang1025 \ltrch\fcs0 \b\fs24\lang2057\langfe2057\cgrid\langnp2057\langfenp2057 \sbasedon0 \snext27 \spriority0 \styrsid9254113 NormalBold12b;}}{\*\rsidtbl \rsid24658\rsid223860\rsid735077\rsid1718133\rsid2892074\rsid3565327\rsid4666813_x000d__x000a_\rsid6030605\rsid6641733\rsid7823322\rsid925411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7\dy19\hr19\min32}{\revtim\yr2023\mo7\dy19\hr19\min33}{\version1}{\edmins0}_x000d__x000a_{\nofpages1}{\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411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6030605 \chftnsep _x000d__x000a_\par }}{\*\ftnsepc \ltrpar \pard\plain \ltrpar\ql \li0\ri0\widctlpar\wrapdefault\aspalpha\aspnum\faauto\adjustright\rin0\lin0\itap0 \rtlch\fcs1 \af0\afs20\alang1025 \ltrch\fcs0 \fs24\lang2057\langfe2057\cgrid\langnp2057\langfenp2057 {\rtlch\fcs1 \af0 _x000d__x000a_\ltrch\fcs0 \insrsid6030605 \chftnsepc _x000d__x000a_\par }}{\*\aftnsep \ltrpar \pard\plain \ltrpar\ql \li0\ri0\widctlpar\wrapdefault\aspalpha\aspnum\faauto\adjustright\rin0\lin0\itap0 \rtlch\fcs1 \af0\afs20\alang1025 \ltrch\fcs0 \fs24\lang2057\langfe2057\cgrid\langnp2057\langfenp2057 {\rtlch\fcs1 \af0 _x000d__x000a_\ltrch\fcs0 \insrsid6030605 \chftnsep _x000d__x000a_\par }}{\*\aftnsepc \ltrpar \pard\plain \ltrpar\ql \li0\ri0\widctlpar\wrapdefault\aspalpha\aspnum\faauto\adjustright\rin0\lin0\itap0 \rtlch\fcs1 \af0\afs20\alang1025 \ltrch\fcs0 \fs24\lang2057\langfe2057\cgrid\langnp2057\langfenp2057 {\rtlch\fcs1 \af0 _x000d__x000a_\ltrch\fcs0 \insrsid60306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254113 \rtlch\fcs1 _x000d__x000a_\af0\afs20\alang1025 \ltrch\fcs0 \b\fs24\lang2057\langfe2057\cgrid\langnp2057\langfenp2057 {\rtlch\fcs1 \af0 \ltrch\fcs0 \cs17\b0\v\fs20\cf9\lang1024\langfe1024\loch\af1\hich\af1\dbch\af31501\noproof\insrsid9254113\charrsid4681841 {\*\bkmkstart restartB}_x000d__x000a_\hich\af1\dbch\af31501\loch\f1 &lt;AmendB&gt;}{\rtlch\fcs1 \af0 \ltrch\fcs0 \insrsid9254113\charrsid4681841 Amendment\tab \tab }{\rtlch\fcs1 \af0 \ltrch\fcs0 _x000d__x000a_\cs17\b0\v\fs20\cf9\lang1024\langfe1024\loch\af1\hich\af1\dbch\af31501\noproof\insrsid9254113\charrsid4681841 \hich\af1\dbch\af31501\loch\f1 &lt;NumAmB&gt;}{\rtlch\fcs1 \af0 \ltrch\fcs0 \insrsid9254113\charrsid4681841 #}{\rtlch\fcs1 \af1 \ltrch\fcs0 _x000d__x000a_\cs22\v\f1\fs20\cf15\insrsid9254113\charrsid4681841 ENMIENDA@NRAM@}{\rtlch\fcs1 \af0 \ltrch\fcs0 \insrsid9254113\charrsid4681841 #}{\rtlch\fcs1 \af0 \ltrch\fcs0 _x000d__x000a_\cs17\b0\v\fs20\cf9\lang1024\langfe1024\loch\af1\hich\af1\dbch\af31501\noproof\insrsid9254113\charrsid4681841 \hich\af1\dbch\af31501\loch\f1 &lt;/NumAmB&gt;}{\rtlch\fcs1 \af0 \ltrch\fcs0 \insrsid9254113\charrsid4681841 _x000d__x000a_\par }\pard\plain \ltrpar\s27\ql \li0\ri0\sb240\keepn\nowidctlpar\wrapdefault\aspalpha\aspnum\faauto\adjustright\rin0\lin0\itap0\pararsid9254113 \rtlch\fcs1 \af0\afs20\alang1025 \ltrch\fcs0 \b\fs24\lang2057\langfe2057\cgrid\langnp2057\langfenp2057 {_x000d__x000a_\rtlch\fcs1 \af0 \ltrch\fcs0 \cs17\b0\v\fs20\cf9\lang1024\langfe1024\loch\af1\hich\af1\dbch\af31501\noproof\insrsid9254113\charrsid4681841 \hich\af1\dbch\af31501\loch\f1 &lt;DocAmend&gt;}{\rtlch\fcs1 \af0 \ltrch\fcs0 \insrsid9254113\charrsid4681841 #}{_x000d__x000a_\rtlch\fcs1 \af1 \ltrch\fcs0 \cs22\v\f1\fs20\cf15\insrsid9254113\charrsid4681841 MNU[OPTPROPOSALCOD][OPTPROPOSALCNS][OPTPROPOSALNLE][OPTPROPOSALINL]@CHOICE@CODEMNU}{\rtlch\fcs1 \af0 \ltrch\fcs0 \insrsid9254113\charrsid4681841 ##}{\rtlch\fcs1 \af1 _x000d__x000a_\ltrch\fcs0 \cs22\v\f1\fs20\cf15\insrsid9254113\charrsid4681841 MNU[AMACTYES][NOTAPP]@CHOICE@AMACTMNU}{\rtlch\fcs1 \af0 \ltrch\fcs0 \insrsid9254113\charrsid4681841 #}{\rtlch\fcs1 \af0 \ltrch\fcs0 _x000d__x000a_\cs17\b0\v\fs20\cf9\lang1024\langfe1024\loch\af1\hich\af1\dbch\af31501\noproof\insrsid9254113\charrsid4681841 \hich\af1\dbch\af31501\loch\f1 &lt;/DocAmend&gt;}{\rtlch\fcs1 \af0 \ltrch\fcs0 \insrsid9254113\charrsid4681841 _x000d__x000a_\par }\pard\plain \ltrpar\s19\ql \li0\ri0\keepn\nowidctlpar\wrapdefault\aspalpha\aspnum\faauto\adjustright\rin0\lin0\itap0\pararsid9254113 \rtlch\fcs1 \af0\afs20\alang1025 \ltrch\fcs0 \b\fs24\lang2057\langfe2057\cgrid\langnp2057\langfenp2057 {\rtlch\fcs1 \af0 _x000d__x000a_\ltrch\fcs0 \cs17\b0\v\fs20\cf9\lang1024\langfe1024\loch\af1\hich\af1\dbch\af31501\noproof\insrsid9254113\charrsid4681841 \hich\af1\dbch\af31501\loch\f1 &lt;Article&gt;}{\rtlch\fcs1 \af0 \ltrch\fcs0 \insrsid9254113\charrsid4681841 #}{\rtlch\fcs1 \af1 _x000d__x000a_\ltrch\fcs0 \cs22\v\f1\fs20\cf15\insrsid9254113\charrsid4681841 MNU[AMACTPARTYES][AMACTPARTNO]@CHOICE@AMACTMNU}{\rtlch\fcs1 \af0 \ltrch\fcs0 \insrsid9254113\charrsid4681841 #}{\rtlch\fcs1 \af0 \ltrch\fcs0 _x000d__x000a_\cs17\b0\v\fs20\cf9\lang1024\langfe1024\loch\af1\hich\af1\dbch\af31501\noproof\insrsid9254113\charrsid4681841 \hich\af1\dbch\af31501\loch\f1 &lt;/Article&gt;}{\rtlch\fcs1 \af0 \ltrch\fcs0 \insrsid9254113\charrsid4681841 _x000d__x000a_\par }\pard\plain \ltrpar\ql \li0\ri0\keepn\widctlpar\wrapdefault\aspalpha\aspnum\faauto\adjustright\rin0\lin0\itap0\pararsid9254113 \rtlch\fcs1 \af0\afs20\alang1025 \ltrch\fcs0 \fs24\lang2057\langfe2057\cgrid\langnp2057\langfenp2057 {\rtlch\fcs1 \af0 _x000d__x000a_\ltrch\fcs0 \cs17\v\fs20\cf9\lang1024\langfe1024\loch\af1\hich\af1\dbch\af31501\noproof\insrsid9254113\charrsid4681841 \hich\af1\dbch\af31501\loch\f1 &lt;DocAmend2&gt;&lt;OptDel&gt;}{\rtlch\fcs1 \af0 \ltrch\fcs0 \insrsid9254113\charrsid4681841 #}{\rtlch\fcs1 \af1 _x000d__x000a_\ltrch\fcs0 \cs22\v\f1\fs20\cf15\insrsid9254113\charrsid4681841 MNU[OPTNRACTYES][NOTAPP]@CHOICE@AMACTMNU}{\rtlch\fcs1 \af0 \ltrch\fcs0 \insrsid9254113\charrsid4681841 #}{\rtlch\fcs1 \af0 \ltrch\fcs0 _x000d__x000a_\cs17\v\fs20\cf9\lang1024\langfe1024\loch\af1\hich\af1\dbch\af31501\noproof\insrsid9254113\charrsid4681841 \hich\af1\dbch\af31501\loch\f1 &lt;/OptDel&gt;&lt;/DocAmend2&gt;}{\rtlch\fcs1 \af0 \ltrch\fcs0 \insrsid9254113\charrsid4681841 _x000d__x000a_\par }\pard \ltrpar\ql \li0\ri0\widctlpar\wrapdefault\aspalpha\aspnum\faauto\adjustright\rin0\lin0\itap0\pararsid9254113 {\rtlch\fcs1 \af0 \ltrch\fcs0 \cs17\v\fs20\cf9\lang1024\langfe1024\loch\af1\hich\af1\dbch\af31501\noproof\insrsid9254113\charrsid4681841 _x000d__x000a_\hich\af1\dbch\af31501\loch\f1 &lt;Article2&gt;&lt;OptDel&gt;}{\rtlch\fcs1 \af0 \ltrch\fcs0 \insrsid9254113\charrsid4681841 #}{\rtlch\fcs1 \af1 \ltrch\fcs0 \cs22\v\f1\fs20\cf15\insrsid9254113\charrsid4681841 MNU[OPTACTPARTYES][NOTAPP]@CHOICE@AMACTMNU}{\rtlch\fcs1 _x000d__x000a_\af0 \ltrch\fcs0 \insrsid9254113\charrsid4681841 #}{\rtlch\fcs1 \af0 \ltrch\fcs0 \cs17\v\fs20\cf9\lang1024\langfe1024\loch\af1\hich\af1\dbch\af31501\noproof\insrsid9254113\charrsid4681841 \hich\af1\dbch\af31501\loch\f1 &lt;/OptDel&gt;&lt;/Article2&gt;}{\rtlch\fcs1 _x000d__x000a_\af0 \ltrch\fcs0 \insrsid9254113\charrsid468184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9254113\charrsid4681841 \cell }\pard\plain \ltrpar\ql \li0\ri0\widctlpar\intbl\wrapdefault\aspalpha\aspnum\faauto\adjustright\rin0\lin0 \rtlch\fcs1 _x000d__x000a_\af0\afs20\alang1025 \ltrch\fcs0 \fs24\lang2057\langfe2057\cgrid\langnp2057\langfenp2057 {\rtlch\fcs1 \af0 \ltrch\fcs0 \insrsid9254113\charrsid468184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9254113\charrsid4681841 #}{\rtlch\fcs1 \af1 \ltrch\fcs0 \cs22\v\f1\fs20\cf15\insrsid9254113\charrsid4681841 MNU[OPTLEFTAMACT][LEFTPROP]@CHOICE@AMACTMNU}{\rtlch\fcs1 \af0 \ltrch\fcs0 \insrsid9254113\charrsid4681841 #\cell Amendment\cell _x000d__x000a_}\pard\plain \ltrpar\ql \li0\ri0\widctlpar\intbl\wrapdefault\aspalpha\aspnum\faauto\adjustright\rin0\lin0 \rtlch\fcs1 \af0\afs20\alang1025 \ltrch\fcs0 \fs24\lang2057\langfe2057\cgrid\langnp2057\langfenp2057 {\rtlch\fcs1 \af0 \ltrch\fcs0 _x000d__x000a_\insrsid9254113\charrsid468184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9254113\charrsid4681841 ##\cell ##}{\rtlch\fcs1 \af0\afs24 \ltrch\fcs0 \insrsid9254113\charrsid4681841 \cell }\pard\plain \ltrpar\ql \li0\ri0\widctlpar\intbl\wrapdefault\aspalpha\aspnum\faauto\adjustright\rin0\lin0 \rtlch\fcs1 _x000d__x000a_\af0\afs20\alang1025 \ltrch\fcs0 \fs24\lang2057\langfe2057\cgrid\langnp2057\langfenp2057 {\rtlch\fcs1 \af0 \ltrch\fcs0 \insrsid9254113\charrsid468184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254113 \rtlch\fcs1 \af0\afs20\alang1025 \ltrch\fcs0 \fs24\lang2057\langfe2057\cgrid\langnp2057\langfenp2057 {\rtlch\fcs1 \af0 \ltrch\fcs0 _x000d__x000a_\insrsid9254113\charrsid4681841 Or. }{\rtlch\fcs1 \af0 \ltrch\fcs0 \cs17\v\fs20\cf9\lang1024\langfe1024\loch\af1\hich\af1\dbch\af31501\noproof\insrsid9254113\charrsid4681841 \hich\af1\dbch\af31501\loch\f1 &lt;Original&gt;}{\rtlch\fcs1 \af0 \ltrch\fcs0 _x000d__x000a_\insrsid9254113\charrsid4681841 #}{\rtlch\fcs1 \af1 \ltrch\fcs0 \cs22\v\f1\fs20\cf15\insrsid9254113\charrsid4681841 MNU[OPTORLANG][ORLANGMORE]@CHOICE@AMPLURMNU}{\rtlch\fcs1 \af0 \ltrch\fcs0 \insrsid9254113\charrsid4681841 #}{\rtlch\fcs1 \af0 \ltrch\fcs0 _x000d__x000a_\cs17\v\fs20\cf9\lang1024\langfe1024\loch\af1\hich\af1\dbch\af31501\noproof\insrsid9254113\charrsid4681841 \hich\af1\dbch\af31501\loch\f1 &lt;/Original&gt;}{\rtlch\fcs1 \af0 \ltrch\fcs0 \insrsid9254113\charrsid4681841 _x000d__x000a_\par }\pard\plain \ltrpar\s21\qc \li0\ri0\sb240\sa240\nowidctlpar\wrapdefault\aspalpha\aspnum\faauto\adjustright\rin0\lin0\itap0\pararsid9254113 \rtlch\fcs1 \af0\afs20\alang1025 \ltrch\fcs0 \i\fs24\lang2057\langfe2057\cgrid\langnp2057\langfenp2057 {_x000d__x000a_\rtlch\fcs1 \af0 \ltrch\fcs0 \cs17\i0\v\fs20\cf9\lang1024\langfe1024\loch\af1\hich\af1\dbch\af31501\noproof\insrsid9254113\charrsid4681841 \hich\af1\dbch\af31501\loch\f1 &lt;OptDel&gt;}{\rtlch\fcs1 \af0 \ltrch\fcs0 \insrsid9254113\charrsid4681841 #}{_x000d__x000a_\rtlch\fcs1 \af1 \ltrch\fcs0 \cs22\v\f1\fs20\cf15\insrsid9254113\charrsid4681841 MNU[CROSSREFNO][CROSSREFYES]@CHOICE@}{\rtlch\fcs1 \af0 \ltrch\fcs0 \insrsid9254113\charrsid4681841 #}{\rtlch\fcs1 \af0 \ltrch\fcs0 _x000d__x000a_\cs17\i0\v\fs20\cf9\lang1024\langfe1024\loch\af1\hich\af1\dbch\af31501\noproof\insrsid9254113\charrsid4681841 \hich\af1\dbch\af31501\loch\f1 &lt;/OptDel&gt;}{\rtlch\fcs1 \af0 \ltrch\fcs0 \insrsid9254113\charrsid4681841 _x000d__x000a_\par }\pard\plain \ltrpar\s23\qc \li0\ri0\sb240\sa240\keepn\nowidctlpar\wrapdefault\aspalpha\aspnum\faauto\adjustright\rin0\lin0\itap0\pararsid9254113 \rtlch\fcs1 \af0\afs20\alang1025 \ltrch\fcs0 \i\fs24\lang2057\langfe2057\cgrid\langnp2057\langfenp2057 {_x000d__x000a_\rtlch\fcs1 \af0 \ltrch\fcs0 \cs17\i0\v\fs20\cf9\lang1024\langfe1024\loch\af1\hich\af1\dbch\af31501\noproof\insrsid9254113\charrsid4681841 \hich\af1\dbch\af31501\loch\f1 &lt;TitreJust&gt;}{\rtlch\fcs1 \af0 \ltrch\fcs0 \insrsid9254113\charrsid4681841 _x000d__x000a_Justification}{\rtlch\fcs1 \af0 \ltrch\fcs0 \cs17\i0\v\fs20\cf9\lang1024\langfe1024\loch\af1\hich\af1\dbch\af31501\noproof\insrsid9254113\charrsid4681841 \hich\af1\dbch\af31501\loch\f1 &lt;/TitreJust&gt;}{\rtlch\fcs1 \af0 \ltrch\fcs0 _x000d__x000a_\insrsid9254113\charrsid4681841 _x000d__x000a_\par }\pard\plain \ltrpar\s20\ql \li0\ri0\sa240\nowidctlpar\wrapdefault\aspalpha\aspnum\faauto\adjustright\rin0\lin0\itap0\pararsid9254113 \rtlch\fcs1 \af0\afs20\alang1025 \ltrch\fcs0 \i\fs24\lang2057\langfe2057\cgrid\langnp2057\langfenp2057 {\rtlch\fcs1 \af0 _x000d__x000a_\ltrch\fcs0 \cs17\i0\v\fs20\cf9\lang1024\langfe1024\loch\af1\hich\af1\dbch\af31501\noproof\insrsid9254113\charrsid4681841 \hich\af1\dbch\af31501\loch\f1 &lt;OptDelPrev&gt;}{\rtlch\fcs1 \af0 \ltrch\fcs0 \insrsid9254113\charrsid4681841 #}{\rtlch\fcs1 \af1 _x000d__x000a_\ltrch\fcs0 \cs22\v\f1\fs20\cf15\insrsid9254113\charrsid4681841 MNU[TEXTJUSTYES][TEXTJUSTNO]@CHOICE@}{\rtlch\fcs1 \af0 \ltrch\fcs0 \insrsid9254113\charrsid4681841 #}{\rtlch\fcs1 \af0 \ltrch\fcs0 _x000d__x000a_\cs17\i0\v\fs20\cf9\lang1024\langfe1024\loch\af1\hich\af1\dbch\af31501\noproof\insrsid9254113\charrsid4681841 \hich\af1\dbch\af31501\loch\f1 &lt;/OptDelPrev&gt;}{\rtlch\fcs1 \af0 \ltrch\fcs0 \insrsid9254113\charrsid4681841 _x000d__x000a_\par }\pard\plain \ltrpar\ql \li0\ri0\widctlpar\wrapdefault\aspalpha\aspnum\faauto\adjustright\rin0\lin0\itap0\pararsid9254113 \rtlch\fcs1 \af0\afs20\alang1025 \ltrch\fcs0 \fs24\lang2057\langfe2057\cgrid\langnp2057\langfenp2057 {\rtlch\fcs1 \af0 \ltrch\fcs0 _x000d__x000a_\cs17\v\fs20\cf9\lang1024\langfe1024\loch\af1\hich\af1\dbch\af31501\noproof\insrsid9254113\charrsid468184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4810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89454 HideTWBExt;}{_x000d__x000a_\s18\ql \li0\ri0\sa120\nowidctlpar\wrapdefault\aspalpha\aspnum\faauto\adjustright\rin0\lin0\itap0 \rtlch\fcs1 \af0\afs20\alang1025 \ltrch\fcs0 \fs24\lang2057\langfe2057\cgrid\langnp2057\langfenp2057 \sbasedon0 \snext18 \spriority0 \styrsid4089454 _x000d__x000a_Normal6a;}{\s19\ql \li0\ri0\nowidctlpar\wrapdefault\aspalpha\aspnum\faauto\adjustright\rin0\lin0\itap0 \rtlch\fcs1 \af0\afs20\alang1025 \ltrch\fcs0 \b\fs24\lang2057\langfe2057\cgrid\langnp2057\langfenp2057 \sbasedon0 \snext19 \spriority0 \styrsid4089454 _x000d__x000a_NormalBold;}{\s20\ql \li0\ri0\sa240\nowidctlpar\wrapdefault\aspalpha\aspnum\faauto\adjustright\rin0\lin0\itap0 \rtlch\fcs1 \af0\afs20\alang1025 \ltrch\fcs0 \i\fs24\lang2057\langfe2057\cgrid\langnp2057\langfenp2057 _x000d__x000a_\sbasedon0 \snext20 \spriority0 \styrsid4089454 AmJustText;}{\s21\qc \li0\ri0\sb240\sa240\nowidctlpar\wrapdefault\aspalpha\aspnum\faauto\adjustright\rin0\lin0\itap0 \rtlch\fcs1 \af0\afs20\alang1025 \ltrch\fcs0 _x000d__x000a_\i\fs24\lang2057\langfe2057\cgrid\langnp2057\langfenp2057 \sbasedon0 \snext21 \spriority0 \styrsid4089454 AmCrossRef;}{\*\cs22 \additive \v\f1\fs20\cf15 \spriority0 \styrsid4089454 HideTWBInt;}{_x000d__x000a_\s23\qc \li0\ri0\sb240\sa240\keepn\nowidctlpar\wrapdefault\aspalpha\aspnum\faauto\adjustright\rin0\lin0\itap0 \rtlch\fcs1 \af0\afs20\alang1025 \ltrch\fcs0 \i\fs24\lang2057\langfe2057\cgrid\langnp2057\langfenp2057 _x000d__x000a_\sbasedon0 \snext20 \spriority0 \styrsid4089454 AmJustTitle;}{\s24\qr \li0\ri0\sb240\sa240\nowidctlpar\wrapdefault\aspalpha\aspnum\faauto\adjustright\rin0\lin0\itap0 \rtlch\fcs1 \af0\afs20\alang1025 \ltrch\fcs0 _x000d__x000a_\fs24\lang2057\langfe2057\cgrid\langnp2057\langfenp2057 \sbasedon0 \snext24 \spriority0 \styrsid4089454 AmOrLang;}{\s25\qc \li0\ri0\sa240\nowidctlpar\wrapdefault\aspalpha\aspnum\faauto\adjustright\rin0\lin0\itap0 \rtlch\fcs1 \af0\afs20\alang1025 _x000d__x000a_\ltrch\fcs0 \i\fs24\lang2057\langfe2057\cgrid\langnp2057\langfenp2057 \sbasedon0 \snext25 \spriority0 \styrsid40894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89454 AmNumberTabs;}{\s27\ql \li0\ri0\sb240\nowidctlpar\wrapdefault\aspalpha\aspnum\faauto\adjustright\rin0\lin0\itap0 \rtlch\fcs1 _x000d__x000a_\af0\afs20\alang1025 \ltrch\fcs0 \b\fs24\lang2057\langfe2057\cgrid\langnp2057\langfenp2057 \sbasedon0 \snext27 \spriority0 \styrsid4089454 NormalBold12b;}}{\*\rsidtbl \rsid24658\rsid223860\rsid735077\rsid1718133\rsid2892074\rsid3565327\rsid4089454_x000d__x000a_\rsid4666813\rsid6641733\rsid7823322\rsid9636012\rsid10377208\rsid11215221\rsid11549030\rsid12154954\rsid14382809\rsid14424199\rsid15204470\rsid15285974\rsid15613387\rsid15950462\rsid16324206\rsid16662270}{\mmathPr\mmathFont34\mbrkBin0\mbrkBinSub0_x000d__x000a_\msmallFrac0\mdispDef1\mlMargin0\mrMargin0\mdefJc1\mwrapIndent1440\mintLim0\mnaryLim1}{\info{\author KOVACS-MALYI Krisztina}{\operator KOVACS-MALYI Krisztina}{\creatim\yr2023\mo7\dy19\hr19\min38}{\revtim\yr2023\mo7\dy19\hr19\min38}{\version1}{\edmins0}_x000d__x000a_{\nofpages1}{\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8945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613387 \chftnsep _x000d__x000a_\par }}{\*\ftnsepc \ltrpar \pard\plain \ltrpar\ql \li0\ri0\widctlpar\wrapdefault\aspalpha\aspnum\faauto\adjustright\rin0\lin0\itap0 \rtlch\fcs1 \af0\afs20\alang1025 \ltrch\fcs0 \fs24\lang2057\langfe2057\cgrid\langnp2057\langfenp2057 {\rtlch\fcs1 \af0 _x000d__x000a_\ltrch\fcs0 \insrsid15613387 \chftnsepc _x000d__x000a_\par }}{\*\aftnsep \ltrpar \pard\plain \ltrpar\ql \li0\ri0\widctlpar\wrapdefault\aspalpha\aspnum\faauto\adjustright\rin0\lin0\itap0 \rtlch\fcs1 \af0\afs20\alang1025 \ltrch\fcs0 \fs24\lang2057\langfe2057\cgrid\langnp2057\langfenp2057 {\rtlch\fcs1 \af0 _x000d__x000a_\ltrch\fcs0 \insrsid15613387 \chftnsep _x000d__x000a_\par }}{\*\aftnsepc \ltrpar \pard\plain \ltrpar\ql \li0\ri0\widctlpar\wrapdefault\aspalpha\aspnum\faauto\adjustright\rin0\lin0\itap0 \rtlch\fcs1 \af0\afs20\alang1025 \ltrch\fcs0 \fs24\lang2057\langfe2057\cgrid\langnp2057\langfenp2057 {\rtlch\fcs1 \af0 _x000d__x000a_\ltrch\fcs0 \insrsid15613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89454 \rtlch\fcs1 _x000d__x000a_\af0\afs20\alang1025 \ltrch\fcs0 \b\fs24\lang2057\langfe2057\cgrid\langnp2057\langfenp2057 {\rtlch\fcs1 \af0 \ltrch\fcs0 \cs17\b0\v\fs20\cf9\lang1024\langfe1024\loch\af1\hich\af1\dbch\af31501\noproof\insrsid4089454\charrsid4681841 {\*\bkmkstart restart}_x000d__x000a_\hich\af1\dbch\af31501\loch\f1 &lt;}{\rtlch\fcs1 \af0 \ltrch\fcs0 \cs17\b0\v\fs20\cf9\lang1024\langfe1024\loch\af1\hich\af1\dbch\af31501\noproof\insrsid4089454 \hich\af1\dbch\af31501\loch\f1 Amend}{\rtlch\fcs1 \af0 \ltrch\fcs0 _x000d__x000a_\cs17\b0\v\fs20\cf9\lang1024\langfe1024\loch\af1\hich\af1\dbch\af31501\noproof\insrsid4089454\charrsid4681841 \hich\af1\dbch\af31501\loch\f1 &gt;}{\rtlch\fcs1 \af0 \ltrch\fcs0 \insrsid4089454\charrsid4681841 Amendment\tab \tab }{\rtlch\fcs1 \af0 \ltrch\fcs0 _x000d__x000a_\cs17\b0\v\fs20\cf9\lang1024\langfe1024\loch\af1\hich\af1\dbch\af31501\noproof\insrsid4089454\charrsid4681841 \hich\af1\dbch\af31501\loch\f1 &lt;}{\rtlch\fcs1 \af0 \ltrch\fcs0 _x000d__x000a_\cs17\b0\v\fs20\cf9\lang1024\langfe1024\loch\af1\hich\af1\dbch\af31501\noproof\insrsid4089454 \hich\af1\dbch\af31501\loch\f1 NumAm&gt;}{\rtlch\fcs1 \af0 \ltrch\fcs0 \insrsid4089454\charrsid4681841 #}{\rtlch\fcs1 \af1 \ltrch\fcs0 _x000d__x000a_\cs22\v\f1\fs20\cf15\insrsid4089454\charrsid4681841 ENMIENDA@NRAM@}{\rtlch\fcs1 \af0 \ltrch\fcs0 \insrsid4089454\charrsid4681841 #}{\rtlch\fcs1 \af0 \ltrch\fcs0 _x000d__x000a_\cs17\b0\v\fs20\cf9\lang1024\langfe1024\loch\af1\hich\af1\dbch\af31501\noproof\insrsid4089454\charrsid4681841 \hich\af1\dbch\af31501\loch\f1 &lt;/}{\rtlch\fcs1 \af0 \ltrch\fcs0 _x000d__x000a_\cs17\b0\v\fs20\cf9\lang1024\langfe1024\loch\af1\hich\af1\dbch\af31501\noproof\insrsid4089454 \hich\af1\dbch\af31501\loch\f1 NumAm&gt;}{\rtlch\fcs1 \af0 \ltrch\fcs0 \insrsid4089454\charrsid4681841 _x000d__x000a_\par }\pard\plain \ltrpar\s27\ql \li0\ri0\sb240\keepn\nowidctlpar\wrapdefault\aspalpha\aspnum\faauto\adjustright\rin0\lin0\itap0\pararsid4089454 \rtlch\fcs1 \af0\afs20\alang1025 \ltrch\fcs0 \b\fs24\lang2057\langfe2057\cgrid\langnp2057\langfenp2057 {_x000d__x000a_\rtlch\fcs1 \af0 \ltrch\fcs0 \cs17\b0\v\fs20\cf9\lang1024\langfe1024\loch\af1\hich\af1\dbch\af31501\noproof\insrsid4089454\charrsid4681841 \hich\af1\dbch\af31501\loch\f1 &lt;DocAmend&gt;}{\rtlch\fcs1 \af0 \ltrch\fcs0 \insrsid4089454\charrsid4681841 #}{_x000d__x000a_\rtlch\fcs1 \af1 \ltrch\fcs0 \cs22\v\f1\fs20\cf15\insrsid4089454\charrsid4681841 MNU[OPTPROPOSALCOD][OPTPROPOSALCNS][OPTPROPOSALNLE][OPTPROPOSALINL]@CHOICE@CODEMNU}{\rtlch\fcs1 \af0 \ltrch\fcs0 \insrsid4089454\charrsid4681841 ##}{\rtlch\fcs1 \af1 _x000d__x000a_\ltrch\fcs0 \cs22\v\f1\fs20\cf15\insrsid4089454\charrsid4681841 MNU[AMACTYES][NOTAPP]@CHOICE@AMACTMNU}{\rtlch\fcs1 \af0 \ltrch\fcs0 \insrsid4089454\charrsid4681841 #}{\rtlch\fcs1 \af0 \ltrch\fcs0 _x000d__x000a_\cs17\b0\v\fs20\cf9\lang1024\langfe1024\loch\af1\hich\af1\dbch\af31501\noproof\insrsid4089454\charrsid4681841 \hich\af1\dbch\af31501\loch\f1 &lt;/DocAmend&gt;}{\rtlch\fcs1 \af0 \ltrch\fcs0 \insrsid4089454\charrsid4681841 _x000d__x000a_\par }\pard\plain \ltrpar\s19\ql \li0\ri0\keepn\nowidctlpar\wrapdefault\aspalpha\aspnum\faauto\adjustright\rin0\lin0\itap0\pararsid4089454 \rtlch\fcs1 \af0\afs20\alang1025 \ltrch\fcs0 \b\fs24\lang2057\langfe2057\cgrid\langnp2057\langfenp2057 {\rtlch\fcs1 \af0 _x000d__x000a_\ltrch\fcs0 \cs17\b0\v\fs20\cf9\lang1024\langfe1024\loch\af1\hich\af1\dbch\af31501\noproof\insrsid4089454\charrsid4681841 \hich\af1\dbch\af31501\loch\f1 &lt;Article&gt;}{\rtlch\fcs1 \af0 \ltrch\fcs0 \insrsid4089454\charrsid4681841 #}{\rtlch\fcs1 \af1 _x000d__x000a_\ltrch\fcs0 \cs22\v\f1\fs20\cf15\insrsid4089454\charrsid4681841 MNU[AMACTPARTYES][AMACTPARTNO]@CHOICE@AMACTMNU}{\rtlch\fcs1 \af0 \ltrch\fcs0 \insrsid4089454\charrsid4681841 #}{\rtlch\fcs1 \af0 \ltrch\fcs0 _x000d__x000a_\cs17\b0\v\fs20\cf9\lang1024\langfe1024\loch\af1\hich\af1\dbch\af31501\noproof\insrsid4089454\charrsid4681841 \hich\af1\dbch\af31501\loch\f1 &lt;/Article&gt;}{\rtlch\fcs1 \af0 \ltrch\fcs0 \insrsid4089454\charrsid4681841 _x000d__x000a_\par }\pard\plain \ltrpar\ql \li0\ri0\keepn\widctlpar\wrapdefault\aspalpha\aspnum\faauto\adjustright\rin0\lin0\itap0\pararsid4089454 \rtlch\fcs1 \af0\afs20\alang1025 \ltrch\fcs0 \fs24\lang2057\langfe2057\cgrid\langnp2057\langfenp2057 {\rtlch\fcs1 \af0 _x000d__x000a_\ltrch\fcs0 \cs17\v\fs20\cf9\lang1024\langfe1024\loch\af1\hich\af1\dbch\af31501\noproof\insrsid4089454\charrsid4681841 \hich\af1\dbch\af31501\loch\f1 &lt;DocAmend2&gt;&lt;OptDel&gt;}{\rtlch\fcs1 \af0 \ltrch\fcs0 \insrsid4089454\charrsid4681841 #}{\rtlch\fcs1 \af1 _x000d__x000a_\ltrch\fcs0 \cs22\v\f1\fs20\cf15\insrsid4089454\charrsid4681841 MNU[OPTNRACTYES][NOTAPP]@CHOICE@AMACTMNU}{\rtlch\fcs1 \af0 \ltrch\fcs0 \insrsid4089454\charrsid4681841 #}{\rtlch\fcs1 \af0 \ltrch\fcs0 _x000d__x000a_\cs17\v\fs20\cf9\lang1024\langfe1024\loch\af1\hich\af1\dbch\af31501\noproof\insrsid4089454\charrsid4681841 \hich\af1\dbch\af31501\loch\f1 &lt;/OptDel&gt;&lt;/DocAmend2&gt;}{\rtlch\fcs1 \af0 \ltrch\fcs0 \insrsid4089454\charrsid4681841 _x000d__x000a_\par }\pard \ltrpar\ql \li0\ri0\widctlpar\wrapdefault\aspalpha\aspnum\faauto\adjustright\rin0\lin0\itap0\pararsid4089454 {\rtlch\fcs1 \af0 \ltrch\fcs0 \cs17\v\fs20\cf9\lang1024\langfe1024\loch\af1\hich\af1\dbch\af31501\noproof\insrsid4089454\charrsid4681841 _x000d__x000a_\hich\af1\dbch\af31501\loch\f1 &lt;Article2&gt;&lt;OptDel&gt;}{\rtlch\fcs1 \af0 \ltrch\fcs0 \insrsid4089454\charrsid4681841 #}{\rtlch\fcs1 \af1 \ltrch\fcs0 \cs22\v\f1\fs20\cf15\insrsid4089454\charrsid4681841 MNU[OPTACTPARTYES][NOTAPP]@CHOICE@AMACTMNU}{\rtlch\fcs1 _x000d__x000a_\af0 \ltrch\fcs0 \insrsid4089454\charrsid4681841 #}{\rtlch\fcs1 \af0 \ltrch\fcs0 \cs17\v\fs20\cf9\lang1024\langfe1024\loch\af1\hich\af1\dbch\af31501\noproof\insrsid4089454\charrsid4681841 \hich\af1\dbch\af31501\loch\f1 &lt;/OptDel&gt;&lt;/Article2&gt;}{\rtlch\fcs1 _x000d__x000a_\af0 \ltrch\fcs0 \insrsid4089454\charrsid468184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089454\charrsid4681841 \cell }\pard\plain \ltrpar\ql \li0\ri0\widctlpar\intbl\wrapdefault\aspalpha\aspnum\faauto\adjustright\rin0\lin0 \rtlch\fcs1 _x000d__x000a_\af0\afs20\alang1025 \ltrch\fcs0 \fs24\lang2057\langfe2057\cgrid\langnp2057\langfenp2057 {\rtlch\fcs1 \af0 \ltrch\fcs0 \insrsid4089454\charrsid468184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089454\charrsid4681841 #}{\rtlch\fcs1 \af1 \ltrch\fcs0 \cs22\v\f1\fs20\cf15\insrsid4089454\charrsid4681841 MNU[OPTLEFTAMACT][LEFTPROP]@CHOICE@AMACTMNU}{\rtlch\fcs1 \af0 \ltrch\fcs0 \insrsid4089454\charrsid4681841 #\cell Amendment\cell _x000d__x000a_}\pard\plain \ltrpar\ql \li0\ri0\widctlpar\intbl\wrapdefault\aspalpha\aspnum\faauto\adjustright\rin0\lin0 \rtlch\fcs1 \af0\afs20\alang1025 \ltrch\fcs0 \fs24\lang2057\langfe2057\cgrid\langnp2057\langfenp2057 {\rtlch\fcs1 \af0 \ltrch\fcs0 _x000d__x000a_\insrsid4089454\charrsid468184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089454\charrsid4681841 ##\cell ##}{\rtlch\fcs1 \af0\afs24 \ltrch\fcs0 \insrsid4089454\charrsid4681841 \cell }\pard\plain \ltrpar\ql \li0\ri0\widctlpar\intbl\wrapdefault\aspalpha\aspnum\faauto\adjustright\rin0\lin0 \rtlch\fcs1 _x000d__x000a_\af0\afs20\alang1025 \ltrch\fcs0 \fs24\lang2057\langfe2057\cgrid\langnp2057\langfenp2057 {\rtlch\fcs1 \af0 \ltrch\fcs0 \insrsid4089454\charrsid468184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089454 \rtlch\fcs1 \af0\afs20\alang1025 \ltrch\fcs0 \fs24\lang2057\langfe2057\cgrid\langnp2057\langfenp2057 {\rtlch\fcs1 \af0 \ltrch\fcs0 _x000d__x000a_\insrsid4089454\charrsid4681841 Or. }{\rtlch\fcs1 \af0 \ltrch\fcs0 \cs17\v\fs20\cf9\lang1024\langfe1024\loch\af1\hich\af1\dbch\af31501\noproof\insrsid4089454\charrsid4681841 \hich\af1\dbch\af31501\loch\f1 &lt;Original&gt;}{\rtlch\fcs1 \af0 \ltrch\fcs0 _x000d__x000a_\insrsid4089454\charrsid4681841 #}{\rtlch\fcs1 \af1 \ltrch\fcs0 \cs22\v\f1\fs20\cf15\insrsid4089454\charrsid4681841 MNU[OPTORLANG][ORLANGMORE]@CHOICE@AMPLURMNU}{\rtlch\fcs1 \af0 \ltrch\fcs0 \insrsid4089454\charrsid4681841 #}{\rtlch\fcs1 \af0 \ltrch\fcs0 _x000d__x000a_\cs17\v\fs20\cf9\lang1024\langfe1024\loch\af1\hich\af1\dbch\af31501\noproof\insrsid4089454\charrsid4681841 \hich\af1\dbch\af31501\loch\f1 &lt;/Original&gt;}{\rtlch\fcs1 \af0 \ltrch\fcs0 \insrsid4089454\charrsid4681841 _x000d__x000a_\par }\pard\plain \ltrpar\s21\qc \li0\ri0\sb240\sa240\nowidctlpar\wrapdefault\aspalpha\aspnum\faauto\adjustright\rin0\lin0\itap0\pararsid4089454 \rtlch\fcs1 \af0\afs20\alang1025 \ltrch\fcs0 \i\fs24\lang2057\langfe2057\cgrid\langnp2057\langfenp2057 {_x000d__x000a_\rtlch\fcs1 \af0 \ltrch\fcs0 \cs17\i0\v\fs20\cf9\lang1024\langfe1024\loch\af1\hich\af1\dbch\af31501\noproof\insrsid4089454\charrsid4681841 \hich\af1\dbch\af31501\loch\f1 &lt;OptDel&gt;}{\rtlch\fcs1 \af0 \ltrch\fcs0 \insrsid4089454\charrsid4681841 #}{_x000d__x000a_\rtlch\fcs1 \af1 \ltrch\fcs0 \cs22\v\f1\fs20\cf15\insrsid4089454\charrsid4681841 MNU[CROSSREFNO][CROSSREFYES]@CHOICE@}{\rtlch\fcs1 \af0 \ltrch\fcs0 \insrsid4089454\charrsid4681841 #}{\rtlch\fcs1 \af0 \ltrch\fcs0 _x000d__x000a_\cs17\i0\v\fs20\cf9\lang1024\langfe1024\loch\af1\hich\af1\dbch\af31501\noproof\insrsid4089454\charrsid4681841 \hich\af1\dbch\af31501\loch\f1 &lt;/OptDel&gt;}{\rtlch\fcs1 \af0 \ltrch\fcs0 \insrsid4089454\charrsid4681841 _x000d__x000a_\par }\pard\plain \ltrpar\s23\qc \li0\ri0\sb240\sa240\keepn\nowidctlpar\wrapdefault\aspalpha\aspnum\faauto\adjustright\rin0\lin0\itap0\pararsid4089454 \rtlch\fcs1 \af0\afs20\alang1025 \ltrch\fcs0 \i\fs24\lang2057\langfe2057\cgrid\langnp2057\langfenp2057 {_x000d__x000a_\rtlch\fcs1 \af0 \ltrch\fcs0 \cs17\i0\v\fs20\cf9\lang1024\langfe1024\loch\af1\hich\af1\dbch\af31501\noproof\insrsid4089454\charrsid4681841 \hich\af1\dbch\af31501\loch\f1 &lt;TitreJust&gt;}{\rtlch\fcs1 \af0 \ltrch\fcs0 \insrsid4089454\charrsid4681841 _x000d__x000a_Justification}{\rtlch\fcs1 \af0 \ltrch\fcs0 \cs17\i0\v\fs20\cf9\lang1024\langfe1024\loch\af1\hich\af1\dbch\af31501\noproof\insrsid4089454\charrsid4681841 \hich\af1\dbch\af31501\loch\f1 &lt;/TitreJust&gt;}{\rtlch\fcs1 \af0 \ltrch\fcs0 _x000d__x000a_\insrsid4089454\charrsid4681841 _x000d__x000a_\par }\pard\plain \ltrpar\s20\ql \li0\ri0\sa240\nowidctlpar\wrapdefault\aspalpha\aspnum\faauto\adjustright\rin0\lin0\itap0\pararsid4089454 \rtlch\fcs1 \af0\afs20\alang1025 \ltrch\fcs0 \i\fs24\lang2057\langfe2057\cgrid\langnp2057\langfenp2057 {\rtlch\fcs1 \af0 _x000d__x000a_\ltrch\fcs0 \cs17\i0\v\fs20\cf9\lang1024\langfe1024\loch\af1\hich\af1\dbch\af31501\noproof\insrsid4089454\charrsid4681841 \hich\af1\dbch\af31501\loch\f1 &lt;OptDelPrev&gt;}{\rtlch\fcs1 \af0 \ltrch\fcs0 \insrsid4089454\charrsid4681841 #}{\rtlch\fcs1 \af1 _x000d__x000a_\ltrch\fcs0 \cs22\v\f1\fs20\cf15\insrsid4089454\charrsid4681841 MNU[TEXTJUSTYES][TEXTJUSTNO]@CHOICE@}{\rtlch\fcs1 \af0 \ltrch\fcs0 \insrsid4089454\charrsid4681841 #}{\rtlch\fcs1 \af0 \ltrch\fcs0 _x000d__x000a_\cs17\i0\v\fs20\cf9\lang1024\langfe1024\loch\af1\hich\af1\dbch\af31501\noproof\insrsid4089454\charrsid4681841 \hich\af1\dbch\af31501\loch\f1 &lt;/OptDelPrev&gt;}{\rtlch\fcs1 \af0 \ltrch\fcs0 \insrsid4089454\charrsid4681841 _x000d__x000a_\par }\pard\plain \ltrpar\ql \li0\ri0\widctlpar\wrapdefault\aspalpha\aspnum\faauto\adjustright\rin0\lin0\itap0\pararsid4089454 \rtlch\fcs1 \af0\afs20\alang1025 \ltrch\fcs0 \fs24\lang2057\langfe2057\cgrid\langnp2057\langfenp2057 {\rtlch\fcs1 \af0 \ltrch\fcs0 _x000d__x000a_\cs17\v\fs20\cf9\lang1024\langfe1024\loch\af1\hich\af1\dbch\af31501\noproof\insrsid4089454\charrsid4681841 \hich\af1\dbch\af31501\loch\f1 &lt;/}{\rtlch\fcs1 \af0 \ltrch\fcs0 _x000d__x000a_\cs17\v\fs20\cf9\lang1024\langfe1024\loch\af1\hich\af1\dbch\af31501\noproof\insrsid4089454 \hich\af1\dbch\af31501\loch\f1 Amend}{\rtlch\fcs1 \af0 \ltrch\fcs0 _x000d__x000a_\cs17\v\fs20\cf9\lang1024\langfe1024\loch\af1\hich\af1\dbch\af31501\noproof\insrsid4089454\charrsid468184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a_x000d__x000a_95cc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32596 HideTWBExt;}{_x000d__x000a_\s18\ql \li0\ri0\sa120\nowidctlpar\wrapdefault\aspalpha\aspnum\faauto\adjustright\rin0\lin0\itap0 \rtlch\fcs1 \af0\afs20\alang1025 \ltrch\fcs0 \fs24\lang2057\langfe2057\cgrid\langnp2057\langfenp2057 \sbasedon0 \snext18 \spriority0 \styrsid15432596 _x000d__x000a_Normal6a;}{\s19\ql \li0\ri0\nowidctlpar\wrapdefault\aspalpha\aspnum\faauto\adjustright\rin0\lin0\itap0 \rtlch\fcs1 \af0\afs20\alang1025 \ltrch\fcs0 \b\fs24\lang2057\langfe2057\cgrid\langnp2057\langfenp2057 \sbasedon0 \snext19 \spriority0 \styrsid15432596 _x000d__x000a_NormalBold;}{\s20\qc \li0\ri0\sa240\nowidctlpar\wrapdefault\aspalpha\aspnum\faauto\adjustright\rin0\lin0\itap0 \rtlch\fcs1 \af0\afs20\alang1025 \ltrch\fcs0 \i\fs24\lang2057\langfe2057\cgrid\langnp2057\langfenp2057 _x000d__x000a_\sbasedon0 \snext20 \spriority0 \styrsid1543259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432596 AmNumberTabs;}{\s22\ql \li0\ri0\sb240\nowidctlpar\wrapdefault\aspalpha\aspnum\faauto\adjustright\rin0\lin0\itap0 \rtlch\fcs1 _x000d__x000a_\af0\afs20\alang1025 \ltrch\fcs0 \b\fs24\lang2057\langfe2057\cgrid\langnp2057\langfenp2057 \sbasedon0 \snext22 \spriority0 \styrsid15432596 NormalBold12b;}}{\*\rsidtbl \rsid24658\rsid223860\rsid735077\rsid1718133\rsid2892074\rsid3565327\rsid4666813_x000d__x000a_\rsid6641733\rsid7823322\rsid9636012\rsid10377208\rsid11215221\rsid11549030\rsid12154954\rsid14225198\rsid14382809\rsid14424199\rsid15204470\rsid15285974\rsid15432596\rsid15950462\rsid16324206\rsid16662270}{\mmathPr\mmathFont34\mbrkBin0\mbrkBinSub0_x000d__x000a_\msmallFrac0\mdispDef1\mlMargin0\mrMargin0\mdefJc1\mwrapIndent1440\mintLim0\mnaryLim1}{\info{\author VAITIEKUTE Simona}{\operator VAITIEKUTE Simona}{\creatim\yr2023\mo10\dy24\hr10\min8}{\revtim\yr2023\mo10\dy24\hr10\min8}{\version1}{\edmins0}{\nofpages1}_x000d__x000a_{\nofwords21}{\nofchars142}{\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32596\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14225198 \chftnsep _x000d__x000a_\par }}{\*\ftnsepc \ltrpar \pard\plain \ltrpar\ql \li0\ri0\widctlpar\wrapdefault\aspalpha\aspnum\faauto\adjustright\rin0\lin0\itap0 \rtlch\fcs1 \af0\afs20\alang1025 \ltrch\fcs0 \fs24\lang2057\langfe2057\cgrid\langnp2057\langfenp2057 {\rtlch\fcs1 \af0 _x000d__x000a_\ltrch\fcs0 \insrsid14225198 \chftnsepc _x000d__x000a_\par }}{\*\aftnsep \ltrpar \pard\plain \ltrpar\ql \li0\ri0\widctlpar\wrapdefault\aspalpha\aspnum\faauto\adjustright\rin0\lin0\itap0 \rtlch\fcs1 \af0\afs20\alang1025 \ltrch\fcs0 \fs24\lang2057\langfe2057\cgrid\langnp2057\langfenp2057 {\rtlch\fcs1 \af0 _x000d__x000a_\ltrch\fcs0 \insrsid14225198 \chftnsep _x000d__x000a_\par }}{\*\aftnsepc \ltrpar \pard\plain \ltrpar\ql \li0\ri0\widctlpar\wrapdefault\aspalpha\aspnum\faauto\adjustright\rin0\lin0\itap0 \rtlch\fcs1 \af0\afs20\alang1025 \ltrch\fcs0 \fs24\lang2057\langfe2057\cgrid\langnp2057\langfenp2057 {\rtlch\fcs1 \af0 _x000d__x000a_\ltrch\fcs0 \insrsid142251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432596 \rtlch\fcs1 _x000d__x000a_\af0\afs20\alang1025 \ltrch\fcs0 \b\fs24\lang2057\langfe2057\cgrid\langnp2057\langfenp2057 {\rtlch\fcs1 \af0 \ltrch\fcs0 \cs17\b0\v\fs20\cf9\lang1024\langfe1024\loch\af1\hich\af1\dbch\af31501\noproof\insrsid15432596\charrsid15879488 {\*\bkmkstart restartA_x000d__x000a_}\hich\af1\dbch\af31501\loch\f1 &lt;AmendA&gt;}{\rtlch\fcs1 \af0 \ltrch\fcs0 \insrsid15432596\charrsid15879488 [ZAMENDMENT]\tab \tab }{\rtlch\fcs1 \af0 \ltrch\fcs0 _x000d__x000a_\cs17\b0\v\fs20\cf9\lang1024\langfe1024\loch\af1\hich\af1\dbch\af31501\noproof\insrsid15432596\charrsid15879488 \hich\af1\dbch\af31501\loch\f1 &lt;NumAmA&gt;}{\rtlch\fcs1 \af0 \ltrch\fcs0 \insrsid15432596\charrsid15879488 [ZNRAM]}{\rtlch\fcs1 \af0 \ltrch\fcs0 _x000d__x000a_\cs17\b0\v\fs20\cf9\lang1024\langfe1024\loch\af1\hich\af1\dbch\af31501\noproof\insrsid15432596\charrsid15879488 \hich\af1\dbch\af31501\loch\f1 &lt;/NumAmA&gt;}{\rtlch\fcs1 \af0 \ltrch\fcs0 \insrsid15432596\charrsid15879488 _x000d__x000a_\par }\pard\plain \ltrpar\s22\ql \li0\ri0\sb240\keepn\nowidctlpar\wrapdefault\aspalpha\aspnum\faauto\adjustright\rin0\lin0\itap0\pararsid15432596 \rtlch\fcs1 \af0\afs20\alang1025 \ltrch\fcs0 \b\fs24\lang2057\langfe2057\cgrid\langnp2057\langfenp2057 {_x000d__x000a_\rtlch\fcs1 \af0 \ltrch\fcs0 \cs17\b0\v\fs20\cf9\lang1024\langfe1024\loch\af1\hich\af1\dbch\af31501\noproof\langnp1036\insrsid15432596\charrsid11356624 \hich\af1\dbch\af31501\loch\f1 &lt;DocAmend&gt;}{\rtlch\fcs1 \af0 \ltrch\fcs0 _x000d__x000a_\lang1036\langfe2057\langnp1036\insrsid15432596\charrsid11356624 [ZRESOLUTION]}{\rtlch\fcs1 \af0 \ltrch\fcs0 \cs17\b0\v\fs20\cf9\lang1024\langfe1024\loch\af1\hich\af1\dbch\af31501\noproof\langnp1036\insrsid15432596\charrsid11356624 _x000d__x000a_\hich\af1\dbch\af31501\loch\f1 &lt;/DocAmend&gt;}{\rtlch\fcs1 \af0 \ltrch\fcs0 \lang1036\langfe2057\langnp1036\insrsid15432596\charrsid11356624 _x000d__x000a_\par }\pard\plain \ltrpar\s19\ql \li0\ri0\nowidctlpar\wrapdefault\aspalpha\aspnum\faauto\adjustright\rin0\lin0\itap0\pararsid15432596 \rtlch\fcs1 \af0\afs20\alang1025 \ltrch\fcs0 \b\fs24\lang2057\langfe2057\cgrid\langnp2057\langfenp2057 {\rtlch\fcs1 \af0 _x000d__x000a_\ltrch\fcs0 \cs17\b0\v\fs20\cf9\lang1024\langfe1024\loch\af1\hich\af1\dbch\af31501\noproof\langnp1036\insrsid15432596\charrsid11356624 \hich\af1\dbch\af31501\loch\f1 &lt;Article&gt;}{\rtlch\fcs1 \af0 \ltrch\fcs0 _x000d__x000a_\lang1036\langfe2057\langnp1036\insrsid15432596\charrsid11356624 [ZRESPART]}{\rtlch\fcs1 \af0 \ltrch\fcs0 \cs17\b0\v\fs20\cf9\lang1024\langfe1024\loch\af1\hich\af1\dbch\af31501\noproof\langnp1036\insrsid15432596\charrsid11356624 _x000d__x000a_\hich\af1\dbch\af31501\loch\f1 &lt;/Article&gt;}{\rtlch\fcs1 \af0 \ltrch\fcs0 \lang1036\langfe2057\langnp1036\insrsid1543259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432596\charrsid11356624 \cell }\pard \ltrpar_x000d__x000a_\ql \li0\ri0\widctlpar\intbl\wrapdefault\aspalpha\aspnum\faauto\adjustright\rin0\lin0 {\rtlch\fcs1 \af0 \ltrch\fcs0 \insrsid1543259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432596\charrsid15879488 [ZLEFTA]\cell [ZRIGHT]\cell }\pard\plain \ltrpar_x000d__x000a_\ql \li0\ri0\widctlpar\intbl\wrapdefault\aspalpha\aspnum\faauto\adjustright\rin0\lin0 \rtlch\fcs1 \af0\afs20\alang1025 \ltrch\fcs0 \fs24\lang2057\langfe2057\cgrid\langnp2057\langfenp2057 {\rtlch\fcs1 \af0 \ltrch\fcs0 \insrsid15432596\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432596\charrsid15879488 [ZTEXTL]\cell [ZTEXTR]}{\rtlch\fcs1 \af0\afs24 \ltrch\fcs0 \insrsid15432596\charrsid15879488 \cell }\pard\plain \ltrpar\ql \li0\ri0\widctlpar\intbl\wrapdefault\aspalpha\aspnum\faauto\adjustright\rin0\lin0 \rtlch\fcs1 _x000d__x000a_\af0\afs20\alang1025 \ltrch\fcs0 \fs24\lang2057\langfe2057\cgrid\langnp2057\langfenp2057 {\rtlch\fcs1 \af0 \ltrch\fcs0 \insrsid1543259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432596 {\rtlch\fcs1 \af0 \ltrch\fcs0 \cs17\v\fs20\cf9\lang1024\langfe1024\loch\af1\hich\af1\dbch\af31501\noproof\insrsid15432596\charrsid15879488 _x000d__x000a_\hich\af1\dbch\af31501\loch\f1 &lt;/AmendA&gt;}{\rtlch\fcs1 \af0 \ltrch\fcs0 \insrsid1543259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f_x000d__x000a_d051510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037406 HideTWBExt;}{_x000d__x000a_\s18\ql \li0\ri0\sa120\nowidctlpar\wrapdefault\aspalpha\aspnum\faauto\adjustright\rin0\lin0\itap0 \rtlch\fcs1 \af0\afs20\alang1025 \ltrch\fcs0 \fs24\lang2057\langfe2057\cgrid\langnp2057\langfenp2057 \sbasedon0 \snext18 \spriority0 \styrsid3037406 _x000d__x000a_Normal6a;}{\s19\ql \li0\ri0\nowidctlpar\wrapdefault\aspalpha\aspnum\faauto\adjustright\rin0\lin0\itap0 \rtlch\fcs1 \af0\afs20\alang1025 \ltrch\fcs0 \b\fs24\lang2057\langfe2057\cgrid\langnp2057\langfenp2057 \sbasedon0 \snext19 \spriority0 \styrsid3037406 _x000d__x000a_NormalBold;}{\s20\ql \li0\ri0\sa240\nowidctlpar\wrapdefault\aspalpha\aspnum\faauto\adjustright\rin0\lin0\itap0 \rtlch\fcs1 \af0\afs20\alang1025 \ltrch\fcs0 \i\fs24\lang2057\langfe2057\cgrid\langnp2057\langfenp2057 _x000d__x000a_\sbasedon0 \snext20 \spriority0 \styrsid3037406 AmJustText;}{\s21\qc \li0\ri0\sb240\sa240\nowidctlpar\wrapdefault\aspalpha\aspnum\faauto\adjustright\rin0\lin0\itap0 \rtlch\fcs1 \af0\afs20\alang1025 \ltrch\fcs0 _x000d__x000a_\i\fs24\lang2057\langfe2057\cgrid\langnp2057\langfenp2057 \sbasedon0 \snext21 \spriority0 \styrsid3037406 AmCrossRef;}{\s22\qc \li0\ri0\sb240\sa240\keepn\nowidctlpar\wrapdefault\aspalpha\aspnum\faauto\adjustright\rin0\lin0\itap0 \rtlch\fcs1 _x000d__x000a_\af0\afs20\alang1025 \ltrch\fcs0 \i\fs24\lang2057\langfe2057\cgrid\langnp2057\langfenp2057 \sbasedon0 \snext20 \spriority0 \styrsid3037406 AmJustTitle;}{\s23\qc \li0\ri0\sa240\nowidctlpar\wrapdefault\aspalpha\aspnum\faauto\adjustright\rin0\lin0\itap0 _x000d__x000a_\rtlch\fcs1 \af0\afs20\alang1025 \ltrch\fcs0 \i\fs24\lang2057\langfe2057\cgrid\langnp2057\langfenp2057 \sbasedon0 \snext23 \spriority0 \styrsid30374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037406 AmNumberTabs;}{\s25\ql \li0\ri0\sb240\nowidctlpar\wrapdefault\aspalpha\aspnum\faauto\adjustright\rin0\lin0\itap0 \rtlch\fcs1 _x000d__x000a_\af0\afs20\alang1025 \ltrch\fcs0 \b\fs24\lang2057\langfe2057\cgrid\langnp2057\langfenp2057 \sbasedon0 \snext25 \spriority0 \styrsid3037406 NormalBold12b;}}{\*\rsidtbl \rsid24658\rsid223860\rsid735077\rsid1718133\rsid2892074\rsid3037406\rsid3565327_x000d__x000a_\rsid4657325\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AITIEKUTE Simona}{\operator VAITIEKUTE Simona}{\creatim\yr2023\mo10\dy24\hr10\min8}{\revtim\yr2023\mo10\dy24\hr10\min8}{\version1}{\edmins0}{\nofpages1}_x000d__x000a_{\nofwords48}{\nofchars324}{\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37406\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4657325 \chftnsep _x000d__x000a_\par }}{\*\ftnsepc \ltrpar \pard\plain \ltrpar\ql \li0\ri0\widctlpar\wrapdefault\aspalpha\aspnum\faauto\adjustright\rin0\lin0\itap0 \rtlch\fcs1 \af0\afs20\alang1025 \ltrch\fcs0 \fs24\lang2057\langfe2057\cgrid\langnp2057\langfenp2057 {\rtlch\fcs1 \af0 _x000d__x000a_\ltrch\fcs0 \insrsid4657325 \chftnsepc _x000d__x000a_\par }}{\*\aftnsep \ltrpar \pard\plain \ltrpar\ql \li0\ri0\widctlpar\wrapdefault\aspalpha\aspnum\faauto\adjustright\rin0\lin0\itap0 \rtlch\fcs1 \af0\afs20\alang1025 \ltrch\fcs0 \fs24\lang2057\langfe2057\cgrid\langnp2057\langfenp2057 {\rtlch\fcs1 \af0 _x000d__x000a_\ltrch\fcs0 \insrsid4657325 \chftnsep _x000d__x000a_\par }}{\*\aftnsepc \ltrpar \pard\plain \ltrpar\ql \li0\ri0\widctlpar\wrapdefault\aspalpha\aspnum\faauto\adjustright\rin0\lin0\itap0 \rtlch\fcs1 \af0\afs20\alang1025 \ltrch\fcs0 \fs24\lang2057\langfe2057\cgrid\langnp2057\langfenp2057 {\rtlch\fcs1 \af0 _x000d__x000a_\ltrch\fcs0 \insrsid46573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037406 \rtlch\fcs1 _x000d__x000a_\af0\afs20\alang1025 \ltrch\fcs0 \b\fs24\lang2057\langfe2057\cgrid\langnp2057\langfenp2057 {\rtlch\fcs1 \af0 \ltrch\fcs0 \cs17\b0\v\fs20\cf9\lang1024\langfe1024\loch\af1\hich\af1\dbch\af31501\noproof\insrsid3037406\charrsid15879488 {\*\bkmkstart restartB}_x000d__x000a_\hich\af1\dbch\af31501\loch\f1 &lt;AmendB&gt;}{\rtlch\fcs1 \af0 \ltrch\fcs0 \insrsid3037406\charrsid15879488 [ZAMENDMENT]\tab \tab }{\rtlch\fcs1 \af0 \ltrch\fcs0 _x000d__x000a_\cs17\b0\v\fs20\cf9\lang1024\langfe1024\loch\af1\hich\af1\dbch\af31501\noproof\insrsid3037406\charrsid15879488 \hich\af1\dbch\af31501\loch\f1 &lt;NumAmB&gt;}{\rtlch\fcs1 \af0 \ltrch\fcs0 \insrsid3037406\charrsid15879488 [ZNRAM]}{\rtlch\fcs1 \af0 \ltrch\fcs0 _x000d__x000a_\cs17\b0\v\fs20\cf9\lang1024\langfe1024\loch\af1\hich\af1\dbch\af31501\noproof\insrsid3037406\charrsid15879488 \hich\af1\dbch\af31501\loch\f1 &lt;/NumAmB&gt;}{\rtlch\fcs1 \af0 \ltrch\fcs0 \insrsid3037406\charrsid15879488 _x000d__x000a_\par }\pard\plain \ltrpar\s25\ql \li0\ri0\sb240\keepn\nowidctlpar\wrapdefault\aspalpha\aspnum\faauto\adjustright\rin0\lin0\itap0\pararsid3037406 \rtlch\fcs1 \af0\afs20\alang1025 \ltrch\fcs0 \b\fs24\lang2057\langfe2057\cgrid\langnp2057\langfenp2057 {_x000d__x000a_\rtlch\fcs1 \af0 \ltrch\fcs0 \cs17\b0\v\fs20\cf9\lang1024\langfe1024\loch\af1\hich\af1\dbch\af31501\noproof\insrsid3037406\charrsid15879488 \hich\af1\dbch\af31501\loch\f1 &lt;DocAmend&gt;}{\rtlch\fcs1 \af0 \ltrch\fcs0 \insrsid3037406\charrsid15879488 _x000d__x000a_[ZPROPOSAL][ZAMACT]}{\rtlch\fcs1 \af0 \ltrch\fcs0 \cs17\b0\v\fs20\cf9\lang1024\langfe1024\loch\af1\hich\af1\dbch\af31501\noproof\insrsid3037406\charrsid15879488 \hich\af1\dbch\af31501\loch\f1 &lt;/DocAmend&gt;}{\rtlch\fcs1 \af0 \ltrch\fcs0 _x000d__x000a_\insrsid3037406\charrsid15879488 _x000d__x000a_\par }\pard\plain \ltrpar\s19\ql \li0\ri0\keepn\nowidctlpar\wrapdefault\aspalpha\aspnum\faauto\adjustright\rin0\lin0\itap0\pararsid3037406 \rtlch\fcs1 \af0\afs20\alang1025 \ltrch\fcs0 \b\fs24\lang2057\langfe2057\cgrid\langnp2057\langfenp2057 {\rtlch\fcs1 \af0 _x000d__x000a_\ltrch\fcs0 \cs17\b0\v\fs20\cf9\lang1024\langfe1024\loch\af1\hich\af1\dbch\af31501\noproof\insrsid3037406\charrsid15879488 \hich\af1\dbch\af31501\loch\f1 &lt;Article&gt;}{\rtlch\fcs1 \af0 \ltrch\fcs0 \insrsid3037406\charrsid15879488 [ZAMPART]}{\rtlch\fcs1 \af0 _x000d__x000a_\ltrch\fcs0 \cs17\b0\v\fs20\cf9\lang1024\langfe1024\loch\af1\hich\af1\dbch\af31501\noproof\insrsid3037406\charrsid15879488 \hich\af1\dbch\af31501\loch\f1 &lt;/Article&gt;}{\rtlch\fcs1 \af0 \ltrch\fcs0 \insrsid3037406\charrsid15879488 _x000d__x000a_\par }\pard\plain \ltrpar\ql \li0\ri0\keepn\widctlpar\wrapdefault\aspalpha\aspnum\faauto\adjustright\rin0\lin0\itap0\pararsid3037406 \rtlch\fcs1 \af0\afs20\alang1025 \ltrch\fcs0 \fs24\lang2057\langfe2057\cgrid\langnp2057\langfenp2057 {\rtlch\fcs1 \af0 _x000d__x000a_\ltrch\fcs0 \cs17\v\fs20\cf9\lang1024\langfe1024\loch\af1\hich\af1\dbch\af31501\noproof\insrsid3037406\charrsid15879488 \hich\af1\dbch\af31501\loch\f1 &lt;DocAmend2&gt;&lt;OptDel&gt;}{\rtlch\fcs1 \af0 \ltrch\fcs0 \insrsid3037406\charrsid15879488 [ZNRACT]}{_x000d__x000a_\rtlch\fcs1 \af0 \ltrch\fcs0 \cs17\v\fs20\cf9\lang1024\langfe1024\loch\af1\hich\af1\dbch\af31501\noproof\insrsid3037406\charrsid15879488 \hich\af1\dbch\af31501\loch\f1 &lt;/OptDel&gt;&lt;/DocAmend2&gt;}{\rtlch\fcs1 \af0 \ltrch\fcs0 \insrsid3037406\charrsid15879488 _x000d__x000a__x000d__x000a_\par }\pard \ltrpar\ql \li0\ri0\widctlpar\wrapdefault\aspalpha\aspnum\faauto\adjustright\rin0\lin0\itap0\pararsid3037406 {\rtlch\fcs1 \af0 \ltrch\fcs0 _x000d__x000a_\cs17\v\fs20\cf9\lang1024\langfe1024\loch\af1\hich\af1\dbch\af31501\noproof\langnp1036\insrsid3037406\charrsid11356624 \hich\af1\dbch\af31501\loch\f1 &lt;Article2&gt;&lt;OptDel&gt;}{\rtlch\fcs1 \af0 \ltrch\fcs0 _x000d__x000a_\lang1036\langfe2057\langnp1036\insrsid3037406\charrsid11356624 [ZACTPART]}{\rtlch\fcs1 \af0 \ltrch\fcs0 \cs17\v\fs20\cf9\lang1024\langfe1024\loch\af1\hich\af1\dbch\af31501\noproof\langnp1036\insrsid3037406\charrsid11356624 \hich\af1\dbch\af31501\loch\f1 _x000d__x000a_&lt;/OptDel&gt;&lt;/Article2&gt;}{\rtlch\fcs1 \af0 \ltrch\fcs0 \lang1036\langfe2057\langnp1036\insrsid30374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037406\charrsid11356624 \cell }\pard \ltrpar\ql \li0\ri0\widctlpar\intbl\wrapdefault\aspalpha\aspnum\faauto\adjustright\rin0\lin0 {\rtlch\fcs1 \af0 \ltrch\fcs0 \insrsid30374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037406\charrsid15879488 [ZLEFTB]\cell [ZRIGHT]\cell }\pard\plain \ltrpar\ql \li0\ri0\widctlpar\intbl\wrapdefault\aspalpha\aspnum\faauto\adjustright\rin0\lin0 \rtlch\fcs1 \af0\afs20\alang1025 \ltrch\fcs0 _x000d__x000a_\fs24\lang2057\langfe2057\cgrid\langnp2057\langfenp2057 {\rtlch\fcs1 \af0 \ltrch\fcs0 \insrsid30374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037406\charrsid15879488 [ZTEXTL]\cell [ZTEXTR]}{\rtlch\fcs1 \af0\afs24 \ltrch\fcs0 \insrsid3037406\charrsid15879488 \cell }\pard\plain \ltrpar\ql \li0\ri0\widctlpar\intbl\wrapdefault\aspalpha\aspnum\faauto\adjustright\rin0\lin0 \rtlch\fcs1 _x000d__x000a_\af0\afs20\alang1025 \ltrch\fcs0 \fs24\lang2057\langfe2057\cgrid\langnp2057\langfenp2057 {\rtlch\fcs1 \af0 \ltrch\fcs0 \insrsid30374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037406 \rtlch\fcs1 \af0\afs20\alang1025 \ltrch\fcs0 \i\fs24\lang2057\langfe2057\cgrid\langnp2057\langfenp2057 {\rtlch\fcs1 \af0 \ltrch\fcs0 _x000d__x000a_\cs17\i0\v\fs20\cf9\lang1024\langfe1024\loch\af1\hich\af1\dbch\af31501\noproof\insrsid3037406\charrsid15879488 \hich\af1\dbch\af31501\loch\f1 &lt;OptDel&gt;}{\rtlch\fcs1 \af0 \ltrch\fcs0 \insrsid3037406\charrsid15879488 [ZCROSSREF]}{\rtlch\fcs1 \af0 _x000d__x000a_\ltrch\fcs0 \cs17\i0\v\fs20\cf9\lang1024\langfe1024\loch\af1\hich\af1\dbch\af31501\noproof\insrsid3037406\charrsid15879488 \hich\af1\dbch\af31501\loch\f1 &lt;/OptDel&gt;}{\rtlch\fcs1 \af0 \ltrch\fcs0 \insrsid3037406\charrsid15879488 _x000d__x000a_\par }\pard\plain \ltrpar\s22\qc \li0\ri0\sb240\sa240\keepn\nowidctlpar\wrapdefault\aspalpha\aspnum\faauto\adjustright\rin0\lin0\itap0\pararsid3037406 \rtlch\fcs1 \af0\afs20\alang1025 \ltrch\fcs0 \i\fs24\lang2057\langfe2057\cgrid\langnp2057\langfenp2057 {_x000d__x000a_\rtlch\fcs1 \af0 \ltrch\fcs0 \cs17\i0\v\fs20\cf9\lang1024\langfe1024\loch\af1\hich\af1\dbch\af31501\noproof\insrsid3037406\charrsid15879488 \hich\af1\dbch\af31501\loch\f1 &lt;TitreJust&gt;}{\rtlch\fcs1 \af0 \ltrch\fcs0 \insrsid3037406\charrsid15879488 _x000d__x000a_[ZJUSTIFICATION]}{\rtlch\fcs1 \af0 \ltrch\fcs0 \cs17\i0\v\fs20\cf9\lang1024\langfe1024\loch\af1\hich\af1\dbch\af31501\noproof\insrsid3037406\charrsid15879488 \hich\af1\dbch\af31501\loch\f1 &lt;/TitreJust&gt;}{\rtlch\fcs1 \af0 \ltrch\fcs0 _x000d__x000a_\insrsid3037406\charrsid15879488 _x000d__x000a_\par }\pard\plain \ltrpar\s20\ql \li0\ri0\sa240\nowidctlpar\wrapdefault\aspalpha\aspnum\faauto\adjustright\rin0\lin0\itap0\pararsid3037406 \rtlch\fcs1 \af0\afs20\alang1025 \ltrch\fcs0 \i\fs24\lang2057\langfe2057\cgrid\langnp2057\langfenp2057 {\rtlch\fcs1 \af0 _x000d__x000a_\ltrch\fcs0 \cs17\i0\v\fs20\cf9\lang1024\langfe1024\loch\af1\hich\af1\dbch\af31501\noproof\insrsid3037406\charrsid15879488 \hich\af1\dbch\af31501\loch\f1 &lt;OptDelPrev&gt;}{\rtlch\fcs1 \af0 \ltrch\fcs0 \insrsid3037406\charrsid15879488 [ZTEXTJUST]}{\rtlch\fcs1 _x000d__x000a_\af0 \ltrch\fcs0 \cs17\i0\v\fs20\cf9\lang1024\langfe1024\loch\af1\hich\af1\dbch\af31501\noproof\insrsid3037406\charrsid15879488 \hich\af1\dbch\af31501\loch\f1 &lt;/OptDelPrev&gt;}{\rtlch\fcs1 \af0 \ltrch\fcs0 \insrsid3037406\charrsid15879488 _x000d__x000a_\par }\pard\plain \ltrpar\ql \li0\ri0\widctlpar\wrapdefault\aspalpha\aspnum\faauto\adjustright\rin0\lin0\itap0\pararsid3037406 \rtlch\fcs1 \af0\afs20\alang1025 \ltrch\fcs0 \fs24\lang2057\langfe2057\cgrid\langnp2057\langfenp2057 {\rtlch\fcs1 \af0 \ltrch\fcs0 _x000d__x000a_\cs17\v\fs20\cf9\lang1024\langfe1024\loch\af1\hich\af1\dbch\af31501\noproof\insrsid3037406\charrsid15879488 \hich\af1\dbch\af31501\loch\f1 &lt;/AmendB&gt;}{\rtlch\fcs1 \af0 \ltrch\fcs0 \insrsid30374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7_x000d__x000a_d453510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47399 HideTWBExt;}{_x000d__x000a_\s18\ql \li0\ri0\sa120\nowidctlpar\wrapdefault\aspalpha\aspnum\faauto\adjustright\rin0\lin0\itap0 \rtlch\fcs1 \af0\afs20\alang1025 \ltrch\fcs0 \fs24\lang2057\langfe2057\cgrid\langnp2057\langfenp2057 \sbasedon0 \snext18 \spriority0 \styrsid4747399 _x000d__x000a_Normal6a;}{\s19\ql \li0\ri0\nowidctlpar\wrapdefault\aspalpha\aspnum\faauto\adjustright\rin0\lin0\itap0 \rtlch\fcs1 \af0\afs20\alang1025 \ltrch\fcs0 \b\fs24\lang2057\langfe2057\cgrid\langnp2057\langfenp2057 \sbasedon0 \snext19 \spriority0 \styrsid4747399 _x000d__x000a_NormalBold;}{\s20\ql \li0\ri0\sa240\nowidctlpar\wrapdefault\aspalpha\aspnum\faauto\adjustright\rin0\lin0\itap0 \rtlch\fcs1 \af0\afs20\alang1025 \ltrch\fcs0 \i\fs24\lang2057\langfe2057\cgrid\langnp2057\langfenp2057 _x000d__x000a_\sbasedon0 \snext20 \spriority0 \styrsid4747399 AmJustText;}{\s21\qc \li0\ri0\sb240\sa240\nowidctlpar\wrapdefault\aspalpha\aspnum\faauto\adjustright\rin0\lin0\itap0 \rtlch\fcs1 \af0\afs20\alang1025 \ltrch\fcs0 _x000d__x000a_\i\fs24\lang2057\langfe2057\cgrid\langnp2057\langfenp2057 \sbasedon0 \snext21 \spriority0 \styrsid4747399 AmCrossRef;}{\s22\qc \li0\ri0\sb240\sa240\keepn\nowidctlpar\wrapdefault\aspalpha\aspnum\faauto\adjustright\rin0\lin0\itap0 \rtlch\fcs1 _x000d__x000a_\af0\afs20\alang1025 \ltrch\fcs0 \i\fs24\lang2057\langfe2057\cgrid\langnp2057\langfenp2057 \sbasedon0 \snext20 \spriority0 \styrsid4747399 AmJustTitle;}{\s23\qc \li0\ri0\sa240\nowidctlpar\wrapdefault\aspalpha\aspnum\faauto\adjustright\rin0\lin0\itap0 _x000d__x000a_\rtlch\fcs1 \af0\afs20\alang1025 \ltrch\fcs0 \i\fs24\lang2057\langfe2057\cgrid\langnp2057\langfenp2057 \sbasedon0 \snext23 \spriority0 \styrsid474739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747399 AmNumberTabs;}{\s25\ql \li0\ri0\sb240\nowidctlpar\wrapdefault\aspalpha\aspnum\faauto\adjustright\rin0\lin0\itap0 \rtlch\fcs1 _x000d__x000a_\af0\afs20\alang1025 \ltrch\fcs0 \b\fs24\lang2057\langfe2057\cgrid\langnp2057\langfenp2057 \sbasedon0 \snext25 \spriority0 \styrsid4747399 NormalBold12b;}}{\*\rsidtbl \rsid24658\rsid223860\rsid735077\rsid1718133\rsid2892074\rsid3565327\rsid4666813_x000d__x000a_\rsid4747399\rsid6641733\rsid7823322\rsid9636012\rsid10377208\rsid11081547\rsid11215221\rsid11549030\rsid12154954\rsid14382809\rsid14424199\rsid15204470\rsid15285974\rsid15950462\rsid16324206\rsid16662270}{\mmathPr\mmathFont34\mbrkBin0\mbrkBinSub0_x000d__x000a_\msmallFrac0\mdispDef1\mlMargin0\mrMargin0\mdefJc1\mwrapIndent1440\mintLim0\mnaryLim1}{\info{\author VAITIEKUTE Simona}{\operator VAITIEKUTE Simona}{\creatim\yr2023\mo10\dy24\hr10\min8}{\revtim\yr2023\mo10\dy24\hr10\min8}{\version1}{\edmins0}{\nofpages1}_x000d__x000a_{\nofwords48}{\nofchars324}{\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47399\newtblstyruls\nogrowautofit\usenormstyforlist\noindnmbrts\felnbrelev\nocxsptable\indrlsweleven\noafcnsttbl\afelev\utinl\hwelev\spltpgpar\notcvasp\notbrkcnstfrctbl\notvatxbx\krnprsnet\cachedcolbal _x000d__x000a_\nouicompat \fet0{\*\wgrffmtfilter 013f}\nofeaturethrottle1\ilfomacatclnup0{\*\template C:\\Users\\SVAITI~1\\AppData\\Local\\Temp\\Blank1.dotx}{\*\ftnsep \ltrpar \pard\plain \ltrpar_x000d__x000a_\ql \li0\ri0\widctlpar\wrapdefault\aspalpha\aspnum\faauto\adjustright\rin0\lin0\itap0 \rtlch\fcs1 \af0\afs20\alang1025 \ltrch\fcs0 \fs24\lang2057\langfe2057\cgrid\langnp2057\langfenp2057 {\rtlch\fcs1 \af0 \ltrch\fcs0 \insrsid11081547 \chftnsep _x000d__x000a_\par }}{\*\ftnsepc \ltrpar \pard\plain \ltrpar\ql \li0\ri0\widctlpar\wrapdefault\aspalpha\aspnum\faauto\adjustright\rin0\lin0\itap0 \rtlch\fcs1 \af0\afs20\alang1025 \ltrch\fcs0 \fs24\lang2057\langfe2057\cgrid\langnp2057\langfenp2057 {\rtlch\fcs1 \af0 _x000d__x000a_\ltrch\fcs0 \insrsid11081547 \chftnsepc _x000d__x000a_\par }}{\*\aftnsep \ltrpar \pard\plain \ltrpar\ql \li0\ri0\widctlpar\wrapdefault\aspalpha\aspnum\faauto\adjustright\rin0\lin0\itap0 \rtlch\fcs1 \af0\afs20\alang1025 \ltrch\fcs0 \fs24\lang2057\langfe2057\cgrid\langnp2057\langfenp2057 {\rtlch\fcs1 \af0 _x000d__x000a_\ltrch\fcs0 \insrsid11081547 \chftnsep _x000d__x000a_\par }}{\*\aftnsepc \ltrpar \pard\plain \ltrpar\ql \li0\ri0\widctlpar\wrapdefault\aspalpha\aspnum\faauto\adjustright\rin0\lin0\itap0 \rtlch\fcs1 \af0\afs20\alang1025 \ltrch\fcs0 \fs24\lang2057\langfe2057\cgrid\langnp2057\langfenp2057 {\rtlch\fcs1 \af0 _x000d__x000a_\ltrch\fcs0 \insrsid11081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747399 \rtlch\fcs1 _x000d__x000a_\af0\afs20\alang1025 \ltrch\fcs0 \b\fs24\lang2057\langfe2057\cgrid\langnp2057\langfenp2057 {\rtlch\fcs1 \af0 \ltrch\fcs0 \cs17\b0\v\fs20\cf9\lang1024\langfe1024\loch\af1\hich\af1\dbch\af31501\noproof\insrsid4747399\charrsid15879488 {\*\bkmkstart restartB}_x000d__x000a_\hich\af1\dbch\af31501\loch\f1 &lt;AmendB&gt;}{\rtlch\fcs1 \af0 \ltrch\fcs0 \insrsid4747399\charrsid15879488 [ZAMENDMENT]\tab \tab }{\rtlch\fcs1 \af0 \ltrch\fcs0 _x000d__x000a_\cs17\b0\v\fs20\cf9\lang1024\langfe1024\loch\af1\hich\af1\dbch\af31501\noproof\insrsid4747399\charrsid15879488 \hich\af1\dbch\af31501\loch\f1 &lt;NumAmB&gt;}{\rtlch\fcs1 \af0 \ltrch\fcs0 \insrsid4747399\charrsid15879488 [ZNRAM]}{\rtlch\fcs1 \af0 \ltrch\fcs0 _x000d__x000a_\cs17\b0\v\fs20\cf9\lang1024\langfe1024\loch\af1\hich\af1\dbch\af31501\noproof\insrsid4747399\charrsid15879488 \hich\af1\dbch\af31501\loch\f1 &lt;/NumAmB&gt;}{\rtlch\fcs1 \af0 \ltrch\fcs0 \insrsid4747399\charrsid15879488 _x000d__x000a_\par }\pard\plain \ltrpar\s25\ql \li0\ri0\sb240\keepn\nowidctlpar\wrapdefault\aspalpha\aspnum\faauto\adjustright\rin0\lin0\itap0\pararsid4747399 \rtlch\fcs1 \af0\afs20\alang1025 \ltrch\fcs0 \b\fs24\lang2057\langfe2057\cgrid\langnp2057\langfenp2057 {_x000d__x000a_\rtlch\fcs1 \af0 \ltrch\fcs0 \cs17\b0\v\fs20\cf9\lang1024\langfe1024\loch\af1\hich\af1\dbch\af31501\noproof\insrsid4747399\charrsid15879488 \hich\af1\dbch\af31501\loch\f1 &lt;DocAmend&gt;}{\rtlch\fcs1 \af0 \ltrch\fcs0 \insrsid4747399\charrsid15879488 _x000d__x000a_[ZPROPOSAL][ZAMACT]}{\rtlch\fcs1 \af0 \ltrch\fcs0 \cs17\b0\v\fs20\cf9\lang1024\langfe1024\loch\af1\hich\af1\dbch\af31501\noproof\insrsid4747399\charrsid15879488 \hich\af1\dbch\af31501\loch\f1 &lt;/DocAmend&gt;}{\rtlch\fcs1 \af0 \ltrch\fcs0 _x000d__x000a_\insrsid4747399\charrsid15879488 _x000d__x000a_\par }\pard\plain \ltrpar\s19\ql \li0\ri0\keepn\nowidctlpar\wrapdefault\aspalpha\aspnum\faauto\adjustright\rin0\lin0\itap0\pararsid4747399 \rtlch\fcs1 \af0\afs20\alang1025 \ltrch\fcs0 \b\fs24\lang2057\langfe2057\cgrid\langnp2057\langfenp2057 {\rtlch\fcs1 \af0 _x000d__x000a_\ltrch\fcs0 \cs17\b0\v\fs20\cf9\lang1024\langfe1024\loch\af1\hich\af1\dbch\af31501\noproof\insrsid4747399\charrsid15879488 \hich\af1\dbch\af31501\loch\f1 &lt;Article&gt;}{\rtlch\fcs1 \af0 \ltrch\fcs0 \insrsid4747399\charrsid15879488 [ZAMPART]}{\rtlch\fcs1 \af0 _x000d__x000a_\ltrch\fcs0 \cs17\b0\v\fs20\cf9\lang1024\langfe1024\loch\af1\hich\af1\dbch\af31501\noproof\insrsid4747399\charrsid15879488 \hich\af1\dbch\af31501\loch\f1 &lt;/Article&gt;}{\rtlch\fcs1 \af0 \ltrch\fcs0 \insrsid4747399\charrsid15879488 _x000d__x000a_\par }\pard\plain \ltrpar\ql \li0\ri0\keepn\widctlpar\wrapdefault\aspalpha\aspnum\faauto\adjustright\rin0\lin0\itap0\pararsid4747399 \rtlch\fcs1 \af0\afs20\alang1025 \ltrch\fcs0 \fs24\lang2057\langfe2057\cgrid\langnp2057\langfenp2057 {\rtlch\fcs1 \af0 _x000d__x000a_\ltrch\fcs0 \cs17\v\fs20\cf9\lang1024\langfe1024\loch\af1\hich\af1\dbch\af31501\noproof\insrsid4747399\charrsid15879488 \hich\af1\dbch\af31501\loch\f1 &lt;DocAmend2&gt;&lt;OptDel&gt;}{\rtlch\fcs1 \af0 \ltrch\fcs0 \insrsid4747399\charrsid15879488 [ZNRACT]}{_x000d__x000a_\rtlch\fcs1 \af0 \ltrch\fcs0 \cs17\v\fs20\cf9\lang1024\langfe1024\loch\af1\hich\af1\dbch\af31501\noproof\insrsid4747399\charrsid15879488 \hich\af1\dbch\af31501\loch\f1 &lt;/OptDel&gt;&lt;/DocAmend2&gt;}{\rtlch\fcs1 \af0 \ltrch\fcs0 \insrsid4747399\charrsid15879488 _x000d__x000a__x000d__x000a_\par }\pard \ltrpar\ql \li0\ri0\widctlpar\wrapdefault\aspalpha\aspnum\faauto\adjustright\rin0\lin0\itap0\pararsid4747399 {\rtlch\fcs1 \af0 \ltrch\fcs0 _x000d__x000a_\cs17\v\fs20\cf9\lang1024\langfe1024\loch\af1\hich\af1\dbch\af31501\noproof\langnp1036\insrsid4747399\charrsid11356624 \hich\af1\dbch\af31501\loch\f1 &lt;Article2&gt;&lt;OptDel&gt;}{\rtlch\fcs1 \af0 \ltrch\fcs0 _x000d__x000a_\lang1036\langfe2057\langnp1036\insrsid4747399\charrsid11356624 [ZACTPART]}{\rtlch\fcs1 \af0 \ltrch\fcs0 \cs17\v\fs20\cf9\lang1024\langfe1024\loch\af1\hich\af1\dbch\af31501\noproof\langnp1036\insrsid4747399\charrsid11356624 \hich\af1\dbch\af31501\loch\f1 _x000d__x000a_&lt;/OptDel&gt;&lt;/Article2&gt;}{\rtlch\fcs1 \af0 \ltrch\fcs0 \lang1036\langfe2057\langnp1036\insrsid474739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747399\charrsid11356624 \cell }\pard \ltrpar\ql \li0\ri0\widctlpar\intbl\wrapdefault\aspalpha\aspnum\faauto\adjustright\rin0\lin0 {\rtlch\fcs1 \af0 \ltrch\fcs0 \insrsid474739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747399\charrsid15879488 [ZLEFTB]\cell [ZRIGHT]\cell }\pard\plain \ltrpar\ql \li0\ri0\widctlpar\intbl\wrapdefault\aspalpha\aspnum\faauto\adjustright\rin0\lin0 \rtlch\fcs1 \af0\afs20\alang1025 \ltrch\fcs0 _x000d__x000a_\fs24\lang2057\langfe2057\cgrid\langnp2057\langfenp2057 {\rtlch\fcs1 \af0 \ltrch\fcs0 \insrsid474739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747399\charrsid15879488 [ZTEXTL]\cell [ZTEXTR]}{\rtlch\fcs1 \af0\afs24 \ltrch\fcs0 \insrsid4747399\charrsid15879488 \cell }\pard\plain \ltrpar\ql \li0\ri0\widctlpar\intbl\wrapdefault\aspalpha\aspnum\faauto\adjustright\rin0\lin0 \rtlch\fcs1 _x000d__x000a_\af0\afs20\alang1025 \ltrch\fcs0 \fs24\lang2057\langfe2057\cgrid\langnp2057\langfenp2057 {\rtlch\fcs1 \af0 \ltrch\fcs0 \insrsid474739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747399 \rtlch\fcs1 \af0\afs20\alang1025 \ltrch\fcs0 \i\fs24\lang2057\langfe2057\cgrid\langnp2057\langfenp2057 {\rtlch\fcs1 \af0 \ltrch\fcs0 _x000d__x000a_\cs17\i0\v\fs20\cf9\lang1024\langfe1024\loch\af1\hich\af1\dbch\af31501\noproof\insrsid4747399\charrsid15879488 \hich\af1\dbch\af31501\loch\f1 &lt;OptDel&gt;}{\rtlch\fcs1 \af0 \ltrch\fcs0 \insrsid4747399\charrsid15879488 [ZCROSSREF]}{\rtlch\fcs1 \af0 _x000d__x000a_\ltrch\fcs0 \cs17\i0\v\fs20\cf9\lang1024\langfe1024\loch\af1\hich\af1\dbch\af31501\noproof\insrsid4747399\charrsid15879488 \hich\af1\dbch\af31501\loch\f1 &lt;/OptDel&gt;}{\rtlch\fcs1 \af0 \ltrch\fcs0 \insrsid4747399\charrsid15879488 _x000d__x000a_\par }\pard\plain \ltrpar\s22\qc \li0\ri0\sb240\sa240\keepn\nowidctlpar\wrapdefault\aspalpha\aspnum\faauto\adjustright\rin0\lin0\itap0\pararsid4747399 \rtlch\fcs1 \af0\afs20\alang1025 \ltrch\fcs0 \i\fs24\lang2057\langfe2057\cgrid\langnp2057\langfenp2057 {_x000d__x000a_\rtlch\fcs1 \af0 \ltrch\fcs0 \cs17\i0\v\fs20\cf9\lang1024\langfe1024\loch\af1\hich\af1\dbch\af31501\noproof\insrsid4747399\charrsid15879488 \hich\af1\dbch\af31501\loch\f1 &lt;TitreJust&gt;}{\rtlch\fcs1 \af0 \ltrch\fcs0 \insrsid4747399\charrsid15879488 _x000d__x000a_[ZJUSTIFICATION]}{\rtlch\fcs1 \af0 \ltrch\fcs0 \cs17\i0\v\fs20\cf9\lang1024\langfe1024\loch\af1\hich\af1\dbch\af31501\noproof\insrsid4747399\charrsid15879488 \hich\af1\dbch\af31501\loch\f1 &lt;/TitreJust&gt;}{\rtlch\fcs1 \af0 \ltrch\fcs0 _x000d__x000a_\insrsid4747399\charrsid15879488 _x000d__x000a_\par }\pard\plain \ltrpar\s20\ql \li0\ri0\sa240\nowidctlpar\wrapdefault\aspalpha\aspnum\faauto\adjustright\rin0\lin0\itap0\pararsid4747399 \rtlch\fcs1 \af0\afs20\alang1025 \ltrch\fcs0 \i\fs24\lang2057\langfe2057\cgrid\langnp2057\langfenp2057 {\rtlch\fcs1 \af0 _x000d__x000a_\ltrch\fcs0 \cs17\i0\v\fs20\cf9\lang1024\langfe1024\loch\af1\hich\af1\dbch\af31501\noproof\insrsid4747399\charrsid15879488 \hich\af1\dbch\af31501\loch\f1 &lt;OptDelPrev&gt;}{\rtlch\fcs1 \af0 \ltrch\fcs0 \insrsid4747399\charrsid15879488 [ZTEXTJUST]}{\rtlch\fcs1 _x000d__x000a_\af0 \ltrch\fcs0 \cs17\i0\v\fs20\cf9\lang1024\langfe1024\loch\af1\hich\af1\dbch\af31501\noproof\insrsid4747399\charrsid15879488 \hich\af1\dbch\af31501\loch\f1 &lt;/OptDelPrev&gt;}{\rtlch\fcs1 \af0 \ltrch\fcs0 \insrsid4747399\charrsid15879488 _x000d__x000a_\par }\pard\plain \ltrpar\ql \li0\ri0\widctlpar\wrapdefault\aspalpha\aspnum\faauto\adjustright\rin0\lin0\itap0\pararsid4747399 \rtlch\fcs1 \af0\afs20\alang1025 \ltrch\fcs0 \fs24\lang2057\langfe2057\cgrid\langnp2057\langfenp2057 {\rtlch\fcs1 \af0 \ltrch\fcs0 _x000d__x000a_\cs17\v\fs20\cf9\lang1024\langfe1024\loch\af1\hich\af1\dbch\af31501\noproof\insrsid4747399\charrsid15879488 \hich\af1\dbch\af31501\loch\f1 &lt;/AmendB&gt;}{\rtlch\fcs1 \af0 \ltrch\fcs0 \insrsid474739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4_x000d__x000a_b34f510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7"/>
    <w:docVar w:name="TITLECODMNU" w:val=" 1"/>
    <w:docVar w:name="TVTAMPART" w:val="1"/>
    <w:docVar w:name="TXTLANGUE" w:val="LT"/>
    <w:docVar w:name="TXTLANGUEMIN" w:val="lt"/>
    <w:docVar w:name="TXTNRC" w:val="0409/2022"/>
    <w:docVar w:name="TXTNRCOM" w:val="(2022)0688"/>
    <w:docVar w:name="TXTNRFIRSTAM" w:val="1"/>
    <w:docVar w:name="TXTNRLASTAM" w:val="1"/>
    <w:docVar w:name="TXTNRPE" w:val="751.894"/>
    <w:docVar w:name="TXTNRPROC" w:val="2022/0400"/>
    <w:docVar w:name="TXTPEorAP" w:val="PE"/>
    <w:docVar w:name="TXTROUTE" w:val="AD\1287675LT.docx"/>
    <w:docVar w:name="TXTVERSION" w:val="03-00"/>
  </w:docVars>
  <w:rsids>
    <w:rsidRoot w:val="00477071"/>
    <w:rsid w:val="00003841"/>
    <w:rsid w:val="00006096"/>
    <w:rsid w:val="00026559"/>
    <w:rsid w:val="00027FA8"/>
    <w:rsid w:val="0004474F"/>
    <w:rsid w:val="00082EC4"/>
    <w:rsid w:val="000D44A6"/>
    <w:rsid w:val="00122C05"/>
    <w:rsid w:val="00134974"/>
    <w:rsid w:val="00141CD7"/>
    <w:rsid w:val="001616BD"/>
    <w:rsid w:val="001820A9"/>
    <w:rsid w:val="00186A5A"/>
    <w:rsid w:val="001A0556"/>
    <w:rsid w:val="001B0A1E"/>
    <w:rsid w:val="001C0886"/>
    <w:rsid w:val="001C3AAF"/>
    <w:rsid w:val="001D5154"/>
    <w:rsid w:val="001E3AC4"/>
    <w:rsid w:val="0020077A"/>
    <w:rsid w:val="0023131B"/>
    <w:rsid w:val="0025755D"/>
    <w:rsid w:val="002A67EE"/>
    <w:rsid w:val="00304EA8"/>
    <w:rsid w:val="00341A99"/>
    <w:rsid w:val="00352596"/>
    <w:rsid w:val="00360FAA"/>
    <w:rsid w:val="0038294E"/>
    <w:rsid w:val="003A2F84"/>
    <w:rsid w:val="003C7390"/>
    <w:rsid w:val="003E1280"/>
    <w:rsid w:val="003F128E"/>
    <w:rsid w:val="0040055C"/>
    <w:rsid w:val="00477071"/>
    <w:rsid w:val="00487596"/>
    <w:rsid w:val="004B3A53"/>
    <w:rsid w:val="004C2A0D"/>
    <w:rsid w:val="004E5D64"/>
    <w:rsid w:val="004F1D2F"/>
    <w:rsid w:val="00502B76"/>
    <w:rsid w:val="00513F6F"/>
    <w:rsid w:val="00522B51"/>
    <w:rsid w:val="00524707"/>
    <w:rsid w:val="005376F2"/>
    <w:rsid w:val="005539B7"/>
    <w:rsid w:val="0055718F"/>
    <w:rsid w:val="00571233"/>
    <w:rsid w:val="00613134"/>
    <w:rsid w:val="00626D52"/>
    <w:rsid w:val="00643DA8"/>
    <w:rsid w:val="006471B1"/>
    <w:rsid w:val="0065259B"/>
    <w:rsid w:val="00657D5C"/>
    <w:rsid w:val="00683DD1"/>
    <w:rsid w:val="00691B1C"/>
    <w:rsid w:val="006A0F0A"/>
    <w:rsid w:val="006A48AA"/>
    <w:rsid w:val="006B1267"/>
    <w:rsid w:val="006D292E"/>
    <w:rsid w:val="00705534"/>
    <w:rsid w:val="00712462"/>
    <w:rsid w:val="00716BAA"/>
    <w:rsid w:val="00754B09"/>
    <w:rsid w:val="0078548A"/>
    <w:rsid w:val="007B7CE3"/>
    <w:rsid w:val="007D7414"/>
    <w:rsid w:val="007F187F"/>
    <w:rsid w:val="00817D13"/>
    <w:rsid w:val="00820C7D"/>
    <w:rsid w:val="00833D11"/>
    <w:rsid w:val="00836FD3"/>
    <w:rsid w:val="008375A8"/>
    <w:rsid w:val="00872A52"/>
    <w:rsid w:val="00876A73"/>
    <w:rsid w:val="0089388A"/>
    <w:rsid w:val="008A459A"/>
    <w:rsid w:val="008B113D"/>
    <w:rsid w:val="008F3DB0"/>
    <w:rsid w:val="00904864"/>
    <w:rsid w:val="009052FE"/>
    <w:rsid w:val="009215FC"/>
    <w:rsid w:val="00924555"/>
    <w:rsid w:val="009368B3"/>
    <w:rsid w:val="00982B83"/>
    <w:rsid w:val="009857B4"/>
    <w:rsid w:val="009E7319"/>
    <w:rsid w:val="00A37A1A"/>
    <w:rsid w:val="00A71228"/>
    <w:rsid w:val="00A74E25"/>
    <w:rsid w:val="00AC2A60"/>
    <w:rsid w:val="00AD49D0"/>
    <w:rsid w:val="00B00EE6"/>
    <w:rsid w:val="00B476DC"/>
    <w:rsid w:val="00B5291D"/>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3F57"/>
    <w:rsid w:val="00C85D0F"/>
    <w:rsid w:val="00C974B1"/>
    <w:rsid w:val="00CC4408"/>
    <w:rsid w:val="00D25CF2"/>
    <w:rsid w:val="00D42457"/>
    <w:rsid w:val="00D55AC8"/>
    <w:rsid w:val="00D56CE0"/>
    <w:rsid w:val="00D6254D"/>
    <w:rsid w:val="00D67D0A"/>
    <w:rsid w:val="00D74FD1"/>
    <w:rsid w:val="00D943A5"/>
    <w:rsid w:val="00D9581F"/>
    <w:rsid w:val="00DB56E4"/>
    <w:rsid w:val="00DD6E60"/>
    <w:rsid w:val="00E27F01"/>
    <w:rsid w:val="00E471E0"/>
    <w:rsid w:val="00E77FF5"/>
    <w:rsid w:val="00E94D64"/>
    <w:rsid w:val="00EA3802"/>
    <w:rsid w:val="00EB6090"/>
    <w:rsid w:val="00EF1432"/>
    <w:rsid w:val="00EF33D5"/>
    <w:rsid w:val="00F15744"/>
    <w:rsid w:val="00F24D40"/>
    <w:rsid w:val="00FE413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A3FE26-CF74-440D-AF6B-96B82756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7D7414"/>
    <w:pPr>
      <w:widowControl/>
      <w:spacing w:before="100" w:beforeAutospacing="1" w:after="100" w:afterAutospacing="1"/>
    </w:pPr>
  </w:style>
  <w:style w:type="paragraph" w:styleId="Footer">
    <w:name w:val="footer"/>
    <w:link w:val="FooterChar"/>
    <w:unhideWhenUsed/>
    <w:rsid w:val="007D741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7D7414"/>
    <w:rPr>
      <w:sz w:val="22"/>
    </w:rPr>
  </w:style>
  <w:style w:type="character" w:customStyle="1" w:styleId="Normal12Char">
    <w:name w:val="Normal12 Char"/>
    <w:basedOn w:val="DefaultParagraphFont"/>
    <w:link w:val="Normal12"/>
    <w:locked/>
    <w:rsid w:val="007D7414"/>
    <w:rPr>
      <w:noProof/>
      <w:sz w:val="24"/>
    </w:rPr>
  </w:style>
  <w:style w:type="paragraph" w:customStyle="1" w:styleId="Normal12">
    <w:name w:val="Normal12"/>
    <w:basedOn w:val="Normal"/>
    <w:link w:val="Normal12Char"/>
    <w:rsid w:val="007D7414"/>
    <w:pPr>
      <w:spacing w:after="240"/>
    </w:pPr>
    <w:rPr>
      <w:noProof/>
      <w:szCs w:val="20"/>
    </w:rPr>
  </w:style>
  <w:style w:type="paragraph" w:customStyle="1" w:styleId="CommitteeAM">
    <w:name w:val="CommitteeAM"/>
    <w:basedOn w:val="Normal"/>
    <w:rsid w:val="007D7414"/>
    <w:pPr>
      <w:spacing w:before="240" w:after="600"/>
      <w:jc w:val="center"/>
    </w:pPr>
    <w:rPr>
      <w:i/>
      <w:szCs w:val="20"/>
    </w:rPr>
  </w:style>
  <w:style w:type="paragraph" w:customStyle="1" w:styleId="ZDateAM">
    <w:name w:val="ZDateAM"/>
    <w:basedOn w:val="Normal"/>
    <w:rsid w:val="007D7414"/>
    <w:pPr>
      <w:tabs>
        <w:tab w:val="right" w:pos="9356"/>
      </w:tabs>
      <w:spacing w:after="480"/>
    </w:pPr>
    <w:rPr>
      <w:noProof/>
      <w:szCs w:val="20"/>
    </w:rPr>
  </w:style>
  <w:style w:type="paragraph" w:customStyle="1" w:styleId="ProjRap">
    <w:name w:val="ProjRap"/>
    <w:basedOn w:val="Normal"/>
    <w:rsid w:val="007D7414"/>
    <w:pPr>
      <w:tabs>
        <w:tab w:val="right" w:pos="9356"/>
      </w:tabs>
    </w:pPr>
    <w:rPr>
      <w:b/>
      <w:noProof/>
      <w:szCs w:val="20"/>
    </w:rPr>
  </w:style>
  <w:style w:type="paragraph" w:customStyle="1" w:styleId="PELeft">
    <w:name w:val="PELeft"/>
    <w:basedOn w:val="Normal"/>
    <w:rsid w:val="007D7414"/>
    <w:pPr>
      <w:spacing w:before="40" w:after="40"/>
    </w:pPr>
    <w:rPr>
      <w:rFonts w:ascii="Arial" w:hAnsi="Arial" w:cs="Arial"/>
      <w:sz w:val="22"/>
      <w:szCs w:val="22"/>
    </w:rPr>
  </w:style>
  <w:style w:type="paragraph" w:customStyle="1" w:styleId="PERight">
    <w:name w:val="PERight"/>
    <w:basedOn w:val="Normal"/>
    <w:next w:val="Normal"/>
    <w:rsid w:val="007D7414"/>
    <w:pPr>
      <w:jc w:val="right"/>
    </w:pPr>
    <w:rPr>
      <w:rFonts w:ascii="Arial" w:hAnsi="Arial" w:cs="Arial"/>
      <w:sz w:val="22"/>
      <w:szCs w:val="22"/>
    </w:rPr>
  </w:style>
  <w:style w:type="character" w:customStyle="1" w:styleId="Normal6Char">
    <w:name w:val="Normal6 Char"/>
    <w:basedOn w:val="DefaultParagraphFont"/>
    <w:link w:val="Normal6"/>
    <w:locked/>
    <w:rsid w:val="007D7414"/>
    <w:rPr>
      <w:sz w:val="24"/>
      <w:lang w:val="lt-LT"/>
    </w:rPr>
  </w:style>
  <w:style w:type="paragraph" w:customStyle="1" w:styleId="Normal6">
    <w:name w:val="Normal6"/>
    <w:basedOn w:val="Normal"/>
    <w:link w:val="Normal6Char"/>
    <w:rsid w:val="007D7414"/>
    <w:pPr>
      <w:spacing w:after="120"/>
    </w:pPr>
    <w:rPr>
      <w:szCs w:val="20"/>
    </w:rPr>
  </w:style>
  <w:style w:type="character" w:customStyle="1" w:styleId="NormalBoldChar">
    <w:name w:val="NormalBold Char"/>
    <w:basedOn w:val="DefaultParagraphFont"/>
    <w:link w:val="NormalBold"/>
    <w:locked/>
    <w:rsid w:val="007D7414"/>
    <w:rPr>
      <w:b/>
      <w:sz w:val="24"/>
    </w:rPr>
  </w:style>
  <w:style w:type="paragraph" w:customStyle="1" w:styleId="Normal12Italic">
    <w:name w:val="Normal12Italic"/>
    <w:basedOn w:val="Normal12"/>
    <w:rsid w:val="007D7414"/>
    <w:rPr>
      <w:i/>
    </w:rPr>
  </w:style>
  <w:style w:type="paragraph" w:customStyle="1" w:styleId="JustificationTitle">
    <w:name w:val="JustificationTitle"/>
    <w:basedOn w:val="Normal"/>
    <w:next w:val="Normal12"/>
    <w:rsid w:val="007D7414"/>
    <w:pPr>
      <w:keepNext/>
      <w:spacing w:before="240" w:after="240"/>
      <w:jc w:val="center"/>
    </w:pPr>
    <w:rPr>
      <w:i/>
      <w:noProof/>
      <w:szCs w:val="20"/>
    </w:rPr>
  </w:style>
  <w:style w:type="paragraph" w:customStyle="1" w:styleId="Olang">
    <w:name w:val="Olang"/>
    <w:basedOn w:val="Normal"/>
    <w:rsid w:val="007D7414"/>
    <w:pPr>
      <w:spacing w:before="240" w:after="240"/>
      <w:jc w:val="right"/>
    </w:pPr>
    <w:rPr>
      <w:noProof/>
    </w:rPr>
  </w:style>
  <w:style w:type="paragraph" w:customStyle="1" w:styleId="ColumnHeading">
    <w:name w:val="ColumnHeading"/>
    <w:basedOn w:val="Normal"/>
    <w:rsid w:val="007D7414"/>
    <w:pPr>
      <w:spacing w:after="240"/>
      <w:jc w:val="center"/>
    </w:pPr>
    <w:rPr>
      <w:i/>
      <w:szCs w:val="20"/>
    </w:rPr>
  </w:style>
  <w:style w:type="paragraph" w:customStyle="1" w:styleId="AMNumberTabs0">
    <w:name w:val="AMNumberTabs"/>
    <w:basedOn w:val="Normal"/>
    <w:rsid w:val="007D74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7D7414"/>
    <w:pPr>
      <w:spacing w:before="240"/>
      <w:jc w:val="center"/>
    </w:pPr>
    <w:rPr>
      <w:i/>
      <w:szCs w:val="20"/>
    </w:rPr>
  </w:style>
  <w:style w:type="paragraph" w:customStyle="1" w:styleId="Footer2">
    <w:name w:val="Footer2"/>
    <w:basedOn w:val="Normal12"/>
    <w:rsid w:val="007D7414"/>
    <w:pPr>
      <w:tabs>
        <w:tab w:val="center" w:pos="4535"/>
        <w:tab w:val="right" w:pos="9923"/>
      </w:tabs>
      <w:spacing w:line="480" w:lineRule="auto"/>
      <w:ind w:left="-851"/>
    </w:pPr>
    <w:rPr>
      <w:rFonts w:ascii="Arial" w:cs="Arial"/>
      <w:b/>
      <w:sz w:val="48"/>
    </w:rPr>
  </w:style>
  <w:style w:type="character" w:customStyle="1" w:styleId="Footer2Middle">
    <w:name w:val="Footer2Middle"/>
    <w:rsid w:val="007D7414"/>
    <w:rPr>
      <w:rFonts w:ascii="Arial" w:hAnsi="Arial" w:cs="Arial" w:hint="default"/>
      <w:b w:val="0"/>
      <w:bCs w:val="0"/>
      <w:i/>
      <w:iCs w:val="0"/>
      <w:color w:val="C0C0C0"/>
      <w:sz w:val="22"/>
    </w:rPr>
  </w:style>
  <w:style w:type="paragraph" w:customStyle="1" w:styleId="EntPE">
    <w:name w:val="EntPE"/>
    <w:basedOn w:val="Normal12"/>
    <w:rsid w:val="007D7414"/>
    <w:pPr>
      <w:jc w:val="center"/>
    </w:pPr>
    <w:rPr>
      <w:noProof w:val="0"/>
      <w:sz w:val="56"/>
    </w:rPr>
  </w:style>
  <w:style w:type="paragraph" w:styleId="BalloonText">
    <w:name w:val="Balloon Text"/>
    <w:basedOn w:val="Normal"/>
    <w:link w:val="BalloonTextChar"/>
    <w:semiHidden/>
    <w:unhideWhenUsed/>
    <w:rsid w:val="008B113D"/>
    <w:rPr>
      <w:rFonts w:ascii="Segoe UI" w:hAnsi="Segoe UI" w:cs="Segoe UI"/>
      <w:sz w:val="18"/>
      <w:szCs w:val="18"/>
    </w:rPr>
  </w:style>
  <w:style w:type="character" w:customStyle="1" w:styleId="BalloonTextChar">
    <w:name w:val="Balloon Text Char"/>
    <w:basedOn w:val="DefaultParagraphFont"/>
    <w:link w:val="BalloonText"/>
    <w:semiHidden/>
    <w:rsid w:val="008B113D"/>
    <w:rPr>
      <w:rFonts w:ascii="Segoe UI" w:hAnsi="Segoe UI" w:cs="Segoe UI"/>
      <w:sz w:val="18"/>
      <w:szCs w:val="18"/>
    </w:rPr>
  </w:style>
  <w:style w:type="paragraph" w:styleId="Revision">
    <w:name w:val="Revision"/>
    <w:hidden/>
    <w:uiPriority w:val="99"/>
    <w:semiHidden/>
    <w:rsid w:val="00EB60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092A2-7F37-42A1-A711-AE1287848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12732</Words>
  <Characters>89532</Characters>
  <Application>Microsoft Office Word</Application>
  <DocSecurity>0</DocSecurity>
  <Lines>3241</Lines>
  <Paragraphs>759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2023-11-03T12:12:00Z</dcterms:created>
  <dcterms:modified xsi:type="dcterms:W3CDTF">2023-11-03T12:12:00Z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1287675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- 2023/11/03 13:12</vt:lpwstr>
  </property>
  <property fmtid="{D5CDD505-2E9C-101B-9397-08002B2CF9AE}" pid="9" name="Created with">
    <vt:lpwstr>9.14.1 Build [20230315]</vt:lpwstr>
  </property>
  <property fmtid="{D5CDD505-2E9C-101B-9397-08002B2CF9AE}" pid="10" name="FooterPath">
    <vt:lpwstr>AD\1287675LT.docx</vt:lpwstr>
  </property>
  <property fmtid="{D5CDD505-2E9C-101B-9397-08002B2CF9AE}" pid="11" name="LastEdited with">
    <vt:lpwstr>9.16.1 Build [20230915]</vt:lpwstr>
  </property>
  <property fmtid="{D5CDD505-2E9C-101B-9397-08002B2CF9AE}" pid="12" name="PE number">
    <vt:lpwstr>751.894</vt:lpwstr>
  </property>
  <property fmtid="{D5CDD505-2E9C-101B-9397-08002B2CF9AE}" pid="13" name="SDLStudio">
    <vt:lpwstr/>
  </property>
  <property fmtid="{D5CDD505-2E9C-101B-9397-08002B2CF9AE}" pid="14" name="SendToEpades">
    <vt:lpwstr>OK - 2023/07/20 17:18</vt:lpwstr>
  </property>
</Properties>
</file>