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13F61" w:rsidRPr="000202F9" w:rsidTr="00823CA1">
        <w:trPr>
          <w:trHeight w:hRule="exact" w:val="1418"/>
        </w:trPr>
        <w:tc>
          <w:tcPr>
            <w:tcW w:w="6804" w:type="dxa"/>
            <w:shd w:val="clear" w:color="auto" w:fill="auto"/>
            <w:vAlign w:val="center"/>
          </w:tcPr>
          <w:p w:rsidR="00BA3E40" w:rsidRPr="000202F9" w:rsidRDefault="0079015F" w:rsidP="00823CA1">
            <w:pPr>
              <w:pStyle w:val="EPName"/>
            </w:pPr>
            <w:r w:rsidRPr="000202F9">
              <w:t>Parlament Europejski</w:t>
            </w:r>
          </w:p>
          <w:p w:rsidR="00BA3E40" w:rsidRPr="000202F9" w:rsidRDefault="0079015F" w:rsidP="007D7414">
            <w:pPr>
              <w:pStyle w:val="EPTerm"/>
            </w:pPr>
            <w:r w:rsidRPr="000202F9">
              <w:t>2019-2024</w:t>
            </w:r>
          </w:p>
        </w:tc>
        <w:tc>
          <w:tcPr>
            <w:tcW w:w="2268" w:type="dxa"/>
            <w:shd w:val="clear" w:color="auto" w:fill="auto"/>
          </w:tcPr>
          <w:p w:rsidR="00BA3E40" w:rsidRPr="000202F9" w:rsidRDefault="0079015F" w:rsidP="00823CA1">
            <w:pPr>
              <w:pStyle w:val="EPLogo"/>
            </w:pPr>
            <w:r w:rsidRPr="000202F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202F9" w:rsidRDefault="00F24D40" w:rsidP="00F24D40">
      <w:pPr>
        <w:pStyle w:val="LineTop"/>
      </w:pPr>
    </w:p>
    <w:p w:rsidR="00F24D40" w:rsidRPr="000202F9" w:rsidRDefault="0079015F" w:rsidP="00F24D40">
      <w:pPr>
        <w:pStyle w:val="EPBody"/>
      </w:pPr>
      <w:r w:rsidRPr="000202F9">
        <w:rPr>
          <w:rStyle w:val="HideTWBExt"/>
        </w:rPr>
        <w:t>&lt;</w:t>
      </w:r>
      <w:r w:rsidRPr="000202F9">
        <w:rPr>
          <w:rStyle w:val="HideTWBExt"/>
          <w:i w:val="0"/>
        </w:rPr>
        <w:t>Commission</w:t>
      </w:r>
      <w:r w:rsidRPr="000202F9">
        <w:rPr>
          <w:rStyle w:val="HideTWBExt"/>
        </w:rPr>
        <w:t>&gt;</w:t>
      </w:r>
      <w:r w:rsidRPr="000202F9">
        <w:rPr>
          <w:rStyle w:val="HideTWBInt"/>
          <w:color w:val="auto"/>
        </w:rPr>
        <w:t>{LIBE}</w:t>
      </w:r>
      <w:r w:rsidRPr="000202F9">
        <w:t>Komisja Wolności Obywatelskich, Sprawiedliwości i Spraw Wewnętrznych</w:t>
      </w:r>
      <w:r w:rsidRPr="000202F9">
        <w:rPr>
          <w:rStyle w:val="HideTWBExt"/>
        </w:rPr>
        <w:t>&lt;/</w:t>
      </w:r>
      <w:r w:rsidRPr="000202F9">
        <w:rPr>
          <w:rStyle w:val="HideTWBExt"/>
          <w:i w:val="0"/>
        </w:rPr>
        <w:t>Commission</w:t>
      </w:r>
      <w:r w:rsidRPr="000202F9">
        <w:rPr>
          <w:rStyle w:val="HideTWBExt"/>
        </w:rPr>
        <w:t>&gt;</w:t>
      </w:r>
    </w:p>
    <w:p w:rsidR="00F24D40" w:rsidRPr="000202F9" w:rsidRDefault="00F24D40" w:rsidP="00F24D40">
      <w:pPr>
        <w:pStyle w:val="LineBottom"/>
      </w:pPr>
    </w:p>
    <w:p w:rsidR="00DB56E4" w:rsidRPr="000202F9" w:rsidRDefault="0079015F" w:rsidP="00DB56E4">
      <w:pPr>
        <w:pStyle w:val="CoverReference"/>
      </w:pPr>
      <w:r w:rsidRPr="000202F9">
        <w:rPr>
          <w:rStyle w:val="HideTWBExt"/>
          <w:b w:val="0"/>
        </w:rPr>
        <w:t>&lt;RefProc&gt;</w:t>
      </w:r>
      <w:r w:rsidRPr="000202F9">
        <w:t>2022/0400</w:t>
      </w:r>
      <w:r w:rsidRPr="000202F9">
        <w:rPr>
          <w:rStyle w:val="HideTWBExt"/>
          <w:b w:val="0"/>
        </w:rPr>
        <w:t>&lt;/RefProc&gt;&lt;RefTypeProc&gt;</w:t>
      </w:r>
      <w:r w:rsidRPr="000202F9">
        <w:t>(COD)</w:t>
      </w:r>
      <w:r w:rsidRPr="000202F9">
        <w:rPr>
          <w:rStyle w:val="HideTWBExt"/>
          <w:b w:val="0"/>
        </w:rPr>
        <w:t>&lt;/RefTypeProc&gt;</w:t>
      </w:r>
    </w:p>
    <w:p w:rsidR="00DB56E4" w:rsidRPr="000202F9" w:rsidRDefault="0079015F" w:rsidP="00DB56E4">
      <w:pPr>
        <w:pStyle w:val="CoverDate"/>
      </w:pPr>
      <w:r w:rsidRPr="000202F9">
        <w:rPr>
          <w:rStyle w:val="HideTWBExt"/>
        </w:rPr>
        <w:t>&lt;Date&gt;</w:t>
      </w:r>
      <w:r w:rsidRPr="000202F9">
        <w:rPr>
          <w:rStyle w:val="HideTWBInt"/>
          <w:color w:val="auto"/>
        </w:rPr>
        <w:t>{12/10/2023}</w:t>
      </w:r>
      <w:r w:rsidRPr="000202F9">
        <w:t>12.10.2023</w:t>
      </w:r>
      <w:r w:rsidRPr="000202F9">
        <w:rPr>
          <w:rStyle w:val="HideTWBExt"/>
        </w:rPr>
        <w:t>&lt;/Date&gt;</w:t>
      </w:r>
    </w:p>
    <w:p w:rsidR="00DB56E4" w:rsidRPr="000202F9" w:rsidRDefault="0079015F" w:rsidP="00DB56E4">
      <w:pPr>
        <w:pStyle w:val="CoverDocType24a"/>
      </w:pPr>
      <w:r w:rsidRPr="000202F9">
        <w:rPr>
          <w:rStyle w:val="HideTWBExt"/>
          <w:b w:val="0"/>
        </w:rPr>
        <w:t>&lt;TitreType&gt;</w:t>
      </w:r>
      <w:r w:rsidRPr="000202F9">
        <w:t>OP</w:t>
      </w:r>
      <w:bookmarkStart w:id="0" w:name="_GoBack"/>
      <w:bookmarkEnd w:id="0"/>
      <w:r w:rsidRPr="000202F9">
        <w:t>INIA</w:t>
      </w:r>
      <w:r w:rsidRPr="000202F9">
        <w:rPr>
          <w:rStyle w:val="HideTWBExt"/>
          <w:b w:val="0"/>
        </w:rPr>
        <w:t>&lt;/TitreType&gt;</w:t>
      </w:r>
    </w:p>
    <w:p w:rsidR="00DB56E4" w:rsidRPr="000202F9" w:rsidRDefault="0079015F" w:rsidP="00DB56E4">
      <w:pPr>
        <w:pStyle w:val="CoverNormal24a"/>
      </w:pPr>
      <w:r w:rsidRPr="000202F9">
        <w:rPr>
          <w:rStyle w:val="HideTWBExt"/>
        </w:rPr>
        <w:t>&lt;CommissionResp&gt;</w:t>
      </w:r>
      <w:r w:rsidRPr="000202F9">
        <w:t>Komisji Wolności Obywatelskich, Sprawiedliwości i Spraw Wewnętrznych</w:t>
      </w:r>
      <w:r w:rsidRPr="000202F9">
        <w:rPr>
          <w:rStyle w:val="HideTWBExt"/>
        </w:rPr>
        <w:t>&lt;/CommissionResp&gt;</w:t>
      </w:r>
    </w:p>
    <w:p w:rsidR="00DB56E4" w:rsidRPr="000202F9" w:rsidRDefault="0079015F" w:rsidP="00DB56E4">
      <w:pPr>
        <w:pStyle w:val="CoverNormal24a"/>
      </w:pPr>
      <w:r w:rsidRPr="000202F9">
        <w:rPr>
          <w:rStyle w:val="HideTWBExt"/>
        </w:rPr>
        <w:t>&lt;CommissionInt&gt;</w:t>
      </w:r>
      <w:r w:rsidRPr="000202F9">
        <w:t>dla Komisji Zatrudnienia i Spraw Socjalnych oraz Komisji Praw Kobiet i Równouprawnienia</w:t>
      </w:r>
      <w:r w:rsidRPr="000202F9">
        <w:rPr>
          <w:rStyle w:val="HideTWBExt"/>
        </w:rPr>
        <w:t>&lt;/CommissionInt&gt;</w:t>
      </w:r>
    </w:p>
    <w:p w:rsidR="00DB56E4" w:rsidRPr="000202F9" w:rsidRDefault="0079015F" w:rsidP="00DB56E4">
      <w:pPr>
        <w:pStyle w:val="CoverNormal"/>
      </w:pPr>
      <w:r w:rsidRPr="000202F9">
        <w:rPr>
          <w:rStyle w:val="HideTWBExt"/>
        </w:rPr>
        <w:t>&lt;Titre&gt;</w:t>
      </w:r>
      <w:r w:rsidRPr="000202F9">
        <w:t>w sprawie wnios</w:t>
      </w:r>
      <w:r w:rsidRPr="000202F9">
        <w:t>ku dotyczącego dyrektywy Parlamentu Europejskiego i Rady w sprawie norm dotyczących organów ds. równości w dziedzinie równego traktowania i równości szans kobiet i mężczyzn w zakresie zatrudnienia i pracy oraz uchylającej art. 20 dyrektywy 2006/54/WE i art</w:t>
      </w:r>
      <w:r w:rsidRPr="000202F9">
        <w:t>. 11 dyrektywy 2010/41/UE</w:t>
      </w:r>
      <w:r w:rsidRPr="000202F9">
        <w:rPr>
          <w:rStyle w:val="HideTWBExt"/>
        </w:rPr>
        <w:t>&lt;/Titre&gt;</w:t>
      </w:r>
    </w:p>
    <w:p w:rsidR="00DB56E4" w:rsidRPr="000202F9" w:rsidRDefault="0079015F" w:rsidP="00DB56E4">
      <w:pPr>
        <w:pStyle w:val="CoverNormal24a"/>
      </w:pPr>
      <w:r w:rsidRPr="000202F9">
        <w:rPr>
          <w:rStyle w:val="HideTWBExt"/>
        </w:rPr>
        <w:t>&lt;DocRef&gt;</w:t>
      </w:r>
      <w:r w:rsidRPr="000202F9">
        <w:t>(COM(2022)0688 – C9</w:t>
      </w:r>
      <w:r w:rsidRPr="000202F9">
        <w:noBreakHyphen/>
        <w:t>0409/2022 – 2022/0400(COD))</w:t>
      </w:r>
      <w:r w:rsidRPr="000202F9">
        <w:rPr>
          <w:rStyle w:val="HideTWBExt"/>
        </w:rPr>
        <w:t>&lt;/DocRef&gt;</w:t>
      </w:r>
    </w:p>
    <w:p w:rsidR="00DB56E4" w:rsidRPr="000202F9" w:rsidRDefault="0079015F" w:rsidP="00DB56E4">
      <w:pPr>
        <w:pStyle w:val="CoverNormal24a"/>
      </w:pPr>
      <w:r w:rsidRPr="000202F9">
        <w:t xml:space="preserve">Sprawozdawczyni komisji opiniodawczej: </w:t>
      </w:r>
      <w:r w:rsidRPr="000202F9">
        <w:rPr>
          <w:rStyle w:val="HideTWBExt"/>
        </w:rPr>
        <w:t>&lt;Depute&gt;</w:t>
      </w:r>
      <w:r w:rsidRPr="000202F9">
        <w:t>Alice Kuhnke</w:t>
      </w:r>
      <w:r w:rsidRPr="000202F9">
        <w:rPr>
          <w:rStyle w:val="HideTWBExt"/>
        </w:rPr>
        <w:t>&lt;/Depute&gt;</w:t>
      </w:r>
    </w:p>
    <w:p w:rsidR="00487596" w:rsidRPr="000202F9" w:rsidRDefault="00487596" w:rsidP="00487596">
      <w:pPr>
        <w:pStyle w:val="CoverNormal"/>
      </w:pPr>
    </w:p>
    <w:p w:rsidR="00DB56E4" w:rsidRPr="000202F9" w:rsidRDefault="0079015F" w:rsidP="0004474F">
      <w:pPr>
        <w:tabs>
          <w:tab w:val="center" w:pos="4677"/>
        </w:tabs>
      </w:pPr>
      <w:r w:rsidRPr="000202F9">
        <w:br w:type="page"/>
      </w:r>
      <w:r w:rsidRPr="000202F9">
        <w:lastRenderedPageBreak/>
        <w:t>PA_Legam</w:t>
      </w:r>
    </w:p>
    <w:p w:rsidR="00DB56E4" w:rsidRPr="000202F9" w:rsidRDefault="0079015F" w:rsidP="007D7414">
      <w:pPr>
        <w:pStyle w:val="AmHeadingPA"/>
      </w:pPr>
      <w:r w:rsidRPr="000202F9">
        <w:br w:type="page"/>
      </w:r>
      <w:r w:rsidRPr="000202F9">
        <w:lastRenderedPageBreak/>
        <w:t>POPRAWKI</w:t>
      </w:r>
    </w:p>
    <w:p w:rsidR="00DB56E4" w:rsidRPr="000202F9" w:rsidRDefault="0079015F" w:rsidP="001E3AC4">
      <w:pPr>
        <w:pStyle w:val="Normal12a"/>
      </w:pPr>
      <w:bookmarkStart w:id="1" w:name="IntroA"/>
      <w:r w:rsidRPr="000202F9">
        <w:t xml:space="preserve">Komisja Wolności Obywatelskich, Sprawiedliwości i Spraw </w:t>
      </w:r>
      <w:r w:rsidRPr="000202F9">
        <w:t xml:space="preserve">Wewnętrznych zwraca się do Komisji Zatrudnienia i Spraw Socjalnych oraz Komisji Praw Kobiet i Równouprawnienia, jako komisji przedmiotowo właściwych, </w:t>
      </w:r>
      <w:r w:rsidR="00464F6C">
        <w:rPr>
          <w:spacing w:val="-3"/>
        </w:rPr>
        <w:t>o wzięcie pod uwagę co następuje</w:t>
      </w:r>
      <w:r w:rsidRPr="000202F9">
        <w:t>:</w:t>
      </w:r>
    </w:p>
    <w:p w:rsidR="001320E6" w:rsidRPr="000202F9" w:rsidRDefault="001320E6" w:rsidP="008429B6">
      <w:bookmarkStart w:id="2" w:name="PasteOldAMStart"/>
      <w:bookmarkEnd w:id="1"/>
      <w:bookmarkEnd w:id="2"/>
    </w:p>
    <w:p w:rsidR="008429B6" w:rsidRPr="000202F9" w:rsidRDefault="0079015F" w:rsidP="008429B6">
      <w:bookmarkStart w:id="3" w:name="PasteOldAMEnd"/>
      <w:bookmarkEnd w:id="3"/>
      <w:r w:rsidRPr="000202F9">
        <w:rPr>
          <w:rStyle w:val="HideTWBExt"/>
        </w:rPr>
        <w:t>&lt;RepeatBlock-Amend&gt;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79015F" w:rsidRDefault="0079015F" w:rsidP="00823CA1">
            <w:pPr>
              <w:pStyle w:val="Normal6"/>
              <w:rPr>
                <w:b/>
                <w:i/>
              </w:rPr>
            </w:pPr>
            <w:r w:rsidRPr="0079015F">
              <w:t>(1)</w:t>
            </w:r>
            <w:r w:rsidRPr="0079015F">
              <w:rPr>
                <w:b/>
                <w:i/>
              </w:rPr>
              <w:tab/>
            </w:r>
            <w:r w:rsidRPr="0079015F">
              <w:t xml:space="preserve">W Traktatach oraz w Karcie praw podstawowych Unii Europejskiej uznaje się prawo do równości i prawo do niedyskryminacji za </w:t>
            </w:r>
            <w:r w:rsidRPr="0079015F">
              <w:t>podstawowe wartości</w:t>
            </w:r>
            <w:r w:rsidRPr="0079015F">
              <w:rPr>
                <w:b/>
                <w:i/>
              </w:rPr>
              <w:t xml:space="preserve"> Unii</w:t>
            </w:r>
            <w:r w:rsidRPr="0079015F">
              <w:rPr>
                <w:b/>
                <w:i/>
                <w:vertAlign w:val="superscript"/>
              </w:rPr>
              <w:t>57</w:t>
            </w:r>
            <w:r>
              <w:rPr>
                <w:b/>
                <w:i/>
              </w:rPr>
              <w:t xml:space="preserve"> i </w:t>
            </w:r>
            <w:r w:rsidRPr="0079015F">
              <w:t>Unia przyjęła już kilka dyrektyw zakazujących dyskryminacji.</w:t>
            </w:r>
          </w:p>
        </w:tc>
        <w:tc>
          <w:tcPr>
            <w:tcW w:w="4876" w:type="dxa"/>
            <w:hideMark/>
          </w:tcPr>
          <w:p w:rsidR="008429B6" w:rsidRPr="0079015F" w:rsidRDefault="0079015F" w:rsidP="00334B3E">
            <w:pPr>
              <w:pStyle w:val="Normal6"/>
              <w:rPr>
                <w:b/>
                <w:i/>
                <w:szCs w:val="24"/>
              </w:rPr>
            </w:pPr>
            <w:r w:rsidRPr="0079015F">
              <w:t>(1)</w:t>
            </w:r>
            <w:r w:rsidRPr="0079015F">
              <w:rPr>
                <w:b/>
                <w:i/>
              </w:rPr>
              <w:tab/>
            </w:r>
            <w:r w:rsidRPr="0079015F">
              <w:t>W Traktatach oraz w Karcie praw podstawowych Unii Europejskiej uznaje się prawo do równości i prawo do niedyskryminacji za podstawowe wartości</w:t>
            </w:r>
            <w:r w:rsidRPr="0079015F">
              <w:rPr>
                <w:b/>
                <w:i/>
              </w:rPr>
              <w:t xml:space="preserve"> Unii</w:t>
            </w:r>
            <w:r w:rsidRPr="0079015F">
              <w:rPr>
                <w:b/>
                <w:bCs/>
                <w:i/>
                <w:iCs/>
                <w:vertAlign w:val="superscript"/>
              </w:rPr>
              <w:t>[1]</w:t>
            </w:r>
            <w:r w:rsidRPr="0079015F">
              <w:rPr>
                <w:b/>
                <w:i/>
              </w:rPr>
              <w:t xml:space="preserve">, a </w:t>
            </w:r>
            <w:r w:rsidRPr="0079015F">
              <w:t>Unia prz</w:t>
            </w:r>
            <w:r w:rsidRPr="0079015F">
              <w:t>yjęła już kilka dyrektyw zakazujących dyskryminacji</w:t>
            </w:r>
            <w:r w:rsidRPr="0079015F">
              <w:rPr>
                <w:b/>
                <w:bCs/>
                <w:i/>
                <w:iCs/>
              </w:rPr>
              <w:t>, jednak obecnie niezbędne jest przyjęcie dyrektywy horyzontalnej w sprawie równego traktowania, której zakres stosowania wykracza poza obszar zatrudnienia i pracy i obejmuje wszystkie dziedziny chronione</w:t>
            </w:r>
            <w:r w:rsidRPr="0079015F">
              <w:rPr>
                <w:bCs/>
                <w:iCs/>
              </w:rPr>
              <w:t>.</w:t>
            </w:r>
          </w:p>
        </w:tc>
      </w:tr>
      <w:tr w:rsidR="00313F61" w:rsidRPr="000202F9" w:rsidTr="00823CA1">
        <w:trPr>
          <w:jc w:val="center"/>
        </w:trPr>
        <w:tc>
          <w:tcPr>
            <w:tcW w:w="4876" w:type="dxa"/>
            <w:hideMark/>
          </w:tcPr>
          <w:p w:rsidR="008429B6" w:rsidRPr="0079015F" w:rsidRDefault="0079015F" w:rsidP="00823CA1">
            <w:pPr>
              <w:pStyle w:val="Normal6"/>
              <w:rPr>
                <w:b/>
                <w:i/>
              </w:rPr>
            </w:pPr>
            <w:r w:rsidRPr="0079015F">
              <w:t>__________________</w:t>
            </w:r>
          </w:p>
        </w:tc>
        <w:tc>
          <w:tcPr>
            <w:tcW w:w="4876" w:type="dxa"/>
            <w:hideMark/>
          </w:tcPr>
          <w:p w:rsidR="008429B6" w:rsidRPr="0079015F" w:rsidRDefault="0079015F" w:rsidP="00823CA1">
            <w:pPr>
              <w:pStyle w:val="Normal6"/>
              <w:rPr>
                <w:b/>
                <w:i/>
                <w:szCs w:val="24"/>
              </w:rPr>
            </w:pPr>
            <w:r w:rsidRPr="0079015F">
              <w:t>__________________</w:t>
            </w:r>
          </w:p>
        </w:tc>
      </w:tr>
      <w:tr w:rsidR="00313F61" w:rsidRPr="0079015F" w:rsidTr="00823CA1">
        <w:trPr>
          <w:jc w:val="center"/>
        </w:trPr>
        <w:tc>
          <w:tcPr>
            <w:tcW w:w="4876" w:type="dxa"/>
            <w:hideMark/>
          </w:tcPr>
          <w:p w:rsidR="008429B6" w:rsidRPr="0079015F" w:rsidRDefault="0079015F" w:rsidP="00823CA1">
            <w:pPr>
              <w:pStyle w:val="Normal6"/>
            </w:pPr>
            <w:r w:rsidRPr="0079015F">
              <w:rPr>
                <w:vertAlign w:val="superscript"/>
              </w:rPr>
              <w:t>57</w:t>
            </w:r>
            <w:r w:rsidRPr="0079015F">
              <w:t>Art. 2 i 3 Traktatu o Unii Europejskiej (TUE), art. 8 i 10 Traktatu o funkcjonowaniu Unii Europejskiej (TFUE) oraz art. 21, 23 i 26 Karty praw podstawowych.</w:t>
            </w:r>
          </w:p>
        </w:tc>
        <w:tc>
          <w:tcPr>
            <w:tcW w:w="4876" w:type="dxa"/>
            <w:hideMark/>
          </w:tcPr>
          <w:p w:rsidR="008429B6" w:rsidRPr="0079015F" w:rsidRDefault="0079015F" w:rsidP="00823CA1">
            <w:pPr>
              <w:pStyle w:val="Normal6"/>
              <w:rPr>
                <w:szCs w:val="24"/>
              </w:rPr>
            </w:pPr>
            <w:r w:rsidRPr="0079015F">
              <w:rPr>
                <w:vertAlign w:val="superscript"/>
              </w:rPr>
              <w:t>57</w:t>
            </w:r>
            <w:r w:rsidRPr="0079015F">
              <w:t xml:space="preserve"> Art. 2 i 3 Traktatu o Unii Europejskiej (TUE), art. </w:t>
            </w:r>
            <w:r w:rsidRPr="0079015F">
              <w:t>8 i 10 Traktatu o funkcjonowaniu Unii Europejskiej (TFUE) oraz art. 21, 23 i 26 Karty praw podstawowych.</w:t>
            </w:r>
          </w:p>
        </w:tc>
      </w:tr>
    </w:tbl>
    <w:p w:rsidR="008429B6" w:rsidRPr="000202F9" w:rsidRDefault="0079015F" w:rsidP="008429B6">
      <w:r w:rsidRPr="000202F9">
        <w:rPr>
          <w:rStyle w:val="HideTWBExt"/>
        </w:rPr>
        <w:t>&lt;/Amend&gt;</w:t>
      </w:r>
    </w:p>
    <w:p w:rsidR="00DB7EE6" w:rsidRPr="000202F9" w:rsidRDefault="0079015F" w:rsidP="00DB7EE6">
      <w:pPr>
        <w:pStyle w:val="AMNumberTabs0"/>
        <w:keepNext/>
      </w:pPr>
      <w:r w:rsidRPr="000202F9">
        <w:rPr>
          <w:rStyle w:val="HideTWBExt"/>
          <w:b w:val="0"/>
        </w:rPr>
        <w:t>&lt;Amend&gt;</w:t>
      </w:r>
      <w:r w:rsidRPr="000202F9">
        <w:t>Poprawka</w:t>
      </w:r>
      <w:r w:rsidRPr="000202F9">
        <w:tab/>
      </w:r>
      <w:r w:rsidRPr="000202F9">
        <w:tab/>
      </w:r>
      <w:r w:rsidRPr="000202F9">
        <w:rPr>
          <w:rStyle w:val="HideTWBExt"/>
          <w:b w:val="0"/>
        </w:rPr>
        <w:t>&lt;NumAm&gt;</w:t>
      </w:r>
      <w:r w:rsidRPr="000202F9">
        <w:t>2</w:t>
      </w:r>
      <w:r w:rsidRPr="000202F9">
        <w:rPr>
          <w:rStyle w:val="HideTWBExt"/>
          <w:b w:val="0"/>
        </w:rPr>
        <w:t>&lt;/NumAm&gt;</w:t>
      </w:r>
    </w:p>
    <w:p w:rsidR="00DB7EE6" w:rsidRPr="000202F9" w:rsidRDefault="00DB7EE6" w:rsidP="00DB7EE6">
      <w:pPr>
        <w:pStyle w:val="NormalBold"/>
      </w:pPr>
    </w:p>
    <w:p w:rsidR="00DB7EE6" w:rsidRPr="000202F9" w:rsidRDefault="0079015F" w:rsidP="00DB7EE6">
      <w:pPr>
        <w:pStyle w:val="NormalBold"/>
        <w:keepNext/>
      </w:pPr>
      <w:r w:rsidRPr="000202F9">
        <w:rPr>
          <w:rStyle w:val="HideTWBExt"/>
          <w:b w:val="0"/>
        </w:rPr>
        <w:t>&lt;DocAmend&gt;</w:t>
      </w:r>
      <w:r w:rsidRPr="000202F9">
        <w:t>Wniosek dotyczący dyrektywy</w:t>
      </w:r>
      <w:r w:rsidRPr="000202F9">
        <w:rPr>
          <w:rStyle w:val="HideTWBExt"/>
          <w:b w:val="0"/>
        </w:rPr>
        <w:t>&lt;/DocAmend&gt;</w:t>
      </w:r>
    </w:p>
    <w:p w:rsidR="00DB7EE6" w:rsidRPr="000202F9" w:rsidRDefault="0079015F" w:rsidP="00DB7EE6">
      <w:pPr>
        <w:pStyle w:val="NormalBold"/>
      </w:pPr>
      <w:r w:rsidRPr="000202F9">
        <w:rPr>
          <w:rStyle w:val="HideTWBExt"/>
          <w:b w:val="0"/>
        </w:rPr>
        <w:t>&lt;Article&gt;</w:t>
      </w:r>
      <w:r w:rsidRPr="000202F9">
        <w:t>Motyw 1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DB7EE6">
        <w:trPr>
          <w:jc w:val="center"/>
        </w:trPr>
        <w:tc>
          <w:tcPr>
            <w:tcW w:w="9752" w:type="dxa"/>
            <w:gridSpan w:val="2"/>
          </w:tcPr>
          <w:p w:rsidR="00DB7EE6" w:rsidRPr="000202F9" w:rsidRDefault="00DB7EE6">
            <w:pPr>
              <w:keepNext/>
            </w:pPr>
          </w:p>
        </w:tc>
      </w:tr>
      <w:tr w:rsidR="00313F61" w:rsidRPr="000202F9" w:rsidTr="00DB7EE6">
        <w:trPr>
          <w:jc w:val="center"/>
        </w:trPr>
        <w:tc>
          <w:tcPr>
            <w:tcW w:w="4876" w:type="dxa"/>
            <w:hideMark/>
          </w:tcPr>
          <w:p w:rsidR="00DB7EE6" w:rsidRPr="000202F9" w:rsidRDefault="0079015F">
            <w:pPr>
              <w:pStyle w:val="ColumnHeading"/>
              <w:keepNext/>
            </w:pPr>
            <w:r w:rsidRPr="000202F9">
              <w:t xml:space="preserve">Tekst proponowany </w:t>
            </w:r>
            <w:r w:rsidRPr="000202F9">
              <w:t>przez Komisję</w:t>
            </w:r>
          </w:p>
        </w:tc>
        <w:tc>
          <w:tcPr>
            <w:tcW w:w="4876" w:type="dxa"/>
            <w:hideMark/>
          </w:tcPr>
          <w:p w:rsidR="00DB7EE6" w:rsidRPr="000202F9" w:rsidRDefault="0079015F">
            <w:pPr>
              <w:pStyle w:val="ColumnHeading"/>
              <w:keepNext/>
            </w:pPr>
            <w:r w:rsidRPr="000202F9">
              <w:t>Poprawka</w:t>
            </w:r>
          </w:p>
        </w:tc>
      </w:tr>
      <w:tr w:rsidR="00313F61" w:rsidRPr="000202F9" w:rsidTr="00DB7EE6">
        <w:trPr>
          <w:jc w:val="center"/>
        </w:trPr>
        <w:tc>
          <w:tcPr>
            <w:tcW w:w="4876" w:type="dxa"/>
          </w:tcPr>
          <w:p w:rsidR="00DB7EE6" w:rsidRPr="000202F9" w:rsidRDefault="00DB7EE6">
            <w:pPr>
              <w:pStyle w:val="Normal6"/>
            </w:pPr>
          </w:p>
        </w:tc>
        <w:tc>
          <w:tcPr>
            <w:tcW w:w="4876" w:type="dxa"/>
            <w:hideMark/>
          </w:tcPr>
          <w:p w:rsidR="00DB7EE6" w:rsidRPr="000202F9" w:rsidRDefault="0079015F">
            <w:pPr>
              <w:pStyle w:val="Normal6"/>
              <w:rPr>
                <w:szCs w:val="24"/>
              </w:rPr>
            </w:pPr>
            <w:r w:rsidRPr="000202F9">
              <w:rPr>
                <w:b/>
                <w:i/>
              </w:rPr>
              <w:t>(1a)</w:t>
            </w:r>
            <w:r w:rsidRPr="000202F9">
              <w:rPr>
                <w:b/>
                <w:i/>
              </w:rPr>
              <w:tab/>
              <w:t xml:space="preserve">Trybunał Sprawiedliwości orzekł, że zakres zasady równego traktowania kobiet i mężczyzn nie może ograniczać się do zakazu dyskryminacji ze względu na fakt, że dana osoba jest takiej czy innej płci. Zważywszy na cel i naturę </w:t>
            </w:r>
            <w:r w:rsidRPr="000202F9">
              <w:rPr>
                <w:b/>
                <w:i/>
              </w:rPr>
              <w:t xml:space="preserve">praw, </w:t>
            </w:r>
            <w:r w:rsidRPr="000202F9">
              <w:rPr>
                <w:b/>
                <w:i/>
              </w:rPr>
              <w:lastRenderedPageBreak/>
              <w:t xml:space="preserve">które ma chronić ta zasada, ma ona także zastosowanie do dyskryminacji wynikającej z tożsamości płciowej, ekspresji płciowej lub cech płciowych osoby. </w:t>
            </w:r>
          </w:p>
        </w:tc>
      </w:tr>
    </w:tbl>
    <w:p w:rsidR="00DB7EE6" w:rsidRPr="000202F9" w:rsidRDefault="0079015F" w:rsidP="00DB7EE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6</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(6)</w:t>
            </w:r>
            <w:r w:rsidRPr="000202F9">
              <w:tab/>
              <w:t>W dyrektywach 2006/54/WE i 2010/41/UE nałożono na państwa członkowskie wymóg wyznaczenia organu lub organów odpowiedzialnych za promowanie równego traktowania, w tym analizowanie, m</w:t>
            </w:r>
            <w:r w:rsidRPr="000202F9">
              <w:t>onitorowanie i wspieranie równego traktowania wszystkich osób objętych zakresem przedmiotowych dyrektyw (zwanych dalej „organami ds. równości”). Od państw członkowskich wymaga się zapewnienia, aby do kompetencji tych organów należało świadczenie niezależne</w:t>
            </w:r>
            <w:r w:rsidRPr="000202F9">
              <w:t>j pomocy ofiarom dyskryminacji, prowadzenie niezależnych badań dotyczących dyskryminacji, publikowanie niezależnych sprawozdań i wydawanie zaleceń na temat wszystkich problemów związanych z taką dyskryminacją. Zgodnie z tymi dyrektywami państwa członkowski</w:t>
            </w:r>
            <w:r w:rsidRPr="000202F9">
              <w:t>e muszą też zapewnić, aby do zadań tych organów należała wymiana informacji z odpowiednimi organami europejskimi, takimi jak Europejski Instytut ds. Równości Kobiet i Mężczyzn.</w:t>
            </w:r>
          </w:p>
        </w:tc>
        <w:tc>
          <w:tcPr>
            <w:tcW w:w="4876" w:type="dxa"/>
            <w:hideMark/>
          </w:tcPr>
          <w:p w:rsidR="008429B6" w:rsidRPr="000202F9" w:rsidRDefault="0079015F" w:rsidP="00823CA1">
            <w:pPr>
              <w:pStyle w:val="Normal6"/>
              <w:rPr>
                <w:szCs w:val="24"/>
              </w:rPr>
            </w:pPr>
            <w:r w:rsidRPr="000202F9">
              <w:t>(6)</w:t>
            </w:r>
            <w:r w:rsidRPr="000202F9">
              <w:tab/>
              <w:t>W dyrektywach 2006/54/WE i 2010/41/UE nałożono na państwa członkowskie wymó</w:t>
            </w:r>
            <w:r w:rsidRPr="000202F9">
              <w:t>g wyznaczenia organu lub organów odpowiedzialnych za promowanie równego traktowania, w tym analizowanie, monitorowanie i wspieranie równego traktowania wszystkich osób objętych zakresem przedmiotowych dyrektyw (zwanych dalej „organami ds. równości”). Od pa</w:t>
            </w:r>
            <w:r w:rsidRPr="000202F9">
              <w:t xml:space="preserve">ństw członkowskich wymaga się zapewnienia, aby do kompetencji tych organów należało świadczenie niezależnej pomocy ofiarom dyskryminacji, prowadzenie niezależnych badań dotyczących dyskryminacji, publikowanie niezależnych sprawozdań i wydawanie zaleceń na </w:t>
            </w:r>
            <w:r w:rsidRPr="000202F9">
              <w:t>temat wszystkich problemów związanych z taką dyskryminacją. Zgodnie z tymi dyrektywami państwa członkowskie muszą też zapewnić, aby do zadań tych organów należała wymiana informacji z odpowiednimi organami europejskimi, takimi jak Europejski Instytut ds. R</w:t>
            </w:r>
            <w:r w:rsidRPr="000202F9">
              <w:t>ówności Kobiet i Mężczyzn</w:t>
            </w:r>
            <w:r w:rsidRPr="000202F9">
              <w:rPr>
                <w:b/>
                <w:i/>
              </w:rPr>
              <w:t xml:space="preserve"> oraz Agencja Praw Podstawowych Unii Europejskiej (FRA)</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9</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(9)</w:t>
            </w:r>
            <w:r w:rsidRPr="000202F9">
              <w:tab/>
            </w:r>
            <w:r w:rsidRPr="000202F9">
              <w:t>Dyrektywy 2006/54/WE i 2010/41/UE pozostawiają państwom członkowskim szeroki zakres swobody, jeżeli chodzi o strukturę i funkcjonowanie organów ds. równości. W rezultacie organy ds. równości powołane w poszczególnych państwach członkowskich znacząco różnią</w:t>
            </w:r>
            <w:r w:rsidRPr="000202F9">
              <w:t xml:space="preserve"> się pod względem zakresu kompetencji, uprawnień, struktur, zasobów i funkcjonowania operacyjnego. To z kolei oznacza, że ochrona przed dyskryminacją w poszczególnych państwach członkowskich jest zróżnicowana.</w:t>
            </w:r>
          </w:p>
        </w:tc>
        <w:tc>
          <w:tcPr>
            <w:tcW w:w="4876" w:type="dxa"/>
            <w:hideMark/>
          </w:tcPr>
          <w:p w:rsidR="008429B6" w:rsidRPr="000202F9" w:rsidRDefault="0079015F" w:rsidP="00823CA1">
            <w:pPr>
              <w:pStyle w:val="Normal6"/>
              <w:rPr>
                <w:szCs w:val="24"/>
              </w:rPr>
            </w:pPr>
            <w:r w:rsidRPr="000202F9">
              <w:t>(9)</w:t>
            </w:r>
            <w:r w:rsidRPr="000202F9">
              <w:tab/>
              <w:t>Dyrektywy 2006/54/WE i 2010/41/UE pozostaw</w:t>
            </w:r>
            <w:r w:rsidRPr="000202F9">
              <w:t>iają państwom członkowskim szeroki zakres swobody, jeżeli chodzi o strukturę i funkcjonowanie organów ds. równości. W rezultacie organy ds. równości powołane w poszczególnych państwach członkowskich znacząco różnią się pod względem zakresu kompetencji, upr</w:t>
            </w:r>
            <w:r w:rsidRPr="000202F9">
              <w:t>awnień, struktur, zasobów i funkcjonowania operacyjnego. To z kolei oznacza, że ochrona przed dyskryminacją w poszczególnych państwach członkowskich jest zróżnicowana</w:t>
            </w:r>
            <w:r w:rsidRPr="000202F9">
              <w:rPr>
                <w:b/>
                <w:i/>
              </w:rPr>
              <w:t>, co skutkuje nierówną ochroną ofiar dyskryminacji w Unii oraz nieadekwatnym wdrażaniem un</w:t>
            </w:r>
            <w:r w:rsidRPr="000202F9">
              <w:rPr>
                <w:b/>
                <w:i/>
              </w:rPr>
              <w:t>ijnych przepisów dotyczących równego traktowania</w:t>
            </w:r>
            <w:r w:rsidRPr="000202F9">
              <w:t>.</w:t>
            </w:r>
            <w:r w:rsidRPr="000202F9">
              <w:rPr>
                <w:b/>
                <w:i/>
              </w:rPr>
              <w:t xml:space="preserve"> W celu zapewnienia całościowej, skutecznej i kompleksowej ochrony przed dyskryminacją państwa członkowskie powinny promować i finansować organy ds. równości, aby uwzględniać wszystkie przesłanki dyskryminac</w:t>
            </w:r>
            <w:r w:rsidRPr="000202F9">
              <w:rPr>
                <w:b/>
                <w:i/>
              </w:rPr>
              <w:t xml:space="preserve">ji zgodnie z art. 21 Karty, którego charakter nie jest wyczerpujący. </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12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(12)</w:t>
            </w:r>
            <w:r w:rsidRPr="000202F9">
              <w:tab/>
              <w:t xml:space="preserve">Niniejsza </w:t>
            </w:r>
            <w:r w:rsidRPr="000202F9">
              <w:t>dyrektywa powinna mieć zastosowanie do działań organów ds. równości w kwestiach objętych zakresem dyrektyw 2006/54/WE i 2010/41/UE. Normy powinny dotyczyć jedynie funkcjonowania organów ds. równości i nie powinny wykraczać poza zakres przedmiotowy i podmio</w:t>
            </w:r>
            <w:r w:rsidRPr="000202F9">
              <w:t>towy tych dyrektyw.</w:t>
            </w:r>
          </w:p>
        </w:tc>
        <w:tc>
          <w:tcPr>
            <w:tcW w:w="4876" w:type="dxa"/>
            <w:hideMark/>
          </w:tcPr>
          <w:p w:rsidR="008429B6" w:rsidRPr="000202F9" w:rsidRDefault="0079015F" w:rsidP="00334B3E">
            <w:pPr>
              <w:pStyle w:val="Normal6"/>
              <w:rPr>
                <w:szCs w:val="24"/>
              </w:rPr>
            </w:pPr>
            <w:r w:rsidRPr="000202F9">
              <w:t>(12)</w:t>
            </w:r>
            <w:r w:rsidRPr="000202F9">
              <w:tab/>
              <w:t xml:space="preserve">Niniejsza dyrektywa powinna mieć zastosowanie do działań organów ds. równości w kwestiach objętych zakresem dyrektyw 2006/54/WE i 2010/41/UE. Normy powinny dotyczyć jedynie funkcjonowania organów ds. równości i nie powinny </w:t>
            </w:r>
            <w:r w:rsidRPr="000202F9">
              <w:t>wykraczać poza zakres przedmiotowy i podmiotowy tych dyrektyw.</w:t>
            </w:r>
            <w:r w:rsidRPr="000202F9">
              <w:rPr>
                <w:b/>
                <w:i/>
              </w:rPr>
              <w:t xml:space="preserve"> W szeregu państw członkowskich, w ramach dobrej praktyki i w związku z wykładnią rozszerzającą przez TSUE przesłanki „płci”, organy ds. </w:t>
            </w:r>
            <w:r w:rsidRPr="000202F9">
              <w:rPr>
                <w:b/>
                <w:i/>
              </w:rPr>
              <w:lastRenderedPageBreak/>
              <w:t>równości mają również kompetencje w zakresie promowania r</w:t>
            </w:r>
            <w:r w:rsidRPr="000202F9">
              <w:rPr>
                <w:b/>
                <w:i/>
              </w:rPr>
              <w:t>ówności i zwalczania dyskryminacji ze względu na tożsamość i ekspresję płciową oraz cechy płciowe</w:t>
            </w:r>
            <w:r w:rsidRPr="000202F9">
              <w:rPr>
                <w:b/>
                <w:i/>
                <w:vertAlign w:val="superscript"/>
              </w:rPr>
              <w:t>13a</w:t>
            </w:r>
            <w:r w:rsidRPr="000202F9">
              <w:rPr>
                <w:b/>
                <w:i/>
              </w:rPr>
              <w:t>. Nie jest tak jednak we wszystkich państwach członkowskich, co prowadzi do różnego poziomu ochrony przed dyskryminacją w kwestiach objętych zakresem tych d</w:t>
            </w:r>
            <w:r w:rsidRPr="000202F9">
              <w:rPr>
                <w:b/>
                <w:i/>
              </w:rPr>
              <w:t xml:space="preserve">yrektyw na terytorium Unii. </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t>__________________</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08572E" w:rsidP="0008572E">
            <w:pPr>
              <w:pStyle w:val="Normal6"/>
              <w:rPr>
                <w:szCs w:val="24"/>
              </w:rPr>
            </w:pPr>
            <w:r w:rsidRPr="0008572E">
              <w:rPr>
                <w:b/>
                <w:i/>
                <w:vertAlign w:val="superscript"/>
              </w:rPr>
              <w:t>13a</w:t>
            </w:r>
            <w:r>
              <w:rPr>
                <w:b/>
                <w:i/>
              </w:rPr>
              <w:t xml:space="preserve"> </w:t>
            </w:r>
            <w:r w:rsidR="0079015F" w:rsidRPr="000202F9">
              <w:rPr>
                <w:b/>
                <w:i/>
              </w:rPr>
              <w:t>Wyrok Trybunału Sprawiedliwości z dnia 30 kwietnia 1994 r., P v S, C-13/94, ECLI:EU:C:1996:170; wyrok Trybunału Sprawiedliwości z dnia 7 stycznia 2004 r., K.B., C-117/01, ECLI:EU:C:2004:7; wyrok Tryb</w:t>
            </w:r>
            <w:r w:rsidR="0079015F" w:rsidRPr="000202F9">
              <w:rPr>
                <w:b/>
                <w:i/>
              </w:rPr>
              <w:t>unału Sprawiedliwości z dnia 27 kwietnia 2006 r., Richards, C-423/04, ECLI:EU:C:2006:256; wyrok Trybunału Sprawiedliwości z dnia 26 czerwca 2018</w:t>
            </w:r>
            <w:r>
              <w:rPr>
                <w:b/>
                <w:i/>
              </w:rPr>
              <w:t> </w:t>
            </w:r>
            <w:r w:rsidR="0079015F" w:rsidRPr="000202F9">
              <w:rPr>
                <w:b/>
                <w:i/>
              </w:rPr>
              <w:t>r., M.B., C-451/16, ECLI:EU:C:2018:492.</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w:t>
      </w:r>
      <w:r w:rsidRPr="000202F9">
        <w:t>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14</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(14)</w:t>
            </w:r>
            <w:r w:rsidRPr="000202F9">
              <w:tab/>
            </w:r>
            <w:r w:rsidRPr="000202F9">
              <w:rPr>
                <w:b/>
                <w:i/>
              </w:rPr>
              <w:t>Proponowaną</w:t>
            </w:r>
            <w:r w:rsidRPr="000202F9">
              <w:t xml:space="preserve"> dyrektywę </w:t>
            </w:r>
            <w:r w:rsidRPr="000202F9">
              <w:rPr>
                <w:b/>
                <w:i/>
              </w:rPr>
              <w:t xml:space="preserve">mającą na celu wzmocnienie stosowania zasady równości wynagrodzeń dla kobiet i mężczyzn za taką samą pracę lub pracę o takiej samej </w:t>
            </w:r>
            <w:r w:rsidRPr="000202F9">
              <w:rPr>
                <w:b/>
                <w:i/>
              </w:rPr>
              <w:t>wartości za pośrednictwem mechanizmów przejrzystości wynagrodzeń oraz mechanizmów egzekwowania</w:t>
            </w:r>
            <w:r w:rsidRPr="000202F9">
              <w:rPr>
                <w:b/>
                <w:i/>
                <w:vertAlign w:val="superscript"/>
              </w:rPr>
              <w:t>69</w:t>
            </w:r>
            <w:r w:rsidRPr="000202F9">
              <w:t xml:space="preserve"> należy uznać za lex specialis w stosunku do przepisów wykonawczych dyrektywy 2006/54/WE, które zostaną zastąpione niniejszą dyrektywą. Wszelkie wyższe normy mi</w:t>
            </w:r>
            <w:r w:rsidRPr="000202F9">
              <w:t xml:space="preserve">nimalne ustanowione w przyszłej dyrektywie w sprawie przejrzystości wynagrodzeń, dotyczące funkcjonowania organów ds. równości w sprawach związanych z równym wynagrodzeniem za taką samą pracę lub pracę o takiej samej </w:t>
            </w:r>
            <w:r w:rsidRPr="000202F9">
              <w:lastRenderedPageBreak/>
              <w:t xml:space="preserve">wartości, w tym w sprawach dotyczących </w:t>
            </w:r>
            <w:r w:rsidRPr="000202F9">
              <w:t>przejrzystości wynagrodzeń, w porównaniu z normami określonymi w niniejszej dyrektywie, powinny mieć pierwszeństwo przed normami określonymi w niniejszej dyrektywie.</w:t>
            </w:r>
          </w:p>
        </w:tc>
        <w:tc>
          <w:tcPr>
            <w:tcW w:w="4876" w:type="dxa"/>
            <w:hideMark/>
          </w:tcPr>
          <w:p w:rsidR="008429B6" w:rsidRPr="000202F9" w:rsidRDefault="0079015F" w:rsidP="0008572E">
            <w:pPr>
              <w:pStyle w:val="Normal6"/>
              <w:rPr>
                <w:szCs w:val="24"/>
              </w:rPr>
            </w:pPr>
            <w:r w:rsidRPr="000202F9">
              <w:lastRenderedPageBreak/>
              <w:t>(14)</w:t>
            </w:r>
            <w:r w:rsidRPr="000202F9">
              <w:tab/>
              <w:t xml:space="preserve">Dyrektywę </w:t>
            </w:r>
            <w:r w:rsidRPr="000202F9">
              <w:rPr>
                <w:b/>
                <w:i/>
              </w:rPr>
              <w:t>(UE) 2023/970</w:t>
            </w:r>
            <w:r w:rsidRPr="0008572E">
              <w:rPr>
                <w:b/>
                <w:i/>
                <w:vertAlign w:val="superscript"/>
              </w:rPr>
              <w:t>14a</w:t>
            </w:r>
            <w:r w:rsidRPr="000202F9">
              <w:t xml:space="preserve"> należy uznać za lex specialis w stosunku do przepisów wyk</w:t>
            </w:r>
            <w:r w:rsidRPr="000202F9">
              <w:t>onawczych dyrektywy 2006/54/WE, które zostaną zastąpione niniejszą dyrektywą. Wszelkie wyższe normy minimalne ustanowione w przyszłej dyrektywie w sprawie przejrzystości wynagrodzeń, dotyczące funkcjonowania organów ds. równości w sprawach związanych z rów</w:t>
            </w:r>
            <w:r w:rsidRPr="000202F9">
              <w:t xml:space="preserve">nym wynagrodzeniem za taką samą pracę lub pracę o takiej samej wartości, w tym w sprawach dotyczących przejrzystości wynagrodzeń, w porównaniu z normami określonymi w niniejszej dyrektywie, powinny mieć pierwszeństwo przed normami określonymi w niniejszej </w:t>
            </w:r>
            <w:r w:rsidRPr="000202F9">
              <w:lastRenderedPageBreak/>
              <w:t>dyrektywie.</w:t>
            </w:r>
          </w:p>
        </w:tc>
      </w:tr>
      <w:tr w:rsidR="00313F61" w:rsidRPr="000202F9" w:rsidTr="00823CA1">
        <w:trPr>
          <w:jc w:val="center"/>
        </w:trPr>
        <w:tc>
          <w:tcPr>
            <w:tcW w:w="4876" w:type="dxa"/>
            <w:hideMark/>
          </w:tcPr>
          <w:p w:rsidR="008429B6" w:rsidRPr="000202F9" w:rsidRDefault="0079015F" w:rsidP="00823CA1">
            <w:pPr>
              <w:pStyle w:val="Normal6"/>
            </w:pPr>
            <w:r w:rsidRPr="000202F9">
              <w:lastRenderedPageBreak/>
              <w:t>__________________</w:t>
            </w:r>
          </w:p>
        </w:tc>
        <w:tc>
          <w:tcPr>
            <w:tcW w:w="4876" w:type="dxa"/>
            <w:hideMark/>
          </w:tcPr>
          <w:p w:rsidR="008429B6" w:rsidRPr="000202F9" w:rsidRDefault="0079015F" w:rsidP="00823CA1">
            <w:pPr>
              <w:pStyle w:val="Normal6"/>
              <w:rPr>
                <w:szCs w:val="24"/>
              </w:rPr>
            </w:pPr>
            <w:r w:rsidRPr="000202F9">
              <w:t>__________________</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8572E">
              <w:rPr>
                <w:b/>
                <w:i/>
                <w:vertAlign w:val="superscript"/>
              </w:rPr>
              <w:t>14a</w:t>
            </w:r>
            <w:r w:rsidRPr="000202F9">
              <w:rPr>
                <w:b/>
                <w:i/>
              </w:rPr>
              <w:t xml:space="preserve"> Dyrektywa Parlamentu Europejskiego i Rady (UE) 2023/970 z 10 maja 2023 r. w sprawie wzmocnienia stosowania zasady równości wynagrodzeń dla mężczyzn i kobiet za taką samą pracę lub pracę o takiej same</w:t>
            </w:r>
            <w:r w:rsidRPr="000202F9">
              <w:rPr>
                <w:b/>
                <w:i/>
              </w:rPr>
              <w:t>j wartości za pośrednictwem mechanizmów przejrzystości wynagrodzeń oraz mechanizmów egzekwowania (Dz.U. L 132 z 17.5.2023, s. 21).</w:t>
            </w:r>
          </w:p>
        </w:tc>
      </w:tr>
      <w:tr w:rsidR="00313F61" w:rsidRPr="000202F9" w:rsidTr="00823CA1">
        <w:trPr>
          <w:jc w:val="center"/>
        </w:trPr>
        <w:tc>
          <w:tcPr>
            <w:tcW w:w="4876" w:type="dxa"/>
            <w:hideMark/>
          </w:tcPr>
          <w:p w:rsidR="008429B6" w:rsidRPr="000202F9" w:rsidRDefault="0079015F" w:rsidP="00823CA1">
            <w:pPr>
              <w:pStyle w:val="Normal6"/>
            </w:pPr>
            <w:r w:rsidRPr="000202F9">
              <w:rPr>
                <w:b/>
                <w:i/>
                <w:vertAlign w:val="superscript"/>
              </w:rPr>
              <w:t>69</w:t>
            </w:r>
            <w:r w:rsidRPr="000202F9">
              <w:rPr>
                <w:b/>
                <w:i/>
              </w:rPr>
              <w:t xml:space="preserve"> Wniosek dotyczący dyrektywy Parlamentu Europejskiego i Rady w sprawie wzmocnienia stosowania zasady równości wynagrodzeń dla kobiet i mężczyzn za taką samą pracę lub pracę o takiej samej wartości za pośrednictwem mechanizmów przejrzystości wynagrodzeń ora</w:t>
            </w:r>
            <w:r w:rsidRPr="000202F9">
              <w:rPr>
                <w:b/>
                <w:i/>
              </w:rPr>
              <w:t>z mechanizmów egzekwowania (COM(2021) 93 final).</w:t>
            </w:r>
          </w:p>
        </w:tc>
        <w:tc>
          <w:tcPr>
            <w:tcW w:w="4876" w:type="dxa"/>
          </w:tcPr>
          <w:p w:rsidR="008429B6" w:rsidRPr="000202F9" w:rsidRDefault="008429B6" w:rsidP="00823CA1">
            <w:pPr>
              <w:pStyle w:val="Normal6"/>
              <w:rPr>
                <w:szCs w:val="24"/>
              </w:rPr>
            </w:pP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15</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(15)</w:t>
            </w:r>
            <w:r w:rsidRPr="000202F9">
              <w:tab/>
              <w:t xml:space="preserve">Podczas promowania równego </w:t>
            </w:r>
            <w:r w:rsidRPr="000202F9">
              <w:t>traktowania, zapobiegania dyskryminacji oraz pomagania ofiarom dyskryminacji organy ds. równości powinny zwracać szczególną uwagę na dyskryminację wynikającą z</w:t>
            </w:r>
            <w:r w:rsidRPr="000202F9">
              <w:rPr>
                <w:b/>
                <w:i/>
              </w:rPr>
              <w:t> </w:t>
            </w:r>
            <w:r w:rsidRPr="000202F9">
              <w:t>wielorakich przesłanek objętych zakresem dyrektyw 79/7/EWG, 2000/43/WE, 2000/78/WE, 2004/113/WE,</w:t>
            </w:r>
            <w:r w:rsidRPr="000202F9">
              <w:t xml:space="preserve"> 2006/54/WE i 2010/41/UE.</w:t>
            </w:r>
          </w:p>
        </w:tc>
        <w:tc>
          <w:tcPr>
            <w:tcW w:w="4876" w:type="dxa"/>
            <w:hideMark/>
          </w:tcPr>
          <w:p w:rsidR="008429B6" w:rsidRPr="000202F9" w:rsidRDefault="0079015F" w:rsidP="00823CA1">
            <w:pPr>
              <w:pStyle w:val="Normal6"/>
              <w:rPr>
                <w:szCs w:val="24"/>
              </w:rPr>
            </w:pPr>
            <w:r w:rsidRPr="000202F9">
              <w:t>(15)</w:t>
            </w:r>
            <w:r w:rsidRPr="000202F9">
              <w:tab/>
              <w:t xml:space="preserve">Podczas promowania równego traktowania, zapobiegania dyskryminacji oraz pomagania ofiarom dyskryminacji organy ds. równości powinny zwracać szczególną uwagę na dyskryminację </w:t>
            </w:r>
            <w:r w:rsidRPr="000202F9">
              <w:rPr>
                <w:b/>
                <w:i/>
              </w:rPr>
              <w:t>z wielu przyczyn jednocześnie i dyskryminację krzyż</w:t>
            </w:r>
            <w:r w:rsidRPr="000202F9">
              <w:rPr>
                <w:b/>
                <w:i/>
              </w:rPr>
              <w:t xml:space="preserve">ową </w:t>
            </w:r>
            <w:r w:rsidRPr="000202F9">
              <w:t>wynikającą z</w:t>
            </w:r>
            <w:r w:rsidRPr="000202F9">
              <w:rPr>
                <w:b/>
                <w:i/>
              </w:rPr>
              <w:t xml:space="preserve"> połączenia </w:t>
            </w:r>
            <w:r w:rsidRPr="000202F9">
              <w:t>wielorakich przesłanek objętych zakresem dyrektyw 79/7/EWG, 2000/43/WE, 2000/78/WE, 2004/113/WE, 2006/54/WE i 2010/41/UE</w:t>
            </w:r>
            <w:r w:rsidRPr="000202F9">
              <w:rPr>
                <w:b/>
                <w:i/>
              </w:rPr>
              <w:t xml:space="preserve"> oraz Karty, należy bowiem uznać, że osoby są często dyskryminowane z więcej niż jednego </w:t>
            </w:r>
            <w:r w:rsidRPr="000202F9">
              <w:rPr>
                <w:b/>
                <w:i/>
              </w:rPr>
              <w:lastRenderedPageBreak/>
              <w:t>względu i że dyskry</w:t>
            </w:r>
            <w:r w:rsidRPr="000202F9">
              <w:rPr>
                <w:b/>
                <w:i/>
              </w:rPr>
              <w:t>minacja ta powoduje konkretną niekorzystną sytuację</w:t>
            </w:r>
            <w:r w:rsidRPr="000202F9">
              <w:t xml:space="preserve">. </w:t>
            </w:r>
            <w:r w:rsidRPr="000202F9">
              <w:rPr>
                <w:b/>
                <w:i/>
              </w:rPr>
              <w:t>Przyjęcie podejścia krzyżowego jest kluczem do zrozumienia nierówności społecznych, wykluczenia i dyskryminacji z kompleksowej, systemowej lub strukturalnej perspektywy, przy jednoczesnym odejściu od jed</w:t>
            </w:r>
            <w:r w:rsidRPr="000202F9">
              <w:rPr>
                <w:b/>
                <w:i/>
              </w:rPr>
              <w:t>nowymiarowego podejścia do dyskryminacji, które marginalizuje jej instytucjonalny i historyczny wymiar. Organy ds. równości powinny zapewnić wyraźne i odpowiednie skoncentrowanie się na każdej z uwzględnionych podstaw oraz na ich wzajemnych powiązaniach. P</w:t>
            </w:r>
            <w:r w:rsidRPr="000202F9">
              <w:rPr>
                <w:b/>
                <w:i/>
              </w:rPr>
              <w:t xml:space="preserve">rzy wdrażaniu niniejszej dyrektywy należy uwzględnić przepisy dotyczące dyskryminacji krzyżowej zawarte w dyrektywie (UE) 2023/970. </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16</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(16)</w:t>
            </w:r>
            <w:r w:rsidRPr="000202F9">
              <w:tab/>
              <w:t>Organy ds. równości mogą skutecznie pełnić swoją rolę tylko wówczas, gdy są w stanie działać zupełnie niezależnie, w sposób wolny od jakichkolwiek zewnętrznych wpływów. W tym celu państwa członkowskie powinny</w:t>
            </w:r>
            <w:r w:rsidRPr="000202F9">
              <w:t xml:space="preserve"> uwzględnić szereg kryteriów, które </w:t>
            </w:r>
            <w:r w:rsidRPr="000202F9">
              <w:rPr>
                <w:b/>
                <w:i/>
              </w:rPr>
              <w:t>przyczyniają się do niezależności</w:t>
            </w:r>
            <w:r w:rsidRPr="000202F9">
              <w:t xml:space="preserve"> organów ds. równości. Organy ds. równości nie powinny być powoływane w strukturach ministerstwa ani innego organu przyjmującego instrukcje bezpośrednio od rządu. Każdy pracownik lub osob</w:t>
            </w:r>
            <w:r w:rsidRPr="000202F9">
              <w:t xml:space="preserve">a pełniąca funkcję kierowniczą – na przykład jako członek rady zarządzającej </w:t>
            </w:r>
            <w:r w:rsidRPr="000202F9">
              <w:rPr>
                <w:b/>
                <w:i/>
              </w:rPr>
              <w:t>organem</w:t>
            </w:r>
            <w:r w:rsidRPr="000202F9">
              <w:t xml:space="preserve"> ds. równości, </w:t>
            </w:r>
            <w:r w:rsidRPr="000202F9">
              <w:rPr>
                <w:b/>
                <w:i/>
              </w:rPr>
              <w:t>dyrektor, zastępca lub osoba pełniąca obowiązki dyrektora organu</w:t>
            </w:r>
            <w:r w:rsidRPr="000202F9">
              <w:t xml:space="preserve"> ds. równości – </w:t>
            </w:r>
            <w:r w:rsidRPr="000202F9">
              <w:rPr>
                <w:b/>
                <w:i/>
              </w:rPr>
              <w:t>powinien</w:t>
            </w:r>
            <w:r w:rsidRPr="000202F9">
              <w:t xml:space="preserve"> być </w:t>
            </w:r>
            <w:r w:rsidRPr="000202F9">
              <w:rPr>
                <w:b/>
                <w:i/>
              </w:rPr>
              <w:t>niezależny, posiadać kwalifikacje odpowiednie do stanowiska oraz</w:t>
            </w:r>
            <w:r w:rsidRPr="000202F9">
              <w:rPr>
                <w:b/>
                <w:i/>
              </w:rPr>
              <w:t xml:space="preserve"> być wybrany w wyniku przejrzystej </w:t>
            </w:r>
            <w:r w:rsidRPr="000202F9">
              <w:rPr>
                <w:b/>
                <w:i/>
              </w:rPr>
              <w:lastRenderedPageBreak/>
              <w:t>procedury</w:t>
            </w:r>
            <w:r w:rsidRPr="000202F9">
              <w:t>. Organy ds. równości powinny móc zarządzać własnym budżetem i zasobami, w tym przez wybór swoich pracowników i zarządzanie nimi, oraz powinny móc określać własne priorytety.</w:t>
            </w:r>
          </w:p>
        </w:tc>
        <w:tc>
          <w:tcPr>
            <w:tcW w:w="4876" w:type="dxa"/>
            <w:hideMark/>
          </w:tcPr>
          <w:p w:rsidR="008429B6" w:rsidRPr="000202F9" w:rsidRDefault="0079015F" w:rsidP="00823CA1">
            <w:pPr>
              <w:pStyle w:val="Normal6"/>
              <w:rPr>
                <w:szCs w:val="24"/>
              </w:rPr>
            </w:pPr>
            <w:r w:rsidRPr="000202F9">
              <w:lastRenderedPageBreak/>
              <w:t>(16)</w:t>
            </w:r>
            <w:r w:rsidRPr="000202F9">
              <w:tab/>
              <w:t>Organy ds. równości mogą skutecz</w:t>
            </w:r>
            <w:r w:rsidRPr="000202F9">
              <w:t xml:space="preserve">nie pełnić swoją rolę tylko wówczas, gdy są w stanie </w:t>
            </w:r>
            <w:r w:rsidRPr="000202F9">
              <w:rPr>
                <w:b/>
                <w:i/>
              </w:rPr>
              <w:t xml:space="preserve">podejmować decyzje i </w:t>
            </w:r>
            <w:r w:rsidRPr="000202F9">
              <w:t>działać zupełnie niezależnie, w sposób wolny od jakichkolwiek zewnętrznych wpływów</w:t>
            </w:r>
            <w:r w:rsidRPr="000202F9">
              <w:rPr>
                <w:b/>
                <w:i/>
              </w:rPr>
              <w:t>, w szczególności wpływów politycznych</w:t>
            </w:r>
            <w:r w:rsidRPr="000202F9">
              <w:t>. W tym celu państwa członkowskie powinny uwzględnić szereg kr</w:t>
            </w:r>
            <w:r w:rsidRPr="000202F9">
              <w:t xml:space="preserve">yteriów, które </w:t>
            </w:r>
            <w:r w:rsidRPr="000202F9">
              <w:rPr>
                <w:b/>
                <w:i/>
              </w:rPr>
              <w:t>zapewniają niezależność</w:t>
            </w:r>
            <w:r w:rsidRPr="000202F9">
              <w:t xml:space="preserve"> organów ds. równości. Organy ds. równości nie powinny być powoływane w strukturach ministerstwa ani innego organu przyjmującego instrukcje bezpośrednio od rządu. </w:t>
            </w:r>
            <w:r w:rsidRPr="000202F9">
              <w:t xml:space="preserve">Każdy pracownik lub osoba pełniąca funkcję kierowniczą – na przykład jako członek rady zarządzającej </w:t>
            </w:r>
            <w:r w:rsidRPr="000202F9">
              <w:rPr>
                <w:b/>
                <w:i/>
              </w:rPr>
              <w:t>organów</w:t>
            </w:r>
            <w:r w:rsidRPr="000202F9">
              <w:t xml:space="preserve"> ds. równości, </w:t>
            </w:r>
            <w:r w:rsidRPr="000202F9">
              <w:rPr>
                <w:b/>
                <w:i/>
              </w:rPr>
              <w:t>a także dyrektorzy organów ds. równości, zastępcy dyrektorów lub tymczasowi dyrektorzy organów</w:t>
            </w:r>
            <w:r w:rsidRPr="000202F9">
              <w:t xml:space="preserve"> ds. równości – </w:t>
            </w:r>
            <w:r w:rsidRPr="000202F9">
              <w:rPr>
                <w:b/>
                <w:i/>
              </w:rPr>
              <w:t>powinni</w:t>
            </w:r>
            <w:r w:rsidRPr="000202F9">
              <w:t xml:space="preserve"> być </w:t>
            </w:r>
            <w:r w:rsidRPr="000202F9">
              <w:rPr>
                <w:b/>
                <w:i/>
              </w:rPr>
              <w:t>wybierani w</w:t>
            </w:r>
            <w:r w:rsidRPr="000202F9">
              <w:rPr>
                <w:b/>
                <w:i/>
              </w:rPr>
              <w:t xml:space="preserve"> </w:t>
            </w:r>
            <w:r w:rsidRPr="000202F9">
              <w:rPr>
                <w:b/>
                <w:i/>
              </w:rPr>
              <w:lastRenderedPageBreak/>
              <w:t>oparciu o merytoryczne i przejrzyste procedury otwartego konkursu</w:t>
            </w:r>
            <w:r w:rsidRPr="000202F9">
              <w:t xml:space="preserve">. Organy ds. równości powinny móc </w:t>
            </w:r>
            <w:r w:rsidRPr="000202F9">
              <w:rPr>
                <w:b/>
                <w:i/>
              </w:rPr>
              <w:t xml:space="preserve">decydować o swojej wewnętrznej strukturze i </w:t>
            </w:r>
            <w:r w:rsidRPr="000202F9">
              <w:t>zarządzać własnym budżetem i zasobami, w tym przez wybór swoich pracowników i zarządzanie nimi, oraz powinny móc</w:t>
            </w:r>
            <w:r w:rsidRPr="000202F9">
              <w:t xml:space="preserve"> określać własne priorytety</w:t>
            </w:r>
            <w:r w:rsidRPr="000202F9">
              <w:rPr>
                <w:b/>
                <w:i/>
              </w:rPr>
              <w:t xml:space="preserve"> z uwzględnieniem unijnych priorytetów w zakresie równości płci</w:t>
            </w:r>
            <w:r w:rsidRPr="000202F9">
              <w:t>.</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9</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17</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(17)</w:t>
            </w:r>
            <w:r w:rsidRPr="000202F9">
              <w:tab/>
              <w:t xml:space="preserve">Aby zapewnić, by organy ds. równości mogły wykonywać wszystkie swoje kompetencje i zadania, </w:t>
            </w:r>
            <w:r w:rsidRPr="000202F9">
              <w:rPr>
                <w:b/>
                <w:i/>
              </w:rPr>
              <w:t>państwa członkowskie</w:t>
            </w:r>
            <w:r w:rsidRPr="000202F9">
              <w:t xml:space="preserve"> powinny </w:t>
            </w:r>
            <w:r w:rsidRPr="000202F9">
              <w:rPr>
                <w:b/>
                <w:i/>
              </w:rPr>
              <w:t>dopilnować, aby wewnętrzna struktura tych organów umożliwiała</w:t>
            </w:r>
            <w:r w:rsidRPr="000202F9">
              <w:t xml:space="preserve"> im niezależne wykonywanie różnych kompetencji. Szczególną uwagę na</w:t>
            </w:r>
            <w:r w:rsidRPr="000202F9">
              <w:t>leży zwrócić na sytuacje, w których od organów tych wymaga się, aby zarówno były bezstronne, jak i oferowały wsparcie ofiarom. Jest to szczególnie istotne w przypadkach, gdy organ ds. równości posiada uprawnienia do wydawania wiążących decyzji, co wymaga b</w:t>
            </w:r>
            <w:r w:rsidRPr="000202F9">
              <w:t>ezstronności, lub jest częścią organu wielozadaniowego i jedna z jego pozostałych kompetencji wymaga bezstronności. Struktura wewnętrzna zapewniająca ścisłe rozdzielenie odpowiednich kompetencji i zadań powinna zagwarantować skuteczne ich wykonywanie przez</w:t>
            </w:r>
            <w:r w:rsidRPr="000202F9">
              <w:t xml:space="preserve"> organ ds. równości.</w:t>
            </w:r>
          </w:p>
        </w:tc>
        <w:tc>
          <w:tcPr>
            <w:tcW w:w="4876" w:type="dxa"/>
            <w:hideMark/>
          </w:tcPr>
          <w:p w:rsidR="008429B6" w:rsidRPr="000202F9" w:rsidRDefault="0079015F" w:rsidP="00823CA1">
            <w:pPr>
              <w:pStyle w:val="Normal6"/>
              <w:rPr>
                <w:szCs w:val="24"/>
              </w:rPr>
            </w:pPr>
            <w:r w:rsidRPr="000202F9">
              <w:t>(17)</w:t>
            </w:r>
            <w:r w:rsidRPr="000202F9">
              <w:tab/>
              <w:t xml:space="preserve">Aby zapewnić, by organy ds. równości mogły wykonywać wszystkie swoje kompetencje i zadania, </w:t>
            </w:r>
            <w:r w:rsidRPr="000202F9">
              <w:rPr>
                <w:b/>
                <w:i/>
              </w:rPr>
              <w:t>organy te</w:t>
            </w:r>
            <w:r w:rsidRPr="000202F9">
              <w:t xml:space="preserve"> powinny </w:t>
            </w:r>
            <w:r w:rsidRPr="000202F9">
              <w:rPr>
                <w:b/>
                <w:i/>
              </w:rPr>
              <w:t>określić swoją wewnętrzną strukturę w sposób umożliwiający</w:t>
            </w:r>
            <w:r w:rsidRPr="000202F9">
              <w:t xml:space="preserve"> im niezależne wykonywanie różnych kompetencji</w:t>
            </w:r>
            <w:r w:rsidRPr="000202F9">
              <w:rPr>
                <w:b/>
                <w:i/>
              </w:rPr>
              <w:t>, w tym uprawnie</w:t>
            </w:r>
            <w:r w:rsidRPr="000202F9">
              <w:rPr>
                <w:b/>
                <w:i/>
              </w:rPr>
              <w:t>ń decyzyjnych obejmujących pełne korzystanie z kompetencji w zakresie działań prewencyjnych, promocyjnych i wspierających oraz uprawnień procesowych w ich szerszym zakresie</w:t>
            </w:r>
            <w:r w:rsidRPr="000202F9">
              <w:t>. Szczególną uwagę należy zwrócić na sytuacje, w których od organów tych wymaga się,</w:t>
            </w:r>
            <w:r w:rsidRPr="000202F9">
              <w:t xml:space="preserve"> aby zarówno były bezstronne, jak i oferowały wsparcie ofiarom. Jest to szczególnie istotne w przypadkach, gdy organ ds. równości posiada uprawnienia do wydawania wiążących decyzji, co wymaga bezstronności, lub jest częścią organu wielozadaniowego i jedna </w:t>
            </w:r>
            <w:r w:rsidRPr="000202F9">
              <w:t>z jego pozostałych kompetencji wymaga bezstronności. Struktura wewnętrzna zapewniająca ścisłe rozdzielenie odpowiednich kompetencji i zadań powinna zagwarantować skuteczne ich wykonywanie przez organ ds. równości.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lastRenderedPageBreak/>
        <w:t>&lt;Amend&gt;</w:t>
      </w:r>
      <w:r w:rsidRPr="000202F9">
        <w:t>Poprawka</w:t>
      </w:r>
      <w:r w:rsidRPr="000202F9">
        <w:tab/>
      </w:r>
      <w:r w:rsidRPr="000202F9">
        <w:tab/>
      </w:r>
      <w:r w:rsidRPr="000202F9">
        <w:rPr>
          <w:rStyle w:val="HideTWBExt"/>
          <w:b w:val="0"/>
        </w:rPr>
        <w:t>&lt;NumAm&gt;</w:t>
      </w:r>
      <w:r w:rsidRPr="000202F9">
        <w:t>10</w:t>
      </w:r>
      <w:r w:rsidRPr="000202F9">
        <w:rPr>
          <w:rStyle w:val="HideTWBExt"/>
          <w:b w:val="0"/>
        </w:rPr>
        <w:t>&lt;/NumA</w:t>
      </w:r>
      <w:r w:rsidRPr="000202F9">
        <w:rPr>
          <w:rStyle w:val="HideTWBExt"/>
          <w:b w:val="0"/>
        </w:rPr>
        <w:t>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18</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(18)</w:t>
            </w:r>
            <w:r w:rsidRPr="000202F9">
              <w:tab/>
              <w:t xml:space="preserve">Brak adekwatnych zasobów jest zasadniczym problemem ograniczającym zdolność organów ds. równości do właściwego wypełniania </w:t>
            </w:r>
            <w:r w:rsidRPr="000202F9">
              <w:t xml:space="preserve">zadań. Dlatego też państwa członkowskie powinny zapewnić, aby organy ds. równości otrzymały wystarczające </w:t>
            </w:r>
            <w:r w:rsidRPr="000202F9">
              <w:rPr>
                <w:b/>
                <w:i/>
              </w:rPr>
              <w:t>finansowanie</w:t>
            </w:r>
            <w:r w:rsidRPr="000202F9">
              <w:t>, mogły zatrudnić wykwalifikowanych pracowników i posiadały odpowiednie pomieszczenia i infrastrukturę, co pozwoli im skutecznie wypełniać</w:t>
            </w:r>
            <w:r w:rsidRPr="000202F9">
              <w:t xml:space="preserve"> wszystkie zadania w rozsądnym czasie i w terminach ustanowionych przepisami krajowymi. Przydział środków budżetowych dla tych organów powinien być stabilny, z wyjątkiem sytuacji zwiększenia ich kompetencji, oraz oparty na wieloletnim planowaniu i umożliwi</w:t>
            </w:r>
            <w:r w:rsidRPr="000202F9">
              <w:t xml:space="preserve">ający tym organom pokrycie kosztów, które mogą być trudne do przewidzenia, np. kosztów związanych z postępowaniami spornymi. Aby zapewnić organom ds. równości odpowiednie zasoby, ich budżet nie powinien </w:t>
            </w:r>
            <w:r w:rsidRPr="000202F9">
              <w:rPr>
                <w:b/>
                <w:i/>
              </w:rPr>
              <w:t xml:space="preserve">np. </w:t>
            </w:r>
            <w:r w:rsidRPr="000202F9">
              <w:t>podlegać cięciom</w:t>
            </w:r>
            <w:r w:rsidRPr="000202F9">
              <w:rPr>
                <w:b/>
                <w:i/>
              </w:rPr>
              <w:t xml:space="preserve"> znacznie przewyższającym średnie</w:t>
            </w:r>
            <w:r w:rsidRPr="000202F9">
              <w:rPr>
                <w:b/>
                <w:i/>
              </w:rPr>
              <w:t xml:space="preserve"> cięcia budżetowe innych podmiotów publicznych; podobnie,</w:t>
            </w:r>
            <w:r w:rsidRPr="000202F9">
              <w:t xml:space="preserve"> roczny wzrost finansowania</w:t>
            </w:r>
            <w:r w:rsidRPr="000202F9">
              <w:rPr>
                <w:b/>
                <w:i/>
              </w:rPr>
              <w:t xml:space="preserve"> tych organów</w:t>
            </w:r>
            <w:r w:rsidRPr="000202F9">
              <w:t xml:space="preserve"> powinien być co najmniej ustalony na poziomie średniego rocznego wzrostu finansowania innych podmiotów. W przypadku rozszerzenia zadań i kompetencji organów d</w:t>
            </w:r>
            <w:r w:rsidRPr="000202F9">
              <w:t>s. równości ich zasoby powinny być proporcjonalnie zwiększone.</w:t>
            </w:r>
          </w:p>
        </w:tc>
        <w:tc>
          <w:tcPr>
            <w:tcW w:w="4876" w:type="dxa"/>
            <w:hideMark/>
          </w:tcPr>
          <w:p w:rsidR="008429B6" w:rsidRPr="000202F9" w:rsidRDefault="0079015F" w:rsidP="00823CA1">
            <w:pPr>
              <w:pStyle w:val="Normal6"/>
              <w:rPr>
                <w:szCs w:val="24"/>
              </w:rPr>
            </w:pPr>
            <w:r w:rsidRPr="000202F9">
              <w:t>(18)</w:t>
            </w:r>
            <w:r w:rsidRPr="000202F9">
              <w:tab/>
              <w:t xml:space="preserve">Brak adekwatnych zasobów </w:t>
            </w:r>
            <w:r w:rsidRPr="000202F9">
              <w:rPr>
                <w:b/>
                <w:i/>
              </w:rPr>
              <w:t xml:space="preserve">finansowych i ludzkich </w:t>
            </w:r>
            <w:r w:rsidRPr="000202F9">
              <w:t xml:space="preserve">jest zasadniczym problemem ograniczającym zdolność organów ds. równości do właściwego wypełniania zadań. </w:t>
            </w:r>
            <w:r w:rsidRPr="000202F9">
              <w:t xml:space="preserve">Dlatego też państwa członkowskie powinny zapewnić, aby organy ds. równości otrzymały </w:t>
            </w:r>
            <w:r w:rsidRPr="000202F9">
              <w:rPr>
                <w:b/>
                <w:i/>
              </w:rPr>
              <w:t xml:space="preserve">finansowanie </w:t>
            </w:r>
            <w:r w:rsidRPr="000202F9">
              <w:t xml:space="preserve">wystarczające </w:t>
            </w:r>
            <w:r w:rsidRPr="000202F9">
              <w:rPr>
                <w:b/>
                <w:i/>
              </w:rPr>
              <w:t>do pełnienia swoich zadań</w:t>
            </w:r>
            <w:r w:rsidRPr="000202F9">
              <w:t>, mogły zatrudnić wykwalifikowanych pracowników i posiadały odpowiednie pomieszczenia i infrastrukturę, co pozwoli im s</w:t>
            </w:r>
            <w:r w:rsidRPr="000202F9">
              <w:t>kutecznie wypełniać wszystkie zadania w rozsądnym czasie i w terminach ustanowionych przepisami krajowymi. Przydział środków budżetowych dla tych organów powinien być stabilny, z wyjątkiem sytuacji zwiększenia ich kompetencji</w:t>
            </w:r>
            <w:r w:rsidRPr="000202F9">
              <w:rPr>
                <w:b/>
                <w:i/>
              </w:rPr>
              <w:t xml:space="preserve"> lub zwiększenia liczby pracown</w:t>
            </w:r>
            <w:r w:rsidRPr="000202F9">
              <w:rPr>
                <w:b/>
                <w:i/>
              </w:rPr>
              <w:t>ików</w:t>
            </w:r>
            <w:r w:rsidRPr="000202F9">
              <w:t xml:space="preserve">, oraz oparty na wieloletnim planowaniu i umożliwiający tym organom pokrycie kosztów, które mogą być trudne do przewidzenia, np. kosztów związanych z postępowaniami spornymi. </w:t>
            </w:r>
            <w:r w:rsidRPr="000202F9">
              <w:rPr>
                <w:b/>
                <w:i/>
              </w:rPr>
              <w:t>W przypadkach zwiększenia kompetencji organów ds. równości państwa członkowsk</w:t>
            </w:r>
            <w:r w:rsidRPr="000202F9">
              <w:rPr>
                <w:b/>
                <w:i/>
              </w:rPr>
              <w:t>ie muszą zapewnić odpowiednie dostosowanie ich budżetów.</w:t>
            </w:r>
            <w:r w:rsidRPr="000202F9">
              <w:t xml:space="preserve"> Aby zapewnić organom ds. równości odpowiednie zasoby, ich budżet nie powinien podlegać cięciom</w:t>
            </w:r>
            <w:r w:rsidRPr="000202F9">
              <w:rPr>
                <w:b/>
                <w:i/>
              </w:rPr>
              <w:t>, a ich</w:t>
            </w:r>
            <w:r w:rsidRPr="000202F9">
              <w:t xml:space="preserve"> roczny wzrost finansowania powinien być co najmniej ustalony na poziomie średniego rocznego wzros</w:t>
            </w:r>
            <w:r w:rsidRPr="000202F9">
              <w:t>tu finansowania innych podmiotów. W przypadku rozszerzenia zadań i kompetencji organów ds. równości ich zasoby powinny być proporcjonalnie zwiększone.</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11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lastRenderedPageBreak/>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19</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(19)</w:t>
            </w:r>
            <w:r w:rsidRPr="000202F9">
              <w:tab/>
              <w:t xml:space="preserve">Systemy zautomatyzowane, w tym sztuczna inteligencja, </w:t>
            </w:r>
            <w:r w:rsidRPr="000202F9">
              <w:rPr>
                <w:b/>
                <w:i/>
              </w:rPr>
              <w:t>stanowią przydatne</w:t>
            </w:r>
            <w:r w:rsidRPr="000202F9">
              <w:t xml:space="preserve"> narzędzie identyfikowania wzorców dyskryminacji</w:t>
            </w:r>
            <w:r w:rsidRPr="000202F9">
              <w:rPr>
                <w:b/>
                <w:i/>
              </w:rPr>
              <w:t>, ale</w:t>
            </w:r>
            <w:r w:rsidRPr="000202F9">
              <w:t xml:space="preserve"> dyskryminacja algorytmiczna </w:t>
            </w:r>
            <w:r w:rsidRPr="000202F9">
              <w:rPr>
                <w:b/>
                <w:i/>
              </w:rPr>
              <w:t>również stwarza ryzyko</w:t>
            </w:r>
            <w:r w:rsidRPr="000202F9">
              <w:t>. Dlatego te</w:t>
            </w:r>
            <w:r w:rsidRPr="000202F9">
              <w:t xml:space="preserve">ż organy ds. równości powinny </w:t>
            </w:r>
            <w:r w:rsidRPr="000202F9">
              <w:rPr>
                <w:b/>
                <w:i/>
              </w:rPr>
              <w:t>mieć dostęp do wyspecjalizowanych</w:t>
            </w:r>
            <w:r w:rsidRPr="000202F9">
              <w:t xml:space="preserve"> pracowników lub </w:t>
            </w:r>
            <w:r w:rsidRPr="000202F9">
              <w:rPr>
                <w:b/>
                <w:i/>
              </w:rPr>
              <w:t>usług</w:t>
            </w:r>
            <w:r w:rsidRPr="000202F9">
              <w:t xml:space="preserve">, </w:t>
            </w:r>
            <w:r w:rsidRPr="000202F9">
              <w:rPr>
                <w:b/>
                <w:i/>
              </w:rPr>
              <w:t>umożliwiających z jednej strony wykorzystywanie takich zautomatyzowanych systemów</w:t>
            </w:r>
            <w:r w:rsidRPr="000202F9">
              <w:t xml:space="preserve"> w</w:t>
            </w:r>
            <w:r w:rsidRPr="000202F9">
              <w:rPr>
                <w:b/>
                <w:i/>
              </w:rPr>
              <w:t> pracy, a z drugiej – ich ocenę</w:t>
            </w:r>
            <w:r w:rsidRPr="000202F9">
              <w:t xml:space="preserve"> pod względem zgodności z zasadami niedyskryminacji. Sz</w:t>
            </w:r>
            <w:r w:rsidRPr="000202F9">
              <w:t>czególną uwagę należy zwrócić na wyposażenie organów ds. równości w odpowiednie zasoby cyfrowe – bezpośrednio lub w drodze podwykonawstwa.</w:t>
            </w:r>
          </w:p>
        </w:tc>
        <w:tc>
          <w:tcPr>
            <w:tcW w:w="4876" w:type="dxa"/>
            <w:hideMark/>
          </w:tcPr>
          <w:p w:rsidR="008429B6" w:rsidRPr="000202F9" w:rsidRDefault="0079015F" w:rsidP="00823CA1">
            <w:pPr>
              <w:pStyle w:val="Normal6"/>
              <w:rPr>
                <w:szCs w:val="24"/>
              </w:rPr>
            </w:pPr>
            <w:r w:rsidRPr="000202F9">
              <w:t>(19)</w:t>
            </w:r>
            <w:r w:rsidRPr="000202F9">
              <w:tab/>
              <w:t xml:space="preserve">Systemy zautomatyzowane, w tym sztuczna inteligencja, </w:t>
            </w:r>
            <w:r w:rsidRPr="000202F9">
              <w:rPr>
                <w:b/>
                <w:i/>
              </w:rPr>
              <w:t>mogą prowadzić do dyskryminacji algorytmicznej, ale mogą r</w:t>
            </w:r>
            <w:r w:rsidRPr="000202F9">
              <w:rPr>
                <w:b/>
                <w:i/>
              </w:rPr>
              <w:t>ównież stanowić</w:t>
            </w:r>
            <w:r w:rsidRPr="000202F9">
              <w:t xml:space="preserve"> narzędzie identyfikowania wzorców dyskryminacji</w:t>
            </w:r>
            <w:r w:rsidRPr="000202F9">
              <w:rPr>
                <w:b/>
                <w:i/>
              </w:rPr>
              <w:t>.</w:t>
            </w:r>
            <w:r w:rsidRPr="000202F9">
              <w:t xml:space="preserve"> Dyskryminacja algorytmiczna </w:t>
            </w:r>
            <w:r w:rsidRPr="000202F9">
              <w:rPr>
                <w:b/>
                <w:i/>
              </w:rPr>
              <w:t>grozi utrwaleniem i pogłębieniem istniejących nierówności, dyskryminacji, wykluczenia i ubóstwa</w:t>
            </w:r>
            <w:r w:rsidRPr="000202F9">
              <w:t xml:space="preserve">. Dlatego też organy ds. równości powinny </w:t>
            </w:r>
            <w:r w:rsidRPr="000202F9">
              <w:rPr>
                <w:b/>
                <w:i/>
              </w:rPr>
              <w:t>być wyposażone w wykwalifi</w:t>
            </w:r>
            <w:r w:rsidRPr="000202F9">
              <w:rPr>
                <w:b/>
                <w:i/>
              </w:rPr>
              <w:t>kowanych</w:t>
            </w:r>
            <w:r w:rsidRPr="000202F9">
              <w:t xml:space="preserve"> pracowników lub </w:t>
            </w:r>
            <w:r w:rsidRPr="000202F9">
              <w:rPr>
                <w:b/>
                <w:i/>
              </w:rPr>
              <w:t>świadczyć wyspecjalizowane usługi</w:t>
            </w:r>
            <w:r w:rsidRPr="000202F9">
              <w:t xml:space="preserve">, </w:t>
            </w:r>
            <w:r w:rsidRPr="000202F9">
              <w:rPr>
                <w:b/>
                <w:i/>
              </w:rPr>
              <w:t>być w stanie rozumieć, jak działają zautomatyzowane systemy oraz</w:t>
            </w:r>
            <w:r w:rsidRPr="000202F9">
              <w:t xml:space="preserve"> w</w:t>
            </w:r>
            <w:r w:rsidRPr="000202F9">
              <w:rPr>
                <w:b/>
                <w:i/>
              </w:rPr>
              <w:t xml:space="preserve"> jaki sposób mogą one prowadzić do dyskryminacji algorytmicznej, oceniać je</w:t>
            </w:r>
            <w:r w:rsidRPr="000202F9">
              <w:t xml:space="preserve"> pod względem zgodności z zasadami niedyskryminacji</w:t>
            </w:r>
            <w:r w:rsidRPr="000202F9">
              <w:rPr>
                <w:b/>
                <w:i/>
              </w:rPr>
              <w:t xml:space="preserve">, a </w:t>
            </w:r>
            <w:r w:rsidRPr="000202F9">
              <w:rPr>
                <w:b/>
                <w:i/>
              </w:rPr>
              <w:t>także zapobiegać jej możliwym konsekwencjom dla poszczególnych osób oraz udzielać wsparcia ofiarom tej formy dyskryminacji</w:t>
            </w:r>
            <w:r w:rsidRPr="000202F9">
              <w:t xml:space="preserve">. Szczególną uwagę należy zwrócić na wyposażenie organów ds. równości w odpowiednie zasoby cyfrowe </w:t>
            </w:r>
            <w:r w:rsidRPr="000202F9">
              <w:rPr>
                <w:b/>
                <w:i/>
              </w:rPr>
              <w:t>i zapewnienie szkoleń w zakresie ko</w:t>
            </w:r>
            <w:r w:rsidRPr="000202F9">
              <w:rPr>
                <w:b/>
                <w:i/>
              </w:rPr>
              <w:t xml:space="preserve">rzystania ze zautomatyzowanych systemów </w:t>
            </w:r>
            <w:r w:rsidRPr="000202F9">
              <w:t>– bezpośrednio lub w drodze podwykonawstwa.</w:t>
            </w:r>
            <w:r w:rsidRPr="000202F9">
              <w:rPr>
                <w:b/>
                <w:i/>
              </w:rPr>
              <w:t xml:space="preserve"> Organy ds. równości powinny także zapewnić, aby systemy zautomatyzowane były zgodne z wymogami dotyczącymi dostępności dla osób z niepełnosprawnościami zgodnie z załączniki</w:t>
            </w:r>
            <w:r w:rsidRPr="000202F9">
              <w:rPr>
                <w:b/>
                <w:i/>
              </w:rPr>
              <w:t>em I do dyrektywy (UE) 2019/882.</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12</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20</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(20)</w:t>
            </w:r>
            <w:r w:rsidRPr="000202F9">
              <w:tab/>
              <w:t xml:space="preserve">Organy ds. równości wraz z innymi </w:t>
            </w:r>
            <w:r w:rsidRPr="000202F9">
              <w:lastRenderedPageBreak/>
              <w:t xml:space="preserve">podmiotami mają </w:t>
            </w:r>
            <w:r w:rsidRPr="000202F9">
              <w:t>do odegrania zasadniczą rolę w zapobieganiu dyskryminacji i w propagowaniu równości. Aby zaradzić strukturalnym aspektom dyskryminacji i przyczynić się do zmiany społecznej, organy te powinny propagować obowiązki, dobre praktyki i działanie pozytywne w dzi</w:t>
            </w:r>
            <w:r w:rsidRPr="000202F9">
              <w:t>edzinie równości oraz uwzględnianie problematyki równości w działalności podmiotów publicznych i prywatnych, jak również zapewniać takim podmiotom odpowiednie szkolenia, informacje, doradztwo, wytyczne i wsparcie. Organy te powinny komunikować się z podmio</w:t>
            </w:r>
            <w:r w:rsidRPr="000202F9">
              <w:t>tami publicznymi i prywatnymi oraz grupami zagrożonymi dyskryminacją, a także angażować się w debatę publiczną, aby zwalczać stereotypy i upowszechniać wiedzę na temat różnorodności i wynikających z niej korzyści, co stanowi zasadniczy trzon unijnych strat</w:t>
            </w:r>
            <w:r w:rsidRPr="000202F9">
              <w:t>egii na rzecz równości.</w:t>
            </w:r>
          </w:p>
        </w:tc>
        <w:tc>
          <w:tcPr>
            <w:tcW w:w="4876" w:type="dxa"/>
            <w:hideMark/>
          </w:tcPr>
          <w:p w:rsidR="008429B6" w:rsidRPr="000202F9" w:rsidRDefault="0079015F" w:rsidP="00823CA1">
            <w:pPr>
              <w:pStyle w:val="Normal6"/>
              <w:rPr>
                <w:szCs w:val="24"/>
              </w:rPr>
            </w:pPr>
            <w:r w:rsidRPr="000202F9">
              <w:lastRenderedPageBreak/>
              <w:t>(20)</w:t>
            </w:r>
            <w:r w:rsidRPr="000202F9">
              <w:tab/>
              <w:t xml:space="preserve">Organy ds. równości wraz z innymi </w:t>
            </w:r>
            <w:r w:rsidRPr="000202F9">
              <w:lastRenderedPageBreak/>
              <w:t>podmiotami</w:t>
            </w:r>
            <w:r w:rsidRPr="000202F9">
              <w:rPr>
                <w:b/>
                <w:i/>
              </w:rPr>
              <w:t>, takimi jak partnerzy społeczni i organizacje społeczeństwa obywatelskiego,</w:t>
            </w:r>
            <w:r w:rsidRPr="000202F9">
              <w:t xml:space="preserve"> mają do odegrania zasadniczą rolę w zapobieganiu dyskryminacji i w propagowaniu równości. Aby zaradzić str</w:t>
            </w:r>
            <w:r w:rsidRPr="000202F9">
              <w:t>ukturalnym aspektom dyskryminacji i przyczynić się do zmiany społecznej, organy te powinny propagować obowiązki, dobre praktyki i działanie pozytywne w dziedzinie równości oraz uwzględnianie problematyki równości w działalności podmiotów publicznych i pryw</w:t>
            </w:r>
            <w:r w:rsidRPr="000202F9">
              <w:t xml:space="preserve">atnych, jak również zapewniać takim podmiotom odpowiednie szkolenia, informacje, doradztwo, wytyczne i wsparcie. Organy te powinny komunikować się z podmiotami publicznymi i prywatnymi oraz grupami zagrożonymi dyskryminacją, a także angażować się w debatę </w:t>
            </w:r>
            <w:r w:rsidRPr="000202F9">
              <w:t>publiczną, aby zwalczać stereotypy i upowszechniać wiedzę na temat różnorodności i wynikających z niej korzyści, co stanowi zasadniczy trzon unijnych strategii na rzecz równości.</w:t>
            </w:r>
            <w:r w:rsidRPr="000202F9">
              <w:rPr>
                <w:b/>
                <w:i/>
              </w:rPr>
              <w:t xml:space="preserve"> Organy ds. równości powinny również podnosić świadomość na temat dyskryminacj</w:t>
            </w:r>
            <w:r w:rsidRPr="000202F9">
              <w:rPr>
                <w:b/>
                <w:i/>
              </w:rPr>
              <w:t>i krzyżowej i znaczenia stosowania podejścia krzyżowego przy opracowywaniu polityk, programów, funduszy i działań.</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13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 xml:space="preserve">Tekst </w:t>
            </w:r>
            <w:r w:rsidRPr="000202F9">
              <w:t>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(21)</w:t>
            </w:r>
            <w:r w:rsidRPr="000202F9">
              <w:tab/>
              <w:t xml:space="preserve">Obok zapobiegania dyskryminacji podstawowym zadaniem organów ds. równości jest udzielanie pomocy ofiarom dyskryminacji. Pomoc ta </w:t>
            </w:r>
            <w:r w:rsidRPr="000202F9">
              <w:rPr>
                <w:b/>
                <w:i/>
              </w:rPr>
              <w:t>powinna zawsze obejmować udzielenie skarżącym kluczowych informacji oraz przeprowadzen</w:t>
            </w:r>
            <w:r w:rsidRPr="000202F9">
              <w:rPr>
                <w:b/>
                <w:i/>
              </w:rPr>
              <w:t>ie wstępnej oceny ich skargi na podstawie wstępnych</w:t>
            </w:r>
            <w:r w:rsidRPr="000202F9">
              <w:t xml:space="preserve"> informacji</w:t>
            </w:r>
            <w:r w:rsidRPr="000202F9">
              <w:rPr>
                <w:b/>
                <w:i/>
              </w:rPr>
              <w:t xml:space="preserve"> przekazanych dobrowolnie przez strony. Państwa członkowskie powinny </w:t>
            </w:r>
            <w:r w:rsidRPr="000202F9">
              <w:rPr>
                <w:b/>
                <w:i/>
              </w:rPr>
              <w:lastRenderedPageBreak/>
              <w:t>odpowiadać za określenie zasad wydawania tej oceny przez organ ds. równości</w:t>
            </w:r>
            <w:r w:rsidRPr="000202F9">
              <w:t xml:space="preserve">, </w:t>
            </w:r>
            <w:r w:rsidRPr="000202F9">
              <w:rPr>
                <w:b/>
                <w:i/>
              </w:rPr>
              <w:t>np. ram czasowych tego procesu lub gwarancji pro</w:t>
            </w:r>
            <w:r w:rsidRPr="000202F9">
              <w:rPr>
                <w:b/>
                <w:i/>
              </w:rPr>
              <w:t>ceduralnych zabezpieczających przed skargami powtarzającymi się lub stanowiącymi nadużycie</w:t>
            </w:r>
            <w:r w:rsidRPr="000202F9">
              <w:t>.</w:t>
            </w:r>
          </w:p>
        </w:tc>
        <w:tc>
          <w:tcPr>
            <w:tcW w:w="4876" w:type="dxa"/>
            <w:hideMark/>
          </w:tcPr>
          <w:p w:rsidR="008429B6" w:rsidRPr="000202F9" w:rsidRDefault="0079015F" w:rsidP="00823CA1">
            <w:pPr>
              <w:pStyle w:val="Normal6"/>
              <w:rPr>
                <w:szCs w:val="24"/>
              </w:rPr>
            </w:pPr>
            <w:r w:rsidRPr="000202F9">
              <w:lastRenderedPageBreak/>
              <w:t>(21)</w:t>
            </w:r>
            <w:r w:rsidRPr="000202F9">
              <w:tab/>
              <w:t xml:space="preserve">Obok zapobiegania dyskryminacji podstawowym zadaniem organów ds. równości jest udzielanie </w:t>
            </w:r>
            <w:r w:rsidRPr="000202F9">
              <w:rPr>
                <w:b/>
                <w:i/>
              </w:rPr>
              <w:t xml:space="preserve">kompleksowej </w:t>
            </w:r>
            <w:r w:rsidRPr="000202F9">
              <w:t>pomocy</w:t>
            </w:r>
            <w:r w:rsidRPr="000202F9">
              <w:rPr>
                <w:b/>
                <w:i/>
              </w:rPr>
              <w:t xml:space="preserve"> i kompleksowego wsparcia</w:t>
            </w:r>
            <w:r w:rsidRPr="000202F9">
              <w:t xml:space="preserve"> ofiarom dyskryminacji. P</w:t>
            </w:r>
            <w:r w:rsidRPr="000202F9">
              <w:t xml:space="preserve">omoc ta </w:t>
            </w:r>
            <w:r w:rsidRPr="000202F9">
              <w:rPr>
                <w:b/>
                <w:i/>
              </w:rPr>
              <w:t>i stosowne wsparcie powinny być bezpłatne i obejmować co najmniej udzielenie skarżącym</w:t>
            </w:r>
            <w:r w:rsidRPr="000202F9">
              <w:t xml:space="preserve"> informacji</w:t>
            </w:r>
            <w:r w:rsidRPr="000202F9">
              <w:rPr>
                <w:b/>
                <w:i/>
              </w:rPr>
              <w:t xml:space="preserve">, w tym porad prawnych, porad ukierunkowanych na szczególne potrzeby ofiar oraz informacji </w:t>
            </w:r>
            <w:r w:rsidRPr="000202F9">
              <w:rPr>
                <w:b/>
                <w:i/>
              </w:rPr>
              <w:lastRenderedPageBreak/>
              <w:t>na temat aspektów proceduralnych</w:t>
            </w:r>
            <w:r w:rsidRPr="000202F9">
              <w:t xml:space="preserve">, </w:t>
            </w:r>
            <w:r w:rsidRPr="000202F9">
              <w:rPr>
                <w:b/>
                <w:i/>
              </w:rPr>
              <w:t>w tym o sposobie wniesieni</w:t>
            </w:r>
            <w:r w:rsidRPr="000202F9">
              <w:rPr>
                <w:b/>
                <w:i/>
              </w:rPr>
              <w:t>a sprawy do sądu i o innych dostępnych środkach odwoławczych</w:t>
            </w:r>
            <w:r w:rsidRPr="000202F9">
              <w:t>.</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14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(22)</w:t>
            </w:r>
            <w:r w:rsidRPr="000202F9">
              <w:tab/>
              <w:t xml:space="preserve">Aby wszystkie ofiary </w:t>
            </w:r>
            <w:r w:rsidRPr="000202F9">
              <w:t xml:space="preserve">miały możliwość złożenia skargi, należy umożliwić różne sposoby składania skarg. Państwa członkowskie powinny też zastosować się do zalecenia Komisji 2018/951, </w:t>
            </w:r>
            <w:r w:rsidRPr="000202F9">
              <w:rPr>
                <w:b/>
                <w:i/>
              </w:rPr>
              <w:t>zgodnie z którym</w:t>
            </w:r>
            <w:r w:rsidRPr="000202F9">
              <w:t xml:space="preserve"> składanie skarg </w:t>
            </w:r>
            <w:r w:rsidRPr="000202F9">
              <w:rPr>
                <w:b/>
                <w:i/>
              </w:rPr>
              <w:t>powinno być</w:t>
            </w:r>
            <w:r w:rsidRPr="000202F9">
              <w:t xml:space="preserve"> możliwe w</w:t>
            </w:r>
            <w:r w:rsidRPr="000202F9">
              <w:rPr>
                <w:b/>
                <w:i/>
              </w:rPr>
              <w:t> </w:t>
            </w:r>
            <w:r w:rsidRPr="000202F9">
              <w:t xml:space="preserve">języku </w:t>
            </w:r>
            <w:r w:rsidRPr="000202F9">
              <w:rPr>
                <w:b/>
                <w:i/>
              </w:rPr>
              <w:t>wybranym przez</w:t>
            </w:r>
            <w:r w:rsidRPr="000202F9">
              <w:t xml:space="preserve"> skarżącego, powszec</w:t>
            </w:r>
            <w:r w:rsidRPr="000202F9">
              <w:t>hnie używanym w</w:t>
            </w:r>
            <w:r w:rsidRPr="000202F9">
              <w:rPr>
                <w:b/>
                <w:i/>
              </w:rPr>
              <w:t> </w:t>
            </w:r>
            <w:r w:rsidRPr="000202F9">
              <w:t>państwie członkowskim, w</w:t>
            </w:r>
            <w:r w:rsidRPr="000202F9">
              <w:rPr>
                <w:b/>
                <w:i/>
              </w:rPr>
              <w:t> </w:t>
            </w:r>
            <w:r w:rsidRPr="000202F9">
              <w:t>którym znajduje się organ ds.</w:t>
            </w:r>
            <w:r w:rsidRPr="000202F9">
              <w:rPr>
                <w:b/>
                <w:i/>
              </w:rPr>
              <w:t> </w:t>
            </w:r>
            <w:r w:rsidRPr="000202F9">
              <w:t xml:space="preserve">równości. W celu przeciwdziałania jednej z przyczyn niezgłaszania przypadków dyskryminacji, jaką jest obawa przed odwetem, bez uszczerbku dla dyrektywy (UE) 2019/1937 w sprawie ochrony </w:t>
            </w:r>
            <w:r w:rsidRPr="000202F9">
              <w:t>osób zgłaszających naruszenia prawa Unii</w:t>
            </w:r>
            <w:r w:rsidRPr="000202F9">
              <w:rPr>
                <w:vertAlign w:val="superscript"/>
              </w:rPr>
              <w:t>70</w:t>
            </w:r>
            <w:r w:rsidRPr="000202F9">
              <w:t xml:space="preserve">, należy zapewnić poufność świadkom </w:t>
            </w:r>
            <w:r w:rsidRPr="000202F9">
              <w:rPr>
                <w:b/>
                <w:i/>
              </w:rPr>
              <w:t>i</w:t>
            </w:r>
            <w:r w:rsidRPr="000202F9">
              <w:t> sygnalistom oraz</w:t>
            </w:r>
            <w:r w:rsidRPr="000202F9">
              <w:rPr>
                <w:b/>
                <w:i/>
              </w:rPr>
              <w:t xml:space="preserve"> – na ile to możliwe –</w:t>
            </w:r>
            <w:r w:rsidRPr="000202F9">
              <w:t xml:space="preserve"> skarżącym.</w:t>
            </w:r>
          </w:p>
        </w:tc>
        <w:tc>
          <w:tcPr>
            <w:tcW w:w="4876" w:type="dxa"/>
            <w:hideMark/>
          </w:tcPr>
          <w:p w:rsidR="008429B6" w:rsidRPr="000202F9" w:rsidRDefault="0079015F" w:rsidP="00823CA1">
            <w:pPr>
              <w:pStyle w:val="Normal6"/>
              <w:rPr>
                <w:szCs w:val="24"/>
              </w:rPr>
            </w:pPr>
            <w:r w:rsidRPr="000202F9">
              <w:t>(22)</w:t>
            </w:r>
            <w:r w:rsidRPr="000202F9">
              <w:tab/>
              <w:t>Aby wszystkie ofiary miały możliwość złożenia skargi, należy umożliwić różne sposoby składania skarg</w:t>
            </w:r>
            <w:r w:rsidRPr="000202F9">
              <w:rPr>
                <w:b/>
                <w:i/>
              </w:rPr>
              <w:t xml:space="preserve">, w tym za </w:t>
            </w:r>
            <w:r w:rsidRPr="000202F9">
              <w:rPr>
                <w:b/>
                <w:i/>
              </w:rPr>
              <w:t>pośrednictwem regionalnych lub lokalnych biur lub narzędzi i platform cyfrowych</w:t>
            </w:r>
            <w:r w:rsidRPr="000202F9">
              <w:t>. Państwa członkowskie powinny też zastosować się do zalecenia Komisji 2018/951</w:t>
            </w:r>
            <w:r w:rsidRPr="000202F9">
              <w:rPr>
                <w:b/>
                <w:i/>
              </w:rPr>
              <w:t xml:space="preserve"> i dopilnować</w:t>
            </w:r>
            <w:r w:rsidRPr="000202F9">
              <w:t xml:space="preserve">, </w:t>
            </w:r>
            <w:r w:rsidRPr="000202F9">
              <w:rPr>
                <w:b/>
                <w:i/>
              </w:rPr>
              <w:t>by</w:t>
            </w:r>
            <w:r w:rsidRPr="000202F9">
              <w:t xml:space="preserve"> składanie skarg </w:t>
            </w:r>
            <w:r w:rsidRPr="000202F9">
              <w:rPr>
                <w:b/>
                <w:i/>
              </w:rPr>
              <w:t>było</w:t>
            </w:r>
            <w:r w:rsidRPr="000202F9">
              <w:t xml:space="preserve"> możliwe w</w:t>
            </w:r>
            <w:r w:rsidRPr="000202F9">
              <w:rPr>
                <w:b/>
                <w:i/>
              </w:rPr>
              <w:t xml:space="preserve"> </w:t>
            </w:r>
            <w:r w:rsidRPr="000202F9">
              <w:t xml:space="preserve">języku </w:t>
            </w:r>
            <w:r w:rsidRPr="000202F9">
              <w:rPr>
                <w:b/>
                <w:i/>
              </w:rPr>
              <w:t>zrozumiałym dla</w:t>
            </w:r>
            <w:r w:rsidRPr="000202F9">
              <w:t xml:space="preserve"> skarżącego, </w:t>
            </w:r>
            <w:r w:rsidRPr="000202F9">
              <w:rPr>
                <w:b/>
                <w:i/>
              </w:rPr>
              <w:t>w tym w języku</w:t>
            </w:r>
            <w:r w:rsidRPr="000202F9">
              <w:rPr>
                <w:b/>
                <w:i/>
              </w:rPr>
              <w:t xml:space="preserve"> </w:t>
            </w:r>
            <w:r w:rsidRPr="000202F9">
              <w:t>powszechnie używanym w</w:t>
            </w:r>
            <w:r w:rsidRPr="000202F9">
              <w:rPr>
                <w:b/>
                <w:i/>
              </w:rPr>
              <w:t xml:space="preserve"> </w:t>
            </w:r>
            <w:r w:rsidRPr="000202F9">
              <w:t>państwie członkowskim, w</w:t>
            </w:r>
            <w:r w:rsidRPr="000202F9">
              <w:rPr>
                <w:b/>
                <w:i/>
              </w:rPr>
              <w:t xml:space="preserve"> </w:t>
            </w:r>
            <w:r w:rsidRPr="000202F9">
              <w:t>którym znajduje się organ ds.</w:t>
            </w:r>
            <w:r w:rsidRPr="000202F9">
              <w:rPr>
                <w:b/>
                <w:i/>
              </w:rPr>
              <w:t xml:space="preserve"> równości, lub w języku wskazanym przez organ ds. </w:t>
            </w:r>
            <w:r w:rsidRPr="000202F9">
              <w:t>równości. W celu przeciwdziałania jednej z przyczyn niezgłaszania przypadków dyskryminacji, jaką jest obawa przed odwetem, bez u</w:t>
            </w:r>
            <w:r w:rsidRPr="000202F9">
              <w:t>szczerbku dla dyrektywy (UE) 2019/1937 w sprawie ochrony osób zgłaszających naruszenia prawa Unii</w:t>
            </w:r>
            <w:r w:rsidRPr="000202F9">
              <w:rPr>
                <w:vertAlign w:val="superscript"/>
              </w:rPr>
              <w:t>70</w:t>
            </w:r>
            <w:r w:rsidRPr="000202F9">
              <w:t>, należy zapewnić poufność świadkom</w:t>
            </w:r>
            <w:r w:rsidRPr="000202F9">
              <w:rPr>
                <w:b/>
                <w:i/>
              </w:rPr>
              <w:t>,</w:t>
            </w:r>
            <w:r w:rsidR="0008572E">
              <w:t xml:space="preserve"> </w:t>
            </w:r>
            <w:r w:rsidRPr="000202F9">
              <w:t>sygnalistom oraz skarżącym.</w:t>
            </w:r>
          </w:p>
        </w:tc>
      </w:tr>
      <w:tr w:rsidR="00313F61" w:rsidRPr="000202F9" w:rsidTr="00823CA1">
        <w:trPr>
          <w:jc w:val="center"/>
        </w:trPr>
        <w:tc>
          <w:tcPr>
            <w:tcW w:w="4876" w:type="dxa"/>
            <w:hideMark/>
          </w:tcPr>
          <w:p w:rsidR="008429B6" w:rsidRPr="000202F9" w:rsidRDefault="0079015F" w:rsidP="00823CA1">
            <w:pPr>
              <w:pStyle w:val="Normal6"/>
            </w:pPr>
            <w:r w:rsidRPr="000202F9">
              <w:t>__________________</w:t>
            </w:r>
          </w:p>
        </w:tc>
        <w:tc>
          <w:tcPr>
            <w:tcW w:w="4876" w:type="dxa"/>
            <w:hideMark/>
          </w:tcPr>
          <w:p w:rsidR="008429B6" w:rsidRPr="000202F9" w:rsidRDefault="0079015F" w:rsidP="00823CA1">
            <w:pPr>
              <w:pStyle w:val="Normal6"/>
              <w:rPr>
                <w:szCs w:val="24"/>
              </w:rPr>
            </w:pPr>
            <w:r w:rsidRPr="000202F9">
              <w:t>__________________</w:t>
            </w:r>
          </w:p>
        </w:tc>
      </w:tr>
      <w:tr w:rsidR="00313F61" w:rsidRPr="000202F9" w:rsidTr="00823CA1">
        <w:trPr>
          <w:jc w:val="center"/>
        </w:trPr>
        <w:tc>
          <w:tcPr>
            <w:tcW w:w="4876" w:type="dxa"/>
            <w:hideMark/>
          </w:tcPr>
          <w:p w:rsidR="008429B6" w:rsidRPr="000202F9" w:rsidRDefault="0079015F" w:rsidP="00823CA1">
            <w:pPr>
              <w:pStyle w:val="Normal6"/>
            </w:pPr>
            <w:r w:rsidRPr="000202F9">
              <w:rPr>
                <w:vertAlign w:val="superscript"/>
              </w:rPr>
              <w:t>70</w:t>
            </w:r>
            <w:r w:rsidRPr="000202F9">
              <w:t xml:space="preserve"> Dyrektywa Parlamentu Europejskiego i Rady (UE) 2</w:t>
            </w:r>
            <w:r w:rsidRPr="000202F9">
              <w:t>019/1937 z dnia 23 października 2019 r. w sprawie ochrony osób zgłaszających naruszenia prawa Unii (Dz.U. L 305 z 26.11.2019, s. 17).</w:t>
            </w:r>
          </w:p>
        </w:tc>
        <w:tc>
          <w:tcPr>
            <w:tcW w:w="4876" w:type="dxa"/>
            <w:hideMark/>
          </w:tcPr>
          <w:p w:rsidR="008429B6" w:rsidRPr="000202F9" w:rsidRDefault="0079015F" w:rsidP="00823CA1">
            <w:pPr>
              <w:pStyle w:val="Normal6"/>
              <w:rPr>
                <w:szCs w:val="24"/>
              </w:rPr>
            </w:pPr>
            <w:r w:rsidRPr="000202F9">
              <w:rPr>
                <w:vertAlign w:val="superscript"/>
              </w:rPr>
              <w:t>70</w:t>
            </w:r>
            <w:r w:rsidRPr="000202F9">
              <w:t xml:space="preserve"> Dyrektywa Parlamentu Europejskiego i Rady (UE) 2019/1937 z dnia 23 października 2019 r. w sprawie ochrony osób zgłaszaj</w:t>
            </w:r>
            <w:r w:rsidRPr="000202F9">
              <w:t>ących naruszenia prawa Unii (Dz.U. L 305 z 26.11.2019, s. 17).</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15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22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(22a)</w:t>
            </w:r>
            <w:r w:rsidRPr="000202F9">
              <w:rPr>
                <w:b/>
                <w:i/>
              </w:rPr>
              <w:tab/>
              <w:t xml:space="preserve">Obowiązki </w:t>
            </w:r>
            <w:r w:rsidRPr="000202F9">
              <w:rPr>
                <w:b/>
                <w:i/>
              </w:rPr>
              <w:t>nałożone na państwa członkowskie i zadania organów ds. równości na mocy niniejszej dyrektywy w odniesieniu do pomocy ofiarom należy rozpatrywać w powiązaniu z obowiązkami państw członkowskich i prawami ofiar określonymi w dyrektywie 2012/29/UE.</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w:t>
      </w:r>
      <w:r w:rsidRPr="000202F9">
        <w:rPr>
          <w:rStyle w:val="HideTWBExt"/>
          <w:b w:val="0"/>
        </w:rPr>
        <w:t>Amend&gt;</w:t>
      </w:r>
      <w:r w:rsidRPr="000202F9">
        <w:t>Poprawka</w:t>
      </w:r>
      <w:r w:rsidRPr="000202F9">
        <w:tab/>
      </w:r>
      <w:r w:rsidRPr="000202F9">
        <w:tab/>
      </w:r>
      <w:r w:rsidRPr="000202F9">
        <w:rPr>
          <w:rStyle w:val="HideTWBExt"/>
          <w:b w:val="0"/>
        </w:rPr>
        <w:t>&lt;NumAm&gt;</w:t>
      </w:r>
      <w:r w:rsidRPr="000202F9">
        <w:t>16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23</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(23)</w:t>
            </w:r>
            <w:r w:rsidRPr="000202F9">
              <w:tab/>
              <w:t xml:space="preserve">Aby dostępne były szybkie, przystępne cenowo, pozasądowe sposoby rozstrzygania sporów, państwa </w:t>
            </w:r>
            <w:r w:rsidRPr="000202F9">
              <w:t>członkowskie powinny zapewnić stronom możliwość polubownego rozstrzygnięcia ich sporu przez organ ds. równości lub inny istniejący specjalny podmiot. Państwa członkowskie powinny też określić zasady takiego polubownego rozstrzygania sporów zgodnie z prawem</w:t>
            </w:r>
            <w:r w:rsidRPr="000202F9">
              <w:t xml:space="preserve"> krajowym.</w:t>
            </w:r>
          </w:p>
        </w:tc>
        <w:tc>
          <w:tcPr>
            <w:tcW w:w="4876" w:type="dxa"/>
            <w:hideMark/>
          </w:tcPr>
          <w:p w:rsidR="008429B6" w:rsidRPr="000202F9" w:rsidRDefault="0079015F" w:rsidP="00823CA1">
            <w:pPr>
              <w:pStyle w:val="Normal6"/>
              <w:rPr>
                <w:szCs w:val="24"/>
              </w:rPr>
            </w:pPr>
            <w:r w:rsidRPr="000202F9">
              <w:t>(23)</w:t>
            </w:r>
            <w:r w:rsidRPr="000202F9">
              <w:tab/>
              <w:t>Aby dostępne były szybkie, przystępne cenowo, pozasądowe sposoby rozstrzygania sporów, państwa członkowskie powinny zapewnić stronom możliwość polubownego rozstrzygnięcia ich sporu przez organ ds. równości lub inny istniejący specjalny podm</w:t>
            </w:r>
            <w:r w:rsidRPr="000202F9">
              <w:t>iot. Państwa członkowskie powinny też określić zasady takiego polubownego rozstrzygania sporów zgodnie z prawem krajowym.</w:t>
            </w:r>
            <w:r w:rsidRPr="000202F9">
              <w:rPr>
                <w:b/>
                <w:i/>
              </w:rPr>
              <w:t xml:space="preserve"> Udział w postępowaniu pojednawczym i mediacyjnym powinien być uzależniony od zgody stron i nie powinien uniemożliwiać stronie korzysta</w:t>
            </w:r>
            <w:r w:rsidRPr="000202F9">
              <w:rPr>
                <w:b/>
                <w:i/>
              </w:rPr>
              <w:t>nia z prawa dostępu do sądu, jeżeli strona ta nie akceptuje decyzji komisji pojednawczej i mediacyjnej.</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17</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25</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 xml:space="preserve">Tekst proponowany przez </w:t>
            </w:r>
            <w:r w:rsidRPr="000202F9">
              <w:t>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(25)</w:t>
            </w:r>
            <w:r w:rsidRPr="000202F9">
              <w:tab/>
              <w:t xml:space="preserve">Dowody mają zasadnicze znaczenie dla ustalenia, czy dyskryminacja miała miejsce, ale często znajdują się one w rękach domniemanego sprawcy. Organy ds. równości powinny zatem mieć możliwość dostępu do niezbędnych informacji, aby </w:t>
            </w:r>
            <w:r w:rsidRPr="000202F9">
              <w:rPr>
                <w:b/>
                <w:i/>
              </w:rPr>
              <w:t>ustal</w:t>
            </w:r>
            <w:r w:rsidRPr="000202F9">
              <w:rPr>
                <w:b/>
                <w:i/>
              </w:rPr>
              <w:t>ić, czy doszło do</w:t>
            </w:r>
            <w:r w:rsidRPr="000202F9">
              <w:t xml:space="preserve"> dyskryminacji, oraz możliwość współpracy z właściwymi służbami publicznymi, takimi jak inspektoraty pracy czy kuratoria oświaty. Państwa członkowskie powinny stworzyć odpowiednie ramy wykonywania tych kompetencji, zgodnie z krajowymi prze</w:t>
            </w:r>
            <w:r w:rsidRPr="000202F9">
              <w:t>pisami i procedurami.</w:t>
            </w:r>
          </w:p>
        </w:tc>
        <w:tc>
          <w:tcPr>
            <w:tcW w:w="4876" w:type="dxa"/>
            <w:hideMark/>
          </w:tcPr>
          <w:p w:rsidR="008429B6" w:rsidRPr="000202F9" w:rsidRDefault="0079015F" w:rsidP="00823CA1">
            <w:pPr>
              <w:pStyle w:val="Normal6"/>
              <w:rPr>
                <w:szCs w:val="24"/>
              </w:rPr>
            </w:pPr>
            <w:r w:rsidRPr="000202F9">
              <w:t>(25)</w:t>
            </w:r>
            <w:r w:rsidRPr="000202F9">
              <w:tab/>
              <w:t xml:space="preserve">Dowody mają zasadnicze znaczenie dla ustalenia, czy dyskryminacja miała miejsce, ale często znajdują się one w rękach domniemanego sprawcy. Organy ds. równości powinny zatem mieć możliwość dostępu do niezbędnych informacji, aby </w:t>
            </w:r>
            <w:r w:rsidRPr="000202F9">
              <w:rPr>
                <w:b/>
                <w:i/>
              </w:rPr>
              <w:t>u</w:t>
            </w:r>
            <w:r w:rsidRPr="000202F9">
              <w:rPr>
                <w:b/>
                <w:i/>
              </w:rPr>
              <w:t>stalić czy dochodzi do</w:t>
            </w:r>
            <w:r w:rsidRPr="000202F9">
              <w:t xml:space="preserve"> dyskryminacji, oraz możliwość współpracy z właściwymi służbami publicznymi, takimi jak inspektoraty pracy czy kuratoria oświaty. Państwa członkowskie powinny stworzyć odpowiednie ramy wykonywania tych kompetencji, zgodnie z krajowymi</w:t>
            </w:r>
            <w:r w:rsidRPr="000202F9">
              <w:t xml:space="preserve"> przepisami i procedurami.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18</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26</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(26)</w:t>
            </w:r>
            <w:r w:rsidRPr="000202F9">
              <w:tab/>
              <w:t xml:space="preserve">Na podstawie </w:t>
            </w:r>
            <w:r w:rsidRPr="000202F9">
              <w:rPr>
                <w:b/>
                <w:i/>
              </w:rPr>
              <w:t xml:space="preserve">dowodów </w:t>
            </w:r>
            <w:r w:rsidRPr="000202F9">
              <w:t xml:space="preserve">przekazanych </w:t>
            </w:r>
            <w:r w:rsidRPr="000202F9">
              <w:rPr>
                <w:b/>
                <w:i/>
              </w:rPr>
              <w:t xml:space="preserve">dobrowolnie lub </w:t>
            </w:r>
            <w:r w:rsidRPr="000202F9">
              <w:rPr>
                <w:b/>
                <w:i/>
              </w:rPr>
              <w:t>zebranych w drodze dochodzenia</w:t>
            </w:r>
            <w:r w:rsidRPr="000202F9">
              <w:t xml:space="preserve"> organy ds. równości powinny </w:t>
            </w:r>
            <w:r w:rsidRPr="000202F9">
              <w:rPr>
                <w:b/>
                <w:i/>
              </w:rPr>
              <w:t>przedstawić swoją ocenę</w:t>
            </w:r>
            <w:r w:rsidRPr="000202F9">
              <w:t xml:space="preserve"> skarżącemu i domniemanemu sprawcy. </w:t>
            </w:r>
            <w:r w:rsidRPr="000202F9">
              <w:rPr>
                <w:b/>
                <w:i/>
              </w:rPr>
              <w:t>Państwa członkowskie</w:t>
            </w:r>
            <w:r w:rsidRPr="000202F9">
              <w:t xml:space="preserve"> powinny określić wartość prawną tej oceny, która może być niewiążącą opinią lub wiążącą, podlegającą wykonaniu decyzj</w:t>
            </w:r>
            <w:r w:rsidRPr="000202F9">
              <w:t>ą. W</w:t>
            </w:r>
            <w:r w:rsidRPr="000202F9">
              <w:rPr>
                <w:b/>
                <w:i/>
              </w:rPr>
              <w:t> obu tych przypadkach</w:t>
            </w:r>
            <w:r w:rsidRPr="000202F9">
              <w:t xml:space="preserve"> należy podać powody oceny oraz – w razie potrzeby – środki naprawcze w celu usunięcia stwierdzonego naruszenia i zapobiegnięcia dalszemu występowaniu takich naruszeń. Aby zapewnić skuteczność pracy organów ds. równości, państwa cz</w:t>
            </w:r>
            <w:r w:rsidRPr="000202F9">
              <w:t>łonkowskie powinny przyjąć właściwe środki dotyczące działań następczych w związku z opiniami oraz wykonania decyzji.</w:t>
            </w:r>
          </w:p>
        </w:tc>
        <w:tc>
          <w:tcPr>
            <w:tcW w:w="4876" w:type="dxa"/>
            <w:hideMark/>
          </w:tcPr>
          <w:p w:rsidR="008429B6" w:rsidRPr="000202F9" w:rsidRDefault="0079015F" w:rsidP="00823CA1">
            <w:pPr>
              <w:pStyle w:val="Normal6"/>
              <w:rPr>
                <w:szCs w:val="24"/>
              </w:rPr>
            </w:pPr>
            <w:r w:rsidRPr="000202F9">
              <w:t>(26)</w:t>
            </w:r>
            <w:r w:rsidRPr="000202F9">
              <w:tab/>
              <w:t xml:space="preserve">Na podstawie przekazanych </w:t>
            </w:r>
            <w:r w:rsidRPr="000202F9">
              <w:rPr>
                <w:b/>
                <w:i/>
              </w:rPr>
              <w:t>dowodów</w:t>
            </w:r>
            <w:r w:rsidRPr="000202F9">
              <w:t xml:space="preserve"> organy ds. równości powinny </w:t>
            </w:r>
            <w:r w:rsidRPr="000202F9">
              <w:rPr>
                <w:b/>
                <w:i/>
              </w:rPr>
              <w:t>być upoważnione do przedstawienia swojej oceny</w:t>
            </w:r>
            <w:r w:rsidRPr="000202F9">
              <w:t xml:space="preserve"> skarżącemu i domniemanem</w:t>
            </w:r>
            <w:r w:rsidRPr="000202F9">
              <w:t xml:space="preserve">u sprawcy. </w:t>
            </w:r>
            <w:r w:rsidRPr="000202F9">
              <w:rPr>
                <w:b/>
                <w:i/>
              </w:rPr>
              <w:t>Organy ds. równości</w:t>
            </w:r>
            <w:r w:rsidRPr="000202F9">
              <w:t xml:space="preserve"> powinny określić wartość prawną tej oceny, która może być niewiążącą opinią lub wiążącą, podlegającą wykonaniu decyzją. </w:t>
            </w:r>
            <w:r w:rsidRPr="000202F9">
              <w:rPr>
                <w:b/>
                <w:i/>
              </w:rPr>
              <w:t>Zarówno</w:t>
            </w:r>
            <w:r w:rsidRPr="000202F9">
              <w:t xml:space="preserve"> w</w:t>
            </w:r>
            <w:r w:rsidRPr="000202F9">
              <w:rPr>
                <w:b/>
                <w:i/>
              </w:rPr>
              <w:t xml:space="preserve"> opiniach, jak i w decyzjach</w:t>
            </w:r>
            <w:r w:rsidRPr="000202F9">
              <w:t xml:space="preserve"> należy podać powody oceny oraz – w razie potrzeby – środki naprawcz</w:t>
            </w:r>
            <w:r w:rsidRPr="000202F9">
              <w:t>e w celu usunięcia stwierdzonego naruszenia i zapobiegnięcia dalszemu występowaniu takich naruszeń</w:t>
            </w:r>
            <w:r w:rsidRPr="000202F9">
              <w:rPr>
                <w:b/>
                <w:i/>
              </w:rPr>
              <w:t>. Podlegające wykonaniu wiążące decyzje mogą pociągać za sobą nałożenie sankcji</w:t>
            </w:r>
            <w:r w:rsidRPr="000202F9">
              <w:t>. Aby zapewnić skuteczność pracy organów ds. równości, państwa członkowskie pow</w:t>
            </w:r>
            <w:r w:rsidRPr="000202F9">
              <w:t>inny przyjąć właściwe środki dotyczące działań następczych w związku z opiniami oraz wykonania decyzji.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lastRenderedPageBreak/>
        <w:t>&lt;Amend&gt;</w:t>
      </w:r>
      <w:r w:rsidRPr="000202F9">
        <w:t>Poprawka</w:t>
      </w:r>
      <w:r w:rsidRPr="000202F9">
        <w:tab/>
      </w:r>
      <w:r w:rsidRPr="000202F9">
        <w:tab/>
      </w:r>
      <w:r w:rsidRPr="000202F9">
        <w:rPr>
          <w:rStyle w:val="HideTWBExt"/>
          <w:b w:val="0"/>
        </w:rPr>
        <w:t>&lt;NumAm&gt;</w:t>
      </w:r>
      <w:r w:rsidRPr="000202F9">
        <w:t>19</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27</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 xml:space="preserve">Tekst proponowany przez </w:t>
            </w:r>
            <w:r w:rsidRPr="000202F9">
              <w:t>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(27)</w:t>
            </w:r>
            <w:r w:rsidRPr="000202F9">
              <w:tab/>
              <w:t xml:space="preserve">W celu propagowania swojej działalności oraz przepisów dotyczących równości organy ds. równości powinny móc publikować </w:t>
            </w:r>
            <w:r w:rsidRPr="000202F9">
              <w:rPr>
                <w:b/>
                <w:i/>
              </w:rPr>
              <w:t>streszczenie swoich opinii</w:t>
            </w:r>
            <w:r w:rsidRPr="000202F9">
              <w:t xml:space="preserve"> i </w:t>
            </w:r>
            <w:r w:rsidRPr="000202F9">
              <w:rPr>
                <w:b/>
                <w:i/>
              </w:rPr>
              <w:t>decyzji</w:t>
            </w:r>
            <w:r w:rsidRPr="000202F9">
              <w:t xml:space="preserve"> bez ujawniania danych osobowych.</w:t>
            </w:r>
          </w:p>
        </w:tc>
        <w:tc>
          <w:tcPr>
            <w:tcW w:w="4876" w:type="dxa"/>
            <w:hideMark/>
          </w:tcPr>
          <w:p w:rsidR="008429B6" w:rsidRPr="000202F9" w:rsidRDefault="0079015F" w:rsidP="00823CA1">
            <w:pPr>
              <w:pStyle w:val="Normal6"/>
              <w:rPr>
                <w:szCs w:val="24"/>
              </w:rPr>
            </w:pPr>
            <w:r w:rsidRPr="000202F9">
              <w:t>(27)</w:t>
            </w:r>
            <w:r w:rsidRPr="000202F9">
              <w:tab/>
              <w:t>W celu propagowania swojej działalności</w:t>
            </w:r>
            <w:r w:rsidRPr="000202F9">
              <w:t xml:space="preserve"> oraz przepisów dotyczących równości organy ds. równości powinny móc publikować </w:t>
            </w:r>
            <w:r w:rsidRPr="000202F9">
              <w:rPr>
                <w:b/>
                <w:i/>
              </w:rPr>
              <w:t>swoje opinie</w:t>
            </w:r>
            <w:r w:rsidRPr="000202F9">
              <w:t xml:space="preserve"> i </w:t>
            </w:r>
            <w:r w:rsidRPr="000202F9">
              <w:rPr>
                <w:b/>
                <w:i/>
              </w:rPr>
              <w:t>decyzje, w tym ich streszczenia,</w:t>
            </w:r>
            <w:r w:rsidRPr="000202F9">
              <w:t xml:space="preserve"> bez ujawniania danych osobowych.</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20</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28</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(28)</w:t>
            </w:r>
            <w:r w:rsidRPr="000202F9">
              <w:tab/>
              <w:t>Organy ds. równości powinny mieć prawo do działania w postępowaniach sądowych w sprawach z zakresu prawa cywilnego lub administracyjnego, aby przyczyniać się do zapewnienia poszan</w:t>
            </w:r>
            <w:r w:rsidRPr="000202F9">
              <w:t>owania zasady równego traktowania ustanowionej w dyrektywach 2006/54/WE i 2010/41/UE. Choć te postępowania sądowe powinny podlegać krajowemu prawu procesowemu, w tym krajowym przepisom dotyczącym dopuszczalności skargi, takie przepisy, a w szczególności ws</w:t>
            </w:r>
            <w:r w:rsidRPr="000202F9">
              <w:t xml:space="preserve">zelkie warunki uzasadnionego interesu, nie mogą być stosowane w sposób, który podważałby skuteczność prawa do działania organów ds. równości. Uprawnienia do przeprowadzania dochodzeń, uprawnienia decyzyjne oraz prawo do działania w postępowaniach sądowych </w:t>
            </w:r>
            <w:r w:rsidRPr="000202F9">
              <w:t>przyznane organom ds. równości na mocy niniejszej dyrektywy ułatwią praktyczne wdrożenie obowiązujących przepisów dyrektyw 2000/43/WE, 2000/78/WE i 2004/113/WE dotyczących ciężaru dowodu oraz obrony praw. Na warunkach przewidzianych w niniejszej dyrektywie</w:t>
            </w:r>
            <w:r w:rsidRPr="000202F9">
              <w:t xml:space="preserve"> organy ds. równości będą </w:t>
            </w:r>
            <w:r w:rsidRPr="000202F9">
              <w:lastRenderedPageBreak/>
              <w:t xml:space="preserve">mogły ustalać „fakty, z których można domniemywać istnienie bezpośredniej lub pośredniej dyskryminacji”, wypełniając tym samym warunki przewidziane w art. 8 dyrektywy 2000/43/WE, art. 10 dyrektywy 2000/78/WE oraz art. 9 dyrektywy </w:t>
            </w:r>
            <w:r w:rsidRPr="000202F9">
              <w:t>2004/113/WE. Wsparcie tych organów ułatwi zatem ofiarom dostęp do wymiaru sprawiedliwości.</w:t>
            </w:r>
          </w:p>
        </w:tc>
        <w:tc>
          <w:tcPr>
            <w:tcW w:w="4876" w:type="dxa"/>
            <w:hideMark/>
          </w:tcPr>
          <w:p w:rsidR="008429B6" w:rsidRPr="000202F9" w:rsidRDefault="0079015F" w:rsidP="00823CA1">
            <w:pPr>
              <w:pStyle w:val="Normal6"/>
              <w:rPr>
                <w:szCs w:val="24"/>
              </w:rPr>
            </w:pPr>
            <w:r w:rsidRPr="000202F9">
              <w:lastRenderedPageBreak/>
              <w:t>(28)</w:t>
            </w:r>
            <w:r w:rsidRPr="000202F9">
              <w:tab/>
              <w:t xml:space="preserve">Organy ds. równości powinny mieć prawo do działania </w:t>
            </w:r>
            <w:r w:rsidRPr="000202F9">
              <w:rPr>
                <w:b/>
                <w:i/>
              </w:rPr>
              <w:t xml:space="preserve">przed instytucjami, organami sądowymi oraz </w:t>
            </w:r>
            <w:r w:rsidRPr="000202F9">
              <w:t xml:space="preserve">w postępowaniach sądowych w sprawach z zakresu prawa cywilnego </w:t>
            </w:r>
            <w:r w:rsidRPr="000202F9">
              <w:t>lub administracyjnego, aby przyczyniać się do zapewnienia poszanowania zasady równego traktowania ustanowionej w dyrektywach 2006/54/WE i 2010/41/UE. Choć te postępowania sądowe powinny podlegać krajowemu prawu procesowemu, w tym krajowym przepisom dotyczą</w:t>
            </w:r>
            <w:r w:rsidRPr="000202F9">
              <w:t>cym dopuszczalności skargi, takie przepisy, a w szczególności wszelkie warunki uzasadnionego interesu, nie mogą być stosowane w sposób, który podważałby skuteczność prawa do działania organów ds. równości. Uprawnienia do przeprowadzania dochodzeń, uprawnie</w:t>
            </w:r>
            <w:r w:rsidRPr="000202F9">
              <w:t>nia decyzyjne oraz prawo do działania</w:t>
            </w:r>
            <w:r w:rsidRPr="000202F9">
              <w:rPr>
                <w:b/>
                <w:i/>
              </w:rPr>
              <w:t xml:space="preserve"> przed instytucjami, organami sądowymi oraz</w:t>
            </w:r>
            <w:r w:rsidRPr="000202F9">
              <w:t xml:space="preserve"> w postępowaniach sądowych przyznane organom ds. równości na mocy niniejszej dyrektywy ułatwią praktyczne wdrożenie obowiązujących przepisów dyrektyw 2000/43/WE, 2000/78/WE i 2</w:t>
            </w:r>
            <w:r w:rsidRPr="000202F9">
              <w:t xml:space="preserve">004/113/WE dotyczących ciężaru dowodu oraz obrony </w:t>
            </w:r>
            <w:r w:rsidRPr="000202F9">
              <w:lastRenderedPageBreak/>
              <w:t>praw. Na warunkach przewidzianych w niniejszej dyrektywie organy ds. równości będą mogły ustalać „fakty, z których można domniemywać istnienie bezpośredniej lub pośredniej dyskryminacji”, wypełniając tym sa</w:t>
            </w:r>
            <w:r w:rsidRPr="000202F9">
              <w:t>mym warunki przewidziane w art. 8 dyrektywy 2000/43/WE, art. 10 dyrektywy 2000/78/WE oraz art. 9 dyrektywy 2004/113/WE. Wsparcie tych organów ułatwi zatem ofiarom dostęp do wymiaru sprawiedliwości.</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w:t>
      </w:r>
      <w:r w:rsidRPr="000202F9">
        <w:t>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29</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(29)</w:t>
            </w:r>
            <w:r w:rsidRPr="000202F9">
              <w:tab/>
              <w:t xml:space="preserve">Legitymacja procesowa pozwala organom ds. równości działać w imieniu lub w interesie ofiar, umożliwiając im dostęp do wymiaru sprawiedliwości </w:t>
            </w:r>
            <w:r w:rsidRPr="000202F9">
              <w:t>w sytuacji, gdy bariery proceduralne i finansowe lub obawa przed wiktymizacją często to utrudniają. Legitymacja procesowa umożliwia też organom ds. równości strategiczny wybór spraw, które postanawiają skierować na drogę sądową, oraz pozwala im przyczyniać</w:t>
            </w:r>
            <w:r w:rsidRPr="000202F9">
              <w:t xml:space="preserve"> się do właściwej wykładni i stosowania prawodawstwa w dziedzinie równego traktowania.</w:t>
            </w:r>
          </w:p>
        </w:tc>
        <w:tc>
          <w:tcPr>
            <w:tcW w:w="4876" w:type="dxa"/>
            <w:hideMark/>
          </w:tcPr>
          <w:p w:rsidR="008429B6" w:rsidRPr="000202F9" w:rsidRDefault="0079015F" w:rsidP="004E7856">
            <w:pPr>
              <w:pStyle w:val="Normal6"/>
              <w:rPr>
                <w:szCs w:val="24"/>
              </w:rPr>
            </w:pPr>
            <w:r w:rsidRPr="000202F9">
              <w:t>(29)</w:t>
            </w:r>
            <w:r w:rsidRPr="000202F9">
              <w:tab/>
              <w:t>Legitymacja procesowa pozwala organom ds. równości działać w imieniu lub w interesie ofiar, umożliwiając im dostęp do wymiaru sprawiedliwości w sytuacji, gdy barier</w:t>
            </w:r>
            <w:r w:rsidRPr="000202F9">
              <w:t>y proceduralne i finansowe lub obawa przed wiktymizacją często to utrudniają. Legitymacja procesowa umożliwia też organom ds. równości strategiczny wybór spraw, które postanawiają skierować na drogę sądową, oraz pozwala im przyczyniać się do właściwej wykł</w:t>
            </w:r>
            <w:r w:rsidRPr="000202F9">
              <w:t>adni i stosowania prawodawstwa w dziedzinie równego traktowania</w:t>
            </w:r>
            <w:r w:rsidRPr="000202F9">
              <w:rPr>
                <w:b/>
                <w:i/>
              </w:rPr>
              <w:t>, a także do przedstawiania wniosków mających na celu ulepszenie i aktualizację obowiązującego prawodawstwa</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22</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w:t>
      </w:r>
      <w:r w:rsidRPr="000202F9">
        <w:rPr>
          <w:rStyle w:val="HideTWBExt"/>
          <w:b w:val="0"/>
        </w:rPr>
        <w:t>/DocAmend&gt;</w:t>
      </w:r>
    </w:p>
    <w:p w:rsidR="008429B6" w:rsidRPr="000202F9" w:rsidRDefault="0079015F" w:rsidP="008429B6">
      <w:pPr>
        <w:pStyle w:val="NormalBold"/>
      </w:pPr>
      <w:r w:rsidRPr="000202F9">
        <w:rPr>
          <w:rStyle w:val="HideTWBExt"/>
          <w:b w:val="0"/>
        </w:rPr>
        <w:t>&lt;Article&gt;</w:t>
      </w:r>
      <w:r w:rsidRPr="000202F9">
        <w:t>Motyw 30</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(30)</w:t>
            </w:r>
            <w:r w:rsidRPr="000202F9">
              <w:tab/>
              <w:t xml:space="preserve">Niektóre przypadki dyskryminacji </w:t>
            </w:r>
            <w:r w:rsidRPr="000202F9">
              <w:lastRenderedPageBreak/>
              <w:t xml:space="preserve">są trudne do zwalczania ze względu na brak skarżących, którzy zdecydowaliby się wnieść sprawę do sądu. W orzeczeniu w sprawie C-54/07 </w:t>
            </w:r>
            <w:r w:rsidRPr="000202F9">
              <w:t>(Feryn)</w:t>
            </w:r>
            <w:r w:rsidRPr="000202F9">
              <w:rPr>
                <w:vertAlign w:val="superscript"/>
              </w:rPr>
              <w:t>71</w:t>
            </w:r>
            <w:r w:rsidRPr="000202F9">
              <w:t xml:space="preserve">, którą wniósł organ ds. równości we własnym imieniu, Trybunał Sprawiedliwości potwierdził, że dyskryminacja może </w:t>
            </w:r>
            <w:r w:rsidRPr="000202F9">
              <w:rPr>
                <w:b/>
                <w:i/>
              </w:rPr>
              <w:t>zostać stwierdzona</w:t>
            </w:r>
            <w:r w:rsidRPr="000202F9">
              <w:t xml:space="preserve"> nawet w sytuacji braku zidentyfikowanej ofiary. Ważne jest więc, aby organy ds. równości mogły działać we własnym </w:t>
            </w:r>
            <w:r w:rsidRPr="000202F9">
              <w:t>imieniu, w</w:t>
            </w:r>
            <w:r w:rsidRPr="000202F9">
              <w:rPr>
                <w:b/>
                <w:i/>
              </w:rPr>
              <w:t> </w:t>
            </w:r>
            <w:r w:rsidRPr="000202F9">
              <w:t>obronie interesu publicznego.</w:t>
            </w:r>
          </w:p>
        </w:tc>
        <w:tc>
          <w:tcPr>
            <w:tcW w:w="4876" w:type="dxa"/>
            <w:hideMark/>
          </w:tcPr>
          <w:p w:rsidR="008429B6" w:rsidRPr="000202F9" w:rsidRDefault="0079015F" w:rsidP="00823CA1">
            <w:pPr>
              <w:pStyle w:val="Normal6"/>
              <w:rPr>
                <w:szCs w:val="24"/>
              </w:rPr>
            </w:pPr>
            <w:r w:rsidRPr="000202F9">
              <w:lastRenderedPageBreak/>
              <w:t>(30)</w:t>
            </w:r>
            <w:r w:rsidRPr="000202F9">
              <w:tab/>
              <w:t xml:space="preserve">Niektóre przypadki dyskryminacji </w:t>
            </w:r>
            <w:r w:rsidRPr="000202F9">
              <w:lastRenderedPageBreak/>
              <w:t xml:space="preserve">są trudne do zwalczania ze względu na brak skarżących, którzy zdecydowaliby się wnieść sprawę do sądu. </w:t>
            </w:r>
            <w:r w:rsidRPr="000202F9">
              <w:t>W orzeczeniu w sprawie C-54/07 (Feryn)</w:t>
            </w:r>
            <w:r w:rsidRPr="0008572E">
              <w:rPr>
                <w:vertAlign w:val="superscript"/>
              </w:rPr>
              <w:t>71</w:t>
            </w:r>
            <w:r w:rsidRPr="000202F9">
              <w:t xml:space="preserve">, którą wniósł organ ds. równości we własnym imieniu, Trybunał Sprawiedliwości potwierdził, że dyskryminacja może </w:t>
            </w:r>
            <w:r w:rsidRPr="000202F9">
              <w:rPr>
                <w:b/>
                <w:i/>
              </w:rPr>
              <w:t>mieć miejsce</w:t>
            </w:r>
            <w:r w:rsidRPr="000202F9">
              <w:t xml:space="preserve"> nawet w sytuacji braku zidentyfikowanej ofiary</w:t>
            </w:r>
            <w:r w:rsidRPr="000202F9">
              <w:rPr>
                <w:b/>
                <w:i/>
              </w:rPr>
              <w:t>, np. w przypadku dyskryminacji strukturaln</w:t>
            </w:r>
            <w:r w:rsidRPr="000202F9">
              <w:rPr>
                <w:b/>
                <w:i/>
              </w:rPr>
              <w:t>ej lub systemowej</w:t>
            </w:r>
            <w:r w:rsidRPr="000202F9">
              <w:t xml:space="preserve">. Ważne jest więc, aby </w:t>
            </w:r>
            <w:r w:rsidRPr="000202F9">
              <w:rPr>
                <w:b/>
                <w:i/>
              </w:rPr>
              <w:t xml:space="preserve">w przypadku wykrycia dyskryminacji </w:t>
            </w:r>
            <w:r w:rsidRPr="000202F9">
              <w:t>organy ds. równości mogły działać</w:t>
            </w:r>
            <w:r w:rsidRPr="000202F9">
              <w:rPr>
                <w:b/>
                <w:i/>
              </w:rPr>
              <w:t xml:space="preserve"> i wszczynać postępowania sądowe</w:t>
            </w:r>
            <w:r w:rsidRPr="000202F9">
              <w:t xml:space="preserve"> we własnym imieniu, w</w:t>
            </w:r>
            <w:r w:rsidRPr="000202F9">
              <w:rPr>
                <w:b/>
                <w:i/>
              </w:rPr>
              <w:t xml:space="preserve"> </w:t>
            </w:r>
            <w:r w:rsidRPr="000202F9">
              <w:t>obronie interesu publicznego</w:t>
            </w:r>
            <w:r w:rsidRPr="000202F9">
              <w:rPr>
                <w:b/>
                <w:i/>
              </w:rPr>
              <w:t>, bez obecności osoby, która została zidentyfikowana jako ofiara.</w:t>
            </w:r>
            <w:r w:rsidRPr="000202F9">
              <w:t xml:space="preserve"> </w:t>
            </w:r>
            <w:r w:rsidRPr="000202F9">
              <w:rPr>
                <w:b/>
                <w:i/>
              </w:rPr>
              <w:t>Ważne jest również, aby mogły one podejmować działania w przypadkach, w których korzysta się ze zbiorowego dochodzenia roszczeń.</w:t>
            </w:r>
          </w:p>
        </w:tc>
      </w:tr>
      <w:tr w:rsidR="00313F61" w:rsidRPr="000202F9" w:rsidTr="00823CA1">
        <w:trPr>
          <w:jc w:val="center"/>
        </w:trPr>
        <w:tc>
          <w:tcPr>
            <w:tcW w:w="4876" w:type="dxa"/>
            <w:hideMark/>
          </w:tcPr>
          <w:p w:rsidR="008429B6" w:rsidRPr="000202F9" w:rsidRDefault="0079015F" w:rsidP="00823CA1">
            <w:pPr>
              <w:pStyle w:val="Normal6"/>
            </w:pPr>
            <w:r w:rsidRPr="000202F9">
              <w:lastRenderedPageBreak/>
              <w:t>__________________</w:t>
            </w:r>
          </w:p>
        </w:tc>
        <w:tc>
          <w:tcPr>
            <w:tcW w:w="4876" w:type="dxa"/>
            <w:hideMark/>
          </w:tcPr>
          <w:p w:rsidR="008429B6" w:rsidRPr="000202F9" w:rsidRDefault="0079015F" w:rsidP="00823CA1">
            <w:pPr>
              <w:pStyle w:val="Normal6"/>
              <w:rPr>
                <w:szCs w:val="24"/>
              </w:rPr>
            </w:pPr>
            <w:r w:rsidRPr="000202F9">
              <w:t>__________________</w:t>
            </w:r>
          </w:p>
        </w:tc>
      </w:tr>
      <w:tr w:rsidR="00313F61" w:rsidRPr="000202F9" w:rsidTr="00823CA1">
        <w:trPr>
          <w:jc w:val="center"/>
        </w:trPr>
        <w:tc>
          <w:tcPr>
            <w:tcW w:w="4876" w:type="dxa"/>
            <w:hideMark/>
          </w:tcPr>
          <w:p w:rsidR="008429B6" w:rsidRPr="000202F9" w:rsidRDefault="0079015F" w:rsidP="00823CA1">
            <w:pPr>
              <w:pStyle w:val="Normal6"/>
            </w:pPr>
            <w:r w:rsidRPr="000202F9">
              <w:rPr>
                <w:vertAlign w:val="superscript"/>
              </w:rPr>
              <w:t>71</w:t>
            </w:r>
            <w:r w:rsidRPr="000202F9">
              <w:t xml:space="preserve"> Wyrok z dnia 10 lipca 2008 r. w sprawie Feryn (C-54/07, ECLI:EU:C:2008:397).</w:t>
            </w:r>
          </w:p>
        </w:tc>
        <w:tc>
          <w:tcPr>
            <w:tcW w:w="4876" w:type="dxa"/>
            <w:hideMark/>
          </w:tcPr>
          <w:p w:rsidR="008429B6" w:rsidRPr="000202F9" w:rsidRDefault="0079015F" w:rsidP="00823CA1">
            <w:pPr>
              <w:pStyle w:val="Normal6"/>
              <w:rPr>
                <w:szCs w:val="24"/>
              </w:rPr>
            </w:pPr>
            <w:r w:rsidRPr="000202F9">
              <w:rPr>
                <w:vertAlign w:val="superscript"/>
              </w:rPr>
              <w:t>71</w:t>
            </w:r>
            <w:r w:rsidRPr="000202F9">
              <w:t xml:space="preserve"> Wyr</w:t>
            </w:r>
            <w:r w:rsidRPr="000202F9">
              <w:t>ok z dnia 10 lipca 2008 r. w sprawie Feryn (C-54/07, ECLI:EU:C:2008:397).</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30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(30a)</w:t>
            </w:r>
            <w:r w:rsidRPr="000202F9">
              <w:rPr>
                <w:b/>
                <w:i/>
              </w:rPr>
              <w:tab/>
              <w:t>Niniejsza dyrektywa ma również na celu wyeliminowanie przypadków dyskryminacji związanych z procedurami, procesami i kulturą organizacyjną każdej organizacji prywatnej lub publicznej, w tym organów ścigania, które to procedury, procesy i kultura przyczyni</w:t>
            </w:r>
            <w:r w:rsidRPr="000202F9">
              <w:rPr>
                <w:b/>
                <w:i/>
              </w:rPr>
              <w:t>ają się do gorszych rezultatów dla określonych grup ludności. Organy ds. równości powinny być w stanie zintensyfikować działania służące zapobieganiu dyskryminacji instytucjonalnej i opracować systemowe środki zaradcze, które umożliwią spójną reakcję na dy</w:t>
            </w:r>
            <w:r w:rsidRPr="000202F9">
              <w:rPr>
                <w:b/>
                <w:i/>
              </w:rPr>
              <w:t>skryminację strukturalną lub systemową we wszystkich sektorach.</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31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(31)</w:t>
            </w:r>
            <w:r w:rsidRPr="000202F9">
              <w:tab/>
              <w:t xml:space="preserve">Organy ds. równości </w:t>
            </w:r>
            <w:r w:rsidRPr="000202F9">
              <w:t>powinny też mieć możliwość składania ustnych lub pisemnych oświadczeń w sądach, np. w charakterze amicus curiae, a więc w „lżejszy” sposób wspierać sprawy, udzielając ekspertyzy.</w:t>
            </w:r>
          </w:p>
        </w:tc>
        <w:tc>
          <w:tcPr>
            <w:tcW w:w="4876" w:type="dxa"/>
            <w:hideMark/>
          </w:tcPr>
          <w:p w:rsidR="008429B6" w:rsidRPr="000202F9" w:rsidRDefault="0079015F" w:rsidP="00823CA1">
            <w:pPr>
              <w:pStyle w:val="Normal6"/>
              <w:rPr>
                <w:szCs w:val="24"/>
              </w:rPr>
            </w:pPr>
            <w:r w:rsidRPr="000202F9">
              <w:t>(31)</w:t>
            </w:r>
            <w:r w:rsidRPr="000202F9">
              <w:tab/>
              <w:t>Organy ds. równości powinny też mieć możliwość składania ustnych lub pis</w:t>
            </w:r>
            <w:r w:rsidRPr="000202F9">
              <w:t xml:space="preserve">emnych oświadczeń w sądach, </w:t>
            </w:r>
            <w:r w:rsidRPr="000202F9">
              <w:rPr>
                <w:b/>
                <w:i/>
              </w:rPr>
              <w:t xml:space="preserve">instytucjach oraz organach sądowych, </w:t>
            </w:r>
            <w:r w:rsidRPr="000202F9">
              <w:t>np. w charakterze amicus curiae</w:t>
            </w:r>
            <w:r w:rsidRPr="000202F9">
              <w:rPr>
                <w:b/>
                <w:i/>
              </w:rPr>
              <w:t>, strony trzeciej lub biegłego</w:t>
            </w:r>
            <w:r w:rsidRPr="000202F9">
              <w:t>, a więc w „lżejszy” sposób wspierać sprawy, udzielając ekspertyzy.</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32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(32)</w:t>
            </w:r>
            <w:r w:rsidRPr="000202F9">
              <w:tab/>
              <w:t>Prawo organów ds. równości do działania przed sądem musi gwarantować poszanowanie zasady rzetelnego procesu sądowego i zasady równości stron</w:t>
            </w:r>
            <w:r w:rsidRPr="000202F9">
              <w:t>. Dlatego też z wyjątkiem sytuacji, w których organ ds. równości występuje jako strona postępowania w sprawie wykonania lub kontroli sądowej jego własnej decyzji lub jako amicus curiae, organ ds. równości nie powinien móc przedstawiać w postępowaniach sądo</w:t>
            </w:r>
            <w:r w:rsidRPr="000202F9">
              <w:t>wych dowodów uzyskanych we wcześniejszych dochodzeniach w tej samej sprawie, które domniemany sprawca lub dowolna strona trzecia mieli prawny obowiązek przekazać.</w:t>
            </w:r>
          </w:p>
        </w:tc>
        <w:tc>
          <w:tcPr>
            <w:tcW w:w="4876" w:type="dxa"/>
            <w:hideMark/>
          </w:tcPr>
          <w:p w:rsidR="008429B6" w:rsidRPr="000202F9" w:rsidRDefault="0079015F" w:rsidP="00823CA1">
            <w:pPr>
              <w:pStyle w:val="Normal6"/>
              <w:rPr>
                <w:szCs w:val="24"/>
              </w:rPr>
            </w:pPr>
            <w:r w:rsidRPr="000202F9">
              <w:t>(32)</w:t>
            </w:r>
            <w:r w:rsidRPr="000202F9">
              <w:tab/>
              <w:t xml:space="preserve">Prawo organów ds. równości do działania przed </w:t>
            </w:r>
            <w:r w:rsidRPr="000202F9">
              <w:rPr>
                <w:b/>
                <w:i/>
              </w:rPr>
              <w:t xml:space="preserve">instytucjami, organami sądowymi i </w:t>
            </w:r>
            <w:r w:rsidRPr="000202F9">
              <w:t>sądem mu</w:t>
            </w:r>
            <w:r w:rsidRPr="000202F9">
              <w:t>si gwarantować poszanowanie zasady rzetelnego procesu sądowego i zasady równości stron. Dlatego też z wyjątkiem sytuacji, w których organ ds. równości występuje jako strona postępowania w sprawie wykonania lub kontroli sądowej jego własnej decyzji lub jako</w:t>
            </w:r>
            <w:r w:rsidRPr="000202F9">
              <w:t xml:space="preserve"> amicus curiae, organ ds. równości nie powinien móc przedstawiać w postępowaniach sądowych dowodów uzyskanych we wcześniejszych dochodzeniach w tej samej sprawie, które domniemany sprawca lub dowolna strona trzecia mieli prawny obowiązek przekazać.</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34</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(34)</w:t>
            </w:r>
            <w:r w:rsidRPr="000202F9">
              <w:tab/>
              <w:t xml:space="preserve">Przepisy dotyczące prawa organów ds. równości do działania w postępowaniach sądowych </w:t>
            </w:r>
            <w:r w:rsidRPr="000202F9">
              <w:t>nie naruszają praw ofiar, stowarzyszeń, organizacji ani innych podmiotów prawnych, które egzekwują prawa ofiar, mających – zgodnie z kryteriami określonymi w obowiązujących je przepisach krajowych – uzasadniony interes w zapewnieniu, by przestrzegano dyrek</w:t>
            </w:r>
            <w:r w:rsidRPr="000202F9">
              <w:t>tyw 2006/54/WE i 2010/41/UE, jak określono w tych dyrektywach.</w:t>
            </w:r>
          </w:p>
        </w:tc>
        <w:tc>
          <w:tcPr>
            <w:tcW w:w="4876" w:type="dxa"/>
            <w:hideMark/>
          </w:tcPr>
          <w:p w:rsidR="008429B6" w:rsidRPr="000202F9" w:rsidRDefault="0079015F" w:rsidP="00823CA1">
            <w:pPr>
              <w:pStyle w:val="Normal6"/>
              <w:rPr>
                <w:szCs w:val="24"/>
              </w:rPr>
            </w:pPr>
            <w:r w:rsidRPr="000202F9">
              <w:t>(34)</w:t>
            </w:r>
            <w:r w:rsidRPr="000202F9">
              <w:tab/>
              <w:t xml:space="preserve">Przepisy dotyczące prawa organów ds. równości do działania </w:t>
            </w:r>
            <w:r w:rsidRPr="000202F9">
              <w:rPr>
                <w:b/>
                <w:i/>
              </w:rPr>
              <w:t xml:space="preserve">przed instytucjami, organami sądowymi oraz </w:t>
            </w:r>
            <w:r w:rsidRPr="000202F9">
              <w:t xml:space="preserve">w postępowaniach sądowych nie naruszają praw ofiar, stowarzyszeń, organizacji ani </w:t>
            </w:r>
            <w:r w:rsidRPr="000202F9">
              <w:t>innych podmiotów prawnych, które egzekwują prawa ofiar, mających – zgodnie z kryteriami określonymi w obowiązujących je przepisach krajowych – uzasadniony interes w zapewnieniu, by przestrzegano dyrektyw 2006/54/WE i 2010/41/UE, jak określono w tych dyrekt</w:t>
            </w:r>
            <w:r w:rsidRPr="000202F9">
              <w:t>ywach.</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27</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36</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(36)</w:t>
            </w:r>
            <w:r w:rsidRPr="000202F9">
              <w:tab/>
              <w:t>Należy zagwarantować wszystkim równy dostęp do usług i publikacji organów ds.</w:t>
            </w:r>
            <w:r w:rsidRPr="000202F9">
              <w:t xml:space="preserve"> równości. W tym celu należy zidentyfikować i usunąć potencjalne bariery w dostępie do usług organów ds. równości. Usługi te powinny być bezpłatne dla skarżących. Państwa członkowskie powinny też dopilnować, aby usługi organów ds. równości były dostępne dl</w:t>
            </w:r>
            <w:r w:rsidRPr="000202F9">
              <w:t xml:space="preserve">a wszystkich potencjalnych ofiar na całym terytorium kraju, na przykład przez tworzenie </w:t>
            </w:r>
            <w:r w:rsidRPr="000202F9">
              <w:rPr>
                <w:b/>
                <w:i/>
              </w:rPr>
              <w:t>miejscowych</w:t>
            </w:r>
            <w:r w:rsidRPr="000202F9">
              <w:t xml:space="preserve"> biur, w tym biur ruchomych, organizację lokalnych kampanii lub współpracę z lokalnymi przedstawicielami lub organizacjami społeczeństwa obywatelskiego.</w:t>
            </w:r>
          </w:p>
        </w:tc>
        <w:tc>
          <w:tcPr>
            <w:tcW w:w="4876" w:type="dxa"/>
            <w:hideMark/>
          </w:tcPr>
          <w:p w:rsidR="008429B6" w:rsidRPr="000202F9" w:rsidRDefault="0079015F" w:rsidP="00823CA1">
            <w:pPr>
              <w:pStyle w:val="Normal6"/>
              <w:rPr>
                <w:szCs w:val="24"/>
              </w:rPr>
            </w:pPr>
            <w:r w:rsidRPr="000202F9">
              <w:t>(36)</w:t>
            </w:r>
            <w:r w:rsidRPr="000202F9">
              <w:tab/>
              <w:t>Należy zagwarantować wszystkim równy dostęp do usług i publikacji organów ds. równości</w:t>
            </w:r>
            <w:r w:rsidRPr="000202F9">
              <w:rPr>
                <w:b/>
                <w:i/>
              </w:rPr>
              <w:t>, w tym w internecie</w:t>
            </w:r>
            <w:r w:rsidRPr="000202F9">
              <w:t>. W tym celu należy zidentyfikować i usunąć potencjalne bariery w dostępie do usług organów ds. równości. Usługi te powinny być bezpłatne dla skarżąc</w:t>
            </w:r>
            <w:r w:rsidRPr="000202F9">
              <w:t xml:space="preserve">ych. Państwa członkowskie powinny też </w:t>
            </w:r>
            <w:r w:rsidRPr="000202F9">
              <w:rPr>
                <w:b/>
                <w:i/>
              </w:rPr>
              <w:t xml:space="preserve">– przestrzegając kompetencji przyznanych władzom regionalnym i lokalnym – </w:t>
            </w:r>
            <w:r w:rsidRPr="000202F9">
              <w:t xml:space="preserve">dopilnować, aby usługi organów ds. równości były dostępne dla wszystkich potencjalnych ofiar na całym terytorium kraju, na przykład </w:t>
            </w:r>
            <w:r w:rsidRPr="000202F9">
              <w:rPr>
                <w:b/>
                <w:i/>
              </w:rPr>
              <w:t>– w razie po</w:t>
            </w:r>
            <w:r w:rsidRPr="000202F9">
              <w:rPr>
                <w:b/>
                <w:i/>
              </w:rPr>
              <w:t xml:space="preserve">trzeby – </w:t>
            </w:r>
            <w:r w:rsidRPr="000202F9">
              <w:t xml:space="preserve">przez tworzenie </w:t>
            </w:r>
            <w:r w:rsidRPr="000202F9">
              <w:rPr>
                <w:b/>
                <w:i/>
              </w:rPr>
              <w:t>lokalnych i regionalnych</w:t>
            </w:r>
            <w:r w:rsidRPr="000202F9">
              <w:t xml:space="preserve"> biur, w tym biur ruchomych, organizację lokalnych kampanii lub współpracę z lokalnymi przedstawicielami lub organizacjami społeczeństwa obywatelskiego. </w:t>
            </w:r>
            <w:r w:rsidRPr="000202F9">
              <w:rPr>
                <w:b/>
                <w:i/>
              </w:rPr>
              <w:t>Należy zwrócić szczególną uwagę na zapewnienie dostępu</w:t>
            </w:r>
            <w:r w:rsidRPr="000202F9">
              <w:rPr>
                <w:b/>
                <w:i/>
              </w:rPr>
              <w:t xml:space="preserve"> grupom znajdującym się w niekorzystnej sytuacji.</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28</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37</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(37)</w:t>
            </w:r>
            <w:r w:rsidRPr="000202F9">
              <w:tab/>
              <w:t xml:space="preserve">Unia i wszystkie jej państwa </w:t>
            </w:r>
            <w:r w:rsidRPr="000202F9">
              <w:t>członkowskie są stronami Konwencji ONZ o prawach osób niepełnosprawnych</w:t>
            </w:r>
            <w:r w:rsidRPr="000202F9">
              <w:rPr>
                <w:vertAlign w:val="superscript"/>
              </w:rPr>
              <w:t>73</w:t>
            </w:r>
            <w:r w:rsidRPr="000202F9">
              <w:t>, która obejmuje obowiązek zakazania dyskryminacji ze względu na niepełnosprawność oraz zagwarantowania na równych zasadach osobom z niepełnosprawnościami skutecznej ochrony prawnej p</w:t>
            </w:r>
            <w:r w:rsidRPr="000202F9">
              <w:t>rzed dyskryminacją z dowolnych względów. Niniejszą dyrektywę należy interpretować w sposób spójny z tą Konwencją. Aby zagwarantować osobom z niepełnosprawnościami równą i skuteczną ochronę prawną i dostęp do wszystkich usług i działań organów ds. równości,</w:t>
            </w:r>
            <w:r w:rsidRPr="000202F9">
              <w:t xml:space="preserve"> konieczne jest zapewnienie dostępności, zgodnie z wymogami ustanowionymi w dyrektywie (UE) 2019/882, oraz racjonalnych usprawnień. Organy ds. równości powinny zapewnić dostępność fizyczną oraz e-dostępność</w:t>
            </w:r>
            <w:r w:rsidRPr="000202F9">
              <w:rPr>
                <w:vertAlign w:val="superscript"/>
              </w:rPr>
              <w:t>74</w:t>
            </w:r>
            <w:r w:rsidRPr="000202F9">
              <w:t xml:space="preserve"> przez zapobieganie barierom, które mogą utrudni</w:t>
            </w:r>
            <w:r w:rsidRPr="000202F9">
              <w:t>ać osobom z niepełnosprawnościami dostęp do usług i informacji, oraz usuwanie takich barier, a także powinny zapewnić racjonalne usprawnienia, wprowadzając konieczne i odpowiednie zmiany i dostosowania, jeżeli są potrzebne w danym przypadku.</w:t>
            </w:r>
          </w:p>
        </w:tc>
        <w:tc>
          <w:tcPr>
            <w:tcW w:w="4876" w:type="dxa"/>
            <w:hideMark/>
          </w:tcPr>
          <w:p w:rsidR="008429B6" w:rsidRPr="000202F9" w:rsidRDefault="0079015F" w:rsidP="00823CA1">
            <w:pPr>
              <w:pStyle w:val="Normal6"/>
              <w:rPr>
                <w:szCs w:val="24"/>
              </w:rPr>
            </w:pPr>
            <w:r w:rsidRPr="000202F9">
              <w:t>(37)</w:t>
            </w:r>
            <w:r w:rsidRPr="000202F9">
              <w:tab/>
              <w:t>Unia i ws</w:t>
            </w:r>
            <w:r w:rsidRPr="000202F9">
              <w:t>zystkie jej państwa członkowskie są stronami Konwencji ONZ o prawach osób niepełnosprawnych</w:t>
            </w:r>
            <w:r w:rsidRPr="0008572E">
              <w:rPr>
                <w:vertAlign w:val="superscript"/>
              </w:rPr>
              <w:t>73</w:t>
            </w:r>
            <w:r w:rsidRPr="000202F9">
              <w:t>, która obejmuje obowiązek zakazania dyskryminacji ze względu na niepełnosprawność oraz zagwarantowania na równych zasadach osobom z niepełnosprawnościami skuteczn</w:t>
            </w:r>
            <w:r w:rsidRPr="000202F9">
              <w:t>ej ochrony prawnej przed dyskryminacją z dowolnych względów. Niniejszą dyrektywę należy interpretować w sposób spójny z tą Konwencją. Aby zagwarantować osobom z niepełnosprawnościami równą i skuteczną ochronę prawną i dostęp do wszystkich usług i działań o</w:t>
            </w:r>
            <w:r w:rsidRPr="000202F9">
              <w:t>rganów ds. równości, konieczne jest zapewnienie dostępności, zgodnie z wymogami ustanowionymi w dyrektywie (UE) 2019/882, oraz racjonalnych usprawnień. Organy ds. równości powinny zapewnić dostępność fizyczną oraz e-dostępność</w:t>
            </w:r>
            <w:r w:rsidRPr="0008572E">
              <w:rPr>
                <w:vertAlign w:val="superscript"/>
              </w:rPr>
              <w:t>74</w:t>
            </w:r>
            <w:r w:rsidRPr="000202F9">
              <w:t xml:space="preserve"> przez zapobieganie barierom</w:t>
            </w:r>
            <w:r w:rsidRPr="000202F9">
              <w:t>, które mogą utrudniać osobom z niepełnosprawnościami dostęp do usług i informacji, oraz usuwanie takich barier, a także powinny zapewnić racjonalne usprawnienia, wprowadzając konieczne i odpowiednie zmiany i dostosowania, jeżeli są potrzebne w danym przyp</w:t>
            </w:r>
            <w:r w:rsidRPr="000202F9">
              <w:t>adku.</w:t>
            </w:r>
            <w:r w:rsidRPr="000202F9">
              <w:rPr>
                <w:b/>
                <w:i/>
              </w:rPr>
              <w:t xml:space="preserve"> W ramach swojego mandatu organy ds. równości powinny zajmować się wszystkimi formami dyskryminacji, z którymi borykają się osoby z niepełnosprawnością, zgodnie z Konwencją ONZ o prawach osób niepełnosprawnych, w tym dyskryminacją bezpośrednią i pośre</w:t>
            </w:r>
            <w:r w:rsidRPr="000202F9">
              <w:rPr>
                <w:b/>
                <w:i/>
              </w:rPr>
              <w:t xml:space="preserve">dnią, odmową racjonalnych usprawnień, dyskryminacją przez skojarzenie, molestowaniem, </w:t>
            </w:r>
            <w:r w:rsidRPr="000202F9">
              <w:rPr>
                <w:b/>
                <w:i/>
              </w:rPr>
              <w:lastRenderedPageBreak/>
              <w:t>poleceniem dyskryminowania, jak również wiktymizacją i nawoływaniem do nienawiści.</w:t>
            </w:r>
          </w:p>
        </w:tc>
      </w:tr>
      <w:tr w:rsidR="00313F61" w:rsidRPr="000202F9" w:rsidTr="00823CA1">
        <w:trPr>
          <w:jc w:val="center"/>
        </w:trPr>
        <w:tc>
          <w:tcPr>
            <w:tcW w:w="4876" w:type="dxa"/>
            <w:hideMark/>
          </w:tcPr>
          <w:p w:rsidR="008429B6" w:rsidRPr="000202F9" w:rsidRDefault="0079015F" w:rsidP="00823CA1">
            <w:pPr>
              <w:pStyle w:val="Normal6"/>
            </w:pPr>
            <w:r w:rsidRPr="000202F9">
              <w:lastRenderedPageBreak/>
              <w:t>__________________</w:t>
            </w:r>
          </w:p>
        </w:tc>
        <w:tc>
          <w:tcPr>
            <w:tcW w:w="4876" w:type="dxa"/>
            <w:hideMark/>
          </w:tcPr>
          <w:p w:rsidR="008429B6" w:rsidRPr="000202F9" w:rsidRDefault="0079015F" w:rsidP="00823CA1">
            <w:pPr>
              <w:pStyle w:val="Normal6"/>
              <w:rPr>
                <w:szCs w:val="24"/>
              </w:rPr>
            </w:pPr>
            <w:r w:rsidRPr="000202F9">
              <w:t>__________________</w:t>
            </w:r>
          </w:p>
        </w:tc>
      </w:tr>
      <w:tr w:rsidR="00313F61" w:rsidRPr="000202F9" w:rsidTr="00823CA1">
        <w:trPr>
          <w:jc w:val="center"/>
        </w:trPr>
        <w:tc>
          <w:tcPr>
            <w:tcW w:w="4876" w:type="dxa"/>
            <w:hideMark/>
          </w:tcPr>
          <w:p w:rsidR="008429B6" w:rsidRPr="000202F9" w:rsidRDefault="0079015F" w:rsidP="00823CA1">
            <w:pPr>
              <w:pStyle w:val="Normal6"/>
            </w:pPr>
            <w:r w:rsidRPr="000202F9">
              <w:rPr>
                <w:vertAlign w:val="superscript"/>
              </w:rPr>
              <w:t xml:space="preserve">73 </w:t>
            </w:r>
            <w:r w:rsidRPr="000202F9">
              <w:t>Dz.U. L 23 z 27.1.2010, s. 37.</w:t>
            </w:r>
          </w:p>
        </w:tc>
        <w:tc>
          <w:tcPr>
            <w:tcW w:w="4876" w:type="dxa"/>
            <w:hideMark/>
          </w:tcPr>
          <w:p w:rsidR="008429B6" w:rsidRPr="000202F9" w:rsidRDefault="0079015F" w:rsidP="00823CA1">
            <w:pPr>
              <w:pStyle w:val="Normal6"/>
              <w:rPr>
                <w:szCs w:val="24"/>
              </w:rPr>
            </w:pPr>
            <w:r w:rsidRPr="000202F9">
              <w:rPr>
                <w:vertAlign w:val="superscript"/>
              </w:rPr>
              <w:t xml:space="preserve">73 </w:t>
            </w:r>
            <w:r w:rsidRPr="000202F9">
              <w:t>Dz.U. L 2</w:t>
            </w:r>
            <w:r w:rsidRPr="000202F9">
              <w:t>3 z 27.1.2010, s. 37.</w:t>
            </w:r>
          </w:p>
        </w:tc>
      </w:tr>
      <w:tr w:rsidR="00313F61" w:rsidRPr="000202F9" w:rsidTr="00823CA1">
        <w:trPr>
          <w:jc w:val="center"/>
        </w:trPr>
        <w:tc>
          <w:tcPr>
            <w:tcW w:w="4876" w:type="dxa"/>
            <w:hideMark/>
          </w:tcPr>
          <w:p w:rsidR="008429B6" w:rsidRPr="000202F9" w:rsidRDefault="0079015F" w:rsidP="00823CA1">
            <w:pPr>
              <w:pStyle w:val="Normal6"/>
            </w:pPr>
            <w:r w:rsidRPr="000202F9">
              <w:rPr>
                <w:vertAlign w:val="superscript"/>
              </w:rPr>
              <w:t xml:space="preserve">74 </w:t>
            </w:r>
            <w:r w:rsidRPr="000202F9">
              <w:t>Zob. dyrektywa Parlamentu Europejskiego i Rady (UE) 2016/2102 z dnia 26 października 2016 r. w sprawie dostępności stron internetowych i mobilnych aplikacji organów sektora publicznego (Dz.U. L 327 z 2.12.2016, s. 1) oraz powiązan</w:t>
            </w:r>
            <w:r w:rsidRPr="000202F9">
              <w:t>a decyzja wykonawcza.</w:t>
            </w:r>
          </w:p>
        </w:tc>
        <w:tc>
          <w:tcPr>
            <w:tcW w:w="4876" w:type="dxa"/>
            <w:hideMark/>
          </w:tcPr>
          <w:p w:rsidR="008429B6" w:rsidRPr="000202F9" w:rsidRDefault="0079015F" w:rsidP="00823CA1">
            <w:pPr>
              <w:pStyle w:val="Normal6"/>
              <w:rPr>
                <w:szCs w:val="24"/>
              </w:rPr>
            </w:pPr>
            <w:r w:rsidRPr="000202F9">
              <w:rPr>
                <w:vertAlign w:val="superscript"/>
              </w:rPr>
              <w:t>74</w:t>
            </w:r>
            <w:r w:rsidRPr="000202F9">
              <w:t xml:space="preserve"> Zob. dyrektywa Parlamentu Europejskiego i Rady (UE) 2016/2102 z dnia 26 października 2016 r. w sprawie dostępności stron internetowych i mobilnych aplikacji organów sektora publicznego (Dz.U. L 327 z 2.12.2016, s. 1) oraz powiązana</w:t>
            </w:r>
            <w:r w:rsidRPr="000202F9">
              <w:t xml:space="preserve"> decyzja wykonawcza.</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29</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38</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(38)</w:t>
            </w:r>
            <w:r w:rsidRPr="000202F9">
              <w:tab/>
              <w:t xml:space="preserve">Umożliwienie organom ds. równości regularnej i długoterminowej </w:t>
            </w:r>
            <w:r w:rsidRPr="000202F9">
              <w:t>koordynacji i współpracy na różnych poziomach ma zasadnicze znaczenie dla wzajemnego uczenia się, spójności i zgodności, a także może poszerzyć zasięg działań środowiskowych i zwiększyć wpływ pracy tych organów. Organy ds. równości powinny współpracować</w:t>
            </w:r>
            <w:r w:rsidRPr="000202F9">
              <w:rPr>
                <w:b/>
                <w:i/>
              </w:rPr>
              <w:t>, z</w:t>
            </w:r>
            <w:r w:rsidRPr="000202F9">
              <w:rPr>
                <w:b/>
                <w:i/>
              </w:rPr>
              <w:t>właszcza</w:t>
            </w:r>
            <w:r w:rsidRPr="000202F9">
              <w:t xml:space="preserve"> z innymi organami ds. równości w tym samym państwie członkowskim oraz w innych państwach członkowskich – w tym w ramach europejskiej sieci organów ds. równości (EQUINET) – a także z podmiotami publicznymi i prywatnymi na szczeblu lokalnym, regiona</w:t>
            </w:r>
            <w:r w:rsidRPr="000202F9">
              <w:t>lnym, krajowym, unijnym i międzynarodowym, takimi jak organizacje społeczeństwa obywatelskiego, organy ochrony danych, związki zawodowe, inspektoraty pracy i kuratoria oświaty, organy ścigania, agencje odpowiedzialne na szczeblu krajowym za ochronę praw cz</w:t>
            </w:r>
            <w:r w:rsidRPr="000202F9">
              <w:t xml:space="preserve">łowieka, organy zarządzające funduszami unijnymi, krajowe punkty kontaktowe ds. Romów, </w:t>
            </w:r>
            <w:r w:rsidRPr="000202F9">
              <w:lastRenderedPageBreak/>
              <w:t>organy ochrony konsumentów oraz krajowe niezależne mechanizmy promowania, ochrony i monitorowania Konwencji ONZ o prawach osób niepełnosprawnych. Taka współpraca nie pow</w:t>
            </w:r>
            <w:r w:rsidRPr="000202F9">
              <w:t>inna obejmować wymiany danych osobowych (tj. danych dotyczących równouprawnienia w postaci umożliwiającej identyfikację osób fizycznych).</w:t>
            </w:r>
          </w:p>
        </w:tc>
        <w:tc>
          <w:tcPr>
            <w:tcW w:w="4876" w:type="dxa"/>
            <w:hideMark/>
          </w:tcPr>
          <w:p w:rsidR="008429B6" w:rsidRPr="000202F9" w:rsidRDefault="0079015F" w:rsidP="00823CA1">
            <w:pPr>
              <w:pStyle w:val="Normal6"/>
              <w:rPr>
                <w:szCs w:val="24"/>
              </w:rPr>
            </w:pPr>
            <w:r w:rsidRPr="000202F9">
              <w:lastRenderedPageBreak/>
              <w:t>(38)</w:t>
            </w:r>
            <w:r w:rsidRPr="000202F9">
              <w:tab/>
              <w:t>Umożliwienie organom ds. równości regularnej i długoterminowej koordynacji i współpracy na różnych poziomach ma z</w:t>
            </w:r>
            <w:r w:rsidRPr="000202F9">
              <w:t xml:space="preserve">asadnicze znaczenie dla wzajemnego uczenia się, spójności i zgodności, a także może poszerzyć zasięg działań środowiskowych i zwiększyć wpływ pracy tych organów. </w:t>
            </w:r>
            <w:r w:rsidRPr="000202F9">
              <w:rPr>
                <w:b/>
                <w:i/>
              </w:rPr>
              <w:t>W przypadku istnienia różnych organów ds. równości należy wzmocnić ich kompetencje i uprawnien</w:t>
            </w:r>
            <w:r w:rsidRPr="000202F9">
              <w:rPr>
                <w:b/>
                <w:i/>
              </w:rPr>
              <w:t>ia oraz zapewnić koordynację w celu rozwiązania problemu nakładania się kompetencji, umożliwienia wspólnych działań i optymalizacji wykorzystania zasobów.</w:t>
            </w:r>
            <w:r w:rsidRPr="000202F9">
              <w:t xml:space="preserve"> Organy ds. równości powinny współpracować z innymi organami ds. równości w tym samym państwie członko</w:t>
            </w:r>
            <w:r w:rsidRPr="000202F9">
              <w:t>wskim oraz w innych państwach członkowskich – w tym w ramach europejskiej sieci organów ds. równości (EQUINET) – a także z podmiotami publicznymi i prywatnymi na szczeblu lokalnym, regionalnym, krajowym, unijnym i międzynarodowym, takimi jak</w:t>
            </w:r>
            <w:r w:rsidRPr="000202F9">
              <w:rPr>
                <w:b/>
                <w:i/>
              </w:rPr>
              <w:t xml:space="preserve"> partnerzy społ</w:t>
            </w:r>
            <w:r w:rsidRPr="000202F9">
              <w:rPr>
                <w:b/>
                <w:i/>
              </w:rPr>
              <w:t>eczni,</w:t>
            </w:r>
            <w:r w:rsidRPr="000202F9">
              <w:t xml:space="preserve"> organizacje społeczeństwa obywatelskiego, organy </w:t>
            </w:r>
            <w:r w:rsidRPr="000202F9">
              <w:lastRenderedPageBreak/>
              <w:t>ochrony danych, związki zawodowe, inspektoraty pracy i kuratoria oświaty, organy ścigania, agencje odpowiedzialne na szczeblu krajowym za ochronę praw człowieka, organy zarządzające funduszami unijnym</w:t>
            </w:r>
            <w:r w:rsidRPr="000202F9">
              <w:t>i, krajowe punkty kontaktowe ds. Romów, organy ochrony konsumentów oraz krajowe niezależne mechanizmy promowania, ochrony i monitorowania Konwencji ONZ o prawach osób niepełnosprawnych. Taka współpraca nie powinna obejmować wymiany danych osobowych (tj. da</w:t>
            </w:r>
            <w:r w:rsidRPr="000202F9">
              <w:t xml:space="preserve">nych dotyczących równouprawnienia w postaci umożliwiającej identyfikację osób fizycznych). </w:t>
            </w:r>
            <w:r w:rsidRPr="000202F9">
              <w:rPr>
                <w:b/>
                <w:i/>
              </w:rPr>
              <w:t>Ponadto wszelkie zaangażowanie organów ds. równości w kwestiach związanych z miejscem pracy powinno odbywać się z poszanowaniem autonomii, kompetencji i prerogatyw p</w:t>
            </w:r>
            <w:r w:rsidRPr="000202F9">
              <w:rPr>
                <w:b/>
                <w:i/>
              </w:rPr>
              <w:t>artnerów społecznych oraz uznanych kompetencji wszystkich właściwych agencji rządowych, w tym inspektoratów pracy, sądów krajowych i trybunałów ustawowych, zgodnie z prawem krajowym i praktyką krajową. Ich istnienie nie powinno jednak uniemożliwiać organom</w:t>
            </w:r>
            <w:r w:rsidRPr="000202F9">
              <w:rPr>
                <w:b/>
                <w:i/>
              </w:rPr>
              <w:t xml:space="preserve"> ds. równości wykonywania swoich zadań zgodnie z ich kompetencjami.</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30</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39</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(39)</w:t>
            </w:r>
            <w:r w:rsidRPr="000202F9">
              <w:tab/>
              <w:t xml:space="preserve">Organy ds. </w:t>
            </w:r>
            <w:r w:rsidRPr="000202F9">
              <w:t>równości nie mogą w pełni odgrywać roli ekspertów w dziedzinie równego traktowania, jeżeli nie konsultuje się z nimi, na odpowiednio wczesnym etapie kształtowania polityki, zagadnień związanych z prawami i obowiązkami wynikającymi z dyrektyw 2006/54/WE i 2</w:t>
            </w:r>
            <w:r w:rsidRPr="000202F9">
              <w:t xml:space="preserve">010/41/UE. Dlatego państwa członkowskie powinny ustanowić przejrzyste procedury zapewniające, aby takie konsultacje odbywały się </w:t>
            </w:r>
            <w:r w:rsidRPr="000202F9">
              <w:lastRenderedPageBreak/>
              <w:t xml:space="preserve">w odpowiednim czasie. Państwa członkowskie powinny też </w:t>
            </w:r>
            <w:r w:rsidRPr="000202F9">
              <w:rPr>
                <w:b/>
                <w:i/>
              </w:rPr>
              <w:t>umożliwić</w:t>
            </w:r>
            <w:r w:rsidRPr="000202F9">
              <w:t xml:space="preserve"> organom ds. równości wydawanie zaleceń i</w:t>
            </w:r>
            <w:r w:rsidRPr="000202F9">
              <w:rPr>
                <w:b/>
                <w:i/>
              </w:rPr>
              <w:t> ich publikację</w:t>
            </w:r>
            <w:r w:rsidRPr="000202F9">
              <w:t>.</w:t>
            </w:r>
          </w:p>
        </w:tc>
        <w:tc>
          <w:tcPr>
            <w:tcW w:w="4876" w:type="dxa"/>
            <w:hideMark/>
          </w:tcPr>
          <w:p w:rsidR="008429B6" w:rsidRPr="000202F9" w:rsidRDefault="0079015F" w:rsidP="00823CA1">
            <w:pPr>
              <w:pStyle w:val="Normal6"/>
              <w:rPr>
                <w:szCs w:val="24"/>
              </w:rPr>
            </w:pPr>
            <w:r w:rsidRPr="000202F9">
              <w:lastRenderedPageBreak/>
              <w:t>(39)</w:t>
            </w:r>
            <w:r w:rsidRPr="000202F9">
              <w:tab/>
            </w:r>
            <w:r w:rsidRPr="000202F9">
              <w:t>Organy ds. równości nie mogą w pełni odgrywać roli ekspertów w dziedzinie równego traktowania, jeżeli nie konsultuje się z nimi, na odpowiednio wczesnym etapie kształtowania polityki, zagadnień związanych z prawami i obowiązkami wynikającymi z dyrektyw 200</w:t>
            </w:r>
            <w:r w:rsidRPr="000202F9">
              <w:t xml:space="preserve">6/54/WE i 2010/41/UE. Dlatego państwa członkowskie powinny ustanowić przejrzyste procedury zapewniające, aby takie konsultacje odbywały się </w:t>
            </w:r>
            <w:r w:rsidRPr="000202F9">
              <w:lastRenderedPageBreak/>
              <w:t xml:space="preserve">w odpowiednim czasie. Państwa członkowskie powinny też </w:t>
            </w:r>
            <w:r w:rsidRPr="000202F9">
              <w:rPr>
                <w:b/>
                <w:i/>
              </w:rPr>
              <w:t>umożliwiać</w:t>
            </w:r>
            <w:r w:rsidRPr="000202F9">
              <w:t xml:space="preserve"> organom ds. równości wydawanie </w:t>
            </w:r>
            <w:r w:rsidRPr="000202F9">
              <w:rPr>
                <w:b/>
                <w:i/>
              </w:rPr>
              <w:t xml:space="preserve">i publikowanie </w:t>
            </w:r>
            <w:r w:rsidRPr="000202F9">
              <w:t>zale</w:t>
            </w:r>
            <w:r w:rsidRPr="000202F9">
              <w:t xml:space="preserve">ceń </w:t>
            </w:r>
            <w:r w:rsidRPr="000202F9">
              <w:rPr>
                <w:b/>
                <w:i/>
              </w:rPr>
              <w:t xml:space="preserve">oraz wymagać od władz </w:t>
            </w:r>
            <w:r w:rsidRPr="000202F9">
              <w:t>i</w:t>
            </w:r>
            <w:r w:rsidRPr="000202F9">
              <w:rPr>
                <w:b/>
                <w:i/>
              </w:rPr>
              <w:t xml:space="preserve"> urzędników odpowiedzi w rozsądnym terminie</w:t>
            </w:r>
            <w:r w:rsidRPr="000202F9">
              <w:t>.</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40</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(40)</w:t>
            </w:r>
            <w:r w:rsidRPr="000202F9">
              <w:tab/>
              <w:t xml:space="preserve">Dane </w:t>
            </w:r>
            <w:r w:rsidRPr="000202F9">
              <w:t>dotyczące równouprawnienia mają kluczowe znaczenie dla zwiększania świadomości, uwrażliwiania ludzi, przedstawiania dyskryminacji w ujęciu ilościowym, pokazywania tendencji zmieniających się w czasie, udowadniania istnienia dyskryminacji, oceny wdrażania p</w:t>
            </w:r>
            <w:r w:rsidRPr="000202F9">
              <w:t>rzepisów dotyczących równouprawnienia, wykazywania konieczności działania pozytywnego oraz przyczyniania się do kształtowania polityki w oparciu o dowody</w:t>
            </w:r>
            <w:r w:rsidRPr="000202F9">
              <w:rPr>
                <w:vertAlign w:val="superscript"/>
              </w:rPr>
              <w:t>75</w:t>
            </w:r>
            <w:r w:rsidRPr="000202F9">
              <w:t>. Organy ds. równości mogą przyczynić się do opracowywania przydatnych danych dotyczących równouprawn</w:t>
            </w:r>
            <w:r w:rsidRPr="000202F9">
              <w:t xml:space="preserve">ienia, służących tym celom, na przykład przez organizowanie regularnych spotkań okrągłego stołu z udziałem wszystkich właściwych podmiotów. Organy te powinny również gromadzić i analizować dane na temat własnych działań lub przeprowadzać badania i powinny </w:t>
            </w:r>
            <w:r w:rsidRPr="000202F9">
              <w:t>mieć możliwość dostępu do informacji statystycznych gromadzonych przez inne podmioty publiczne lub prywatne – jak np. krajowe urzędy statystyczne, sądy krajowe, inspektoraty pracy i kuratoria oświaty, związki zawodowe lub organizacje społeczeństwa obywatel</w:t>
            </w:r>
            <w:r w:rsidRPr="000202F9">
              <w:t xml:space="preserve">skiego – i do wykorzystywania tych informacji w dziedzinach stanowiących przedmiot ich odpowiedzialności na podstawie dyrektyw 2006/54/WE i 2010/41/UE. Takie informacje statystyczne nie powinny </w:t>
            </w:r>
            <w:r w:rsidRPr="000202F9">
              <w:lastRenderedPageBreak/>
              <w:t>zawierać żadnych danych osobowych.</w:t>
            </w:r>
          </w:p>
        </w:tc>
        <w:tc>
          <w:tcPr>
            <w:tcW w:w="4876" w:type="dxa"/>
            <w:hideMark/>
          </w:tcPr>
          <w:p w:rsidR="008429B6" w:rsidRPr="000202F9" w:rsidRDefault="0079015F" w:rsidP="00823CA1">
            <w:pPr>
              <w:pStyle w:val="Normal6"/>
              <w:rPr>
                <w:szCs w:val="24"/>
              </w:rPr>
            </w:pPr>
            <w:r w:rsidRPr="000202F9">
              <w:lastRenderedPageBreak/>
              <w:t>(40)</w:t>
            </w:r>
            <w:r w:rsidRPr="000202F9">
              <w:tab/>
              <w:t>Dane dotyczące równoup</w:t>
            </w:r>
            <w:r w:rsidRPr="000202F9">
              <w:t>rawnienia mają kluczowe znaczenie dla zwiększania świadomości, uwrażliwiania ludzi, przedstawiania dyskryminacji w ujęciu ilościowym, pokazywania tendencji zmieniających się w czasie, udowadniania istnienia dyskryminacji, oceny wdrażania przepisów dotycząc</w:t>
            </w:r>
            <w:r w:rsidRPr="000202F9">
              <w:t>ych równouprawnienia, wykazywania konieczności działania pozytywnego oraz przyczyniania się do kształtowania polityki w oparciu o dowody</w:t>
            </w:r>
            <w:r w:rsidRPr="000202F9">
              <w:rPr>
                <w:vertAlign w:val="superscript"/>
              </w:rPr>
              <w:t>75</w:t>
            </w:r>
            <w:r w:rsidRPr="000202F9">
              <w:t xml:space="preserve">. Organy ds. równości mogą przyczynić się do opracowywania przydatnych danych dotyczących równouprawnienia, służących </w:t>
            </w:r>
            <w:r w:rsidRPr="000202F9">
              <w:t>tym celom, na przykład przez organizowanie regularnych spotkań okrągłego stołu z udziałem wszystkich właściwych podmiotów. Organy te powinny również gromadzić i analizować dane na temat własnych działań lub przeprowadzać badania i powinny mieć możliwość do</w:t>
            </w:r>
            <w:r w:rsidRPr="000202F9">
              <w:t>stępu do informacji statystycznych gromadzonych przez inne podmioty publiczne lub prywatne – jak np. krajowe urzędy statystyczne, sądy krajowe, inspektoraty pracy i kuratoria oświaty, związki zawodowe lub organizacje społeczeństwa obywatelskiego – i do wyk</w:t>
            </w:r>
            <w:r w:rsidRPr="000202F9">
              <w:t xml:space="preserve">orzystywania tych informacji w dziedzinach stanowiących przedmiot ich odpowiedzialności na podstawie dyrektyw 2006/54/WE i 2010/41/UE. Takie informacje statystyczne nie powinny </w:t>
            </w:r>
            <w:r w:rsidRPr="000202F9">
              <w:lastRenderedPageBreak/>
              <w:t>zawierać żadnych danych osobowych</w:t>
            </w:r>
            <w:r w:rsidRPr="000202F9">
              <w:rPr>
                <w:b/>
                <w:i/>
              </w:rPr>
              <w:t xml:space="preserve"> i powinny być dostępne w przystępnym formacie</w:t>
            </w:r>
            <w:r w:rsidRPr="000202F9">
              <w:rPr>
                <w:b/>
                <w:i/>
              </w:rPr>
              <w:t>, tak aby mogły być łatwo wykorzystywane przez organy ds. równości.</w:t>
            </w:r>
            <w:r w:rsidRPr="000202F9">
              <w:t xml:space="preserve"> </w:t>
            </w:r>
            <w:r w:rsidRPr="000202F9">
              <w:rPr>
                <w:b/>
                <w:i/>
              </w:rPr>
              <w:t>W swoich pracach nad danymi dotyczącymi równouprawnienia organy ds. równości powinny uwzględniać istniejące wytyczne i zasoby odnoszące się do danych dotyczących równości, w tym wytyczne i</w:t>
            </w:r>
            <w:r w:rsidRPr="000202F9">
              <w:rPr>
                <w:b/>
                <w:i/>
              </w:rPr>
              <w:t xml:space="preserve"> zasoby opracowane w ramach podgrupy ds. danych dotyczących równouprawnienia działającej w ramach unijnej Grupy Wysokiego Szczebla ds. Niedyskryminacji, Równości i Różnorodności.</w:t>
            </w:r>
          </w:p>
        </w:tc>
      </w:tr>
      <w:tr w:rsidR="00313F61" w:rsidRPr="000202F9" w:rsidTr="00823CA1">
        <w:trPr>
          <w:jc w:val="center"/>
        </w:trPr>
        <w:tc>
          <w:tcPr>
            <w:tcW w:w="4876" w:type="dxa"/>
            <w:hideMark/>
          </w:tcPr>
          <w:p w:rsidR="008429B6" w:rsidRPr="000202F9" w:rsidRDefault="0079015F" w:rsidP="00823CA1">
            <w:pPr>
              <w:pStyle w:val="Normal6"/>
            </w:pPr>
            <w:r w:rsidRPr="000202F9">
              <w:lastRenderedPageBreak/>
              <w:t>__________________</w:t>
            </w:r>
          </w:p>
        </w:tc>
        <w:tc>
          <w:tcPr>
            <w:tcW w:w="4876" w:type="dxa"/>
            <w:hideMark/>
          </w:tcPr>
          <w:p w:rsidR="008429B6" w:rsidRPr="000202F9" w:rsidRDefault="0079015F" w:rsidP="00823CA1">
            <w:pPr>
              <w:pStyle w:val="Normal6"/>
              <w:rPr>
                <w:szCs w:val="24"/>
              </w:rPr>
            </w:pPr>
            <w:r w:rsidRPr="000202F9">
              <w:t>__________________</w:t>
            </w:r>
          </w:p>
        </w:tc>
      </w:tr>
      <w:tr w:rsidR="00313F61" w:rsidRPr="000202F9" w:rsidTr="00823CA1">
        <w:trPr>
          <w:jc w:val="center"/>
        </w:trPr>
        <w:tc>
          <w:tcPr>
            <w:tcW w:w="4876" w:type="dxa"/>
            <w:hideMark/>
          </w:tcPr>
          <w:p w:rsidR="008429B6" w:rsidRPr="000202F9" w:rsidRDefault="0079015F" w:rsidP="00823CA1">
            <w:pPr>
              <w:pStyle w:val="Normal6"/>
            </w:pPr>
            <w:r w:rsidRPr="000202F9">
              <w:rPr>
                <w:vertAlign w:val="superscript"/>
              </w:rPr>
              <w:t>75</w:t>
            </w:r>
            <w:r w:rsidRPr="000202F9">
              <w:t xml:space="preserve"> Sprawozdanie Komisji dla Parlamentu Europejskiego i Rady w sprawie stosowania dyrektywy Rady 2000/43/WE wprowadzającej w życie zasadę równego traktowania osób bez względu na pochodzenie rasowe lub etniczne („dyrektywa w sprawie równości rasowej”) oraz dyr</w:t>
            </w:r>
            <w:r w:rsidRPr="000202F9">
              <w:t>ektywy Rady 2000/78/WE ustanawiającej ogólne warunki ramowe równego traktowania w zakresie zatrudnienia i pracy („dyrektywa w sprawie równego traktowania w zakresie zatrudnienia i pracy”), SWD(2021) 63 final.</w:t>
            </w:r>
          </w:p>
        </w:tc>
        <w:tc>
          <w:tcPr>
            <w:tcW w:w="4876" w:type="dxa"/>
            <w:hideMark/>
          </w:tcPr>
          <w:p w:rsidR="008429B6" w:rsidRPr="000202F9" w:rsidRDefault="0079015F" w:rsidP="00823CA1">
            <w:pPr>
              <w:pStyle w:val="Normal6"/>
              <w:rPr>
                <w:szCs w:val="24"/>
              </w:rPr>
            </w:pPr>
            <w:r w:rsidRPr="000202F9">
              <w:rPr>
                <w:vertAlign w:val="superscript"/>
              </w:rPr>
              <w:t>75</w:t>
            </w:r>
            <w:r w:rsidRPr="000202F9">
              <w:t xml:space="preserve"> Sprawozdanie Komisji dla Parlamentu Europejs</w:t>
            </w:r>
            <w:r w:rsidRPr="000202F9">
              <w:t xml:space="preserve">kiego i Rady w sprawie stosowania dyrektywy Rady 2000/43/WE wprowadzającej w życie zasadę równego traktowania osób bez względu na pochodzenie rasowe lub etniczne („dyrektywa w sprawie równości rasowej”) oraz dyrektywy Rady 2000/78/WE ustanawiającej ogólne </w:t>
            </w:r>
            <w:r w:rsidRPr="000202F9">
              <w:t>warunki ramowe równego traktowania w zakresie zatrudnienia i pracy („dyrektywa w sprawie równego traktowania w zakresie zatrudnienia i pracy”), SWD(2021) 63 final.</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32</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w:t>
      </w:r>
      <w:r w:rsidRPr="000202F9">
        <w:rPr>
          <w:rStyle w:val="HideTWBExt"/>
          <w:b w:val="0"/>
        </w:rPr>
        <w:t>d&gt;</w:t>
      </w:r>
    </w:p>
    <w:p w:rsidR="008429B6" w:rsidRPr="000202F9" w:rsidRDefault="0079015F" w:rsidP="008429B6">
      <w:pPr>
        <w:pStyle w:val="NormalBold"/>
      </w:pPr>
      <w:r w:rsidRPr="000202F9">
        <w:rPr>
          <w:rStyle w:val="HideTWBExt"/>
          <w:b w:val="0"/>
        </w:rPr>
        <w:t>&lt;Article&gt;</w:t>
      </w:r>
      <w:r w:rsidRPr="000202F9">
        <w:t>Motyw 41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(41)</w:t>
            </w:r>
            <w:r w:rsidRPr="000202F9">
              <w:tab/>
              <w:t xml:space="preserve">Oprócz publikacji sprawozdania rocznego z działalności organy ds. równości powinny </w:t>
            </w:r>
            <w:r w:rsidRPr="000202F9">
              <w:rPr>
                <w:b/>
                <w:i/>
              </w:rPr>
              <w:t>regularnie</w:t>
            </w:r>
            <w:r w:rsidRPr="000202F9">
              <w:t xml:space="preserve"> publikować sprawozdania zawierające ogólną ocenę sytuacji dotyczącej dyskryminacji objętej zakresem ich kompetencji w danym państwie członkowskim. Sprawozdanie to powinno dostarczać informacji podmiotom publicznym i prywatnym i służyć za </w:t>
            </w:r>
            <w:r w:rsidRPr="000202F9">
              <w:lastRenderedPageBreak/>
              <w:t>podstawę wyznacza</w:t>
            </w:r>
            <w:r w:rsidRPr="000202F9">
              <w:t>nia przyszłych priorytetów organów ds. równości. Sprawozdania nie powinny zawierać żadnych danych osobowych.</w:t>
            </w:r>
          </w:p>
        </w:tc>
        <w:tc>
          <w:tcPr>
            <w:tcW w:w="4876" w:type="dxa"/>
            <w:hideMark/>
          </w:tcPr>
          <w:p w:rsidR="008429B6" w:rsidRPr="000202F9" w:rsidRDefault="0079015F" w:rsidP="00823CA1">
            <w:pPr>
              <w:pStyle w:val="Normal6"/>
              <w:rPr>
                <w:szCs w:val="24"/>
              </w:rPr>
            </w:pPr>
            <w:r w:rsidRPr="000202F9">
              <w:lastRenderedPageBreak/>
              <w:t>(41)</w:t>
            </w:r>
            <w:r w:rsidRPr="000202F9">
              <w:tab/>
              <w:t xml:space="preserve">Oprócz publikacji sprawozdania rocznego z działalności organy ds. równości powinny </w:t>
            </w:r>
            <w:r w:rsidRPr="000202F9">
              <w:rPr>
                <w:b/>
                <w:i/>
              </w:rPr>
              <w:t>co dwa lata</w:t>
            </w:r>
            <w:r w:rsidRPr="000202F9">
              <w:t xml:space="preserve"> publikować sprawozdania zawierające ogólną ocen</w:t>
            </w:r>
            <w:r w:rsidRPr="000202F9">
              <w:t>ę sytuacji dotyczącej dyskryminacji objętej zakresem ich kompetencji w danym państwie członkowskim. Sprawozdanie to powinno dostarczać informacji</w:t>
            </w:r>
            <w:r w:rsidRPr="000202F9">
              <w:rPr>
                <w:b/>
                <w:i/>
              </w:rPr>
              <w:t xml:space="preserve">, zaleceń i propozycji działań następczych w związku </w:t>
            </w:r>
            <w:r w:rsidRPr="000202F9">
              <w:rPr>
                <w:b/>
                <w:i/>
              </w:rPr>
              <w:lastRenderedPageBreak/>
              <w:t>z tymi zaleceniami</w:t>
            </w:r>
            <w:r w:rsidRPr="000202F9">
              <w:t xml:space="preserve"> podmiotom publicznym i prywatnym i służ</w:t>
            </w:r>
            <w:r w:rsidRPr="000202F9">
              <w:t xml:space="preserve">yć za podstawę wyznaczania przyszłych priorytetów organów ds. równości. Sprawozdania nie powinny zawierać żadnych danych osobowych. </w:t>
            </w:r>
            <w:r w:rsidRPr="000202F9">
              <w:rPr>
                <w:b/>
                <w:i/>
              </w:rPr>
              <w:t>Należy zapewnić wystarczające zasoby organom ds. równości, aby mogły one wypełniać powierzone im zadania w zakresie sprawozd</w:t>
            </w:r>
            <w:r w:rsidRPr="000202F9">
              <w:rPr>
                <w:b/>
                <w:i/>
              </w:rPr>
              <w:t>awczości.</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42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(42)</w:t>
            </w:r>
            <w:r w:rsidRPr="000202F9">
              <w:tab/>
              <w:t>Organy ds. równości powinny przyjąć program wieloletni, aby określić wizję</w:t>
            </w:r>
            <w:r w:rsidRPr="000202F9">
              <w:t xml:space="preserve"> na przyszłość i wyznaczyć ogólne i szczegółowe cele swojej organizacji. Powinno to umożliwić im zapewnienie w miarę upływu czasu spójności między różnymi obszarami prac oraz przeciwdziałanie systemowym problemom dotyczącym dyskryminacji, które wchodzą w z</w:t>
            </w:r>
            <w:r w:rsidRPr="000202F9">
              <w:t>akres ich kompetencji, w ramach długoterminowego planu działania.</w:t>
            </w:r>
          </w:p>
        </w:tc>
        <w:tc>
          <w:tcPr>
            <w:tcW w:w="4876" w:type="dxa"/>
            <w:hideMark/>
          </w:tcPr>
          <w:p w:rsidR="008429B6" w:rsidRPr="000202F9" w:rsidRDefault="0079015F" w:rsidP="00823CA1">
            <w:pPr>
              <w:pStyle w:val="Normal6"/>
              <w:rPr>
                <w:szCs w:val="24"/>
              </w:rPr>
            </w:pPr>
            <w:r w:rsidRPr="000202F9">
              <w:t>(42)</w:t>
            </w:r>
            <w:r w:rsidRPr="000202F9">
              <w:tab/>
              <w:t>Organy ds. równości powinny przyjąć program wieloletni, aby określić wizję na przyszłość i wyznaczyć ogólne i szczegółowe cele swojej organizacji. Powinno to umożliwić im zapewnienie w </w:t>
            </w:r>
            <w:r w:rsidRPr="000202F9">
              <w:t xml:space="preserve">miarę upływu czasu spójności między różnymi obszarami prac oraz przeciwdziałanie </w:t>
            </w:r>
            <w:r w:rsidRPr="000202F9">
              <w:rPr>
                <w:b/>
                <w:i/>
              </w:rPr>
              <w:t xml:space="preserve">strukturalnym lub </w:t>
            </w:r>
            <w:r w:rsidRPr="000202F9">
              <w:t xml:space="preserve">systemowym problemom dotyczącym dyskryminacji, </w:t>
            </w:r>
            <w:r w:rsidRPr="000202F9">
              <w:rPr>
                <w:b/>
                <w:i/>
              </w:rPr>
              <w:t xml:space="preserve">w tym dyskryminacji w internecie, </w:t>
            </w:r>
            <w:r w:rsidRPr="000202F9">
              <w:t>które wchodzą w zakres ich kompetencji, w ramach długoterminowego planu dzia</w:t>
            </w:r>
            <w:r w:rsidRPr="000202F9">
              <w:t xml:space="preserve">łania. </w:t>
            </w:r>
            <w:r w:rsidRPr="000202F9">
              <w:rPr>
                <w:b/>
                <w:i/>
              </w:rPr>
              <w:t>Kompetencje i uprawnienia wszystkich upoważnionych osób w takiej instytucji powinny zostać zharmonizowane i wzmocnione w taki sposób, aby każda upoważniona osoba posiadała jak najszersze kompetencje i uprawnienia dostępne dla każdej z pozostałych up</w:t>
            </w:r>
            <w:r w:rsidRPr="000202F9">
              <w:rPr>
                <w:b/>
                <w:i/>
              </w:rPr>
              <w:t>oważnionych osób.</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Motyw 43</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(43)</w:t>
            </w:r>
            <w:r w:rsidRPr="000202F9">
              <w:tab/>
              <w:t xml:space="preserve">W celu oceny skuteczności niniejszej dyrektywy konieczne jest </w:t>
            </w:r>
            <w:r w:rsidRPr="000202F9">
              <w:t xml:space="preserve">ustanowienie mechanizmu monitorowania jej stosowania oraz – oprócz monitorowania zgodności – oceny jej skutków praktycznych. Komisja powinna odpowiadać za </w:t>
            </w:r>
            <w:r w:rsidRPr="000202F9">
              <w:rPr>
                <w:b/>
                <w:i/>
              </w:rPr>
              <w:t xml:space="preserve">to </w:t>
            </w:r>
            <w:r w:rsidRPr="000202F9">
              <w:t>monitorowanie i</w:t>
            </w:r>
            <w:r w:rsidRPr="000202F9">
              <w:rPr>
                <w:b/>
                <w:i/>
              </w:rPr>
              <w:t> </w:t>
            </w:r>
            <w:r w:rsidRPr="000202F9">
              <w:t>regularnie sporządzać sprawozdanie ze stosowania dyrektywy. W celu zapewnienia jed</w:t>
            </w:r>
            <w:r w:rsidRPr="000202F9">
              <w:t xml:space="preserve">nolitych warunków wykonywania przez państwa członkowskie obowiązków sprawozdawczych – na podstawie art. 16 ust. 2, w odniesieniu do skutków praktycznych niniejszej dyrektywy – należy powierzyć Komisji uprawnienia </w:t>
            </w:r>
            <w:r w:rsidRPr="000202F9">
              <w:rPr>
                <w:b/>
                <w:i/>
              </w:rPr>
              <w:t>wykonawcze</w:t>
            </w:r>
            <w:r w:rsidRPr="000202F9">
              <w:t xml:space="preserve"> do ustanowienia wykazu odpowiedn</w:t>
            </w:r>
            <w:r w:rsidRPr="000202F9">
              <w:t>ich wskaźników, na podstawie których mają być gromadzone dane. Monitorowanie to nie powinno obejmować przetwarzania danych osobowych.</w:t>
            </w:r>
          </w:p>
        </w:tc>
        <w:tc>
          <w:tcPr>
            <w:tcW w:w="4876" w:type="dxa"/>
            <w:hideMark/>
          </w:tcPr>
          <w:p w:rsidR="008429B6" w:rsidRPr="000202F9" w:rsidRDefault="0079015F" w:rsidP="00823CA1">
            <w:pPr>
              <w:pStyle w:val="Normal6"/>
              <w:rPr>
                <w:szCs w:val="24"/>
              </w:rPr>
            </w:pPr>
            <w:r w:rsidRPr="000202F9">
              <w:t>(43)</w:t>
            </w:r>
            <w:r w:rsidRPr="000202F9">
              <w:tab/>
              <w:t>W celu oceny skuteczności niniejszej dyrektywy konieczne jest ustanowienie mechanizmu monitorowania jej stosowania or</w:t>
            </w:r>
            <w:r w:rsidRPr="000202F9">
              <w:t>az – oprócz monitorowania zgodności – oceny jej skutków praktycznych. Komisja powinna odpowiadać za monitorowanie i</w:t>
            </w:r>
            <w:r w:rsidRPr="000202F9">
              <w:rPr>
                <w:b/>
                <w:i/>
              </w:rPr>
              <w:t xml:space="preserve"> </w:t>
            </w:r>
            <w:r w:rsidRPr="000202F9">
              <w:t>regularnie</w:t>
            </w:r>
            <w:r w:rsidRPr="000202F9">
              <w:rPr>
                <w:b/>
                <w:i/>
              </w:rPr>
              <w:t xml:space="preserve"> co trzy lata</w:t>
            </w:r>
            <w:r w:rsidRPr="000202F9">
              <w:t xml:space="preserve"> sporządzać sprawozdanie ze stosowania dyrektywy</w:t>
            </w:r>
            <w:r w:rsidRPr="000202F9">
              <w:rPr>
                <w:b/>
                <w:i/>
              </w:rPr>
              <w:t xml:space="preserve"> na podstawie informacji otrzymanych od państw członkowskich oraz dod</w:t>
            </w:r>
            <w:r w:rsidRPr="000202F9">
              <w:rPr>
                <w:b/>
                <w:i/>
              </w:rPr>
              <w:t>atkowych istotnych danych zgromadzonych na szczeblu krajowym i unijnym, a także informacji otrzymanych od organów ds. równości i innych zainteresowanych stron przez Agencję Praw Podstawowych Unii Europejskiej i Europejski Instytut ds. Równości Kobiet i Męż</w:t>
            </w:r>
            <w:r w:rsidRPr="000202F9">
              <w:rPr>
                <w:b/>
                <w:i/>
              </w:rPr>
              <w:t>czyzn</w:t>
            </w:r>
            <w:r w:rsidRPr="000202F9">
              <w:t xml:space="preserve">. W celu zapewnienia jednolitych warunków wykonywania przez państwa członkowskie obowiązków sprawozdawczych – na podstawie art. 16 ust. 2, w odniesieniu do skutków praktycznych niniejszej dyrektywy – należy powierzyć Komisji uprawnienia </w:t>
            </w:r>
            <w:r w:rsidRPr="000202F9">
              <w:rPr>
                <w:b/>
                <w:i/>
              </w:rPr>
              <w:t>delegowane</w:t>
            </w:r>
            <w:r w:rsidRPr="000202F9">
              <w:t xml:space="preserve"> do </w:t>
            </w:r>
            <w:r w:rsidRPr="000202F9">
              <w:t xml:space="preserve">ustanowienia wykazu odpowiednich wskaźników, na podstawie których mają być gromadzone dane. </w:t>
            </w:r>
            <w:r w:rsidRPr="000202F9">
              <w:rPr>
                <w:b/>
                <w:i/>
              </w:rPr>
              <w:t xml:space="preserve">Sprawozdanie mogłoby zawierać szczegółową ocenę niezależnego funkcjonowania organów ds. równości. </w:t>
            </w:r>
            <w:r w:rsidRPr="000202F9">
              <w:t>Monitorowanie to nie powinno obejmować przetwarzania danych osobow</w:t>
            </w:r>
            <w:r w:rsidRPr="000202F9">
              <w:t xml:space="preserve">ych. </w:t>
            </w:r>
            <w:r w:rsidRPr="000202F9">
              <w:rPr>
                <w:b/>
                <w:i/>
              </w:rPr>
              <w:t>Powinna istnieć możliwość składania do Komisji skarg dotyczących domniemanej nieuzasadnionej ingerencji w niezależność organów ds. równości.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 xml:space="preserve">Motyw </w:t>
      </w:r>
      <w:r w:rsidRPr="000202F9">
        <w:t>44</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(44)</w:t>
            </w:r>
            <w:r w:rsidRPr="000202F9">
              <w:tab/>
              <w:t xml:space="preserve">Niniejsza dyrektywa ustanawia </w:t>
            </w:r>
            <w:r w:rsidRPr="000202F9">
              <w:lastRenderedPageBreak/>
              <w:t xml:space="preserve">wymogi minimalne, </w:t>
            </w:r>
            <w:r w:rsidRPr="000202F9">
              <w:rPr>
                <w:b/>
                <w:i/>
              </w:rPr>
              <w:t>tym samym dając państwom członkowskim możliwość</w:t>
            </w:r>
            <w:r w:rsidRPr="000202F9">
              <w:t xml:space="preserve"> wprowadzenia lub utrzymania korzystniejszych przepisów. Wykonanie niniejszej dyrektywy nie może </w:t>
            </w:r>
            <w:r w:rsidRPr="000202F9">
              <w:t>usprawiedliwiać pogorszenia w stosunku do sytuacji już istniejącej w każdym państwie członkowskim.</w:t>
            </w:r>
          </w:p>
        </w:tc>
        <w:tc>
          <w:tcPr>
            <w:tcW w:w="4876" w:type="dxa"/>
            <w:hideMark/>
          </w:tcPr>
          <w:p w:rsidR="008429B6" w:rsidRPr="000202F9" w:rsidRDefault="0079015F" w:rsidP="00823CA1">
            <w:pPr>
              <w:pStyle w:val="Normal6"/>
              <w:rPr>
                <w:szCs w:val="24"/>
              </w:rPr>
            </w:pPr>
            <w:r w:rsidRPr="000202F9">
              <w:lastRenderedPageBreak/>
              <w:t>(44)</w:t>
            </w:r>
            <w:r w:rsidRPr="000202F9">
              <w:tab/>
              <w:t xml:space="preserve">Niniejsza dyrektywa ustanawia </w:t>
            </w:r>
            <w:r w:rsidRPr="000202F9">
              <w:lastRenderedPageBreak/>
              <w:t xml:space="preserve">wymogi minimalne, </w:t>
            </w:r>
            <w:r w:rsidRPr="000202F9">
              <w:rPr>
                <w:b/>
                <w:i/>
              </w:rPr>
              <w:t>w związku z czym zachęca się państwa członkowskie do</w:t>
            </w:r>
            <w:r w:rsidRPr="000202F9">
              <w:t xml:space="preserve"> wprowadzenia lub utrzymania korzystniejszych przepi</w:t>
            </w:r>
            <w:r w:rsidRPr="000202F9">
              <w:t>sów. Wykonanie niniejszej dyrektywy nie może</w:t>
            </w:r>
            <w:r w:rsidRPr="000202F9">
              <w:rPr>
                <w:b/>
                <w:i/>
              </w:rPr>
              <w:t xml:space="preserve"> w żadnym wypadku</w:t>
            </w:r>
            <w:r w:rsidRPr="000202F9">
              <w:t xml:space="preserve"> usprawiedliwiać pogorszenia w stosunku do sytuacji już istniejącej w każdym państwie członkowskim.</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 – ustęp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w:t>
            </w:r>
            <w:r w:rsidRPr="000202F9">
              <w:tab/>
              <w:t xml:space="preserve">W niniejszej dyrektywie ustanawia się minimalne wymogi dla funkcjonowania organów ds. równości, aby zwiększyć ich skuteczność i zagwarantować ich niezależność w celu </w:t>
            </w:r>
            <w:r w:rsidRPr="000202F9">
              <w:t>wzmocnienia stosowania zasady równego traktowania wynikającej z dyrektyw 2006/54/WE i 2010/41/UE.</w:t>
            </w:r>
          </w:p>
        </w:tc>
        <w:tc>
          <w:tcPr>
            <w:tcW w:w="4876" w:type="dxa"/>
            <w:hideMark/>
          </w:tcPr>
          <w:p w:rsidR="008429B6" w:rsidRPr="000202F9" w:rsidRDefault="0079015F" w:rsidP="00823CA1">
            <w:pPr>
              <w:pStyle w:val="Normal6"/>
              <w:rPr>
                <w:szCs w:val="24"/>
              </w:rPr>
            </w:pPr>
            <w:r w:rsidRPr="000202F9">
              <w:t>1.</w:t>
            </w:r>
            <w:r w:rsidRPr="000202F9">
              <w:tab/>
              <w:t xml:space="preserve">W niniejszej dyrektywie ustanawia się minimalne wymogi dla funkcjonowania organów ds. równości, aby </w:t>
            </w:r>
            <w:r w:rsidRPr="000202F9">
              <w:rPr>
                <w:b/>
                <w:i/>
              </w:rPr>
              <w:t xml:space="preserve">zarówno formalnie, jak i faktycznie </w:t>
            </w:r>
            <w:r w:rsidRPr="000202F9">
              <w:t>zwiększyć ich skute</w:t>
            </w:r>
            <w:r w:rsidRPr="000202F9">
              <w:t>czność i zagwarantować ich niezależność w celu wzmocnienia stosowania zasady równego traktowania wynikającej z dyrektyw 2006/54/WE i 2010/41/UE.</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37</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w:t>
      </w:r>
      <w:r w:rsidRPr="000202F9">
        <w:t xml:space="preserve"> 1 – ustęp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w:t>
            </w:r>
            <w:r w:rsidRPr="000202F9">
              <w:tab/>
              <w:t>Obowiązki nałożone na państwa członkowskie oraz zadania powierzone organom ds. równości na podstawie niniejszej dyrektywy obejmują prawa i obowiązki wynikające z dyrektyw 2006/54/WE i 20</w:t>
            </w:r>
            <w:r w:rsidRPr="000202F9">
              <w:t>10/41/UE.</w:t>
            </w:r>
          </w:p>
        </w:tc>
        <w:tc>
          <w:tcPr>
            <w:tcW w:w="4876" w:type="dxa"/>
            <w:hideMark/>
          </w:tcPr>
          <w:p w:rsidR="008429B6" w:rsidRPr="000202F9" w:rsidRDefault="0079015F" w:rsidP="00823CA1">
            <w:pPr>
              <w:pStyle w:val="Normal6"/>
              <w:rPr>
                <w:szCs w:val="24"/>
              </w:rPr>
            </w:pPr>
            <w:r w:rsidRPr="000202F9">
              <w:t>2.</w:t>
            </w:r>
            <w:r w:rsidRPr="000202F9">
              <w:tab/>
              <w:t>Obowiązki nałożone na państwa członkowskie oraz zadania powierzone organom ds. równości na podstawie niniejszej dyrektywy obejmują prawa i obowiązki wynikające z dyrektyw 2006/54/WE i 2010/41/UE</w:t>
            </w:r>
            <w:r w:rsidRPr="000202F9">
              <w:rPr>
                <w:b/>
                <w:i/>
              </w:rPr>
              <w:t>, a także przypadki dyskryminacji strukturalnej l</w:t>
            </w:r>
            <w:r w:rsidRPr="000202F9">
              <w:rPr>
                <w:b/>
                <w:i/>
              </w:rPr>
              <w:t>ub systemowej w sektorze prywatnym i publicznym, w tym w dziedzinie kształcenia, szkolenia, mieszkalnictwa, zdrowia, ochrony socjalnej i egzekwowania prawa</w:t>
            </w:r>
            <w:r w:rsidRPr="000202F9">
              <w:t xml:space="preserve">. </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lastRenderedPageBreak/>
        <w:t>&lt;Amend&gt;</w:t>
      </w:r>
      <w:r w:rsidRPr="000202F9">
        <w:t>Poprawka</w:t>
      </w:r>
      <w:r w:rsidRPr="000202F9">
        <w:tab/>
      </w:r>
      <w:r w:rsidRPr="000202F9">
        <w:tab/>
      </w:r>
      <w:r w:rsidRPr="000202F9">
        <w:rPr>
          <w:rStyle w:val="HideTWBExt"/>
          <w:b w:val="0"/>
        </w:rPr>
        <w:t>&lt;NumAm&gt;</w:t>
      </w:r>
      <w:r w:rsidRPr="000202F9">
        <w:t>38</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jc w:val="center"/>
              <w:rPr>
                <w:szCs w:val="24"/>
              </w:rPr>
            </w:pPr>
            <w:r w:rsidRPr="000202F9">
              <w:rPr>
                <w:b/>
                <w:i/>
              </w:rPr>
              <w:t>Artykuł 1a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jc w:val="center"/>
              <w:rPr>
                <w:szCs w:val="24"/>
              </w:rPr>
            </w:pPr>
            <w:r w:rsidRPr="000202F9">
              <w:rPr>
                <w:b/>
                <w:i/>
              </w:rPr>
              <w:t>Definicje</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1. Do celów niniejszej dyrektywy stosuje się następujące definicje:</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 xml:space="preserve">a) „dyskryminacja strukturalna lub systemowa” oznacza przepisy, normy, </w:t>
            </w:r>
            <w:r w:rsidRPr="000202F9">
              <w:rPr>
                <w:b/>
                <w:i/>
              </w:rPr>
              <w:t>procedury, modele postaw i zachowania w instytucjach i innych strukturach społecznych, które – świadomie lub nieświadomie – stwarzają przeszkody grupom lub poszczególnym osobom w dostępie do tych samych praw i możliwości, które mają inni, i które przyczyni</w:t>
            </w:r>
            <w:r w:rsidRPr="000202F9">
              <w:rPr>
                <w:b/>
                <w:i/>
              </w:rPr>
              <w:t>ają się do tego, że te grupy lub osoby są w gorszym położeniu niż większość społeczeństwa;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b) „dyskryminacja krzyżowa” oznacza sytuację, w której stwierdza się istnienie dyskryminacji na podstawie dwóch lub większej liczby przesłanek chronionych przepisa</w:t>
            </w:r>
            <w:r w:rsidRPr="000202F9">
              <w:rPr>
                <w:b/>
                <w:i/>
              </w:rPr>
              <w:t>mi dyrektyw 79/7/EWG, 2000/43/WE, 2000/78/WE, 2004/113/WE, 2006/54/WE i 2010/41/UE, które to przesłanki istnieją i wchodzą ze sobą w interakcję w tym samym czasie w taki sposób, że stają się nierozłączne, dając początek wyraźnym i szczególnym formom dyskry</w:t>
            </w:r>
            <w:r w:rsidRPr="000202F9">
              <w:rPr>
                <w:b/>
                <w:i/>
              </w:rPr>
              <w:t>minacji.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39</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2 – nagłówek</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Wyznaczenie organów ds. równości</w:t>
            </w:r>
          </w:p>
        </w:tc>
        <w:tc>
          <w:tcPr>
            <w:tcW w:w="4876" w:type="dxa"/>
            <w:hideMark/>
          </w:tcPr>
          <w:p w:rsidR="008429B6" w:rsidRPr="000202F9" w:rsidRDefault="0079015F" w:rsidP="00823CA1">
            <w:pPr>
              <w:pStyle w:val="Normal6"/>
              <w:rPr>
                <w:szCs w:val="24"/>
              </w:rPr>
            </w:pPr>
            <w:r w:rsidRPr="000202F9">
              <w:t xml:space="preserve">Wyznaczenie </w:t>
            </w:r>
            <w:r w:rsidRPr="000202F9">
              <w:rPr>
                <w:b/>
                <w:i/>
              </w:rPr>
              <w:t xml:space="preserve">i struktura </w:t>
            </w:r>
            <w:r w:rsidRPr="000202F9">
              <w:t xml:space="preserve">organów </w:t>
            </w:r>
            <w:r w:rsidRPr="000202F9">
              <w:t>ds. równości</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40</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2 – akapit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 xml:space="preserve">Państwa członkowskie wyznaczają organ lub organy (zwane dalej </w:t>
            </w:r>
            <w:r w:rsidRPr="000202F9">
              <w:t>„organami ds. równości”) wykonujące kompetencje określone w niniejszej dyrektywie.</w:t>
            </w:r>
          </w:p>
        </w:tc>
        <w:tc>
          <w:tcPr>
            <w:tcW w:w="4876" w:type="dxa"/>
            <w:hideMark/>
          </w:tcPr>
          <w:p w:rsidR="008429B6" w:rsidRPr="000202F9" w:rsidRDefault="0079015F" w:rsidP="00823CA1">
            <w:pPr>
              <w:pStyle w:val="Normal6"/>
              <w:rPr>
                <w:szCs w:val="24"/>
              </w:rPr>
            </w:pPr>
            <w:r w:rsidRPr="000202F9">
              <w:t>Państwa członkowskie wyznaczają organ lub organy (zwane dalej „organami ds. równości”) wykonujące kompetencje określone w niniejszej dyrektywie</w:t>
            </w:r>
            <w:r w:rsidRPr="000202F9">
              <w:rPr>
                <w:b/>
                <w:i/>
              </w:rPr>
              <w:t xml:space="preserve"> i zapewniają im niezbędne zas</w:t>
            </w:r>
            <w:r w:rsidRPr="000202F9">
              <w:rPr>
                <w:b/>
                <w:i/>
              </w:rPr>
              <w:t>oby</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2 – ustęp 1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 xml:space="preserve">1a. Organy ds. równości mogą zajmować się jedną przesłanką lub </w:t>
            </w:r>
            <w:r w:rsidRPr="000202F9">
              <w:rPr>
                <w:b/>
                <w:i/>
              </w:rPr>
              <w:t xml:space="preserve">większą ich liczbą. W przypadku organu ds. równości zajmującego się większą liczbą przesłanek państwa członkowskie zapewniają wyraźne i odpowiednie skupienie się na każdej z nich. Kompetencje i uprawnienia wszystkich upoważnionych osób w takiej instytucji </w:t>
            </w:r>
            <w:r w:rsidRPr="000202F9">
              <w:rPr>
                <w:b/>
                <w:i/>
              </w:rPr>
              <w:t>należy zharmonizować i wzmocnić w taki sposób, aby każda upoważniona osoba posiadała jak najszersze kompetencje i uprawnienia dostępne dla każdej z pozostałych upoważnionych osób.</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42</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 xml:space="preserve">Wniosek dotyczący </w:t>
      </w:r>
      <w:r w:rsidRPr="000202F9">
        <w:t>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2 – ustęp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 xml:space="preserve">Organy ds. równości mogą wchodzić w skład agencji odpowiedzialnych na poziomie krajowym za ochronę praw </w:t>
            </w:r>
            <w:r w:rsidRPr="000202F9">
              <w:lastRenderedPageBreak/>
              <w:t>człowieka</w:t>
            </w:r>
            <w:r w:rsidRPr="000202F9">
              <w:rPr>
                <w:b/>
                <w:i/>
              </w:rPr>
              <w:t xml:space="preserve"> lub ochronę praw jednostki</w:t>
            </w:r>
            <w:r w:rsidRPr="000202F9">
              <w:t>.</w:t>
            </w:r>
          </w:p>
        </w:tc>
        <w:tc>
          <w:tcPr>
            <w:tcW w:w="4876" w:type="dxa"/>
            <w:hideMark/>
          </w:tcPr>
          <w:p w:rsidR="008429B6" w:rsidRPr="000202F9" w:rsidRDefault="0079015F" w:rsidP="00823CA1">
            <w:pPr>
              <w:pStyle w:val="Normal6"/>
              <w:rPr>
                <w:szCs w:val="24"/>
              </w:rPr>
            </w:pPr>
            <w:r w:rsidRPr="000202F9">
              <w:rPr>
                <w:b/>
                <w:i/>
              </w:rPr>
              <w:lastRenderedPageBreak/>
              <w:t>2.</w:t>
            </w:r>
            <w:r w:rsidRPr="000202F9">
              <w:t xml:space="preserve"> </w:t>
            </w:r>
            <w:r w:rsidRPr="000202F9">
              <w:t xml:space="preserve">Organy ds. równości mogą wchodzić w skład agencji odpowiedzialnych na poziomie krajowym za ochronę </w:t>
            </w:r>
            <w:r w:rsidRPr="000202F9">
              <w:rPr>
                <w:b/>
                <w:i/>
              </w:rPr>
              <w:t xml:space="preserve">i </w:t>
            </w:r>
            <w:r w:rsidRPr="000202F9">
              <w:rPr>
                <w:b/>
                <w:i/>
              </w:rPr>
              <w:lastRenderedPageBreak/>
              <w:t xml:space="preserve">propagowanie </w:t>
            </w:r>
            <w:r w:rsidRPr="000202F9">
              <w:t>praw człowieka</w:t>
            </w:r>
            <w:r w:rsidRPr="000202F9">
              <w:rPr>
                <w:b/>
                <w:i/>
              </w:rPr>
              <w:t>, o ile nie podważa to zdolności organu ds. równości ani odpowiedniej agencji do wykonywania ich pracy. Taka struktura powinna z</w:t>
            </w:r>
            <w:r w:rsidRPr="000202F9">
              <w:rPr>
                <w:b/>
                <w:i/>
              </w:rPr>
              <w:t>apewniać widoczność i zaangażowanie organu ds. równości na wszystkich etapach oraz umożliwiać pełną przejrzystość i odpowiedzialność w ramach procesu</w:t>
            </w:r>
            <w:r w:rsidRPr="000202F9">
              <w:t>.</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2 – ustęp 2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 xml:space="preserve">2a. Organy ds. równości zapewniają równowagę płci na stanowiskach kierowniczych i w obrębie kierownictwa najwyższego szczebla oraz są zachęcane do odzwierciedlania </w:t>
            </w:r>
            <w:r w:rsidRPr="000202F9">
              <w:rPr>
                <w:b/>
                <w:i/>
              </w:rPr>
              <w:t>różnorodności całego społeczeństwa.</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3 – ustęp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w:t>
            </w:r>
            <w:r w:rsidRPr="000202F9">
              <w:tab/>
              <w:t xml:space="preserve">Państwa członkowskie podejmują </w:t>
            </w:r>
            <w:r w:rsidRPr="000202F9">
              <w:t>działania zapewniające, aby organy ds. równości były niezależne i wolne od zewnętrznych wpływów podczas wypełniania zadań</w:t>
            </w:r>
            <w:r w:rsidRPr="000202F9">
              <w:rPr>
                <w:b/>
                <w:i/>
              </w:rPr>
              <w:t xml:space="preserve"> i</w:t>
            </w:r>
            <w:r w:rsidRPr="000202F9">
              <w:t> </w:t>
            </w:r>
            <w:r w:rsidRPr="000202F9">
              <w:rPr>
                <w:b/>
                <w:i/>
              </w:rPr>
              <w:t>wykonywania</w:t>
            </w:r>
            <w:r w:rsidRPr="000202F9">
              <w:t xml:space="preserve"> kompetencji, w szczególności</w:t>
            </w:r>
            <w:r w:rsidRPr="000202F9">
              <w:rPr>
                <w:b/>
                <w:i/>
              </w:rPr>
              <w:t xml:space="preserve"> w odniesieniu do</w:t>
            </w:r>
            <w:r w:rsidRPr="000202F9">
              <w:t xml:space="preserve"> ich </w:t>
            </w:r>
            <w:r w:rsidRPr="000202F9">
              <w:rPr>
                <w:b/>
                <w:i/>
              </w:rPr>
              <w:t>struktury prawnej</w:t>
            </w:r>
            <w:r w:rsidRPr="000202F9">
              <w:t xml:space="preserve">, </w:t>
            </w:r>
            <w:r w:rsidRPr="000202F9">
              <w:rPr>
                <w:b/>
                <w:i/>
              </w:rPr>
              <w:t>rozliczalności</w:t>
            </w:r>
            <w:r w:rsidRPr="000202F9">
              <w:t xml:space="preserve">, </w:t>
            </w:r>
            <w:r w:rsidRPr="000202F9">
              <w:rPr>
                <w:b/>
                <w:i/>
              </w:rPr>
              <w:t>budżetu</w:t>
            </w:r>
            <w:r w:rsidRPr="000202F9">
              <w:t xml:space="preserve">, </w:t>
            </w:r>
            <w:r w:rsidRPr="000202F9">
              <w:rPr>
                <w:b/>
                <w:i/>
              </w:rPr>
              <w:t>personelu</w:t>
            </w:r>
            <w:r w:rsidRPr="000202F9">
              <w:t xml:space="preserve"> i </w:t>
            </w:r>
            <w:r w:rsidRPr="000202F9">
              <w:rPr>
                <w:b/>
                <w:i/>
              </w:rPr>
              <w:t>kwestii organi</w:t>
            </w:r>
            <w:r w:rsidRPr="000202F9">
              <w:rPr>
                <w:b/>
                <w:i/>
              </w:rPr>
              <w:t>zacyjnych</w:t>
            </w:r>
            <w:r w:rsidRPr="000202F9">
              <w:t>.</w:t>
            </w:r>
          </w:p>
        </w:tc>
        <w:tc>
          <w:tcPr>
            <w:tcW w:w="4876" w:type="dxa"/>
            <w:hideMark/>
          </w:tcPr>
          <w:p w:rsidR="008429B6" w:rsidRPr="000202F9" w:rsidRDefault="0079015F" w:rsidP="00823CA1">
            <w:pPr>
              <w:pStyle w:val="Normal6"/>
              <w:rPr>
                <w:szCs w:val="24"/>
              </w:rPr>
            </w:pPr>
            <w:r w:rsidRPr="000202F9">
              <w:t>1.</w:t>
            </w:r>
            <w:r w:rsidRPr="000202F9">
              <w:tab/>
              <w:t xml:space="preserve">Państwa członkowskie podejmują działania zapewniające, aby organy ds. równości były </w:t>
            </w:r>
            <w:r w:rsidRPr="000202F9">
              <w:rPr>
                <w:b/>
                <w:i/>
              </w:rPr>
              <w:t xml:space="preserve">całkowicie </w:t>
            </w:r>
            <w:r w:rsidRPr="000202F9">
              <w:t>niezależne</w:t>
            </w:r>
            <w:r w:rsidRPr="000202F9">
              <w:rPr>
                <w:b/>
                <w:i/>
              </w:rPr>
              <w:t>, działały autonomicznie</w:t>
            </w:r>
            <w:r w:rsidRPr="000202F9">
              <w:t xml:space="preserve"> i </w:t>
            </w:r>
            <w:r w:rsidRPr="000202F9">
              <w:rPr>
                <w:b/>
                <w:i/>
              </w:rPr>
              <w:t xml:space="preserve">były </w:t>
            </w:r>
            <w:r w:rsidRPr="000202F9">
              <w:t>wolne od zewnętrznych wpływów podczas wypełniania zadań</w:t>
            </w:r>
            <w:r w:rsidRPr="000202F9">
              <w:rPr>
                <w:b/>
                <w:i/>
              </w:rPr>
              <w:t xml:space="preserve">, decydowania o swoich programach pracy, w swoich </w:t>
            </w:r>
            <w:r w:rsidRPr="000202F9">
              <w:rPr>
                <w:b/>
                <w:i/>
              </w:rPr>
              <w:t>działaniach oraz</w:t>
            </w:r>
            <w:r w:rsidRPr="000202F9">
              <w:t> </w:t>
            </w:r>
            <w:r w:rsidRPr="000202F9">
              <w:rPr>
                <w:b/>
                <w:i/>
              </w:rPr>
              <w:t>w wykonywaniu</w:t>
            </w:r>
            <w:r w:rsidRPr="000202F9">
              <w:t xml:space="preserve"> kompetencji, w szczególności</w:t>
            </w:r>
            <w:r w:rsidRPr="000202F9">
              <w:rPr>
                <w:b/>
                <w:i/>
              </w:rPr>
              <w:t>, jeżeli chodzi o</w:t>
            </w:r>
            <w:r w:rsidRPr="000202F9">
              <w:t xml:space="preserve"> ich </w:t>
            </w:r>
            <w:r w:rsidRPr="000202F9">
              <w:rPr>
                <w:b/>
                <w:i/>
              </w:rPr>
              <w:t>strukturę prawną</w:t>
            </w:r>
            <w:r w:rsidRPr="000202F9">
              <w:t xml:space="preserve">, </w:t>
            </w:r>
            <w:r w:rsidRPr="000202F9">
              <w:rPr>
                <w:b/>
                <w:i/>
              </w:rPr>
              <w:t>rozliczalność</w:t>
            </w:r>
            <w:r w:rsidRPr="000202F9">
              <w:t xml:space="preserve">, </w:t>
            </w:r>
            <w:r w:rsidRPr="000202F9">
              <w:rPr>
                <w:b/>
                <w:i/>
              </w:rPr>
              <w:t>budżet</w:t>
            </w:r>
            <w:r w:rsidRPr="000202F9">
              <w:t xml:space="preserve">, </w:t>
            </w:r>
            <w:r w:rsidRPr="000202F9">
              <w:rPr>
                <w:b/>
                <w:i/>
              </w:rPr>
              <w:t>personel</w:t>
            </w:r>
            <w:r w:rsidRPr="000202F9">
              <w:t xml:space="preserve"> i </w:t>
            </w:r>
            <w:r w:rsidRPr="000202F9">
              <w:rPr>
                <w:b/>
                <w:i/>
              </w:rPr>
              <w:t>kwestie organizacyjne.</w:t>
            </w:r>
            <w:r w:rsidRPr="000202F9">
              <w:t xml:space="preserve"> </w:t>
            </w:r>
            <w:r w:rsidRPr="000202F9">
              <w:rPr>
                <w:b/>
                <w:i/>
              </w:rPr>
              <w:t xml:space="preserve">Organy ds. równości nie mogą być powoływane w strukturach ministerstwa ani innego organu </w:t>
            </w:r>
            <w:r w:rsidRPr="000202F9">
              <w:rPr>
                <w:b/>
                <w:i/>
              </w:rPr>
              <w:t>przyjmującego instrukcje bezpośrednio od rządu.</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3 – ustęp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w:t>
            </w:r>
            <w:r w:rsidRPr="000202F9">
              <w:tab/>
              <w:t xml:space="preserve">Państwa członkowskie </w:t>
            </w:r>
            <w:r w:rsidRPr="000202F9">
              <w:t>zapewniają przejrzyste przepisy i zabezpieczenia dotyczące wyboru, mianowania, odwoływania oraz możliwego konfliktu interesów pracowników organów ds. równości</w:t>
            </w:r>
            <w:r w:rsidRPr="000202F9">
              <w:rPr>
                <w:b/>
                <w:i/>
              </w:rPr>
              <w:t>,</w:t>
            </w:r>
            <w:r w:rsidRPr="000202F9">
              <w:t xml:space="preserve"> w</w:t>
            </w:r>
            <w:r w:rsidRPr="000202F9">
              <w:rPr>
                <w:b/>
                <w:i/>
              </w:rPr>
              <w:t> </w:t>
            </w:r>
            <w:r w:rsidRPr="000202F9">
              <w:t xml:space="preserve">szczególności osób </w:t>
            </w:r>
            <w:r w:rsidRPr="000202F9">
              <w:rPr>
                <w:b/>
                <w:i/>
              </w:rPr>
              <w:t>na stanowiskach kierowniczych</w:t>
            </w:r>
            <w:r w:rsidRPr="000202F9">
              <w:t xml:space="preserve">, </w:t>
            </w:r>
            <w:r w:rsidRPr="000202F9">
              <w:rPr>
                <w:b/>
                <w:i/>
              </w:rPr>
              <w:t>tak aby zagwarantować ich kompetencje</w:t>
            </w:r>
            <w:r w:rsidRPr="000202F9">
              <w:t xml:space="preserve"> i</w:t>
            </w:r>
            <w:r w:rsidRPr="000202F9">
              <w:rPr>
                <w:b/>
                <w:i/>
              </w:rPr>
              <w:t> niez</w:t>
            </w:r>
            <w:r w:rsidRPr="000202F9">
              <w:rPr>
                <w:b/>
                <w:i/>
              </w:rPr>
              <w:t>ależność</w:t>
            </w:r>
            <w:r w:rsidRPr="000202F9">
              <w:t>.</w:t>
            </w:r>
          </w:p>
        </w:tc>
        <w:tc>
          <w:tcPr>
            <w:tcW w:w="4876" w:type="dxa"/>
            <w:hideMark/>
          </w:tcPr>
          <w:p w:rsidR="008429B6" w:rsidRPr="000202F9" w:rsidRDefault="0079015F" w:rsidP="00823CA1">
            <w:pPr>
              <w:pStyle w:val="Normal6"/>
              <w:rPr>
                <w:szCs w:val="24"/>
              </w:rPr>
            </w:pPr>
            <w:r w:rsidRPr="000202F9">
              <w:t>2.</w:t>
            </w:r>
            <w:r w:rsidRPr="000202F9">
              <w:tab/>
              <w:t xml:space="preserve">Państwa członkowskie zapewniają przejrzyste </w:t>
            </w:r>
            <w:r w:rsidRPr="000202F9">
              <w:rPr>
                <w:b/>
                <w:i/>
              </w:rPr>
              <w:t xml:space="preserve">i jasne </w:t>
            </w:r>
            <w:r w:rsidRPr="000202F9">
              <w:t xml:space="preserve">przepisy i zabezpieczenia dotyczące wyboru, mianowania, </w:t>
            </w:r>
            <w:r w:rsidRPr="000202F9">
              <w:rPr>
                <w:b/>
                <w:i/>
              </w:rPr>
              <w:t xml:space="preserve">awansu, </w:t>
            </w:r>
            <w:r w:rsidRPr="000202F9">
              <w:t xml:space="preserve">odwoływania oraz możliwego konfliktu interesów pracowników </w:t>
            </w:r>
            <w:r w:rsidRPr="000202F9">
              <w:rPr>
                <w:b/>
                <w:i/>
              </w:rPr>
              <w:t xml:space="preserve">i członków zarządu </w:t>
            </w:r>
            <w:r w:rsidRPr="000202F9">
              <w:t>organów ds. równości</w:t>
            </w:r>
            <w:r w:rsidRPr="000202F9">
              <w:rPr>
                <w:b/>
                <w:i/>
              </w:rPr>
              <w:t xml:space="preserve">. Te zasady i zabezpieczenia </w:t>
            </w:r>
            <w:r w:rsidRPr="000202F9">
              <w:rPr>
                <w:b/>
                <w:i/>
              </w:rPr>
              <w:t>dotyczą</w:t>
            </w:r>
            <w:r w:rsidRPr="000202F9">
              <w:t xml:space="preserve"> w</w:t>
            </w:r>
            <w:r w:rsidRPr="000202F9">
              <w:rPr>
                <w:b/>
                <w:i/>
              </w:rPr>
              <w:t xml:space="preserve"> </w:t>
            </w:r>
            <w:r w:rsidRPr="000202F9">
              <w:t xml:space="preserve">szczególności osób </w:t>
            </w:r>
            <w:r w:rsidRPr="000202F9">
              <w:rPr>
                <w:b/>
                <w:i/>
              </w:rPr>
              <w:t>zajmujących stanowiska kierownicze oraz zapewniają przejrzyste</w:t>
            </w:r>
            <w:r w:rsidRPr="000202F9">
              <w:t xml:space="preserve">, </w:t>
            </w:r>
            <w:r w:rsidRPr="000202F9">
              <w:rPr>
                <w:b/>
                <w:i/>
              </w:rPr>
              <w:t>oparte na zasługach i partycypacyjne procedury w celu zagwarantowania kompetencji, autonomii</w:t>
            </w:r>
            <w:r w:rsidRPr="000202F9">
              <w:t xml:space="preserve"> i</w:t>
            </w:r>
            <w:r w:rsidRPr="000202F9">
              <w:rPr>
                <w:b/>
                <w:i/>
              </w:rPr>
              <w:t xml:space="preserve"> niezależności organów ds. równości, w szczególności w odniesieniu do</w:t>
            </w:r>
            <w:r w:rsidRPr="000202F9">
              <w:rPr>
                <w:b/>
                <w:i/>
              </w:rPr>
              <w:t xml:space="preserve"> unikania ingerencji ze strony rządu</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3 – ustęp 3</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w:t>
            </w:r>
            <w:r w:rsidRPr="000202F9">
              <w:tab/>
              <w:t xml:space="preserve">Państwa członkowskie zapewniają </w:t>
            </w:r>
            <w:r w:rsidRPr="000202F9">
              <w:rPr>
                <w:b/>
                <w:i/>
              </w:rPr>
              <w:t>odpowiednie</w:t>
            </w:r>
            <w:r w:rsidRPr="000202F9">
              <w:t xml:space="preserve"> zabezpieczenia, w szczególności dotyczące struktury wewnętrznej organów ds. równości, aby zagwarantować niezależne wykonywanie ich kompetencji, zwłaszcza gdy niektóre ich kompetencje wymagają bezstronności, a inne dotyczą wsparcia dla ofiar.</w:t>
            </w:r>
          </w:p>
        </w:tc>
        <w:tc>
          <w:tcPr>
            <w:tcW w:w="4876" w:type="dxa"/>
            <w:hideMark/>
          </w:tcPr>
          <w:p w:rsidR="008429B6" w:rsidRPr="000202F9" w:rsidRDefault="0079015F" w:rsidP="004E7856">
            <w:pPr>
              <w:pStyle w:val="Normal6"/>
              <w:rPr>
                <w:szCs w:val="24"/>
              </w:rPr>
            </w:pPr>
            <w:r w:rsidRPr="000202F9">
              <w:t>3.</w:t>
            </w:r>
            <w:r w:rsidRPr="000202F9">
              <w:tab/>
              <w:t xml:space="preserve">Państwa członkowskie zapewniają </w:t>
            </w:r>
            <w:r w:rsidRPr="000202F9">
              <w:rPr>
                <w:b/>
                <w:i/>
              </w:rPr>
              <w:t>adekwatne i wystarczające</w:t>
            </w:r>
            <w:r w:rsidRPr="000202F9">
              <w:t xml:space="preserve"> zabezpieczenia, w szczególności dotyczące struktury wewnętrznej organów ds. równości, aby zagwarantować niezależne wykonywanie </w:t>
            </w:r>
            <w:r w:rsidRPr="000202F9">
              <w:rPr>
                <w:b/>
                <w:i/>
              </w:rPr>
              <w:t xml:space="preserve">wszystkich </w:t>
            </w:r>
            <w:r w:rsidRPr="000202F9">
              <w:t xml:space="preserve">ich kompetencji, </w:t>
            </w:r>
            <w:r w:rsidRPr="000202F9">
              <w:rPr>
                <w:b/>
                <w:i/>
              </w:rPr>
              <w:t xml:space="preserve">przy jednoczesnym sprzyjaniu spójności, </w:t>
            </w:r>
            <w:r w:rsidRPr="000202F9">
              <w:t>zw</w:t>
            </w:r>
            <w:r w:rsidRPr="000202F9">
              <w:t>łaszcza gdy niektóre ich kompetencje wymagają bezstronności, a inne dotyczą wsparcia dla ofiar</w:t>
            </w:r>
            <w:r w:rsidRPr="000202F9">
              <w:rPr>
                <w:b/>
                <w:i/>
              </w:rPr>
              <w:t>, przy jednoczesnym umożliwieniu współpracy i koordynacji między osobami upoważnionymi i wspólnym personelem w celu promowania spójności i skuteczności</w:t>
            </w:r>
            <w:r w:rsidRPr="000202F9">
              <w:t xml:space="preserve">. </w:t>
            </w:r>
          </w:p>
        </w:tc>
      </w:tr>
    </w:tbl>
    <w:p w:rsidR="008429B6" w:rsidRPr="000202F9" w:rsidRDefault="0079015F" w:rsidP="008429B6">
      <w:r w:rsidRPr="000202F9">
        <w:rPr>
          <w:rStyle w:val="HideTWBExt"/>
        </w:rPr>
        <w:t>&lt;/Amend</w:t>
      </w:r>
      <w:r w:rsidRPr="000202F9">
        <w:rPr>
          <w:rStyle w:val="HideTWBExt"/>
        </w:rPr>
        <w:t>&gt;</w:t>
      </w:r>
    </w:p>
    <w:p w:rsidR="008429B6" w:rsidRPr="000202F9" w:rsidRDefault="0079015F" w:rsidP="008429B6">
      <w:pPr>
        <w:pStyle w:val="AmNumberTabs"/>
      </w:pPr>
      <w:r w:rsidRPr="000202F9">
        <w:rPr>
          <w:rStyle w:val="HideTWBExt"/>
          <w:b w:val="0"/>
        </w:rPr>
        <w:lastRenderedPageBreak/>
        <w:t>&lt;Amend&gt;</w:t>
      </w:r>
      <w:r w:rsidRPr="000202F9">
        <w:t>Poprawka</w:t>
      </w:r>
      <w:r w:rsidRPr="000202F9">
        <w:tab/>
      </w:r>
      <w:r w:rsidRPr="000202F9">
        <w:tab/>
      </w:r>
      <w:r w:rsidRPr="000202F9">
        <w:rPr>
          <w:rStyle w:val="HideTWBExt"/>
          <w:b w:val="0"/>
        </w:rPr>
        <w:t>&lt;NumAm&gt;</w:t>
      </w:r>
      <w:r w:rsidRPr="000202F9">
        <w:t>47</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3 – ustęp 4</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4.</w:t>
            </w:r>
            <w:r w:rsidRPr="000202F9">
              <w:tab/>
              <w:t>Państwa członkowskie zapewniają odpowiednie zabezpieczenia w strukturze wewnętrznej</w:t>
            </w:r>
            <w:r w:rsidRPr="000202F9">
              <w:t xml:space="preserve"> organów wielozadaniowych, aby zagwarantować niezależne wykonywanie ich kompetencji w dziedzinie równości.</w:t>
            </w:r>
          </w:p>
        </w:tc>
        <w:tc>
          <w:tcPr>
            <w:tcW w:w="4876" w:type="dxa"/>
            <w:hideMark/>
          </w:tcPr>
          <w:p w:rsidR="008429B6" w:rsidRPr="000202F9" w:rsidRDefault="0079015F" w:rsidP="00823CA1">
            <w:pPr>
              <w:pStyle w:val="Normal6"/>
              <w:rPr>
                <w:szCs w:val="24"/>
              </w:rPr>
            </w:pPr>
            <w:r w:rsidRPr="000202F9">
              <w:t>4.</w:t>
            </w:r>
            <w:r w:rsidRPr="000202F9">
              <w:tab/>
              <w:t xml:space="preserve">Państwa członkowskie zapewniają odpowiednie </w:t>
            </w:r>
            <w:r w:rsidRPr="000202F9">
              <w:rPr>
                <w:b/>
                <w:i/>
              </w:rPr>
              <w:t xml:space="preserve">i wystarczające </w:t>
            </w:r>
            <w:r w:rsidRPr="000202F9">
              <w:t>zabezpieczenia w strukturze wewnętrznej organów wielozadaniowych, aby zagwarantować ni</w:t>
            </w:r>
            <w:r w:rsidRPr="000202F9">
              <w:t>ezależne wykonywanie ich kompetencji w dziedzinie równości.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48</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3 – ustęp 4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4a.</w:t>
            </w:r>
            <w:r w:rsidRPr="000202F9">
              <w:rPr>
                <w:b/>
                <w:i/>
              </w:rPr>
              <w:tab/>
              <w:t xml:space="preserve">W </w:t>
            </w:r>
            <w:r w:rsidRPr="000202F9">
              <w:rPr>
                <w:b/>
                <w:i/>
              </w:rPr>
              <w:t>stosownych przypadkach organy ds. równości, które są organami wielozadaniowymi, mogą podjąć kroki w celu stworzenia wewnętrznej struktury, która gwarantuje niezależne wykonywanie ich kompetencji.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49</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3 – ustęp 4 b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4b.</w:t>
            </w:r>
            <w:r w:rsidRPr="000202F9">
              <w:rPr>
                <w:b/>
                <w:i/>
              </w:rPr>
              <w:tab/>
              <w:t xml:space="preserve">Organy ds. równości mają prawo do wydawania publicznych oświadczeń oraz opracowywania i publikowania badań, zaleceń i </w:t>
            </w:r>
            <w:r w:rsidRPr="000202F9">
              <w:rPr>
                <w:b/>
                <w:i/>
              </w:rPr>
              <w:t>sprawozdań bez uprzedniej zgody lub uprzedniego zatwierdzenia bądź powiadomienia rządu lub jakiejkolwiek instytucji lub strony zewnętrznej.</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50</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 xml:space="preserve">Artykuł 4 – </w:t>
      </w:r>
      <w:r w:rsidRPr="000202F9">
        <w:t>ustęp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w:t>
            </w:r>
            <w:r w:rsidRPr="000202F9">
              <w:tab/>
              <w:t xml:space="preserve">Państwa członkowskie </w:t>
            </w:r>
            <w:r w:rsidRPr="000202F9">
              <w:rPr>
                <w:b/>
                <w:i/>
              </w:rPr>
              <w:t>zapewniają</w:t>
            </w:r>
            <w:r w:rsidRPr="000202F9">
              <w:t xml:space="preserve">, </w:t>
            </w:r>
            <w:r w:rsidRPr="000202F9">
              <w:rPr>
                <w:b/>
                <w:i/>
              </w:rPr>
              <w:t>aby</w:t>
            </w:r>
            <w:r w:rsidRPr="000202F9">
              <w:t xml:space="preserve"> każdy organ ds. równości był wyposażony w zasoby kadrowe, techniczne </w:t>
            </w:r>
            <w:r w:rsidRPr="000202F9">
              <w:rPr>
                <w:b/>
                <w:i/>
              </w:rPr>
              <w:t>i </w:t>
            </w:r>
            <w:r w:rsidRPr="000202F9">
              <w:t xml:space="preserve">finansowe niezbędne do skutecznego wypełniania wszystkich zadań i wykonywania </w:t>
            </w:r>
            <w:r w:rsidRPr="000202F9">
              <w:t>wszystkich kompetencji, w odniesieniu do wszystkich przesłanek i wszystkich dziedzin dyskryminacji objętych zakresem dyrektyw 2006/54/WE i 2010/41/UE</w:t>
            </w:r>
            <w:r w:rsidRPr="000202F9">
              <w:rPr>
                <w:b/>
                <w:i/>
              </w:rPr>
              <w:t>, w tym w przypadku rozszerzenia kompetencji, zwiększenia liczby skarg i kosztów postępowań spornych oraz w</w:t>
            </w:r>
            <w:r w:rsidRPr="000202F9">
              <w:rPr>
                <w:b/>
                <w:i/>
              </w:rPr>
              <w:t> przypadku stosowania systemów zautomatyzowanych</w:t>
            </w:r>
            <w:r w:rsidRPr="000202F9">
              <w:t>.</w:t>
            </w:r>
          </w:p>
        </w:tc>
        <w:tc>
          <w:tcPr>
            <w:tcW w:w="4876" w:type="dxa"/>
            <w:hideMark/>
          </w:tcPr>
          <w:p w:rsidR="008429B6" w:rsidRPr="000202F9" w:rsidRDefault="0079015F" w:rsidP="00823CA1">
            <w:pPr>
              <w:pStyle w:val="Normal6"/>
              <w:rPr>
                <w:szCs w:val="24"/>
              </w:rPr>
            </w:pPr>
            <w:r w:rsidRPr="000202F9">
              <w:t>1.</w:t>
            </w:r>
            <w:r w:rsidRPr="000202F9">
              <w:tab/>
              <w:t xml:space="preserve">Państwa członkowskie </w:t>
            </w:r>
            <w:r w:rsidRPr="000202F9">
              <w:rPr>
                <w:b/>
                <w:i/>
              </w:rPr>
              <w:t>– zgodnie ze swoimi krajowymi procedurami budżetowymi – dopilnowują</w:t>
            </w:r>
            <w:r w:rsidRPr="000202F9">
              <w:t xml:space="preserve">, </w:t>
            </w:r>
            <w:r w:rsidRPr="000202F9">
              <w:rPr>
                <w:b/>
                <w:i/>
              </w:rPr>
              <w:t>by</w:t>
            </w:r>
            <w:r w:rsidRPr="000202F9">
              <w:t xml:space="preserve"> każdy organ ds. równości był wyposażony w zasoby kadrowe, techniczne</w:t>
            </w:r>
            <w:r w:rsidRPr="000202F9">
              <w:rPr>
                <w:b/>
                <w:i/>
              </w:rPr>
              <w:t>,</w:t>
            </w:r>
            <w:r w:rsidRPr="000202F9">
              <w:t xml:space="preserve"> finansowe</w:t>
            </w:r>
            <w:r w:rsidRPr="000202F9">
              <w:rPr>
                <w:b/>
                <w:i/>
              </w:rPr>
              <w:t xml:space="preserve"> i eksperckie</w:t>
            </w:r>
            <w:r w:rsidRPr="000202F9">
              <w:t xml:space="preserve"> niezbędne do skut</w:t>
            </w:r>
            <w:r w:rsidRPr="000202F9">
              <w:t xml:space="preserve">ecznego wypełniania wszystkich zadań i wykonywania wszystkich kompetencji, </w:t>
            </w:r>
            <w:r w:rsidRPr="000202F9">
              <w:rPr>
                <w:b/>
                <w:i/>
              </w:rPr>
              <w:t xml:space="preserve">a także wywierania przy tym faktycznego wpływu, </w:t>
            </w:r>
            <w:r w:rsidRPr="000202F9">
              <w:t>w odniesieniu do wszystkich przesłanek i wszystkich dziedzin dyskryminacji objętych zakresem dyrektyw 2006/54/WE i 2010/41/UE.</w:t>
            </w:r>
          </w:p>
        </w:tc>
      </w:tr>
    </w:tbl>
    <w:p w:rsidR="008429B6" w:rsidRPr="000202F9" w:rsidRDefault="0079015F" w:rsidP="008429B6">
      <w:r w:rsidRPr="000202F9">
        <w:rPr>
          <w:rStyle w:val="HideTWBExt"/>
        </w:rPr>
        <w:t>&lt;/Ame</w:t>
      </w:r>
      <w:r w:rsidRPr="000202F9">
        <w:rPr>
          <w:rStyle w:val="HideTWBExt"/>
        </w:rPr>
        <w:t>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51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4 – ustęp 1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1a.</w:t>
            </w:r>
            <w:r w:rsidRPr="000202F9">
              <w:rPr>
                <w:b/>
                <w:i/>
              </w:rPr>
              <w:tab/>
              <w:t>Państwa członkowskie zapewniają, aby przydział środków budżetowych dla</w:t>
            </w:r>
            <w:r w:rsidRPr="000202F9">
              <w:rPr>
                <w:b/>
                <w:i/>
              </w:rPr>
              <w:t xml:space="preserve"> organów ds. równości był stabilny, planowany w perspektywie wieloletniej i przewidywał wystarczające środki na nieprzewidywalne koszty. Udostępnienie takich zasobów organom ds. równości w żaden sposób nie nakłada na organ ds. równości żadnych zobowiązań, </w:t>
            </w:r>
            <w:r w:rsidRPr="000202F9">
              <w:rPr>
                <w:b/>
                <w:i/>
              </w:rPr>
              <w:t>bezpośrednio ani w sposób dorozumiany, wobec państwa członkowskiego, jego rządu lub jednostki ministerialnej zapewniającej takie zasoby.</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52</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 xml:space="preserve">Artykuł 4 – </w:t>
      </w:r>
      <w:r w:rsidRPr="000202F9">
        <w:t>ustęp 1 b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1b.</w:t>
            </w:r>
            <w:r w:rsidRPr="000202F9">
              <w:rPr>
                <w:b/>
                <w:i/>
              </w:rPr>
              <w:tab/>
              <w:t>Państwa członkowskie dopilnowują, by w przypadku zwiększenia zakresu kompetencji, wzrostu liczby skarg lub kosztów postępowania sądowego lub innych powiązanych kosztów organy ds. r</w:t>
            </w:r>
            <w:r w:rsidRPr="000202F9">
              <w:rPr>
                <w:b/>
                <w:i/>
              </w:rPr>
              <w:t>ówności dysponowały wykwalifikowanym personelem, usługami i zasobami cyfrowymi niezbędnymi do wykonywania ich zadań, w tym do prowadzenia badań, monitorowania, sprawozdawczości oraz do korzystania z systemów zautomatyzowanych. W tym celu należy zapewnić, a</w:t>
            </w:r>
            <w:r w:rsidRPr="000202F9">
              <w:rPr>
                <w:b/>
                <w:i/>
              </w:rPr>
              <w:t>by budżet organów ds. równości został odpowiednio zwiększony. Budżet organów ds. równości nie może zostać zmniejszony.</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53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4 – ustęp 1 c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1c.</w:t>
            </w:r>
            <w:r w:rsidRPr="000202F9">
              <w:rPr>
                <w:b/>
                <w:i/>
              </w:rPr>
              <w:tab/>
              <w:t xml:space="preserve">Państwa członkowskie dopilnowują, by organy ds. równości były w stanie przekazywać EQUINET informacje zwrotne w celu umożliwienia konsultacji zgodnie z art. 13 niniejszej dyrektywy w sprawie </w:t>
            </w:r>
            <w:r w:rsidRPr="000202F9">
              <w:rPr>
                <w:b/>
                <w:i/>
              </w:rPr>
              <w:t>prawodawstwa, polityki, procedur i programów na poziomie Unii.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54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4 – ustęp 1 d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1d.</w:t>
            </w:r>
            <w:r w:rsidRPr="000202F9">
              <w:rPr>
                <w:b/>
                <w:i/>
              </w:rPr>
              <w:tab/>
            </w:r>
            <w:r w:rsidRPr="000202F9">
              <w:rPr>
                <w:b/>
                <w:i/>
              </w:rPr>
              <w:t xml:space="preserve">Państwa członkowskie zapewniają specjalny i niezależny przydział środków budżetowych na pokrycie kosztów </w:t>
            </w:r>
            <w:r w:rsidRPr="000202F9">
              <w:rPr>
                <w:b/>
                <w:i/>
              </w:rPr>
              <w:lastRenderedPageBreak/>
              <w:t>postępowania sądowego, który to przydział będzie corocznie dostosowywany w zależności od rzeczywistej liczby sporów sądowych prowadzonych przez organ d</w:t>
            </w:r>
            <w:r w:rsidRPr="000202F9">
              <w:rPr>
                <w:b/>
                <w:i/>
              </w:rPr>
              <w:t>s. równości i który będzie w znacznym stopniu współfinansowany z unijnych programów finansowania.</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55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5 – akapit 1 – litera a</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 xml:space="preserve">Tekst </w:t>
            </w:r>
            <w:r w:rsidRPr="000202F9">
              <w:t>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a)</w:t>
            </w:r>
            <w:r w:rsidRPr="000202F9">
              <w:tab/>
              <w:t xml:space="preserve">przyjmują strategię na </w:t>
            </w:r>
            <w:r w:rsidRPr="000202F9">
              <w:rPr>
                <w:b/>
                <w:i/>
              </w:rPr>
              <w:t>rzecz</w:t>
            </w:r>
            <w:r w:rsidRPr="000202F9">
              <w:t xml:space="preserve"> zwiększenia świadomości ogółu społeczeństwa na ich terytorium, ze szczególnym uwzględnieniem osób i grup zagrożonych dyskryminacją, na temat praw wynikających z dyrektyw 2006/54/WE i 2010/</w:t>
            </w:r>
            <w:r w:rsidRPr="000202F9">
              <w:t xml:space="preserve">41/UE oraz na temat </w:t>
            </w:r>
            <w:r w:rsidRPr="000202F9">
              <w:rPr>
                <w:b/>
                <w:i/>
              </w:rPr>
              <w:t>działających</w:t>
            </w:r>
            <w:r w:rsidRPr="000202F9">
              <w:t xml:space="preserve"> organów ds. równości i</w:t>
            </w:r>
            <w:r w:rsidRPr="000202F9">
              <w:rPr>
                <w:b/>
                <w:i/>
              </w:rPr>
              <w:t> oferowanych przez nie usług</w:t>
            </w:r>
            <w:r w:rsidRPr="000202F9">
              <w:t>;</w:t>
            </w:r>
          </w:p>
        </w:tc>
        <w:tc>
          <w:tcPr>
            <w:tcW w:w="4876" w:type="dxa"/>
            <w:hideMark/>
          </w:tcPr>
          <w:p w:rsidR="008429B6" w:rsidRPr="000202F9" w:rsidRDefault="0079015F" w:rsidP="00823CA1">
            <w:pPr>
              <w:pStyle w:val="Normal6"/>
              <w:rPr>
                <w:szCs w:val="24"/>
              </w:rPr>
            </w:pPr>
            <w:r w:rsidRPr="000202F9">
              <w:t>a)</w:t>
            </w:r>
            <w:r w:rsidRPr="000202F9">
              <w:tab/>
              <w:t xml:space="preserve">przyjmują </w:t>
            </w:r>
            <w:r w:rsidRPr="000202F9">
              <w:rPr>
                <w:b/>
                <w:i/>
              </w:rPr>
              <w:t xml:space="preserve">– w porozumieniu z przedstawicielami społeczeństwa obywatelskiego i partnerami społecznymi – krajową </w:t>
            </w:r>
            <w:r w:rsidRPr="000202F9">
              <w:t xml:space="preserve">strategię </w:t>
            </w:r>
            <w:r w:rsidRPr="000202F9">
              <w:rPr>
                <w:b/>
                <w:i/>
              </w:rPr>
              <w:t xml:space="preserve">mającą </w:t>
            </w:r>
            <w:r w:rsidRPr="000202F9">
              <w:t xml:space="preserve">na </w:t>
            </w:r>
            <w:r w:rsidRPr="000202F9">
              <w:rPr>
                <w:b/>
                <w:i/>
              </w:rPr>
              <w:t>celu regularne informowanie ogółu spo</w:t>
            </w:r>
            <w:r w:rsidRPr="000202F9">
              <w:rPr>
                <w:b/>
                <w:i/>
              </w:rPr>
              <w:t>łeczeństwa i</w:t>
            </w:r>
            <w:r w:rsidRPr="000202F9">
              <w:t xml:space="preserve"> zwiększenia świadomości ogółu społeczeństwa na ich terytorium, ze szczególnym uwzględnieniem osób i grup zagrożonych dyskryminacją, na temat praw wynikających z dyrektyw 2006/54/WE i 2010/41/UE oraz na temat </w:t>
            </w:r>
            <w:r w:rsidRPr="000202F9">
              <w:rPr>
                <w:b/>
                <w:i/>
              </w:rPr>
              <w:t>istnienia, kompetencjach, roli i do</w:t>
            </w:r>
            <w:r w:rsidRPr="000202F9">
              <w:rPr>
                <w:b/>
                <w:i/>
              </w:rPr>
              <w:t>stępności różnych</w:t>
            </w:r>
            <w:r w:rsidRPr="000202F9">
              <w:t xml:space="preserve"> organów ds. równości i</w:t>
            </w:r>
            <w:r w:rsidRPr="000202F9">
              <w:rPr>
                <w:b/>
                <w:i/>
              </w:rPr>
              <w:t xml:space="preserve"> ich usług;</w:t>
            </w:r>
            <w:r w:rsidRPr="000202F9">
              <w:t xml:space="preserve"> </w:t>
            </w:r>
            <w:r w:rsidRPr="000202F9">
              <w:rPr>
                <w:b/>
                <w:i/>
              </w:rPr>
              <w:t>ta krajowa strategia obejmuje kampanie informacyjne z wykorzystaniem różnych narzędzi komunikacji, w tym mediów społecznościowych; obejmuje również między innymi plan rozpowszechniania informacji, doradzt</w:t>
            </w:r>
            <w:r w:rsidRPr="000202F9">
              <w:rPr>
                <w:b/>
                <w:i/>
              </w:rPr>
              <w:t>wo, szkolenia, wsparcie i wytyczne dla osób w każdym wieku oraz instytucji, zarówno prywatnych, jak i publicznych;</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56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 xml:space="preserve">Artykuł 5 – akapit 1 – litera a a </w:t>
      </w:r>
      <w:r w:rsidRPr="000202F9">
        <w:t>(nowa)</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aa)</w:t>
            </w:r>
            <w:r w:rsidRPr="000202F9">
              <w:rPr>
                <w:b/>
                <w:i/>
              </w:rPr>
              <w:tab/>
              <w:t xml:space="preserve">dopilnowują, aby personel każdego </w:t>
            </w:r>
            <w:r w:rsidRPr="000202F9">
              <w:rPr>
                <w:b/>
                <w:i/>
              </w:rPr>
              <w:lastRenderedPageBreak/>
              <w:t xml:space="preserve">organu ds. równości przeszedł specjalne szkolenie dotyczące wszystkich przyczyn dyskryminacji, o których mowa w dyrektywach 2006/54/WE i 2010/41/UE, oraz w </w:t>
            </w:r>
            <w:r w:rsidRPr="000202F9">
              <w:rPr>
                <w:b/>
                <w:i/>
              </w:rPr>
              <w:t>zakresie wszelkich form przemocy ze względu na płeć;</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57</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5 – akapit 1 – litera b</w:t>
      </w:r>
      <w:r w:rsidRPr="000202F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2C1D57">
        <w:trPr>
          <w:jc w:val="center"/>
        </w:trPr>
        <w:tc>
          <w:tcPr>
            <w:tcW w:w="9752" w:type="dxa"/>
            <w:gridSpan w:val="2"/>
          </w:tcPr>
          <w:p w:rsidR="008429B6" w:rsidRPr="000202F9" w:rsidRDefault="008429B6" w:rsidP="00823CA1">
            <w:pPr>
              <w:keepNext/>
            </w:pPr>
          </w:p>
        </w:tc>
      </w:tr>
      <w:tr w:rsidR="00313F61" w:rsidRPr="000202F9" w:rsidTr="002C1D57">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2C1D57">
        <w:trPr>
          <w:jc w:val="center"/>
        </w:trPr>
        <w:tc>
          <w:tcPr>
            <w:tcW w:w="4876" w:type="dxa"/>
            <w:hideMark/>
          </w:tcPr>
          <w:p w:rsidR="008429B6" w:rsidRPr="000202F9" w:rsidRDefault="0079015F" w:rsidP="00823CA1">
            <w:pPr>
              <w:pStyle w:val="Normal6"/>
            </w:pPr>
            <w:r w:rsidRPr="000202F9">
              <w:t>b)</w:t>
            </w:r>
            <w:r w:rsidRPr="000202F9">
              <w:tab/>
            </w:r>
            <w:r w:rsidRPr="000202F9">
              <w:t xml:space="preserve">zapewniają, aby organy ds. równości </w:t>
            </w:r>
            <w:r w:rsidRPr="000202F9">
              <w:rPr>
                <w:b/>
                <w:i/>
              </w:rPr>
              <w:t>angażowały się w zapobieganie dyskryminacji i w promowanie równego traktowania oraz przyjęły strategię określającą, w jaki sposób będą się włączać w dialog publiczny, komunikować z osobami i grupami zagrożonymi dyskrymin</w:t>
            </w:r>
            <w:r w:rsidRPr="000202F9">
              <w:rPr>
                <w:b/>
                <w:i/>
              </w:rPr>
              <w:t>acją, zapewniać szkolenia i wytyczne oraz propagować wśród podmiotów publicznych i prywatnych obowiązki i działanie pozytywne w dziedzinie równości i zachęcać je do uwzględniania problematyki równości w swojej działalności.</w:t>
            </w:r>
          </w:p>
        </w:tc>
        <w:tc>
          <w:tcPr>
            <w:tcW w:w="4876" w:type="dxa"/>
            <w:hideMark/>
          </w:tcPr>
          <w:p w:rsidR="008429B6" w:rsidRPr="000202F9" w:rsidRDefault="0079015F" w:rsidP="00823CA1">
            <w:pPr>
              <w:pStyle w:val="Normal6"/>
              <w:rPr>
                <w:szCs w:val="24"/>
              </w:rPr>
            </w:pPr>
            <w:r w:rsidRPr="000202F9">
              <w:t>b)</w:t>
            </w:r>
            <w:r w:rsidRPr="000202F9">
              <w:tab/>
              <w:t>zapewniają, aby organy ds. ró</w:t>
            </w:r>
            <w:r w:rsidRPr="000202F9">
              <w:t xml:space="preserve">wności </w:t>
            </w:r>
            <w:r w:rsidRPr="000202F9">
              <w:rPr>
                <w:b/>
                <w:i/>
              </w:rPr>
              <w:t xml:space="preserve">mogły co najmniej: </w:t>
            </w:r>
          </w:p>
        </w:tc>
      </w:tr>
      <w:tr w:rsidR="00313F61" w:rsidRPr="000202F9" w:rsidTr="002C1D57">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(i)</w:t>
            </w:r>
            <w:r w:rsidRPr="000202F9">
              <w:t xml:space="preserve"> </w:t>
            </w:r>
            <w:r w:rsidRPr="000202F9">
              <w:rPr>
                <w:b/>
                <w:i/>
              </w:rPr>
              <w:t>angażować się w zapobieganie dyskryminacji, w tym dyskryminacji krzyżowej, i w promowanie równego traktowania;</w:t>
            </w:r>
          </w:p>
        </w:tc>
      </w:tr>
      <w:tr w:rsidR="00313F61" w:rsidRPr="000202F9" w:rsidTr="002C1D57">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(ii)</w:t>
            </w:r>
            <w:r w:rsidRPr="000202F9">
              <w:t xml:space="preserve"> </w:t>
            </w:r>
            <w:r w:rsidRPr="000202F9">
              <w:rPr>
                <w:b/>
                <w:i/>
              </w:rPr>
              <w:t>przyjąć strategię określającej kroki, które zostaną podjęte w celu zaangażowania się w dialog publiczny,</w:t>
            </w:r>
          </w:p>
        </w:tc>
      </w:tr>
      <w:tr w:rsidR="00313F61" w:rsidRPr="000202F9" w:rsidTr="002C1D57">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(iii) współpracować i komunikować się z osobami i grupami zagrożonymi dyskryminacją oraz z organizacjami społeczeństwa obywatelskiego zajmującymi się kwestami równości płci i niedyskryminacji;</w:t>
            </w:r>
          </w:p>
        </w:tc>
      </w:tr>
      <w:tr w:rsidR="00313F61" w:rsidRPr="000202F9" w:rsidTr="002C1D57">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4E7856">
            <w:pPr>
              <w:pStyle w:val="Normal6"/>
              <w:rPr>
                <w:szCs w:val="24"/>
              </w:rPr>
            </w:pPr>
            <w:r w:rsidRPr="000202F9">
              <w:rPr>
                <w:b/>
                <w:i/>
              </w:rPr>
              <w:t>(iv)</w:t>
            </w:r>
            <w:r w:rsidRPr="000202F9">
              <w:t xml:space="preserve"> </w:t>
            </w:r>
            <w:r w:rsidRPr="000202F9">
              <w:rPr>
                <w:b/>
                <w:i/>
              </w:rPr>
              <w:t>zapewniać informacje, porady, szkolenia, wsparcie i wy</w:t>
            </w:r>
            <w:r w:rsidRPr="000202F9">
              <w:rPr>
                <w:b/>
                <w:i/>
              </w:rPr>
              <w:t xml:space="preserve">tyczne dla osób i instytucji w sektorze publicznym i prywatnym w zakresie promowania i osiągania równości oraz zapobiegania </w:t>
            </w:r>
            <w:r w:rsidRPr="000202F9">
              <w:rPr>
                <w:b/>
                <w:i/>
              </w:rPr>
              <w:lastRenderedPageBreak/>
              <w:t>dyskryminacji;</w:t>
            </w:r>
          </w:p>
        </w:tc>
      </w:tr>
      <w:tr w:rsidR="00313F61" w:rsidRPr="000202F9" w:rsidTr="002C1D57">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(v)</w:t>
            </w:r>
            <w:r w:rsidRPr="000202F9">
              <w:t xml:space="preserve"> </w:t>
            </w:r>
            <w:r w:rsidRPr="000202F9">
              <w:rPr>
                <w:b/>
                <w:i/>
              </w:rPr>
              <w:t xml:space="preserve">propagować wśród podmiotów publicznych i prywatnych obowiązki i działanie pozytywne w dziedzinie równości i </w:t>
            </w:r>
            <w:r w:rsidRPr="000202F9">
              <w:rPr>
                <w:b/>
                <w:i/>
              </w:rPr>
              <w:t>zachęcać je do uwzględniania problematyki równości w swojej działalności oraz zapewniać im wsparcie w wykonywaniu tych obowiązków i wdrażaniu tych działań;</w:t>
            </w:r>
          </w:p>
        </w:tc>
      </w:tr>
      <w:tr w:rsidR="00313F61" w:rsidRPr="000202F9" w:rsidTr="002C1D57">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(vi) prowadzić badania dotyczące dyskryminacji, w tym dyskryminacji strukturalnej lub systemowej i</w:t>
            </w:r>
            <w:r w:rsidRPr="000202F9">
              <w:rPr>
                <w:b/>
                <w:i/>
              </w:rPr>
              <w:t xml:space="preserve"> dyskryminacji krzyżowej, a także dyskryminacji w internecie, w tym dyskryminacji algorytmicznej.</w:t>
            </w:r>
          </w:p>
        </w:tc>
      </w:tr>
      <w:tr w:rsidR="00313F61" w:rsidRPr="000202F9" w:rsidTr="002C1D57">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(vii) współpracować w zakresie zapewniania szkoleń na temat niedyskryminacji i praw podstawowych skierowanych do personelu organów nadzorczych w celu zapewn</w:t>
            </w:r>
            <w:r w:rsidRPr="000202F9">
              <w:rPr>
                <w:b/>
                <w:i/>
              </w:rPr>
              <w:t>ienia prawidłowego stosowania unijnych przepisów antydyskryminacyjnych i praw podstawowych, w tym w obszarze dyskryminacji algorytmicznej.</w:t>
            </w:r>
          </w:p>
        </w:tc>
      </w:tr>
    </w:tbl>
    <w:p w:rsidR="008429B6" w:rsidRPr="000202F9" w:rsidRDefault="0079015F" w:rsidP="008429B6">
      <w:r w:rsidRPr="000202F9">
        <w:rPr>
          <w:rStyle w:val="HideTWBExt"/>
        </w:rPr>
        <w:t>&lt;/Amend&gt;</w:t>
      </w:r>
    </w:p>
    <w:p w:rsidR="0042492D" w:rsidRPr="000202F9" w:rsidRDefault="0079015F" w:rsidP="0042492D">
      <w:pPr>
        <w:pStyle w:val="AMNumberTabs0"/>
        <w:keepNext/>
      </w:pPr>
      <w:r w:rsidRPr="000202F9">
        <w:rPr>
          <w:rStyle w:val="HideTWBExt"/>
          <w:b w:val="0"/>
        </w:rPr>
        <w:t>&lt;Amend&gt;</w:t>
      </w:r>
      <w:r w:rsidRPr="000202F9">
        <w:t>Poprawka</w:t>
      </w:r>
      <w:r w:rsidRPr="000202F9">
        <w:tab/>
      </w:r>
      <w:r w:rsidRPr="000202F9">
        <w:tab/>
      </w:r>
      <w:r w:rsidRPr="000202F9">
        <w:rPr>
          <w:rStyle w:val="HideTWBExt"/>
          <w:b w:val="0"/>
        </w:rPr>
        <w:t>&lt;NumAm&gt;</w:t>
      </w:r>
      <w:r w:rsidRPr="000202F9">
        <w:t>58</w:t>
      </w:r>
      <w:r w:rsidRPr="000202F9">
        <w:rPr>
          <w:rStyle w:val="HideTWBExt"/>
          <w:b w:val="0"/>
        </w:rPr>
        <w:t>&lt;/NumAm&gt;</w:t>
      </w:r>
    </w:p>
    <w:p w:rsidR="0042492D" w:rsidRPr="000202F9" w:rsidRDefault="0042492D" w:rsidP="0042492D"/>
    <w:p w:rsidR="0042492D" w:rsidRPr="000202F9" w:rsidRDefault="0079015F" w:rsidP="0042492D">
      <w:pPr>
        <w:pStyle w:val="NormalBold"/>
        <w:keepNext/>
      </w:pPr>
      <w:r w:rsidRPr="000202F9">
        <w:rPr>
          <w:rStyle w:val="HideTWBExt"/>
          <w:b w:val="0"/>
        </w:rPr>
        <w:t>&lt;DocAmend&gt;</w:t>
      </w:r>
      <w:r w:rsidRPr="000202F9">
        <w:t>Wniosek dotyczący dyrektywy</w:t>
      </w:r>
      <w:r w:rsidRPr="000202F9">
        <w:rPr>
          <w:rStyle w:val="HideTWBExt"/>
          <w:b w:val="0"/>
        </w:rPr>
        <w:t>&lt;/DocAmend&gt;</w:t>
      </w:r>
    </w:p>
    <w:p w:rsidR="0042492D" w:rsidRPr="000202F9" w:rsidRDefault="0079015F" w:rsidP="0042492D">
      <w:pPr>
        <w:pStyle w:val="NormalBold"/>
      </w:pPr>
      <w:r w:rsidRPr="000202F9">
        <w:rPr>
          <w:rStyle w:val="HideTWBExt"/>
          <w:b w:val="0"/>
        </w:rPr>
        <w:t>&lt;Article&gt;</w:t>
      </w:r>
      <w:r w:rsidRPr="000202F9">
        <w:t xml:space="preserve">Artykuł 5 – </w:t>
      </w:r>
      <w:r w:rsidRPr="000202F9">
        <w:t>akapit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42492D">
        <w:trPr>
          <w:jc w:val="center"/>
        </w:trPr>
        <w:tc>
          <w:tcPr>
            <w:tcW w:w="9752" w:type="dxa"/>
            <w:gridSpan w:val="2"/>
          </w:tcPr>
          <w:p w:rsidR="0042492D" w:rsidRPr="000202F9" w:rsidRDefault="0042492D">
            <w:pPr>
              <w:keepNext/>
            </w:pPr>
          </w:p>
        </w:tc>
      </w:tr>
      <w:tr w:rsidR="00313F61" w:rsidRPr="000202F9" w:rsidTr="0042492D">
        <w:trPr>
          <w:jc w:val="center"/>
        </w:trPr>
        <w:tc>
          <w:tcPr>
            <w:tcW w:w="4876" w:type="dxa"/>
            <w:hideMark/>
          </w:tcPr>
          <w:p w:rsidR="0042492D" w:rsidRPr="000202F9" w:rsidRDefault="0079015F">
            <w:pPr>
              <w:pStyle w:val="ColumnHeading"/>
              <w:keepNext/>
            </w:pPr>
            <w:r w:rsidRPr="000202F9">
              <w:t>Tekst proponowany przez Komisję</w:t>
            </w:r>
          </w:p>
        </w:tc>
        <w:tc>
          <w:tcPr>
            <w:tcW w:w="4876" w:type="dxa"/>
            <w:hideMark/>
          </w:tcPr>
          <w:p w:rsidR="0042492D" w:rsidRPr="000202F9" w:rsidRDefault="0079015F">
            <w:pPr>
              <w:pStyle w:val="ColumnHeading"/>
              <w:keepNext/>
            </w:pPr>
            <w:r w:rsidRPr="000202F9">
              <w:t>Poprawka</w:t>
            </w:r>
          </w:p>
        </w:tc>
      </w:tr>
      <w:tr w:rsidR="00313F61" w:rsidRPr="000202F9" w:rsidTr="0042492D">
        <w:trPr>
          <w:jc w:val="center"/>
        </w:trPr>
        <w:tc>
          <w:tcPr>
            <w:tcW w:w="4876" w:type="dxa"/>
            <w:hideMark/>
          </w:tcPr>
          <w:p w:rsidR="0042492D" w:rsidRPr="000202F9" w:rsidRDefault="0079015F">
            <w:pPr>
              <w:pStyle w:val="Normal6"/>
            </w:pPr>
            <w:r w:rsidRPr="000202F9">
              <w:t xml:space="preserve">Podczas tych działań państwa członkowskie i organy ds. równości uwzględniają najbardziej odpowiednie dla każdej z grup docelowych narzędzia i formaty komunikacji. Zwracają przy tym szczególną </w:t>
            </w:r>
            <w:r w:rsidRPr="000202F9">
              <w:t>uwagę na grupy defaworyzowane, których dostęp do informacji może być utrudniony, na przykład z powodu ich statusu ekonomicznego, wieku, niepełnosprawności, poziomu umiejętności czytania i pisania, narodowości, statusu pobytu lub braku dostępu do narzędzi i</w:t>
            </w:r>
            <w:r w:rsidRPr="000202F9">
              <w:t>nternetowych.</w:t>
            </w:r>
          </w:p>
        </w:tc>
        <w:tc>
          <w:tcPr>
            <w:tcW w:w="4876" w:type="dxa"/>
            <w:hideMark/>
          </w:tcPr>
          <w:p w:rsidR="0042492D" w:rsidRPr="000202F9" w:rsidRDefault="0079015F">
            <w:pPr>
              <w:pStyle w:val="Normal6"/>
              <w:rPr>
                <w:szCs w:val="24"/>
              </w:rPr>
            </w:pPr>
            <w:r w:rsidRPr="000202F9">
              <w:t>Podczas tych działań państwa członkowskie i organy ds. równości uwzględniają najbardziej odpowiednie dla każdej z grup docelowych narzędzia i formaty komunikacji. Zwracają przy tym szczególną uwagę na grupy defaworyzowane, których dostęp do i</w:t>
            </w:r>
            <w:r w:rsidRPr="000202F9">
              <w:t xml:space="preserve">nformacji może być utrudniony, na przykład z powodu ich statusu ekonomicznego, wieku, niepełnosprawności, </w:t>
            </w:r>
            <w:r w:rsidRPr="000202F9">
              <w:rPr>
                <w:b/>
                <w:i/>
              </w:rPr>
              <w:t xml:space="preserve">stanu zdrowia, </w:t>
            </w:r>
            <w:r w:rsidRPr="000202F9">
              <w:t xml:space="preserve">poziomu umiejętności czytania i pisania, narodowości, </w:t>
            </w:r>
            <w:r w:rsidRPr="000202F9">
              <w:rPr>
                <w:b/>
                <w:i/>
              </w:rPr>
              <w:t xml:space="preserve">pochodzenia etnicznego, </w:t>
            </w:r>
            <w:r w:rsidRPr="000202F9">
              <w:t xml:space="preserve">statusu pobytu lub braku dostępu do </w:t>
            </w:r>
            <w:r w:rsidRPr="000202F9">
              <w:lastRenderedPageBreak/>
              <w:t>narzędzi internetowyc</w:t>
            </w:r>
            <w:r w:rsidRPr="000202F9">
              <w:t>h</w:t>
            </w:r>
            <w:r w:rsidRPr="000202F9">
              <w:rPr>
                <w:b/>
                <w:i/>
              </w:rPr>
              <w:t>, z uwzględnieniem szczególnych potrzeb takich grup w danym państwie członkowskim</w:t>
            </w:r>
            <w:r w:rsidRPr="000202F9">
              <w:t xml:space="preserve">. </w:t>
            </w:r>
          </w:p>
        </w:tc>
      </w:tr>
    </w:tbl>
    <w:p w:rsidR="0042492D" w:rsidRPr="000202F9" w:rsidRDefault="0079015F" w:rsidP="002C1D57">
      <w:pPr>
        <w:rPr>
          <w:rStyle w:val="HideTWBExt"/>
        </w:rPr>
      </w:pPr>
      <w:r w:rsidRPr="000202F9">
        <w:rPr>
          <w:rStyle w:val="HideTWBExt"/>
        </w:rPr>
        <w:lastRenderedPageBreak/>
        <w:t>&lt;/Amend&gt;</w:t>
      </w:r>
    </w:p>
    <w:p w:rsidR="0042492D" w:rsidRPr="000202F9" w:rsidRDefault="0079015F" w:rsidP="0042492D">
      <w:pPr>
        <w:pStyle w:val="AMNumberTabs0"/>
        <w:keepNext/>
      </w:pPr>
      <w:r w:rsidRPr="000202F9">
        <w:rPr>
          <w:rStyle w:val="HideTWBExt"/>
          <w:b w:val="0"/>
        </w:rPr>
        <w:t>&lt;Amend&gt;</w:t>
      </w:r>
      <w:r w:rsidRPr="000202F9">
        <w:t>Poprawka</w:t>
      </w:r>
      <w:r w:rsidRPr="000202F9">
        <w:tab/>
      </w:r>
      <w:r w:rsidRPr="000202F9">
        <w:tab/>
      </w:r>
      <w:r w:rsidRPr="000202F9">
        <w:rPr>
          <w:rStyle w:val="HideTWBExt"/>
          <w:b w:val="0"/>
        </w:rPr>
        <w:t>&lt;NumAm&gt;</w:t>
      </w:r>
      <w:r w:rsidRPr="000202F9">
        <w:t>59</w:t>
      </w:r>
      <w:r w:rsidRPr="000202F9">
        <w:rPr>
          <w:rStyle w:val="HideTWBExt"/>
          <w:b w:val="0"/>
        </w:rPr>
        <w:t>&lt;/NumAm&gt;</w:t>
      </w:r>
    </w:p>
    <w:p w:rsidR="0042492D" w:rsidRPr="000202F9" w:rsidRDefault="0042492D" w:rsidP="0042492D"/>
    <w:p w:rsidR="0042492D" w:rsidRPr="000202F9" w:rsidRDefault="0079015F" w:rsidP="0042492D">
      <w:pPr>
        <w:pStyle w:val="NormalBold"/>
        <w:keepNext/>
      </w:pPr>
      <w:r w:rsidRPr="000202F9">
        <w:rPr>
          <w:rStyle w:val="HideTWBExt"/>
          <w:b w:val="0"/>
        </w:rPr>
        <w:t>&lt;DocAmend&gt;</w:t>
      </w:r>
      <w:r w:rsidRPr="000202F9">
        <w:t>Wniosek dotyczący dyrektywy</w:t>
      </w:r>
      <w:r w:rsidRPr="000202F9">
        <w:rPr>
          <w:rStyle w:val="HideTWBExt"/>
          <w:b w:val="0"/>
        </w:rPr>
        <w:t>&lt;/DocAmend&gt;</w:t>
      </w:r>
    </w:p>
    <w:p w:rsidR="0042492D" w:rsidRPr="000202F9" w:rsidRDefault="0079015F" w:rsidP="0042492D">
      <w:pPr>
        <w:pStyle w:val="NormalBold"/>
      </w:pPr>
      <w:r w:rsidRPr="000202F9">
        <w:rPr>
          <w:rStyle w:val="HideTWBExt"/>
          <w:b w:val="0"/>
        </w:rPr>
        <w:t>&lt;Article&gt;</w:t>
      </w:r>
      <w:r w:rsidRPr="000202F9">
        <w:t>Artykuł 5 – akapit 2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42492D">
        <w:trPr>
          <w:jc w:val="center"/>
        </w:trPr>
        <w:tc>
          <w:tcPr>
            <w:tcW w:w="9752" w:type="dxa"/>
            <w:gridSpan w:val="2"/>
          </w:tcPr>
          <w:p w:rsidR="0042492D" w:rsidRPr="000202F9" w:rsidRDefault="0042492D">
            <w:pPr>
              <w:keepNext/>
            </w:pPr>
          </w:p>
        </w:tc>
      </w:tr>
      <w:tr w:rsidR="00313F61" w:rsidRPr="000202F9" w:rsidTr="0042492D">
        <w:trPr>
          <w:jc w:val="center"/>
        </w:trPr>
        <w:tc>
          <w:tcPr>
            <w:tcW w:w="4876" w:type="dxa"/>
            <w:hideMark/>
          </w:tcPr>
          <w:p w:rsidR="0042492D" w:rsidRPr="000202F9" w:rsidRDefault="0079015F">
            <w:pPr>
              <w:pStyle w:val="ColumnHeading"/>
              <w:keepNext/>
            </w:pPr>
            <w:r w:rsidRPr="000202F9">
              <w:t xml:space="preserve">Tekst proponowany przez </w:t>
            </w:r>
            <w:r w:rsidRPr="000202F9">
              <w:t>Komisję</w:t>
            </w:r>
          </w:p>
        </w:tc>
        <w:tc>
          <w:tcPr>
            <w:tcW w:w="4876" w:type="dxa"/>
            <w:hideMark/>
          </w:tcPr>
          <w:p w:rsidR="0042492D" w:rsidRPr="000202F9" w:rsidRDefault="0079015F">
            <w:pPr>
              <w:pStyle w:val="ColumnHeading"/>
              <w:keepNext/>
            </w:pPr>
            <w:r w:rsidRPr="000202F9">
              <w:t>Poprawka</w:t>
            </w:r>
          </w:p>
        </w:tc>
      </w:tr>
      <w:tr w:rsidR="00313F61" w:rsidRPr="000202F9" w:rsidTr="0042492D">
        <w:trPr>
          <w:jc w:val="center"/>
        </w:trPr>
        <w:tc>
          <w:tcPr>
            <w:tcW w:w="4876" w:type="dxa"/>
          </w:tcPr>
          <w:p w:rsidR="0042492D" w:rsidRPr="000202F9" w:rsidRDefault="0042492D">
            <w:pPr>
              <w:pStyle w:val="Normal6"/>
            </w:pPr>
          </w:p>
        </w:tc>
        <w:tc>
          <w:tcPr>
            <w:tcW w:w="4876" w:type="dxa"/>
            <w:hideMark/>
          </w:tcPr>
          <w:p w:rsidR="0042492D" w:rsidRPr="000202F9" w:rsidRDefault="0079015F">
            <w:pPr>
              <w:pStyle w:val="Normal6"/>
              <w:rPr>
                <w:szCs w:val="24"/>
              </w:rPr>
            </w:pPr>
            <w:r w:rsidRPr="000202F9">
              <w:rPr>
                <w:b/>
                <w:i/>
              </w:rPr>
              <w:t>(2a)</w:t>
            </w:r>
            <w:r w:rsidRPr="000202F9">
              <w:rPr>
                <w:b/>
                <w:i/>
              </w:rPr>
              <w:tab/>
              <w:t>Komisja wydaje wytyczne dotyczące tych obu strategii w ciągu 6 miesięcy od przyjęcia niniejszej dyrektywy, opiniuje jakość i skuteczność strategii oraz monitoruje ich wdrażanie, w tym wydaje półroczne sprawozdania z postępów w ich w</w:t>
            </w:r>
            <w:r w:rsidRPr="000202F9">
              <w:rPr>
                <w:b/>
                <w:i/>
              </w:rPr>
              <w:t>drażaniu.</w:t>
            </w:r>
          </w:p>
        </w:tc>
      </w:tr>
    </w:tbl>
    <w:p w:rsidR="0042492D" w:rsidRPr="000202F9" w:rsidRDefault="0079015F" w:rsidP="0042492D">
      <w:pPr>
        <w:rPr>
          <w:rStyle w:val="HideTWBExt"/>
        </w:rPr>
      </w:pPr>
      <w:r w:rsidRPr="000202F9">
        <w:rPr>
          <w:rStyle w:val="HideTWBExt"/>
        </w:rPr>
        <w:t>&lt;/Amend&gt;</w:t>
      </w:r>
    </w:p>
    <w:p w:rsidR="0042492D" w:rsidRPr="000202F9" w:rsidRDefault="0042492D" w:rsidP="002C1D57">
      <w:pPr>
        <w:rPr>
          <w:rStyle w:val="HideTWBExt"/>
        </w:rPr>
      </w:pPr>
    </w:p>
    <w:p w:rsidR="00DB7EE6" w:rsidRPr="000202F9" w:rsidRDefault="0079015F" w:rsidP="002C1D57">
      <w:r w:rsidRPr="000202F9">
        <w:rPr>
          <w:rStyle w:val="HideTWBExt"/>
          <w:b/>
        </w:rPr>
        <w:t>&lt;Amend&gt;</w:t>
      </w:r>
      <w:r w:rsidRPr="000202F9">
        <w:t>Poprawka</w:t>
      </w:r>
      <w:r w:rsidRPr="000202F9">
        <w:tab/>
      </w:r>
      <w:r w:rsidRPr="000202F9">
        <w:tab/>
      </w:r>
      <w:r w:rsidRPr="000202F9">
        <w:rPr>
          <w:rStyle w:val="HideTWBExt"/>
          <w:b/>
        </w:rPr>
        <w:t>&lt;NumAm&gt;</w:t>
      </w:r>
      <w:r w:rsidRPr="000202F9">
        <w:t>60</w:t>
      </w:r>
      <w:r w:rsidRPr="000202F9">
        <w:rPr>
          <w:rStyle w:val="HideTWBExt"/>
          <w:b/>
        </w:rPr>
        <w:t>&lt;/NumAm&gt;</w:t>
      </w:r>
    </w:p>
    <w:p w:rsidR="00DB7EE6" w:rsidRPr="000202F9" w:rsidRDefault="00DB7EE6" w:rsidP="00DB7EE6"/>
    <w:p w:rsidR="00DB7EE6" w:rsidRPr="000202F9" w:rsidRDefault="0079015F" w:rsidP="00DB7EE6">
      <w:pPr>
        <w:pStyle w:val="NormalBold"/>
        <w:keepNext/>
      </w:pPr>
      <w:r w:rsidRPr="000202F9">
        <w:rPr>
          <w:rStyle w:val="HideTWBExt"/>
          <w:b w:val="0"/>
        </w:rPr>
        <w:t>&lt;DocAmend&gt;</w:t>
      </w:r>
      <w:r w:rsidRPr="000202F9">
        <w:t>Wniosek dotyczący dyrektywy</w:t>
      </w:r>
      <w:r w:rsidRPr="000202F9">
        <w:rPr>
          <w:rStyle w:val="HideTWBExt"/>
          <w:b w:val="0"/>
        </w:rPr>
        <w:t>&lt;/DocAmend&gt;</w:t>
      </w:r>
    </w:p>
    <w:p w:rsidR="00DB7EE6" w:rsidRPr="000202F9" w:rsidRDefault="0079015F" w:rsidP="00DB7EE6">
      <w:pPr>
        <w:pStyle w:val="NormalBold"/>
      </w:pPr>
      <w:r w:rsidRPr="000202F9">
        <w:rPr>
          <w:rStyle w:val="HideTWBExt"/>
          <w:b w:val="0"/>
        </w:rPr>
        <w:t>&lt;Article&gt;</w:t>
      </w:r>
      <w:r w:rsidRPr="000202F9">
        <w:t>Artykuł 6 – nagłówek</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DB7EE6">
        <w:trPr>
          <w:jc w:val="center"/>
        </w:trPr>
        <w:tc>
          <w:tcPr>
            <w:tcW w:w="9752" w:type="dxa"/>
            <w:gridSpan w:val="2"/>
          </w:tcPr>
          <w:p w:rsidR="00DB7EE6" w:rsidRPr="000202F9" w:rsidRDefault="00DB7EE6">
            <w:pPr>
              <w:keepNext/>
            </w:pPr>
          </w:p>
        </w:tc>
      </w:tr>
      <w:tr w:rsidR="00313F61" w:rsidRPr="000202F9" w:rsidTr="00DB7EE6">
        <w:trPr>
          <w:jc w:val="center"/>
        </w:trPr>
        <w:tc>
          <w:tcPr>
            <w:tcW w:w="4876" w:type="dxa"/>
            <w:hideMark/>
          </w:tcPr>
          <w:p w:rsidR="00DB7EE6" w:rsidRPr="000202F9" w:rsidRDefault="0079015F">
            <w:pPr>
              <w:pStyle w:val="ColumnHeading"/>
              <w:keepNext/>
            </w:pPr>
            <w:r w:rsidRPr="000202F9">
              <w:t>Tekst proponowany przez Komisję</w:t>
            </w:r>
          </w:p>
        </w:tc>
        <w:tc>
          <w:tcPr>
            <w:tcW w:w="4876" w:type="dxa"/>
            <w:hideMark/>
          </w:tcPr>
          <w:p w:rsidR="00DB7EE6" w:rsidRPr="000202F9" w:rsidRDefault="0079015F">
            <w:pPr>
              <w:pStyle w:val="ColumnHeading"/>
              <w:keepNext/>
            </w:pPr>
            <w:r w:rsidRPr="000202F9">
              <w:t>Poprawka</w:t>
            </w:r>
          </w:p>
        </w:tc>
      </w:tr>
      <w:tr w:rsidR="00313F61" w:rsidRPr="000202F9" w:rsidTr="00DB7EE6">
        <w:trPr>
          <w:jc w:val="center"/>
        </w:trPr>
        <w:tc>
          <w:tcPr>
            <w:tcW w:w="4876" w:type="dxa"/>
            <w:hideMark/>
          </w:tcPr>
          <w:p w:rsidR="00DB7EE6" w:rsidRPr="000202F9" w:rsidRDefault="0079015F">
            <w:pPr>
              <w:pStyle w:val="Normal6"/>
            </w:pPr>
            <w:r w:rsidRPr="000202F9">
              <w:t xml:space="preserve">Pomoc </w:t>
            </w:r>
            <w:r w:rsidRPr="000202F9">
              <w:rPr>
                <w:b/>
                <w:i/>
              </w:rPr>
              <w:t>ofiarom</w:t>
            </w:r>
          </w:p>
        </w:tc>
        <w:tc>
          <w:tcPr>
            <w:tcW w:w="4876" w:type="dxa"/>
            <w:hideMark/>
          </w:tcPr>
          <w:p w:rsidR="00DB7EE6" w:rsidRPr="000202F9" w:rsidRDefault="0079015F">
            <w:pPr>
              <w:pStyle w:val="Normal6"/>
              <w:rPr>
                <w:szCs w:val="24"/>
              </w:rPr>
            </w:pPr>
            <w:r w:rsidRPr="000202F9">
              <w:rPr>
                <w:b/>
                <w:i/>
              </w:rPr>
              <w:t xml:space="preserve">Wsparcie i </w:t>
            </w:r>
            <w:r w:rsidRPr="000202F9">
              <w:t xml:space="preserve">pomoc </w:t>
            </w:r>
            <w:r w:rsidRPr="000202F9">
              <w:rPr>
                <w:b/>
                <w:i/>
              </w:rPr>
              <w:t>dla ofiar dyskryminacji</w:t>
            </w:r>
          </w:p>
        </w:tc>
      </w:tr>
    </w:tbl>
    <w:p w:rsidR="00DB7EE6" w:rsidRPr="000202F9" w:rsidRDefault="0079015F" w:rsidP="00DB7EE6">
      <w:pPr>
        <w:pStyle w:val="AmNumberTabs"/>
        <w:rPr>
          <w:rStyle w:val="HideTWBExt"/>
        </w:rPr>
      </w:pPr>
      <w:r w:rsidRPr="000202F9">
        <w:rPr>
          <w:rStyle w:val="HideTWBExt"/>
        </w:rPr>
        <w:t>&lt;/Amend&gt;</w:t>
      </w:r>
    </w:p>
    <w:p w:rsidR="008429B6" w:rsidRPr="000202F9" w:rsidRDefault="0079015F" w:rsidP="00DB7EE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6 – ustęp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w:t>
            </w:r>
            <w:r w:rsidRPr="000202F9">
              <w:tab/>
              <w:t>Państwa członkowskie zapewniają, aby organy ds. równości mogły udzielać pomocy ofiaro</w:t>
            </w:r>
            <w:r w:rsidRPr="000202F9">
              <w:t>m zgodnie z </w:t>
            </w:r>
            <w:r w:rsidRPr="000202F9">
              <w:rPr>
                <w:b/>
                <w:i/>
              </w:rPr>
              <w:t>ust. 2–4</w:t>
            </w:r>
            <w:r w:rsidRPr="000202F9">
              <w:t>.</w:t>
            </w:r>
          </w:p>
        </w:tc>
        <w:tc>
          <w:tcPr>
            <w:tcW w:w="4876" w:type="dxa"/>
            <w:hideMark/>
          </w:tcPr>
          <w:p w:rsidR="008429B6" w:rsidRPr="000202F9" w:rsidRDefault="0079015F" w:rsidP="00823CA1">
            <w:pPr>
              <w:pStyle w:val="Normal6"/>
              <w:rPr>
                <w:szCs w:val="24"/>
              </w:rPr>
            </w:pPr>
            <w:r w:rsidRPr="000202F9">
              <w:t>1.</w:t>
            </w:r>
            <w:r w:rsidRPr="000202F9">
              <w:tab/>
              <w:t xml:space="preserve">Państwa członkowskie zapewniają, aby organy ds. równości mogły </w:t>
            </w:r>
            <w:r w:rsidRPr="000202F9">
              <w:rPr>
                <w:b/>
                <w:i/>
              </w:rPr>
              <w:t xml:space="preserve">bezpłatnie </w:t>
            </w:r>
            <w:r w:rsidRPr="000202F9">
              <w:t>udzielać</w:t>
            </w:r>
            <w:r w:rsidRPr="000202F9">
              <w:rPr>
                <w:b/>
                <w:i/>
              </w:rPr>
              <w:t xml:space="preserve"> wsparcia i</w:t>
            </w:r>
            <w:r w:rsidRPr="000202F9">
              <w:t xml:space="preserve"> pomocy ofiarom zgodnie z </w:t>
            </w:r>
            <w:r w:rsidRPr="000202F9">
              <w:rPr>
                <w:b/>
                <w:i/>
              </w:rPr>
              <w:t>niniejszą dyrektywą</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62</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6 – ustęp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w:t>
            </w:r>
            <w:r w:rsidRPr="000202F9">
              <w:tab/>
              <w:t xml:space="preserve">Organy ds. równości mogą </w:t>
            </w:r>
            <w:r w:rsidRPr="000202F9">
              <w:lastRenderedPageBreak/>
              <w:t>otrzymywać skargi dotyczące dyskryminacji w</w:t>
            </w:r>
            <w:r w:rsidRPr="000202F9">
              <w:rPr>
                <w:b/>
                <w:i/>
              </w:rPr>
              <w:t> </w:t>
            </w:r>
            <w:r w:rsidRPr="000202F9">
              <w:t>formie ustnej, pisemnej lub online.</w:t>
            </w:r>
          </w:p>
        </w:tc>
        <w:tc>
          <w:tcPr>
            <w:tcW w:w="4876" w:type="dxa"/>
            <w:hideMark/>
          </w:tcPr>
          <w:p w:rsidR="008429B6" w:rsidRPr="000202F9" w:rsidRDefault="0079015F" w:rsidP="00823CA1">
            <w:pPr>
              <w:pStyle w:val="Normal6"/>
              <w:rPr>
                <w:szCs w:val="24"/>
              </w:rPr>
            </w:pPr>
            <w:r w:rsidRPr="000202F9">
              <w:lastRenderedPageBreak/>
              <w:t>2.</w:t>
            </w:r>
            <w:r w:rsidRPr="000202F9">
              <w:tab/>
              <w:t xml:space="preserve">Organy ds. równości mogą </w:t>
            </w:r>
            <w:r w:rsidRPr="000202F9">
              <w:lastRenderedPageBreak/>
              <w:t xml:space="preserve">otrzymywać skargi </w:t>
            </w:r>
            <w:r w:rsidRPr="000202F9">
              <w:t>dotyczące dyskryminacji w</w:t>
            </w:r>
            <w:r w:rsidRPr="000202F9">
              <w:rPr>
                <w:b/>
                <w:i/>
              </w:rPr>
              <w:t xml:space="preserve"> dowolny możliwy sposób, w tym w </w:t>
            </w:r>
            <w:r w:rsidRPr="000202F9">
              <w:t>formie ustnej, pisemnej lub online.</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6 – ustęp 3 – akapit 1</w:t>
      </w:r>
      <w:r w:rsidRPr="000202F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2C1D57">
        <w:trPr>
          <w:jc w:val="center"/>
        </w:trPr>
        <w:tc>
          <w:tcPr>
            <w:tcW w:w="9752" w:type="dxa"/>
            <w:gridSpan w:val="2"/>
          </w:tcPr>
          <w:p w:rsidR="008429B6" w:rsidRPr="000202F9" w:rsidRDefault="008429B6" w:rsidP="00823CA1">
            <w:pPr>
              <w:keepNext/>
            </w:pPr>
          </w:p>
        </w:tc>
      </w:tr>
      <w:tr w:rsidR="00313F61" w:rsidRPr="000202F9" w:rsidTr="002C1D57">
        <w:trPr>
          <w:jc w:val="center"/>
        </w:trPr>
        <w:tc>
          <w:tcPr>
            <w:tcW w:w="4876" w:type="dxa"/>
            <w:hideMark/>
          </w:tcPr>
          <w:p w:rsidR="008429B6" w:rsidRPr="000202F9" w:rsidRDefault="0079015F" w:rsidP="00823CA1">
            <w:pPr>
              <w:pStyle w:val="ColumnHeading"/>
              <w:keepNext/>
            </w:pPr>
            <w:r w:rsidRPr="000202F9">
              <w:t>Tekst proponowa</w:t>
            </w:r>
            <w:r w:rsidRPr="000202F9">
              <w:t>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2C1D57">
        <w:trPr>
          <w:jc w:val="center"/>
        </w:trPr>
        <w:tc>
          <w:tcPr>
            <w:tcW w:w="4876" w:type="dxa"/>
            <w:hideMark/>
          </w:tcPr>
          <w:p w:rsidR="008429B6" w:rsidRPr="000202F9" w:rsidRDefault="0079015F" w:rsidP="00823CA1">
            <w:pPr>
              <w:pStyle w:val="Normal6"/>
            </w:pPr>
            <w:r w:rsidRPr="000202F9">
              <w:t xml:space="preserve">Organy ds. równości </w:t>
            </w:r>
            <w:r w:rsidRPr="000202F9">
              <w:rPr>
                <w:b/>
                <w:i/>
              </w:rPr>
              <w:t>udzielają pomocy</w:t>
            </w:r>
            <w:r w:rsidRPr="000202F9">
              <w:t xml:space="preserve"> ofiarom, w</w:t>
            </w:r>
            <w:r w:rsidRPr="000202F9">
              <w:rPr>
                <w:b/>
                <w:i/>
              </w:rPr>
              <w:t> pierwszym rzędzie informując je o ramach prawnych</w:t>
            </w:r>
            <w:r w:rsidRPr="000202F9">
              <w:t>, w</w:t>
            </w:r>
            <w:r w:rsidRPr="000202F9">
              <w:rPr>
                <w:b/>
                <w:i/>
              </w:rPr>
              <w:t> </w:t>
            </w:r>
            <w:r w:rsidRPr="000202F9">
              <w:t xml:space="preserve">tym </w:t>
            </w:r>
            <w:r w:rsidRPr="000202F9">
              <w:rPr>
                <w:b/>
                <w:i/>
              </w:rPr>
              <w:t>udzielając</w:t>
            </w:r>
            <w:r w:rsidRPr="000202F9">
              <w:t xml:space="preserve"> porad dostosowanych do konkretnej sytuacji</w:t>
            </w:r>
            <w:r w:rsidRPr="000202F9">
              <w:rPr>
                <w:b/>
                <w:i/>
              </w:rPr>
              <w:t>, a także informacji na temat</w:t>
            </w:r>
            <w:r w:rsidRPr="000202F9">
              <w:t xml:space="preserve"> usług oferowanych przez organ ds. równości i</w:t>
            </w:r>
            <w:r w:rsidRPr="000202F9">
              <w:rPr>
                <w:b/>
                <w:i/>
              </w:rPr>
              <w:t> </w:t>
            </w:r>
            <w:r w:rsidRPr="000202F9">
              <w:t xml:space="preserve">powiązanych aspektów proceduralnych, </w:t>
            </w:r>
            <w:r w:rsidRPr="000202F9">
              <w:rPr>
                <w:b/>
                <w:i/>
              </w:rPr>
              <w:t>jak również dostępnych środków prawnych, w tym</w:t>
            </w:r>
            <w:r w:rsidRPr="000202F9">
              <w:t xml:space="preserve"> możliwości skierowania sprawy do sądu.</w:t>
            </w:r>
          </w:p>
        </w:tc>
        <w:tc>
          <w:tcPr>
            <w:tcW w:w="4876" w:type="dxa"/>
            <w:hideMark/>
          </w:tcPr>
          <w:p w:rsidR="008429B6" w:rsidRPr="000202F9" w:rsidRDefault="0079015F" w:rsidP="004E7856">
            <w:pPr>
              <w:pStyle w:val="Normal6"/>
              <w:rPr>
                <w:szCs w:val="24"/>
              </w:rPr>
            </w:pPr>
            <w:r w:rsidRPr="000202F9">
              <w:t xml:space="preserve">Organy ds. równości </w:t>
            </w:r>
            <w:r w:rsidRPr="000202F9">
              <w:rPr>
                <w:b/>
                <w:i/>
              </w:rPr>
              <w:t>zapewniają wsparcie i pomoc</w:t>
            </w:r>
            <w:r w:rsidRPr="000202F9">
              <w:t xml:space="preserve"> ofiarom, </w:t>
            </w:r>
            <w:r w:rsidRPr="000202F9">
              <w:rPr>
                <w:b/>
                <w:i/>
              </w:rPr>
              <w:t xml:space="preserve">które złożyły skargę, </w:t>
            </w:r>
            <w:r w:rsidRPr="000202F9">
              <w:t>w</w:t>
            </w:r>
            <w:r w:rsidRPr="000202F9">
              <w:rPr>
                <w:b/>
                <w:i/>
              </w:rPr>
              <w:t xml:space="preserve"> tym za</w:t>
            </w:r>
            <w:r w:rsidRPr="000202F9">
              <w:rPr>
                <w:b/>
                <w:i/>
              </w:rPr>
              <w:t>pewniają im wsparcie prawne. Personel organów ds. równości musi być w stanie udzielać ofiarom informacji z pierwszej ręki i posiadać umiejętności umożliwiające rozpoznawanie potrzeb psychologicznych. Organy ds. równości mogą również udzielać porad dotycząc</w:t>
            </w:r>
            <w:r w:rsidRPr="000202F9">
              <w:rPr>
                <w:b/>
                <w:i/>
              </w:rPr>
              <w:t>ych sposobu składania skargi</w:t>
            </w:r>
            <w:r w:rsidRPr="000202F9">
              <w:t>, w</w:t>
            </w:r>
            <w:r w:rsidRPr="000202F9">
              <w:rPr>
                <w:b/>
                <w:i/>
              </w:rPr>
              <w:t xml:space="preserve"> </w:t>
            </w:r>
            <w:r w:rsidRPr="000202F9">
              <w:t xml:space="preserve">tym </w:t>
            </w:r>
            <w:r w:rsidRPr="000202F9">
              <w:rPr>
                <w:b/>
                <w:i/>
              </w:rPr>
              <w:t>informacji na temat ram prawnych i przysługujących praw,</w:t>
            </w:r>
            <w:r w:rsidRPr="000202F9">
              <w:t xml:space="preserve"> porad dostosowanych do konkretnej sytuacji</w:t>
            </w:r>
            <w:r w:rsidRPr="000202F9">
              <w:rPr>
                <w:b/>
                <w:i/>
              </w:rPr>
              <w:t xml:space="preserve"> i potrzeb ofiar,</w:t>
            </w:r>
            <w:r w:rsidRPr="000202F9">
              <w:t xml:space="preserve"> usług oferowanych przez organ ds. równości i</w:t>
            </w:r>
            <w:r w:rsidRPr="000202F9">
              <w:rPr>
                <w:b/>
                <w:i/>
              </w:rPr>
              <w:t xml:space="preserve"> </w:t>
            </w:r>
            <w:r w:rsidRPr="000202F9">
              <w:t xml:space="preserve">powiązanych aspektów proceduralnych, </w:t>
            </w:r>
            <w:r w:rsidRPr="000202F9">
              <w:rPr>
                <w:b/>
                <w:i/>
              </w:rPr>
              <w:t>a także o</w:t>
            </w:r>
            <w:r w:rsidRPr="000202F9">
              <w:t xml:space="preserve"> możliwości </w:t>
            </w:r>
            <w:r w:rsidRPr="000202F9">
              <w:t>skierowania sprawy do sądu</w:t>
            </w:r>
            <w:r w:rsidRPr="000202F9">
              <w:rPr>
                <w:b/>
                <w:i/>
              </w:rPr>
              <w:t xml:space="preserve"> i o innych dostępnych środkach odwoławczych</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6 – ustęp 4 – akapit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rPr>
                <w:b/>
                <w:i/>
              </w:rPr>
              <w:t>Organy ds. równości wydają ocenę wstępną skargi na podstawie informacji przekazanych dobrowolnie przez zaangażowane strony. Państwa członkowskie określają dokładne zasady wydawania takiej oceny wstępnej przez organ ds. równości.</w:t>
            </w:r>
          </w:p>
        </w:tc>
        <w:tc>
          <w:tcPr>
            <w:tcW w:w="4876" w:type="dxa"/>
            <w:hideMark/>
          </w:tcPr>
          <w:p w:rsidR="008429B6" w:rsidRPr="000202F9" w:rsidRDefault="0079015F" w:rsidP="00823CA1">
            <w:pPr>
              <w:pStyle w:val="Normal6"/>
              <w:rPr>
                <w:b/>
                <w:i/>
                <w:szCs w:val="24"/>
              </w:rPr>
            </w:pPr>
            <w:r w:rsidRPr="000202F9">
              <w:rPr>
                <w:b/>
                <w:i/>
              </w:rPr>
              <w:t xml:space="preserve">skreśla się </w:t>
            </w:r>
          </w:p>
        </w:tc>
      </w:tr>
    </w:tbl>
    <w:p w:rsidR="008429B6" w:rsidRPr="000202F9" w:rsidRDefault="0079015F" w:rsidP="008429B6">
      <w:r w:rsidRPr="000202F9">
        <w:rPr>
          <w:rStyle w:val="HideTWBExt"/>
        </w:rPr>
        <w:lastRenderedPageBreak/>
        <w:t>&lt;/A</w:t>
      </w:r>
      <w:r w:rsidRPr="000202F9">
        <w:rPr>
          <w:rStyle w:val="HideTWBExt"/>
        </w:rPr>
        <w:t>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7 – akapit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 xml:space="preserve">Organy ds. równości mogą oferować stronom możliwość polubownego rozstrzygnięcia </w:t>
            </w:r>
            <w:r w:rsidRPr="000202F9">
              <w:t>ich sporu. Proces ten uzależniony jest od porozumienia stron i może być prowadzony przez sam organ ds. równości lub inny specjalny podmiot – w tym drugim przypadku organ ds. równości może przekazać temu podmiotowi swoje uwagi. Udział w takim procesie nie u</w:t>
            </w:r>
            <w:r w:rsidRPr="000202F9">
              <w:t>niemożliwia stronom skorzystania z prawa dostępu do wymiaru sprawiedliwości.</w:t>
            </w:r>
          </w:p>
        </w:tc>
        <w:tc>
          <w:tcPr>
            <w:tcW w:w="4876" w:type="dxa"/>
            <w:hideMark/>
          </w:tcPr>
          <w:p w:rsidR="008429B6" w:rsidRPr="000202F9" w:rsidRDefault="0079015F" w:rsidP="00823CA1">
            <w:pPr>
              <w:pStyle w:val="Normal6"/>
              <w:rPr>
                <w:szCs w:val="24"/>
              </w:rPr>
            </w:pPr>
            <w:r w:rsidRPr="000202F9">
              <w:t>Organy ds. równości mogą oferować stronom możliwość polubownego rozstrzygnięcia ich sporu</w:t>
            </w:r>
            <w:r w:rsidRPr="000202F9">
              <w:rPr>
                <w:b/>
                <w:i/>
              </w:rPr>
              <w:t>, zarówno w sądzie, jak i poza nim</w:t>
            </w:r>
            <w:r w:rsidRPr="000202F9">
              <w:t>. Proces ten uzależniony jest od porozumienia stron i mo</w:t>
            </w:r>
            <w:r w:rsidRPr="000202F9">
              <w:t>że być prowadzony przez sam organ ds. równości lub inny specjalny podmiot – w tym drugim przypadku organ ds. równości może przekazać temu podmiotowi swoje uwagi. Udział w takim procesie nie uniemożliwia stronom skorzystania z prawa dostępu do wymiaru spraw</w:t>
            </w:r>
            <w:r w:rsidRPr="000202F9">
              <w:t>iedliwości.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7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jc w:val="center"/>
              <w:rPr>
                <w:szCs w:val="24"/>
              </w:rPr>
            </w:pPr>
            <w:r w:rsidRPr="000202F9">
              <w:rPr>
                <w:b/>
                <w:i/>
              </w:rPr>
              <w:t>Artykuł 7a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jc w:val="center"/>
              <w:rPr>
                <w:szCs w:val="24"/>
              </w:rPr>
            </w:pPr>
            <w:r w:rsidRPr="000202F9">
              <w:rPr>
                <w:b/>
                <w:i/>
              </w:rPr>
              <w:t>Dochodzenia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11190E">
            <w:pPr>
              <w:pStyle w:val="Normal6"/>
              <w:rPr>
                <w:szCs w:val="24"/>
              </w:rPr>
            </w:pPr>
            <w:r w:rsidRPr="000202F9">
              <w:rPr>
                <w:b/>
                <w:i/>
              </w:rPr>
              <w:t>1. Państwa członkowskie zapewniają, aby</w:t>
            </w:r>
            <w:r w:rsidRPr="000202F9">
              <w:rPr>
                <w:b/>
                <w:i/>
              </w:rPr>
              <w:t xml:space="preserve"> na podstawie skargi lub z inicjatywy własnej organy ds. równości były uprawnione do skutecznego prowadzenia dochodzeń dotyczących ewentualnego naruszenia zasady równego traktowania ustanowionej w dyrektywach 2006/54/WE i 2010/41/UE, a także do podejmowani</w:t>
            </w:r>
            <w:r w:rsidRPr="000202F9">
              <w:rPr>
                <w:b/>
                <w:i/>
              </w:rPr>
              <w:t xml:space="preserve">a działań mających na celu zaradzenie dyskryminacji indywidualnej, strukturalnej lub systemowej. </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11190E">
            <w:pPr>
              <w:pStyle w:val="Normal6"/>
              <w:rPr>
                <w:szCs w:val="24"/>
              </w:rPr>
            </w:pPr>
            <w:r w:rsidRPr="000202F9">
              <w:rPr>
                <w:b/>
                <w:i/>
              </w:rPr>
              <w:t xml:space="preserve">2. Państwa członkowskie zapewniają ramy umożliwiające organom ds. równości ustalenie faktów, czy to na podstawie </w:t>
            </w:r>
            <w:r w:rsidRPr="000202F9">
              <w:rPr>
                <w:b/>
                <w:i/>
              </w:rPr>
              <w:lastRenderedPageBreak/>
              <w:t xml:space="preserve">skargi, czy z własnej inicjatywy na </w:t>
            </w:r>
            <w:r w:rsidRPr="000202F9">
              <w:rPr>
                <w:b/>
                <w:i/>
              </w:rPr>
              <w:t>podstawie uzasadnionego podejrzenia, aby zagwarantować uwzględnienie wszystkich okoliczności faktycznych sprawy w celu podjęcia ostatecznej decyzji. W szczególności ramy te gwarantują, by organy ds. równości miały skuteczne prawo dostępu do informacji niez</w:t>
            </w:r>
            <w:r w:rsidRPr="000202F9">
              <w:rPr>
                <w:b/>
                <w:i/>
              </w:rPr>
              <w:t>będnych do ustalenia, czy doszło do dyskryminacji.</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3. Państwa członkowskie dopilnowują, by podmioty publiczne i prywatne oraz wszelkie inne zainteresowane strony trzecie, jak również domniemany sprawca, mieli obowiązek współpracować z organami ds. równoś</w:t>
            </w:r>
            <w:r w:rsidRPr="000202F9">
              <w:rPr>
                <w:b/>
                <w:i/>
              </w:rPr>
              <w:t>ci w toku prowadzonych dochodzeń i ustalania faktów, dostarczając wymagane informacje, bez uszczerbku dla przysługujących każdej osobie fizycznej praw do danych. Organy ds. równości są uprawnione do nakładania sankcji w przypadku, gdy wymagane przez nie do</w:t>
            </w:r>
            <w:r w:rsidRPr="000202F9">
              <w:rPr>
                <w:b/>
                <w:i/>
              </w:rPr>
              <w:t>wody lub istotne informacje nie zostaną im dostarczone. Sankcje są nakładane – zgodnie z prawem i praktyką krajową – wyłącznie wtedy, gdy nie istnieje należycie uzasadniony powód niedostarczenia żądanych dowodów lub informacji i gdy powód ten nie dotyczy d</w:t>
            </w:r>
            <w:r w:rsidRPr="000202F9">
              <w:rPr>
                <w:b/>
                <w:i/>
              </w:rPr>
              <w:t xml:space="preserve">anych osobowych. </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67</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7 b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jc w:val="center"/>
              <w:rPr>
                <w:szCs w:val="24"/>
              </w:rPr>
            </w:pPr>
            <w:r w:rsidRPr="000202F9">
              <w:rPr>
                <w:b/>
                <w:i/>
              </w:rPr>
              <w:t>Artykuł 7b</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jc w:val="center"/>
              <w:rPr>
                <w:szCs w:val="24"/>
              </w:rPr>
            </w:pPr>
            <w:r w:rsidRPr="000202F9">
              <w:rPr>
                <w:b/>
                <w:i/>
              </w:rPr>
              <w:t>Opinie i funkcje decyzyjne</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 xml:space="preserve">1. Państwa </w:t>
            </w:r>
            <w:r w:rsidRPr="000202F9">
              <w:rPr>
                <w:b/>
                <w:i/>
              </w:rPr>
              <w:t>członkowskie dopilnowują, by organy ds. równości dysponowały odpowiednimi uprawnieniami do skutecznego zwalczania dyskryminacji.</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2. Funkcje, które mogą pełnić organy ds. równości, obejmują:</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 xml:space="preserve">a) przyjmowanie, rozpatrywanie, wysłuchiwanie i rozstrzyganie </w:t>
            </w:r>
            <w:r w:rsidRPr="000202F9">
              <w:rPr>
                <w:b/>
                <w:i/>
              </w:rPr>
              <w:t>indywidualnych i zbiorowych skarg dotyczących dyskryminacji oraz podejmowanie decyzji w sprawie tych skarg na podstawie odpowiednich przepisów, w tym przepisów dotyczących podziału ciężaru dowodu;</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b) rozstrzyganie, czy doszło do naruszenia przepisów anty</w:t>
            </w:r>
            <w:r w:rsidRPr="000202F9">
              <w:rPr>
                <w:b/>
                <w:i/>
              </w:rPr>
              <w:t>dyskryminacyjnych;</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c) sporządzanie na piśmie oceny sprawy lub dochodzenia obejmującej ustalenie faktów oraz formułowanie uzasadnionych wniosków dotyczących istnienia dyskryminacji;</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d) w razie potrzeby wydawanie prawnie wiążących decyzji, które wymagają</w:t>
            </w:r>
            <w:r w:rsidRPr="000202F9">
              <w:rPr>
                <w:b/>
                <w:i/>
              </w:rPr>
              <w:t xml:space="preserve"> podjęcia działań w celu wyeliminowania dyskryminacji, osiągnięcia pełnej równości i zapobiegania dyskryminacji w przyszłości;</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 xml:space="preserve">e) stosowanie środków mających na celu usunięcie stwierdzonego naruszenia oraz zapobieganie dalszemu występowaniu takich </w:t>
            </w:r>
            <w:r w:rsidRPr="000202F9">
              <w:rPr>
                <w:b/>
                <w:i/>
              </w:rPr>
              <w:t>naruszeń. Państwa członkowskie zapewniają, aby organy ds. równości mogły ustanawiać odpowiednie mechanizmy dotyczące działań następczych, np. obowiązki w zakresie informacji zwrotnych, oraz mechanizmy egzekwowania decyzji;</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f) nakładanie – zgodnie z krajo</w:t>
            </w:r>
            <w:r w:rsidRPr="000202F9">
              <w:rPr>
                <w:b/>
                <w:i/>
              </w:rPr>
              <w:t>wym prawem i praktyką – skutecznych, proporcjonalnych i odstraszających sankcji, obejmujących wypłatę odszkodowania zarówno za szkody pieniężne, jak i niepieniężne, grzywny w przypadku stwierdzenia naruszenia przepisów dotyczących niedyskryminacji;</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g) wy</w:t>
            </w:r>
            <w:r w:rsidRPr="000202F9">
              <w:rPr>
                <w:b/>
                <w:i/>
              </w:rPr>
              <w:t xml:space="preserve">dawanie niewiążących opinii i zaleceń, które wymagają podjęcia działań w celu wyeliminowania dyskryminacji, osiągnięcia pełnej równości i zapobiegania dyskryminacji w przyszłości; </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 xml:space="preserve">h) zapewnianie wykonania wydanych </w:t>
            </w:r>
            <w:r w:rsidRPr="000202F9">
              <w:rPr>
                <w:b/>
                <w:i/>
              </w:rPr>
              <w:lastRenderedPageBreak/>
              <w:t>przez siebie decyzji, opinii i zaleceń;</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i) publikowanie wydanych decyzji, opinii i zaleceń bez ujawniania danych osobowych, w tym, w stosownych przypadkach, informacji o nałożonych sankcjach.</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 xml:space="preserve">3. Państwa członkowskie zapewniają, aby w prawie krajowym przewidziano prawo do odwołania się do </w:t>
            </w:r>
            <w:r w:rsidRPr="000202F9">
              <w:rPr>
                <w:b/>
                <w:i/>
              </w:rPr>
              <w:t>sądu od prawnie wiążących ostatecznych decyzji wydanych przez organ ds. równości.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68</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8</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jc w:val="center"/>
            </w:pPr>
            <w:r w:rsidRPr="000202F9">
              <w:rPr>
                <w:b/>
                <w:i/>
              </w:rPr>
              <w:t>Artykuł 8</w:t>
            </w:r>
          </w:p>
        </w:tc>
        <w:tc>
          <w:tcPr>
            <w:tcW w:w="4876" w:type="dxa"/>
            <w:hideMark/>
          </w:tcPr>
          <w:p w:rsidR="008429B6" w:rsidRPr="000202F9" w:rsidRDefault="0079015F" w:rsidP="00823CA1">
            <w:pPr>
              <w:pStyle w:val="Normal6"/>
              <w:rPr>
                <w:szCs w:val="24"/>
              </w:rPr>
            </w:pPr>
            <w:r w:rsidRPr="000202F9">
              <w:rPr>
                <w:b/>
                <w:i/>
              </w:rPr>
              <w:t>skreśla się</w:t>
            </w:r>
          </w:p>
        </w:tc>
      </w:tr>
      <w:tr w:rsidR="00313F61" w:rsidRPr="000202F9" w:rsidTr="00823CA1">
        <w:trPr>
          <w:jc w:val="center"/>
        </w:trPr>
        <w:tc>
          <w:tcPr>
            <w:tcW w:w="4876" w:type="dxa"/>
            <w:hideMark/>
          </w:tcPr>
          <w:p w:rsidR="008429B6" w:rsidRPr="000202F9" w:rsidRDefault="0079015F" w:rsidP="00823CA1">
            <w:pPr>
              <w:pStyle w:val="Normal6"/>
              <w:jc w:val="center"/>
            </w:pPr>
            <w:r w:rsidRPr="000202F9">
              <w:rPr>
                <w:b/>
                <w:i/>
              </w:rPr>
              <w:t>Opinie i decyzje</w:t>
            </w:r>
          </w:p>
        </w:tc>
        <w:tc>
          <w:tcPr>
            <w:tcW w:w="4876" w:type="dxa"/>
          </w:tcPr>
          <w:p w:rsidR="008429B6" w:rsidRPr="000202F9" w:rsidRDefault="008429B6" w:rsidP="00823CA1">
            <w:pPr>
              <w:pStyle w:val="Normal6"/>
              <w:rPr>
                <w:szCs w:val="24"/>
              </w:rPr>
            </w:pPr>
          </w:p>
        </w:tc>
      </w:tr>
      <w:tr w:rsidR="00313F61" w:rsidRPr="000202F9" w:rsidTr="00823CA1">
        <w:trPr>
          <w:jc w:val="center"/>
        </w:trPr>
        <w:tc>
          <w:tcPr>
            <w:tcW w:w="4876" w:type="dxa"/>
            <w:hideMark/>
          </w:tcPr>
          <w:p w:rsidR="008429B6" w:rsidRPr="000202F9" w:rsidRDefault="0079015F" w:rsidP="00823CA1">
            <w:pPr>
              <w:pStyle w:val="Normal6"/>
            </w:pPr>
            <w:r w:rsidRPr="000202F9">
              <w:rPr>
                <w:b/>
                <w:i/>
              </w:rPr>
              <w:t>1.</w:t>
            </w:r>
            <w:r w:rsidRPr="000202F9">
              <w:rPr>
                <w:b/>
                <w:i/>
              </w:rPr>
              <w:tab/>
              <w:t xml:space="preserve">Państwa członkowskie zapewniają, aby w przypadku gdy organy ds. równości na podstawie skargi lub z inicjatywy własnej uznają, że mogło dojść do naruszenia zasady równego traktowania ustanowionej w dyrektywach </w:t>
            </w:r>
            <w:r w:rsidRPr="000202F9">
              <w:rPr>
                <w:b/>
                <w:i/>
              </w:rPr>
              <w:t>2006/54/WE i 2010/41/UE, organy te były uprawnione do przeprowadzenia dalszego dochodzenia w tej sprawie.</w:t>
            </w:r>
          </w:p>
        </w:tc>
        <w:tc>
          <w:tcPr>
            <w:tcW w:w="4876" w:type="dxa"/>
          </w:tcPr>
          <w:p w:rsidR="008429B6" w:rsidRPr="000202F9" w:rsidRDefault="008429B6" w:rsidP="00823CA1">
            <w:pPr>
              <w:pStyle w:val="Normal6"/>
              <w:rPr>
                <w:szCs w:val="24"/>
              </w:rPr>
            </w:pPr>
          </w:p>
        </w:tc>
      </w:tr>
      <w:tr w:rsidR="00313F61" w:rsidRPr="000202F9" w:rsidTr="00823CA1">
        <w:trPr>
          <w:jc w:val="center"/>
        </w:trPr>
        <w:tc>
          <w:tcPr>
            <w:tcW w:w="4876" w:type="dxa"/>
            <w:hideMark/>
          </w:tcPr>
          <w:p w:rsidR="008429B6" w:rsidRPr="000202F9" w:rsidRDefault="0079015F" w:rsidP="00823CA1">
            <w:pPr>
              <w:pStyle w:val="Normal6"/>
            </w:pPr>
            <w:r w:rsidRPr="000202F9">
              <w:rPr>
                <w:b/>
                <w:i/>
              </w:rPr>
              <w:t>2.</w:t>
            </w:r>
            <w:r w:rsidRPr="000202F9">
              <w:rPr>
                <w:b/>
                <w:i/>
              </w:rPr>
              <w:tab/>
            </w:r>
          </w:p>
        </w:tc>
        <w:tc>
          <w:tcPr>
            <w:tcW w:w="4876" w:type="dxa"/>
          </w:tcPr>
          <w:p w:rsidR="008429B6" w:rsidRPr="000202F9" w:rsidRDefault="008429B6" w:rsidP="00823CA1">
            <w:pPr>
              <w:pStyle w:val="Normal6"/>
              <w:rPr>
                <w:szCs w:val="24"/>
              </w:rPr>
            </w:pPr>
          </w:p>
        </w:tc>
      </w:tr>
      <w:tr w:rsidR="00313F61" w:rsidRPr="000202F9" w:rsidTr="00823CA1">
        <w:trPr>
          <w:jc w:val="center"/>
        </w:trPr>
        <w:tc>
          <w:tcPr>
            <w:tcW w:w="4876" w:type="dxa"/>
            <w:hideMark/>
          </w:tcPr>
          <w:p w:rsidR="008429B6" w:rsidRPr="000202F9" w:rsidRDefault="0079015F" w:rsidP="00823CA1">
            <w:pPr>
              <w:pStyle w:val="Normal6"/>
            </w:pPr>
            <w:r w:rsidRPr="000202F9">
              <w:rPr>
                <w:b/>
                <w:i/>
              </w:rPr>
              <w:t>Państwa członkowskie zapewniają ramy umożliwiające organom ds. równości ustalenie faktów.</w:t>
            </w:r>
          </w:p>
        </w:tc>
        <w:tc>
          <w:tcPr>
            <w:tcW w:w="4876" w:type="dxa"/>
          </w:tcPr>
          <w:p w:rsidR="008429B6" w:rsidRPr="000202F9" w:rsidRDefault="008429B6" w:rsidP="00823CA1">
            <w:pPr>
              <w:pStyle w:val="Normal6"/>
              <w:rPr>
                <w:szCs w:val="24"/>
              </w:rPr>
            </w:pPr>
          </w:p>
        </w:tc>
      </w:tr>
      <w:tr w:rsidR="00313F61" w:rsidRPr="000202F9" w:rsidTr="00823CA1">
        <w:trPr>
          <w:jc w:val="center"/>
        </w:trPr>
        <w:tc>
          <w:tcPr>
            <w:tcW w:w="4876" w:type="dxa"/>
            <w:hideMark/>
          </w:tcPr>
          <w:p w:rsidR="008429B6" w:rsidRPr="000202F9" w:rsidRDefault="0079015F" w:rsidP="00823CA1">
            <w:pPr>
              <w:pStyle w:val="Normal6"/>
            </w:pPr>
            <w:r w:rsidRPr="000202F9">
              <w:rPr>
                <w:b/>
                <w:i/>
              </w:rPr>
              <w:t>W szczególności ramy te zapewniają organom ds. rów</w:t>
            </w:r>
            <w:r w:rsidRPr="000202F9">
              <w:rPr>
                <w:b/>
                <w:i/>
              </w:rPr>
              <w:t>ności skuteczne prawa dostępu do informacji niezbędnych do ustalenia, czy doszło do dyskryminacji. Ramy te zapewniają także odpowiednie mechanizmy umożliwiające organom ds. równości współpracę z właściwymi organami publicznymi w tym celu.</w:t>
            </w:r>
          </w:p>
        </w:tc>
        <w:tc>
          <w:tcPr>
            <w:tcW w:w="4876" w:type="dxa"/>
          </w:tcPr>
          <w:p w:rsidR="008429B6" w:rsidRPr="000202F9" w:rsidRDefault="008429B6" w:rsidP="00823CA1">
            <w:pPr>
              <w:pStyle w:val="Normal6"/>
              <w:rPr>
                <w:szCs w:val="24"/>
              </w:rPr>
            </w:pPr>
          </w:p>
        </w:tc>
      </w:tr>
      <w:tr w:rsidR="00313F61" w:rsidRPr="000202F9" w:rsidTr="00823CA1">
        <w:trPr>
          <w:jc w:val="center"/>
        </w:trPr>
        <w:tc>
          <w:tcPr>
            <w:tcW w:w="4876" w:type="dxa"/>
            <w:hideMark/>
          </w:tcPr>
          <w:p w:rsidR="008429B6" w:rsidRPr="000202F9" w:rsidRDefault="0079015F" w:rsidP="00823CA1">
            <w:pPr>
              <w:pStyle w:val="Normal6"/>
            </w:pPr>
            <w:r w:rsidRPr="000202F9">
              <w:rPr>
                <w:b/>
                <w:i/>
              </w:rPr>
              <w:t>3.</w:t>
            </w:r>
            <w:r w:rsidRPr="000202F9">
              <w:rPr>
                <w:b/>
                <w:i/>
              </w:rPr>
              <w:tab/>
              <w:t>Państwa czło</w:t>
            </w:r>
            <w:r w:rsidRPr="000202F9">
              <w:rPr>
                <w:b/>
                <w:i/>
              </w:rPr>
              <w:t xml:space="preserve">nkowskie mogą również postanowić, że domniemany </w:t>
            </w:r>
            <w:r w:rsidRPr="000202F9">
              <w:rPr>
                <w:b/>
                <w:i/>
              </w:rPr>
              <w:lastRenderedPageBreak/>
              <w:t>sprawca i dowolna strona trzecia są prawnie zobowiązani do przedstawienia wszelkich informacji i dokumentów, o które zwrócił się organ ds. równości.</w:t>
            </w:r>
          </w:p>
        </w:tc>
        <w:tc>
          <w:tcPr>
            <w:tcW w:w="4876" w:type="dxa"/>
          </w:tcPr>
          <w:p w:rsidR="008429B6" w:rsidRPr="000202F9" w:rsidRDefault="008429B6" w:rsidP="00823CA1">
            <w:pPr>
              <w:pStyle w:val="Normal6"/>
              <w:rPr>
                <w:szCs w:val="24"/>
              </w:rPr>
            </w:pPr>
          </w:p>
        </w:tc>
      </w:tr>
      <w:tr w:rsidR="00313F61" w:rsidRPr="000202F9" w:rsidTr="00823CA1">
        <w:trPr>
          <w:jc w:val="center"/>
        </w:trPr>
        <w:tc>
          <w:tcPr>
            <w:tcW w:w="4876" w:type="dxa"/>
            <w:hideMark/>
          </w:tcPr>
          <w:p w:rsidR="008429B6" w:rsidRPr="000202F9" w:rsidRDefault="0079015F" w:rsidP="00823CA1">
            <w:pPr>
              <w:pStyle w:val="Normal6"/>
            </w:pPr>
            <w:r w:rsidRPr="000202F9">
              <w:rPr>
                <w:b/>
                <w:i/>
              </w:rPr>
              <w:t>4.</w:t>
            </w:r>
            <w:r w:rsidRPr="000202F9">
              <w:rPr>
                <w:b/>
                <w:i/>
              </w:rPr>
              <w:tab/>
            </w:r>
          </w:p>
        </w:tc>
        <w:tc>
          <w:tcPr>
            <w:tcW w:w="4876" w:type="dxa"/>
          </w:tcPr>
          <w:p w:rsidR="008429B6" w:rsidRPr="000202F9" w:rsidRDefault="008429B6" w:rsidP="00823CA1">
            <w:pPr>
              <w:pStyle w:val="Normal6"/>
              <w:rPr>
                <w:szCs w:val="24"/>
              </w:rPr>
            </w:pPr>
          </w:p>
        </w:tc>
      </w:tr>
      <w:tr w:rsidR="00313F61" w:rsidRPr="000202F9" w:rsidTr="00823CA1">
        <w:trPr>
          <w:jc w:val="center"/>
        </w:trPr>
        <w:tc>
          <w:tcPr>
            <w:tcW w:w="4876" w:type="dxa"/>
            <w:hideMark/>
          </w:tcPr>
          <w:p w:rsidR="008429B6" w:rsidRPr="000202F9" w:rsidRDefault="0079015F" w:rsidP="00823CA1">
            <w:pPr>
              <w:pStyle w:val="Normal6"/>
            </w:pPr>
            <w:r w:rsidRPr="000202F9">
              <w:rPr>
                <w:b/>
                <w:i/>
              </w:rPr>
              <w:t>Państwa członkowskie zapewniają, aby organy ds. rów</w:t>
            </w:r>
            <w:r w:rsidRPr="000202F9">
              <w:rPr>
                <w:b/>
                <w:i/>
              </w:rPr>
              <w:t>ności rejestrowały na piśmie swoją ocenę sprawy, w tym ustalenie faktów oraz uzasadniony wniosek stwierdzający, czy doszło do dyskryminacji. Państwa członkowskie określają, czy taka ocena wydawana jest w formie niewiążącej opinii czy też wiążącej i podlega</w:t>
            </w:r>
            <w:r w:rsidRPr="000202F9">
              <w:rPr>
                <w:b/>
                <w:i/>
              </w:rPr>
              <w:t>jącej wykonaniu decyzji.</w:t>
            </w:r>
          </w:p>
        </w:tc>
        <w:tc>
          <w:tcPr>
            <w:tcW w:w="4876" w:type="dxa"/>
          </w:tcPr>
          <w:p w:rsidR="008429B6" w:rsidRPr="000202F9" w:rsidRDefault="008429B6" w:rsidP="00823CA1">
            <w:pPr>
              <w:pStyle w:val="Normal6"/>
              <w:rPr>
                <w:szCs w:val="24"/>
              </w:rPr>
            </w:pPr>
          </w:p>
        </w:tc>
      </w:tr>
      <w:tr w:rsidR="00313F61" w:rsidRPr="000202F9" w:rsidTr="00823CA1">
        <w:trPr>
          <w:jc w:val="center"/>
        </w:trPr>
        <w:tc>
          <w:tcPr>
            <w:tcW w:w="4876" w:type="dxa"/>
            <w:hideMark/>
          </w:tcPr>
          <w:p w:rsidR="008429B6" w:rsidRPr="000202F9" w:rsidRDefault="0079015F" w:rsidP="00823CA1">
            <w:pPr>
              <w:pStyle w:val="Normal6"/>
            </w:pPr>
            <w:r w:rsidRPr="000202F9">
              <w:rPr>
                <w:b/>
                <w:i/>
              </w:rPr>
              <w:t xml:space="preserve">W stosownych przypadkach opinie i decyzje obejmują konkretne środki mające na celu usunięcie stwierdzonego naruszenia oraz zapobiegnięcie dalszemu występowaniu takich naruszeń. Państwa członkowskie ustanawiają odpowiednie </w:t>
            </w:r>
            <w:r w:rsidRPr="000202F9">
              <w:rPr>
                <w:b/>
                <w:i/>
              </w:rPr>
              <w:t>mechanizmy dotyczące działań następczych w związku z opiniami, np. obowiązki w zakresie informacji zwrotnych, oraz mechanizmy egzekwowania decyzji.</w:t>
            </w:r>
          </w:p>
        </w:tc>
        <w:tc>
          <w:tcPr>
            <w:tcW w:w="4876" w:type="dxa"/>
          </w:tcPr>
          <w:p w:rsidR="008429B6" w:rsidRPr="000202F9" w:rsidRDefault="008429B6" w:rsidP="00823CA1">
            <w:pPr>
              <w:pStyle w:val="Normal6"/>
              <w:rPr>
                <w:szCs w:val="24"/>
              </w:rPr>
            </w:pPr>
          </w:p>
        </w:tc>
      </w:tr>
      <w:tr w:rsidR="00313F61" w:rsidRPr="000202F9" w:rsidTr="00823CA1">
        <w:trPr>
          <w:jc w:val="center"/>
        </w:trPr>
        <w:tc>
          <w:tcPr>
            <w:tcW w:w="4876" w:type="dxa"/>
            <w:hideMark/>
          </w:tcPr>
          <w:p w:rsidR="008429B6" w:rsidRPr="000202F9" w:rsidRDefault="0079015F" w:rsidP="00823CA1">
            <w:pPr>
              <w:pStyle w:val="Normal6"/>
            </w:pPr>
            <w:r w:rsidRPr="000202F9">
              <w:rPr>
                <w:b/>
                <w:i/>
              </w:rPr>
              <w:t>Organy ds. równości publikują streszczenia swoich opinii i decyzji bez ujawniania danych osobowych.</w:t>
            </w:r>
          </w:p>
        </w:tc>
        <w:tc>
          <w:tcPr>
            <w:tcW w:w="4876" w:type="dxa"/>
          </w:tcPr>
          <w:p w:rsidR="008429B6" w:rsidRPr="000202F9" w:rsidRDefault="008429B6" w:rsidP="00823CA1">
            <w:pPr>
              <w:pStyle w:val="Normal6"/>
              <w:rPr>
                <w:szCs w:val="24"/>
              </w:rPr>
            </w:pPr>
          </w:p>
        </w:tc>
      </w:tr>
    </w:tbl>
    <w:p w:rsidR="008429B6" w:rsidRPr="000202F9" w:rsidRDefault="0079015F" w:rsidP="008429B6">
      <w:r w:rsidRPr="000202F9">
        <w:rPr>
          <w:rStyle w:val="HideTWBExt"/>
        </w:rPr>
        <w:t>&lt;/Am</w:t>
      </w:r>
      <w:r w:rsidRPr="000202F9">
        <w:rPr>
          <w:rStyle w:val="HideTWBExt"/>
        </w:rPr>
        <w:t>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69</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w:t>
            </w:r>
            <w:r w:rsidRPr="000202F9">
              <w:tab/>
              <w:t xml:space="preserve">Państwa członkowskie </w:t>
            </w:r>
            <w:r w:rsidRPr="000202F9">
              <w:rPr>
                <w:b/>
                <w:i/>
              </w:rPr>
              <w:t>zapewniają organom</w:t>
            </w:r>
            <w:r w:rsidRPr="000202F9">
              <w:t xml:space="preserve"> ds. równości prawo do </w:t>
            </w:r>
            <w:r w:rsidRPr="000202F9">
              <w:rPr>
                <w:b/>
                <w:i/>
              </w:rPr>
              <w:t>działania</w:t>
            </w:r>
            <w:r w:rsidRPr="000202F9">
              <w:t xml:space="preserve"> w</w:t>
            </w:r>
            <w:r w:rsidRPr="000202F9">
              <w:rPr>
                <w:b/>
                <w:i/>
              </w:rPr>
              <w:t> </w:t>
            </w:r>
            <w:r w:rsidRPr="000202F9">
              <w:t>postępowaniach sądowych w</w:t>
            </w:r>
            <w:r w:rsidRPr="000202F9">
              <w:rPr>
                <w:b/>
                <w:i/>
              </w:rPr>
              <w:t> sprawach z zakresu prawa cywilnego lub administracyjnego dotyczących wdrażania</w:t>
            </w:r>
            <w:r w:rsidRPr="000202F9">
              <w:t xml:space="preserve"> zasady równego traktowania ustanowionej w dyrektywach 2006/54/WE i 2010/41/UE, zgodnie z</w:t>
            </w:r>
            <w:r w:rsidRPr="000202F9">
              <w:rPr>
                <w:b/>
                <w:i/>
              </w:rPr>
              <w:t> ust. 2–5</w:t>
            </w:r>
            <w:r w:rsidRPr="000202F9">
              <w:t xml:space="preserve">, co nie narusza przepisów krajowych dotyczących </w:t>
            </w:r>
            <w:r w:rsidRPr="000202F9">
              <w:lastRenderedPageBreak/>
              <w:t>dopus</w:t>
            </w:r>
            <w:r w:rsidRPr="000202F9">
              <w:t>zczalności skargi.</w:t>
            </w:r>
          </w:p>
        </w:tc>
        <w:tc>
          <w:tcPr>
            <w:tcW w:w="4876" w:type="dxa"/>
            <w:hideMark/>
          </w:tcPr>
          <w:p w:rsidR="008429B6" w:rsidRPr="000202F9" w:rsidRDefault="0079015F" w:rsidP="00823CA1">
            <w:pPr>
              <w:pStyle w:val="Normal6"/>
              <w:rPr>
                <w:szCs w:val="24"/>
              </w:rPr>
            </w:pPr>
            <w:r w:rsidRPr="000202F9">
              <w:lastRenderedPageBreak/>
              <w:t>1.</w:t>
            </w:r>
            <w:r w:rsidRPr="000202F9">
              <w:tab/>
              <w:t xml:space="preserve">Państwa członkowskie </w:t>
            </w:r>
            <w:r w:rsidRPr="000202F9">
              <w:rPr>
                <w:b/>
                <w:i/>
              </w:rPr>
              <w:t>dopilnowują, by organy</w:t>
            </w:r>
            <w:r w:rsidRPr="000202F9">
              <w:t xml:space="preserve"> ds. równości </w:t>
            </w:r>
            <w:r w:rsidRPr="000202F9">
              <w:rPr>
                <w:b/>
                <w:i/>
              </w:rPr>
              <w:t xml:space="preserve">miały </w:t>
            </w:r>
            <w:r w:rsidRPr="000202F9">
              <w:t xml:space="preserve">prawo do </w:t>
            </w:r>
            <w:r w:rsidRPr="000202F9">
              <w:rPr>
                <w:b/>
                <w:i/>
              </w:rPr>
              <w:t>występowania przed instytucjami, organami orzekającymi, w tym trybunałami administracyjnymi, oraz</w:t>
            </w:r>
            <w:r w:rsidRPr="000202F9">
              <w:t xml:space="preserve"> w</w:t>
            </w:r>
            <w:r w:rsidRPr="000202F9">
              <w:rPr>
                <w:b/>
                <w:i/>
              </w:rPr>
              <w:t xml:space="preserve"> </w:t>
            </w:r>
            <w:r w:rsidRPr="000202F9">
              <w:t>postępowaniach sądowych w</w:t>
            </w:r>
            <w:r w:rsidRPr="000202F9">
              <w:rPr>
                <w:b/>
                <w:i/>
              </w:rPr>
              <w:t xml:space="preserve"> związku z wprowadzeniem w życie</w:t>
            </w:r>
            <w:r w:rsidRPr="000202F9">
              <w:t xml:space="preserve"> zasa</w:t>
            </w:r>
            <w:r w:rsidRPr="000202F9">
              <w:t>dy równego traktowania ustanowionej w dyrektywach 2006/54/WE i 2010/41/UE, zgodnie z</w:t>
            </w:r>
            <w:r w:rsidRPr="000202F9">
              <w:rPr>
                <w:b/>
                <w:i/>
              </w:rPr>
              <w:t xml:space="preserve"> </w:t>
            </w:r>
            <w:r w:rsidRPr="000202F9">
              <w:rPr>
                <w:b/>
                <w:i/>
              </w:rPr>
              <w:lastRenderedPageBreak/>
              <w:t>niniejszym artykułem</w:t>
            </w:r>
            <w:r w:rsidRPr="000202F9">
              <w:t>, co nie narusza przepisów krajowych dotyczących dopuszczalności skargi.</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70</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w:t>
      </w:r>
      <w:r w:rsidRPr="000202F9">
        <w:t>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2 – wprowadzenie</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w:t>
            </w:r>
            <w:r w:rsidRPr="000202F9">
              <w:tab/>
              <w:t>Prawo do działania w postępowaniach sądowych obejmuje:</w:t>
            </w:r>
          </w:p>
        </w:tc>
        <w:tc>
          <w:tcPr>
            <w:tcW w:w="4876" w:type="dxa"/>
            <w:hideMark/>
          </w:tcPr>
          <w:p w:rsidR="008429B6" w:rsidRPr="000202F9" w:rsidRDefault="0079015F" w:rsidP="00823CA1">
            <w:pPr>
              <w:pStyle w:val="Normal6"/>
              <w:rPr>
                <w:szCs w:val="24"/>
              </w:rPr>
            </w:pPr>
            <w:r w:rsidRPr="000202F9">
              <w:t>2.</w:t>
            </w:r>
            <w:r w:rsidRPr="000202F9">
              <w:tab/>
              <w:t>Prawo do działania w postępowaniach sądowych obejmuje</w:t>
            </w:r>
            <w:r w:rsidRPr="000202F9">
              <w:rPr>
                <w:b/>
                <w:i/>
              </w:rPr>
              <w:t xml:space="preserve"> – nie ograniczając się do nich – wszystkie następujące elementy</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2 – litera a</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a)</w:t>
            </w:r>
            <w:r w:rsidRPr="000202F9">
              <w:tab/>
              <w:t>prawo organu ds. równości do występowania jako strona w postępowaniach dotyczących wykonania lub kontroli sądowej decyzji podjętej na podstawie art. 8 ust. </w:t>
            </w:r>
            <w:r w:rsidRPr="000202F9">
              <w:rPr>
                <w:b/>
                <w:i/>
              </w:rPr>
              <w:t>4</w:t>
            </w:r>
            <w:r w:rsidRPr="000202F9">
              <w:t>;</w:t>
            </w:r>
          </w:p>
        </w:tc>
        <w:tc>
          <w:tcPr>
            <w:tcW w:w="4876" w:type="dxa"/>
            <w:hideMark/>
          </w:tcPr>
          <w:p w:rsidR="008429B6" w:rsidRPr="000202F9" w:rsidRDefault="0079015F" w:rsidP="00823CA1">
            <w:pPr>
              <w:pStyle w:val="Normal6"/>
              <w:rPr>
                <w:szCs w:val="24"/>
              </w:rPr>
            </w:pPr>
            <w:r w:rsidRPr="000202F9">
              <w:t>a)</w:t>
            </w:r>
            <w:r w:rsidRPr="000202F9">
              <w:tab/>
              <w:t>prawo organu ds. równości do występowania jako strona w postępowaniach dotyczących wykonani</w:t>
            </w:r>
            <w:r w:rsidRPr="000202F9">
              <w:t>a lub kontroli sądowej decyzji podjętej na podstawie art. 8 ust. </w:t>
            </w:r>
            <w:r w:rsidRPr="000202F9">
              <w:rPr>
                <w:b/>
                <w:i/>
              </w:rPr>
              <w:t>2</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72</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2 – litera b</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b)</w:t>
            </w:r>
            <w:r w:rsidRPr="000202F9">
              <w:tab/>
              <w:t>prawo organu ds. równości do przedkładania sądowi</w:t>
            </w:r>
            <w:r w:rsidRPr="000202F9">
              <w:rPr>
                <w:b/>
                <w:i/>
              </w:rPr>
              <w:t xml:space="preserve"> uwag jako</w:t>
            </w:r>
            <w:r w:rsidRPr="000202F9">
              <w:t xml:space="preserve"> amicus curiae;</w:t>
            </w:r>
          </w:p>
        </w:tc>
        <w:tc>
          <w:tcPr>
            <w:tcW w:w="4876" w:type="dxa"/>
            <w:hideMark/>
          </w:tcPr>
          <w:p w:rsidR="008429B6" w:rsidRPr="000202F9" w:rsidRDefault="0079015F" w:rsidP="0011190E">
            <w:pPr>
              <w:pStyle w:val="Normal6"/>
              <w:rPr>
                <w:szCs w:val="24"/>
              </w:rPr>
            </w:pPr>
            <w:r w:rsidRPr="000202F9">
              <w:t>b)</w:t>
            </w:r>
            <w:r w:rsidRPr="000202F9">
              <w:tab/>
              <w:t xml:space="preserve">prawo organu ds. równości do przedkładania </w:t>
            </w:r>
            <w:r w:rsidRPr="000202F9">
              <w:rPr>
                <w:b/>
                <w:i/>
              </w:rPr>
              <w:t xml:space="preserve">uwag </w:t>
            </w:r>
            <w:r w:rsidRPr="000202F9">
              <w:t>sądowi</w:t>
            </w:r>
            <w:r w:rsidRPr="000202F9">
              <w:rPr>
                <w:b/>
                <w:i/>
              </w:rPr>
              <w:t>, instytucjom i organom orzekającym, w tym trybunałom administracyjnym, w charakterze</w:t>
            </w:r>
            <w:r w:rsidRPr="000202F9">
              <w:t xml:space="preserve"> amicus curiae</w:t>
            </w:r>
            <w:r w:rsidRPr="000202F9">
              <w:rPr>
                <w:b/>
                <w:i/>
              </w:rPr>
              <w:t xml:space="preserve">, osoby trzeciej lub </w:t>
            </w:r>
            <w:r w:rsidRPr="000202F9">
              <w:rPr>
                <w:b/>
                <w:i/>
              </w:rPr>
              <w:t>biegłego</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lastRenderedPageBreak/>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2 – litera c</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c)</w:t>
            </w:r>
            <w:r w:rsidRPr="000202F9">
              <w:tab/>
              <w:t xml:space="preserve">prawo organu ds. równości do wszczynania postępowań </w:t>
            </w:r>
            <w:r w:rsidRPr="000202F9">
              <w:t>lub udziału w postępowaniach w imieniu lub na rzecz ofiary lub ofiar</w:t>
            </w:r>
            <w:r w:rsidRPr="000202F9">
              <w:rPr>
                <w:b/>
                <w:i/>
              </w:rPr>
              <w:t>;</w:t>
            </w:r>
            <w:r w:rsidRPr="000202F9">
              <w:t xml:space="preserve"> w tym ostatnim przypadku konieczna jest zgoda ofiar.</w:t>
            </w:r>
          </w:p>
        </w:tc>
        <w:tc>
          <w:tcPr>
            <w:tcW w:w="4876" w:type="dxa"/>
            <w:hideMark/>
          </w:tcPr>
          <w:p w:rsidR="008429B6" w:rsidRPr="000202F9" w:rsidRDefault="0079015F" w:rsidP="00823CA1">
            <w:pPr>
              <w:pStyle w:val="Normal6"/>
              <w:rPr>
                <w:szCs w:val="24"/>
              </w:rPr>
            </w:pPr>
            <w:r w:rsidRPr="000202F9">
              <w:t>c)</w:t>
            </w:r>
            <w:r w:rsidRPr="000202F9">
              <w:tab/>
              <w:t xml:space="preserve">prawo organu ds. równości do wszczynania postępowań lub udziału w postępowaniach </w:t>
            </w:r>
            <w:r w:rsidRPr="000202F9">
              <w:rPr>
                <w:b/>
                <w:i/>
              </w:rPr>
              <w:t xml:space="preserve">we własnym imieniu bądź </w:t>
            </w:r>
            <w:r w:rsidRPr="000202F9">
              <w:t>w imieniu lub na rzecz of</w:t>
            </w:r>
            <w:r w:rsidRPr="000202F9">
              <w:t>iary lub ofiar</w:t>
            </w:r>
            <w:r w:rsidRPr="000202F9">
              <w:rPr>
                <w:b/>
                <w:i/>
              </w:rPr>
              <w:t>, w szczególności w celu rozwiązania problemu dyskryminacji strukturalnej lub systemowej, w tym dyskryminacji w internecie.</w:t>
            </w:r>
            <w:r w:rsidRPr="000202F9">
              <w:t xml:space="preserve"> W tym ostatnim przypadku konieczna jest</w:t>
            </w:r>
            <w:r w:rsidRPr="000202F9">
              <w:rPr>
                <w:b/>
                <w:i/>
              </w:rPr>
              <w:t xml:space="preserve"> świadoma</w:t>
            </w:r>
            <w:r w:rsidRPr="000202F9">
              <w:t xml:space="preserve"> zgoda ofiar.</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2 – litera c a (nowa)</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ca)</w:t>
            </w:r>
            <w:r w:rsidRPr="000202F9">
              <w:rPr>
                <w:b/>
                <w:i/>
              </w:rPr>
              <w:tab/>
              <w:t>prawo do odwołania się do alternatywnych metod rozwiązywania sporów, w tym, w stosownych przypadkach, do rozs</w:t>
            </w:r>
            <w:r w:rsidRPr="000202F9">
              <w:rPr>
                <w:b/>
                <w:i/>
              </w:rPr>
              <w:t>trzygnięć polubownych;</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2 – litera c b (nowa)</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cb)</w:t>
            </w:r>
            <w:r w:rsidRPr="000202F9">
              <w:rPr>
                <w:b/>
                <w:i/>
              </w:rPr>
              <w:tab/>
              <w:t xml:space="preserve">prawo organu ds. równości do </w:t>
            </w:r>
            <w:r w:rsidRPr="000202F9">
              <w:rPr>
                <w:b/>
                <w:i/>
              </w:rPr>
              <w:t>wszczynania postępowania sądowego we własnym imieniu, w szczególności w celu zaradzenia dyskryminacji strukturalnej lub systemowej, w tym przez internet, w sprawach wybranych przez organ ds. równości ze względu na dużą liczbę tych spraw, ich powagę lub pot</w:t>
            </w:r>
            <w:r w:rsidRPr="000202F9">
              <w:rPr>
                <w:b/>
                <w:i/>
              </w:rPr>
              <w:t xml:space="preserve">rzebę wyjaśnienia kwestii prawnych, zgodnie z opublikowanymi kryteriami ustanowionymi przez ten organ ds. </w:t>
            </w:r>
            <w:r w:rsidRPr="000202F9">
              <w:rPr>
                <w:b/>
                <w:i/>
              </w:rPr>
              <w:lastRenderedPageBreak/>
              <w:t>równości.</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2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2a.</w:t>
            </w:r>
            <w:r w:rsidRPr="000202F9">
              <w:rPr>
                <w:b/>
                <w:i/>
              </w:rPr>
              <w:tab/>
              <w:t xml:space="preserve">Państwa członkowskie zapewniają, aby organy ds. równości miały prawo do monitorowania wykonywania decyzji instytucji, organów sądowych i sądów zajmujących się równością, dyskryminacją i </w:t>
            </w:r>
            <w:r w:rsidRPr="000202F9">
              <w:rPr>
                <w:b/>
                <w:i/>
              </w:rPr>
              <w:t>nietolerancją.</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77</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2 b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2b.</w:t>
            </w:r>
            <w:r w:rsidRPr="000202F9">
              <w:rPr>
                <w:b/>
                <w:i/>
              </w:rPr>
              <w:tab/>
              <w:t xml:space="preserve">Państwa członkowskie dopilnowują, by organy ds. </w:t>
            </w:r>
            <w:r w:rsidRPr="000202F9">
              <w:rPr>
                <w:b/>
                <w:i/>
              </w:rPr>
              <w:t>równości mogły wprowadzić system, w ramach którego ofiary nie będą musiały ponosić opłat sądowych i administracyjnych ani kosztów zastępstwa procesowego, w szczególności w przypadkach dyskryminacji strukturalnej lub systemowej, w tym w internecie, oraz w p</w:t>
            </w:r>
            <w:r w:rsidRPr="000202F9">
              <w:rPr>
                <w:b/>
                <w:i/>
              </w:rPr>
              <w:t>rzypadkach gdy ich sprawy zostaną objęte powództwem strategicznym.</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78</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2 c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2c.</w:t>
            </w:r>
            <w:r w:rsidRPr="000202F9">
              <w:rPr>
                <w:b/>
                <w:i/>
              </w:rPr>
              <w:tab/>
              <w:t xml:space="preserve">Państwa członkowskie zapewniają, aby organy ds. równości miały prawo do wszczęcia postępowania sądowego </w:t>
            </w:r>
            <w:r w:rsidRPr="000202F9">
              <w:rPr>
                <w:b/>
                <w:i/>
              </w:rPr>
              <w:lastRenderedPageBreak/>
              <w:t>bezpośrednio po skorzystaniu z uprawnień dochodzeniowych zgodnie z art. 7a, bez konieczności wydawania opinii lub decyzji przed wszczęciem postępowa</w:t>
            </w:r>
            <w:r w:rsidRPr="000202F9">
              <w:rPr>
                <w:b/>
                <w:i/>
              </w:rPr>
              <w:t>nia.</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79</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3</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rPr>
                <w:b/>
                <w:i/>
              </w:rPr>
              <w:t>3.</w:t>
            </w:r>
            <w:r w:rsidRPr="000202F9">
              <w:rPr>
                <w:b/>
                <w:i/>
              </w:rPr>
              <w:tab/>
              <w:t>Państwa członkowskie zapewniają, aby organ ds. równości mógł wszczynać</w:t>
            </w:r>
            <w:r w:rsidRPr="000202F9">
              <w:rPr>
                <w:b/>
                <w:i/>
              </w:rPr>
              <w:t xml:space="preserve"> postępowania sądowe we własnym imieniu, w szczególności w celu zaradzenia dyskryminacji strukturalnej i systemowej w sprawach wybranych przez organ ds. równości ze względu na dużą liczbę tych spraw, ich powagę lub potrzebę wyjaśnienia kwestii prawnych.</w:t>
            </w:r>
          </w:p>
        </w:tc>
        <w:tc>
          <w:tcPr>
            <w:tcW w:w="4876" w:type="dxa"/>
            <w:hideMark/>
          </w:tcPr>
          <w:p w:rsidR="008429B6" w:rsidRPr="000202F9" w:rsidRDefault="0079015F" w:rsidP="00823CA1">
            <w:pPr>
              <w:pStyle w:val="Normal6"/>
              <w:rPr>
                <w:szCs w:val="24"/>
              </w:rPr>
            </w:pPr>
            <w:r w:rsidRPr="000202F9">
              <w:rPr>
                <w:b/>
                <w:i/>
              </w:rPr>
              <w:t>sk</w:t>
            </w:r>
            <w:r w:rsidRPr="000202F9">
              <w:rPr>
                <w:b/>
                <w:i/>
              </w:rPr>
              <w:t>reśla się</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80</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4</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rPr>
                <w:b/>
                <w:i/>
              </w:rPr>
              <w:t>4.</w:t>
            </w:r>
            <w:r w:rsidRPr="000202F9">
              <w:rPr>
                <w:b/>
                <w:i/>
              </w:rPr>
              <w:tab/>
              <w:t>Państwa członkowskie zapewniają, aby z wyjątkiem spraw, o których</w:t>
            </w:r>
            <w:r w:rsidRPr="000202F9">
              <w:rPr>
                <w:b/>
                <w:i/>
              </w:rPr>
              <w:t xml:space="preserve"> mowa w ust. 2 lit. a) i b), organ ds. równości nie przedkładał w postępowaniach sądowych dowodów, które uzyskał w wyniku wykonywania swoich uprawnień na podstawie art. 8 ust. 3.</w:t>
            </w:r>
          </w:p>
        </w:tc>
        <w:tc>
          <w:tcPr>
            <w:tcW w:w="4876" w:type="dxa"/>
            <w:hideMark/>
          </w:tcPr>
          <w:p w:rsidR="008429B6" w:rsidRPr="000202F9" w:rsidRDefault="0079015F" w:rsidP="00823CA1">
            <w:pPr>
              <w:pStyle w:val="Normal6"/>
              <w:rPr>
                <w:szCs w:val="24"/>
              </w:rPr>
            </w:pPr>
            <w:r w:rsidRPr="000202F9">
              <w:rPr>
                <w:b/>
                <w:i/>
              </w:rPr>
              <w:t>skreśla się</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w:t>
      </w:r>
      <w:r w:rsidRPr="000202F9">
        <w:t>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5</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5.</w:t>
            </w:r>
            <w:r w:rsidRPr="000202F9">
              <w:tab/>
              <w:t xml:space="preserve">Państwa członkowskie </w:t>
            </w:r>
            <w:r w:rsidRPr="000202F9">
              <w:rPr>
                <w:b/>
                <w:i/>
              </w:rPr>
              <w:t>zapewniają</w:t>
            </w:r>
            <w:r w:rsidRPr="000202F9">
              <w:t xml:space="preserve">, </w:t>
            </w:r>
            <w:r w:rsidRPr="000202F9">
              <w:rPr>
                <w:b/>
                <w:i/>
              </w:rPr>
              <w:lastRenderedPageBreak/>
              <w:t>aby</w:t>
            </w:r>
            <w:r w:rsidRPr="000202F9">
              <w:t xml:space="preserve"> nie </w:t>
            </w:r>
            <w:r w:rsidRPr="000202F9">
              <w:rPr>
                <w:b/>
                <w:i/>
              </w:rPr>
              <w:t>wszczynano ani nie kontynuowano dochodzeń</w:t>
            </w:r>
            <w:r w:rsidRPr="000202F9">
              <w:t xml:space="preserve"> na podstawie art. 8 ust. 2–4, podczas gdy w toku jest postępowanie sądowe w tej samej sprawie.</w:t>
            </w:r>
          </w:p>
        </w:tc>
        <w:tc>
          <w:tcPr>
            <w:tcW w:w="4876" w:type="dxa"/>
            <w:hideMark/>
          </w:tcPr>
          <w:p w:rsidR="008429B6" w:rsidRPr="000202F9" w:rsidRDefault="0079015F" w:rsidP="00823CA1">
            <w:pPr>
              <w:pStyle w:val="Normal6"/>
              <w:rPr>
                <w:szCs w:val="24"/>
              </w:rPr>
            </w:pPr>
            <w:r w:rsidRPr="000202F9">
              <w:lastRenderedPageBreak/>
              <w:t>5.</w:t>
            </w:r>
            <w:r w:rsidRPr="000202F9">
              <w:tab/>
              <w:t xml:space="preserve">Państwa członkowskie </w:t>
            </w:r>
            <w:r w:rsidRPr="000202F9">
              <w:rPr>
                <w:b/>
                <w:i/>
              </w:rPr>
              <w:t xml:space="preserve">mogą </w:t>
            </w:r>
            <w:r w:rsidRPr="000202F9">
              <w:rPr>
                <w:b/>
                <w:i/>
              </w:rPr>
              <w:lastRenderedPageBreak/>
              <w:t>postanowić</w:t>
            </w:r>
            <w:r w:rsidRPr="000202F9">
              <w:t xml:space="preserve">, </w:t>
            </w:r>
            <w:r w:rsidRPr="000202F9">
              <w:rPr>
                <w:b/>
                <w:i/>
              </w:rPr>
              <w:t>że</w:t>
            </w:r>
            <w:r w:rsidRPr="000202F9">
              <w:t xml:space="preserve"> nie </w:t>
            </w:r>
            <w:r w:rsidRPr="000202F9">
              <w:rPr>
                <w:b/>
                <w:i/>
              </w:rPr>
              <w:t>będą wszczynane ani kontynuowane dochodzenia</w:t>
            </w:r>
            <w:r w:rsidRPr="000202F9">
              <w:t xml:space="preserve"> na podstawie art. 8 ust. 2–4, podczas gdy w toku jest postępowanie </w:t>
            </w:r>
            <w:r w:rsidRPr="000202F9">
              <w:t>sądowe w tej samej sprawie.</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82</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9 – ustęp 5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5a.</w:t>
            </w:r>
            <w:r w:rsidRPr="000202F9">
              <w:rPr>
                <w:b/>
                <w:i/>
              </w:rPr>
              <w:tab/>
              <w:t xml:space="preserve">Państwa członkowskie zapewniają </w:t>
            </w:r>
            <w:r w:rsidRPr="000202F9">
              <w:rPr>
                <w:b/>
                <w:i/>
              </w:rPr>
              <w:t>organom ds. równości możliwość angażowania się w postępowania sądowe z wykorzystaniem dowodów zgromadzonych na podstawie art. 7a ust. 2 i 3 bez uprzedniej konieczności wydania opinii lub wiążącej decyzji.</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10 – akapit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 xml:space="preserve">Państwa członkowskie zapewniają, aby w postępowaniach, o których mowa w art. 6, 7, 8 i 9, należycie chronione były prawa </w:t>
            </w:r>
            <w:r w:rsidRPr="000202F9">
              <w:t>do obrony osób fizycznych i prawnych uczestniczących w postępowaniu. Państwa członkowskie zapewniają, aby organy ds. równości gwarantowały poufność świadkom i sygnalistom, a także – w miarę możliwości – skarżącym.</w:t>
            </w:r>
          </w:p>
        </w:tc>
        <w:tc>
          <w:tcPr>
            <w:tcW w:w="4876" w:type="dxa"/>
            <w:hideMark/>
          </w:tcPr>
          <w:p w:rsidR="008429B6" w:rsidRPr="000202F9" w:rsidRDefault="0079015F" w:rsidP="0011190E">
            <w:pPr>
              <w:pStyle w:val="Normal6"/>
              <w:rPr>
                <w:szCs w:val="24"/>
              </w:rPr>
            </w:pPr>
            <w:r w:rsidRPr="000202F9">
              <w:t>Państwa członkowskie zapewniają, aby w pos</w:t>
            </w:r>
            <w:r w:rsidRPr="000202F9">
              <w:t xml:space="preserve">tępowaniach, o których mowa w art. 6, 7, </w:t>
            </w:r>
            <w:r w:rsidRPr="000202F9">
              <w:rPr>
                <w:b/>
                <w:i/>
              </w:rPr>
              <w:t xml:space="preserve">7a, 7b, </w:t>
            </w:r>
            <w:r w:rsidRPr="000202F9">
              <w:t>8 i 9, należycie chronione były prawa do obrony osób fizycznych i prawnych uczestniczących w postępowaniu. Państwa członkowskie zapewniają, aby organy ds. równości gwarantowały poufność świadkom i sygnalisto</w:t>
            </w:r>
            <w:r w:rsidRPr="000202F9">
              <w:t>m, a także – w miarę możliwości – skarżącym</w:t>
            </w:r>
            <w:r w:rsidRPr="000202F9">
              <w:rPr>
                <w:b/>
                <w:i/>
              </w:rPr>
              <w:t>, oraz by wprowadziły wewnętrzną ochronę sygnalistów</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10 – akapit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 xml:space="preserve">Tekst proponowany </w:t>
            </w:r>
            <w:r w:rsidRPr="000202F9">
              <w:t>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Decyzje, o których mowa w art. </w:t>
            </w:r>
            <w:r w:rsidRPr="000202F9">
              <w:rPr>
                <w:b/>
                <w:i/>
              </w:rPr>
              <w:t>8</w:t>
            </w:r>
            <w:r w:rsidRPr="000202F9">
              <w:t xml:space="preserve"> ust. </w:t>
            </w:r>
            <w:r w:rsidRPr="000202F9">
              <w:rPr>
                <w:b/>
                <w:i/>
              </w:rPr>
              <w:t>4</w:t>
            </w:r>
            <w:r w:rsidRPr="000202F9">
              <w:t>, podlegają kontroli sądowej zgodnie z prawem krajowym.</w:t>
            </w:r>
          </w:p>
        </w:tc>
        <w:tc>
          <w:tcPr>
            <w:tcW w:w="4876" w:type="dxa"/>
            <w:hideMark/>
          </w:tcPr>
          <w:p w:rsidR="008429B6" w:rsidRPr="000202F9" w:rsidRDefault="0079015F" w:rsidP="00823CA1">
            <w:pPr>
              <w:pStyle w:val="Normal6"/>
              <w:rPr>
                <w:szCs w:val="24"/>
              </w:rPr>
            </w:pPr>
            <w:r w:rsidRPr="000202F9">
              <w:t>Decyzje, o których mowa w art. </w:t>
            </w:r>
            <w:r w:rsidRPr="000202F9">
              <w:rPr>
                <w:b/>
                <w:i/>
              </w:rPr>
              <w:t>7b</w:t>
            </w:r>
            <w:r w:rsidRPr="000202F9">
              <w:t xml:space="preserve"> ust. </w:t>
            </w:r>
            <w:r w:rsidRPr="000202F9">
              <w:rPr>
                <w:b/>
                <w:i/>
              </w:rPr>
              <w:t>1 lit. c)–g)</w:t>
            </w:r>
            <w:r w:rsidRPr="000202F9">
              <w:t>, podlegają kontroli sądowej zgodnie z prawem krajowym.</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11 – ustęp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w:t>
            </w:r>
            <w:r w:rsidRPr="000202F9">
              <w:tab/>
              <w:t xml:space="preserve">Państwa członkowskie zapewniają, aby organy ds. równości świadczyły bezpłatne usługi skarżącym na </w:t>
            </w:r>
            <w:r w:rsidRPr="000202F9">
              <w:t>terytorium całego kraju, w tym na obszarach wiejskich i w regionach oddalonych.</w:t>
            </w:r>
          </w:p>
        </w:tc>
        <w:tc>
          <w:tcPr>
            <w:tcW w:w="4876" w:type="dxa"/>
            <w:hideMark/>
          </w:tcPr>
          <w:p w:rsidR="008429B6" w:rsidRPr="000202F9" w:rsidRDefault="0079015F" w:rsidP="00823CA1">
            <w:pPr>
              <w:pStyle w:val="Normal6"/>
              <w:rPr>
                <w:szCs w:val="24"/>
              </w:rPr>
            </w:pPr>
            <w:r w:rsidRPr="000202F9">
              <w:t>2.</w:t>
            </w:r>
            <w:r w:rsidRPr="000202F9">
              <w:tab/>
              <w:t>Państwa członkowskie zapewniają, aby organy ds. równości świadczyły bezpłatne usługi skarżącym na terytorium całego kraju</w:t>
            </w:r>
            <w:r w:rsidRPr="000202F9">
              <w:rPr>
                <w:b/>
                <w:i/>
              </w:rPr>
              <w:t xml:space="preserve"> dzięki ustanowieniu – w razie potrzeby – miejscowyc</w:t>
            </w:r>
            <w:r w:rsidRPr="000202F9">
              <w:rPr>
                <w:b/>
                <w:i/>
              </w:rPr>
              <w:t>h i regionalnych biur</w:t>
            </w:r>
            <w:r w:rsidRPr="000202F9">
              <w:t>, w tym na obszarach wiejskich i w regionach oddalonych.</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11 – ustęp 3</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w:t>
            </w:r>
            <w:r w:rsidRPr="000202F9">
              <w:tab/>
              <w:t>Państwa członkowskie zapewniają</w:t>
            </w:r>
            <w:r w:rsidRPr="000202F9">
              <w:rPr>
                <w:b/>
                <w:i/>
              </w:rPr>
              <w:t xml:space="preserve"> dostępność i racjonalne usprawnienia dla osób</w:t>
            </w:r>
            <w:r w:rsidRPr="000202F9">
              <w:t xml:space="preserve"> z</w:t>
            </w:r>
            <w:r w:rsidRPr="000202F9">
              <w:rPr>
                <w:b/>
                <w:i/>
              </w:rPr>
              <w:t> </w:t>
            </w:r>
            <w:r w:rsidRPr="000202F9">
              <w:t xml:space="preserve">niepełnosprawnościami, </w:t>
            </w:r>
            <w:r w:rsidRPr="000202F9">
              <w:rPr>
                <w:b/>
                <w:i/>
              </w:rPr>
              <w:t>aby zagwarantować im równy dostęp</w:t>
            </w:r>
            <w:r w:rsidRPr="000202F9">
              <w:t xml:space="preserve"> do wszystkich usług </w:t>
            </w:r>
            <w:r w:rsidRPr="000202F9">
              <w:rPr>
                <w:b/>
                <w:i/>
              </w:rPr>
              <w:t>i </w:t>
            </w:r>
            <w:r w:rsidRPr="000202F9">
              <w:t>działań organów ds. równości, w tym pomocy dla ofiar, rozpatrywania skarg, mechanizmów polubo</w:t>
            </w:r>
            <w:r w:rsidRPr="000202F9">
              <w:t>wnego rozstrzygania sporów, informacji i publikacji oraz działań prewencyjnych, promocyjnych i zwiększających świadomość.</w:t>
            </w:r>
          </w:p>
        </w:tc>
        <w:tc>
          <w:tcPr>
            <w:tcW w:w="4876" w:type="dxa"/>
            <w:hideMark/>
          </w:tcPr>
          <w:p w:rsidR="008429B6" w:rsidRPr="000202F9" w:rsidRDefault="0079015F" w:rsidP="0011190E">
            <w:pPr>
              <w:pStyle w:val="Normal6"/>
              <w:rPr>
                <w:szCs w:val="24"/>
              </w:rPr>
            </w:pPr>
            <w:r w:rsidRPr="000202F9">
              <w:t>3.</w:t>
            </w:r>
            <w:r w:rsidRPr="000202F9">
              <w:tab/>
              <w:t>Państwa członkowskie zapewniają</w:t>
            </w:r>
            <w:r w:rsidRPr="000202F9">
              <w:rPr>
                <w:b/>
                <w:i/>
              </w:rPr>
              <w:t>, aby organy ds. równości dysponowały wykwalifikowanym personelem niezbędnym do współpracy z osobami</w:t>
            </w:r>
            <w:r w:rsidRPr="000202F9">
              <w:t xml:space="preserve"> z</w:t>
            </w:r>
            <w:r w:rsidRPr="000202F9">
              <w:rPr>
                <w:b/>
                <w:i/>
              </w:rPr>
              <w:t xml:space="preserve"> </w:t>
            </w:r>
            <w:r w:rsidRPr="000202F9">
              <w:t>niepełnosprawnościami</w:t>
            </w:r>
            <w:r w:rsidRPr="000202F9">
              <w:rPr>
                <w:b/>
                <w:i/>
              </w:rPr>
              <w:t xml:space="preserve"> i osobami należącymi do innych grup zagrożonych dyskryminacją</w:t>
            </w:r>
            <w:r w:rsidRPr="000202F9">
              <w:t xml:space="preserve">, </w:t>
            </w:r>
            <w:r w:rsidRPr="000202F9">
              <w:rPr>
                <w:b/>
                <w:i/>
              </w:rPr>
              <w:t>w celu zagwarantowania równego dostępu</w:t>
            </w:r>
            <w:r w:rsidRPr="000202F9">
              <w:t xml:space="preserve"> do wszystkich usług</w:t>
            </w:r>
            <w:r w:rsidRPr="000202F9">
              <w:rPr>
                <w:b/>
                <w:i/>
              </w:rPr>
              <w:t>,</w:t>
            </w:r>
            <w:r w:rsidRPr="000202F9">
              <w:t xml:space="preserve"> działań </w:t>
            </w:r>
            <w:r w:rsidRPr="000202F9">
              <w:rPr>
                <w:b/>
                <w:i/>
              </w:rPr>
              <w:t xml:space="preserve">i informacji </w:t>
            </w:r>
            <w:r w:rsidRPr="000202F9">
              <w:t>organów ds. równości</w:t>
            </w:r>
            <w:r w:rsidRPr="000202F9">
              <w:rPr>
                <w:b/>
                <w:i/>
              </w:rPr>
              <w:t xml:space="preserve"> w formatach dostępnych dla osób z niepełnosprawnościami</w:t>
            </w:r>
            <w:r w:rsidRPr="000202F9">
              <w:t>, w tym</w:t>
            </w:r>
            <w:r w:rsidRPr="000202F9">
              <w:rPr>
                <w:b/>
                <w:i/>
              </w:rPr>
              <w:t xml:space="preserve"> od</w:t>
            </w:r>
            <w:r w:rsidRPr="000202F9">
              <w:t xml:space="preserve"> pomocy dla ofiar, rozpatrywania skarg, mechanizmów polubownego rozstrzygania sporów, informacji i publikacji oraz działań prewencyjnych, promocyjnych i zwiększających świadomość</w:t>
            </w:r>
            <w:r w:rsidRPr="000202F9">
              <w:rPr>
                <w:b/>
                <w:i/>
              </w:rPr>
              <w:t>, zgodnie z dyrektywą (UE) 2016/2102</w:t>
            </w:r>
            <w:r w:rsidRPr="000202F9">
              <w:t>.</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87</w:t>
      </w:r>
      <w:r w:rsidRPr="000202F9">
        <w:rPr>
          <w:rStyle w:val="HideTWBExt"/>
          <w:b w:val="0"/>
        </w:rPr>
        <w:t>&lt;/Nu</w:t>
      </w:r>
      <w:r w:rsidRPr="000202F9">
        <w:rPr>
          <w:rStyle w:val="HideTWBExt"/>
          <w:b w:val="0"/>
        </w:rPr>
        <w:t>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12 – akapit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 xml:space="preserve">Państwa członkowskie zapewniają, aby organy ds. równości posiadały odpowiednie mechanizmy współpracy, w obszarach swoich kompetencji, z innymi organami ds. równości </w:t>
            </w:r>
            <w:r w:rsidRPr="000202F9">
              <w:rPr>
                <w:b/>
                <w:i/>
              </w:rPr>
              <w:t xml:space="preserve">w tym samym państwie członkowskim </w:t>
            </w:r>
            <w:r w:rsidRPr="000202F9">
              <w:t>oraz z innymi właściwymi organami publicznymi i prywatnym</w:t>
            </w:r>
            <w:r w:rsidRPr="000202F9">
              <w:t xml:space="preserve">i, </w:t>
            </w:r>
            <w:r w:rsidRPr="000202F9">
              <w:rPr>
                <w:b/>
                <w:i/>
              </w:rPr>
              <w:t>w tym</w:t>
            </w:r>
            <w:r w:rsidRPr="000202F9">
              <w:t xml:space="preserve"> organizacjami społeczeństwa obywatelskiego, na szczeblu </w:t>
            </w:r>
            <w:r w:rsidRPr="000202F9">
              <w:rPr>
                <w:b/>
                <w:i/>
              </w:rPr>
              <w:t xml:space="preserve">krajowym, </w:t>
            </w:r>
            <w:r w:rsidRPr="000202F9">
              <w:t xml:space="preserve">regionalnym i lokalnym, </w:t>
            </w:r>
            <w:r w:rsidRPr="000202F9">
              <w:rPr>
                <w:b/>
                <w:i/>
              </w:rPr>
              <w:t>a także</w:t>
            </w:r>
            <w:r w:rsidRPr="000202F9">
              <w:t xml:space="preserve"> z</w:t>
            </w:r>
            <w:r w:rsidRPr="000202F9">
              <w:rPr>
                <w:b/>
                <w:i/>
              </w:rPr>
              <w:t> podmiotami</w:t>
            </w:r>
            <w:r w:rsidRPr="000202F9">
              <w:t xml:space="preserve"> w</w:t>
            </w:r>
            <w:r w:rsidRPr="000202F9">
              <w:rPr>
                <w:b/>
                <w:i/>
              </w:rPr>
              <w:t> innych państwach członkowskich, oraz</w:t>
            </w:r>
            <w:r w:rsidRPr="000202F9">
              <w:t xml:space="preserve"> na </w:t>
            </w:r>
            <w:r w:rsidRPr="000202F9">
              <w:rPr>
                <w:b/>
                <w:i/>
              </w:rPr>
              <w:t>poziomie</w:t>
            </w:r>
            <w:r w:rsidRPr="000202F9">
              <w:t xml:space="preserve"> unijnym i</w:t>
            </w:r>
            <w:r w:rsidRPr="000202F9">
              <w:rPr>
                <w:b/>
                <w:i/>
              </w:rPr>
              <w:t> </w:t>
            </w:r>
            <w:r w:rsidRPr="000202F9">
              <w:t>międzynarodowym.</w:t>
            </w:r>
          </w:p>
        </w:tc>
        <w:tc>
          <w:tcPr>
            <w:tcW w:w="4876" w:type="dxa"/>
            <w:hideMark/>
          </w:tcPr>
          <w:p w:rsidR="008429B6" w:rsidRPr="000202F9" w:rsidRDefault="0079015F" w:rsidP="00823CA1">
            <w:pPr>
              <w:pStyle w:val="Normal6"/>
              <w:rPr>
                <w:szCs w:val="24"/>
              </w:rPr>
            </w:pPr>
            <w:r w:rsidRPr="000202F9">
              <w:t>Państwa członkowskie zapewniają, aby organy ds. równości p</w:t>
            </w:r>
            <w:r w:rsidRPr="000202F9">
              <w:t xml:space="preserve">osiadały odpowiednie mechanizmy współpracy, w obszarach swoich kompetencji, z innymi organami ds. równości oraz z innymi właściwymi organami publicznymi i prywatnymi, </w:t>
            </w:r>
            <w:r w:rsidRPr="000202F9">
              <w:rPr>
                <w:b/>
                <w:i/>
              </w:rPr>
              <w:t>partnerami społecznymi i</w:t>
            </w:r>
            <w:r w:rsidRPr="000202F9">
              <w:t xml:space="preserve"> organizacjami społeczeństwa obywatelskiego</w:t>
            </w:r>
            <w:r w:rsidRPr="000202F9">
              <w:rPr>
                <w:b/>
                <w:i/>
              </w:rPr>
              <w:t xml:space="preserve"> w tym samym państwie </w:t>
            </w:r>
            <w:r w:rsidRPr="000202F9">
              <w:rPr>
                <w:b/>
                <w:i/>
              </w:rPr>
              <w:t>członkowskim</w:t>
            </w:r>
            <w:r w:rsidRPr="000202F9">
              <w:t xml:space="preserve">, </w:t>
            </w:r>
            <w:r w:rsidRPr="000202F9">
              <w:rPr>
                <w:b/>
                <w:i/>
              </w:rPr>
              <w:t xml:space="preserve">w tym </w:t>
            </w:r>
            <w:r w:rsidRPr="000202F9">
              <w:t>na szczeblu regionalnym i lokalnym</w:t>
            </w:r>
            <w:r w:rsidRPr="000202F9">
              <w:rPr>
                <w:b/>
                <w:i/>
              </w:rPr>
              <w:t>. Państwa członkowskie zapewniają</w:t>
            </w:r>
            <w:r w:rsidRPr="000202F9">
              <w:t xml:space="preserve">, </w:t>
            </w:r>
            <w:r w:rsidRPr="000202F9">
              <w:rPr>
                <w:b/>
                <w:i/>
              </w:rPr>
              <w:t>aby organy ds. równości posiadały odpowiednie mechanizmy współpracy</w:t>
            </w:r>
            <w:r w:rsidRPr="000202F9">
              <w:t xml:space="preserve"> z</w:t>
            </w:r>
            <w:r w:rsidRPr="000202F9">
              <w:rPr>
                <w:b/>
                <w:i/>
              </w:rPr>
              <w:t xml:space="preserve"> innymi organami ds. równości</w:t>
            </w:r>
            <w:r w:rsidRPr="000202F9">
              <w:t xml:space="preserve"> w</w:t>
            </w:r>
            <w:r w:rsidRPr="000202F9">
              <w:rPr>
                <w:b/>
                <w:i/>
              </w:rPr>
              <w:t xml:space="preserve"> ich odpowiednich dziedzinach kompetencji</w:t>
            </w:r>
            <w:r w:rsidRPr="000202F9">
              <w:t xml:space="preserve"> na </w:t>
            </w:r>
            <w:r w:rsidRPr="000202F9">
              <w:rPr>
                <w:b/>
                <w:i/>
              </w:rPr>
              <w:t>szczeblu</w:t>
            </w:r>
            <w:r w:rsidRPr="000202F9">
              <w:t xml:space="preserve"> unijnym i</w:t>
            </w:r>
            <w:r w:rsidRPr="000202F9">
              <w:rPr>
                <w:b/>
                <w:i/>
              </w:rPr>
              <w:t xml:space="preserve"> </w:t>
            </w:r>
            <w:r w:rsidRPr="000202F9">
              <w:t>mię</w:t>
            </w:r>
            <w:r w:rsidRPr="000202F9">
              <w:t>dzynarodowym</w:t>
            </w:r>
            <w:r w:rsidRPr="000202F9">
              <w:rPr>
                <w:b/>
                <w:i/>
              </w:rPr>
              <w:t>, a także z Europejskim Instytutem ds. Równości Kobiet i Mężczyzn, Agencją Praw Podstawowych Unii Europejskiej i europejską siecią organów ds. równości (EQUINET), organizacjami społeczeństwa obywatelskiego i partnerami społecznymi</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w:t>
      </w:r>
      <w:r w:rsidRPr="000202F9">
        <w:rPr>
          <w:rStyle w:val="HideTWBExt"/>
          <w:b w:val="0"/>
        </w:rPr>
        <w:t>mend&gt;</w:t>
      </w:r>
      <w:r w:rsidRPr="000202F9">
        <w:t>Poprawka</w:t>
      </w:r>
      <w:r w:rsidRPr="000202F9">
        <w:tab/>
      </w:r>
      <w:r w:rsidRPr="000202F9">
        <w:tab/>
      </w:r>
      <w:r w:rsidRPr="000202F9">
        <w:rPr>
          <w:rStyle w:val="HideTWBExt"/>
          <w:b w:val="0"/>
        </w:rPr>
        <w:t>&lt;NumAm&gt;</w:t>
      </w:r>
      <w:r w:rsidRPr="000202F9">
        <w:t>88</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13 – akapit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rPr>
                <w:b/>
                <w:i/>
              </w:rPr>
              <w:t xml:space="preserve">Zapewniają także, aby </w:t>
            </w:r>
            <w:r w:rsidRPr="000202F9">
              <w:t xml:space="preserve">organy ds. równości </w:t>
            </w:r>
            <w:r w:rsidRPr="000202F9">
              <w:rPr>
                <w:b/>
                <w:i/>
              </w:rPr>
              <w:t>miały</w:t>
            </w:r>
            <w:r w:rsidRPr="000202F9">
              <w:t xml:space="preserve"> prawo do wydawania</w:t>
            </w:r>
            <w:r w:rsidRPr="000202F9">
              <w:rPr>
                <w:b/>
                <w:i/>
              </w:rPr>
              <w:t xml:space="preserve"> i publikowania</w:t>
            </w:r>
            <w:r w:rsidRPr="000202F9">
              <w:t xml:space="preserve"> zaleceń w tych sprawach oraz do wymagania informacji zwrotnych od organów, których te zalecenia dotyczą.</w:t>
            </w:r>
          </w:p>
        </w:tc>
        <w:tc>
          <w:tcPr>
            <w:tcW w:w="4876" w:type="dxa"/>
            <w:hideMark/>
          </w:tcPr>
          <w:p w:rsidR="008429B6" w:rsidRPr="000202F9" w:rsidRDefault="0079015F" w:rsidP="00823CA1">
            <w:pPr>
              <w:pStyle w:val="Normal6"/>
              <w:rPr>
                <w:szCs w:val="24"/>
              </w:rPr>
            </w:pPr>
            <w:r w:rsidRPr="000202F9">
              <w:t xml:space="preserve">Organy ds. równości </w:t>
            </w:r>
            <w:r w:rsidRPr="000202F9">
              <w:rPr>
                <w:b/>
                <w:i/>
              </w:rPr>
              <w:t>mają</w:t>
            </w:r>
            <w:r w:rsidRPr="000202F9">
              <w:t xml:space="preserve"> prawo do wydawania zaleceń w tych sprawach oraz do wymagania informacji zwrotnych od organów, których te zalecenia dotyczą</w:t>
            </w:r>
            <w:r w:rsidRPr="000202F9">
              <w:rPr>
                <w:b/>
                <w:i/>
              </w:rPr>
              <w:t>, a</w:t>
            </w:r>
            <w:r w:rsidRPr="000202F9">
              <w:rPr>
                <w:b/>
                <w:i/>
              </w:rPr>
              <w:t xml:space="preserve"> także do przedstawiania wniosków w celu ulepszenia i aktualizacji obowiązującego prawodawstwa w zakresie promowania </w:t>
            </w:r>
            <w:r w:rsidRPr="000202F9">
              <w:rPr>
                <w:b/>
                <w:i/>
              </w:rPr>
              <w:lastRenderedPageBreak/>
              <w:t>równości</w:t>
            </w:r>
            <w:r w:rsidRPr="000202F9">
              <w:t>.</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 xml:space="preserve">Państwa członkowskie dopilnowują, aby zalecenia i informacje zwrotne wymagane w ramach procedury konsultacji były podawane do </w:t>
            </w:r>
            <w:r w:rsidRPr="000202F9">
              <w:rPr>
                <w:b/>
                <w:i/>
              </w:rPr>
              <w:t>wiadomości publicznej.</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89</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14 – ustęp 3</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w:t>
            </w:r>
            <w:r w:rsidRPr="000202F9">
              <w:tab/>
            </w:r>
            <w:r w:rsidRPr="000202F9">
              <w:t xml:space="preserve">Państwa członkowskie zapewniają, aby organy ds. równości </w:t>
            </w:r>
            <w:r w:rsidRPr="000202F9">
              <w:rPr>
                <w:b/>
                <w:i/>
              </w:rPr>
              <w:t>miały dostęp do danych statystycznych dotyczących</w:t>
            </w:r>
            <w:r w:rsidRPr="000202F9">
              <w:t xml:space="preserve"> praw i obowiązków wynikających z dyrektyw 2006/54/WE i 2010/41/UE, </w:t>
            </w:r>
            <w:r w:rsidRPr="000202F9">
              <w:rPr>
                <w:b/>
                <w:i/>
              </w:rPr>
              <w:t>gromadzonych</w:t>
            </w:r>
            <w:r w:rsidRPr="000202F9">
              <w:t xml:space="preserve"> przez podmioty publiczne i prywatne, w tym organy publiczne, związki </w:t>
            </w:r>
            <w:r w:rsidRPr="000202F9">
              <w:t>zawodowe, przedsiębiorstwa i organizacje społeczeństwa obywatelskiego, jeżeli organy te uznają takie dane statystyczne za niezbędne do przeprowadzenia ogólnej oceny sytuacji w zakresie dyskryminacji w danym państwie członkowskim oraz do sporządzenia sprawo</w:t>
            </w:r>
            <w:r w:rsidRPr="000202F9">
              <w:t>zdania, o którym mowa w art. 15 lit. c).</w:t>
            </w:r>
          </w:p>
        </w:tc>
        <w:tc>
          <w:tcPr>
            <w:tcW w:w="4876" w:type="dxa"/>
            <w:hideMark/>
          </w:tcPr>
          <w:p w:rsidR="008429B6" w:rsidRPr="000202F9" w:rsidRDefault="0079015F" w:rsidP="00823CA1">
            <w:pPr>
              <w:pStyle w:val="Normal6"/>
              <w:rPr>
                <w:szCs w:val="24"/>
              </w:rPr>
            </w:pPr>
            <w:r w:rsidRPr="000202F9">
              <w:t>3.</w:t>
            </w:r>
            <w:r w:rsidRPr="000202F9">
              <w:tab/>
              <w:t xml:space="preserve">Państwa członkowskie zapewniają, aby organy ds. równości </w:t>
            </w:r>
            <w:r w:rsidRPr="000202F9">
              <w:rPr>
                <w:b/>
                <w:i/>
              </w:rPr>
              <w:t>otrzymywały dane statystyczne dotyczące</w:t>
            </w:r>
            <w:r w:rsidRPr="000202F9">
              <w:t xml:space="preserve"> praw i obowiązków wynikających z dyrektyw 2006/54/WE i 2010/41/UE, </w:t>
            </w:r>
            <w:r w:rsidRPr="000202F9">
              <w:rPr>
                <w:b/>
                <w:i/>
              </w:rPr>
              <w:t>gromadzone</w:t>
            </w:r>
            <w:r w:rsidRPr="000202F9">
              <w:t xml:space="preserve"> przez podmioty publiczne i prywatne, </w:t>
            </w:r>
            <w:r w:rsidRPr="000202F9">
              <w:t>w tym organy publiczne, związki zawodowe, przedsiębiorstwa i organizacje społeczeństwa obywatelskiego, jeżeli organy te uznają takie dane statystyczne za niezbędne do przeprowadzenia ogólnej oceny sytuacji w zakresie dyskryminacji w danym państwie członkow</w:t>
            </w:r>
            <w:r w:rsidRPr="000202F9">
              <w:t xml:space="preserve">skim oraz do sporządzenia sprawozdania, o którym mowa w art. 15 lit. c). </w:t>
            </w:r>
            <w:r w:rsidRPr="000202F9">
              <w:rPr>
                <w:b/>
                <w:i/>
              </w:rPr>
              <w:t>Państwa członkowskie zapewniają, aby dane te przekazywano organom ds. równości w dostępnym formacie, tak aby organy te mogły je wykorzystywać z łatwością.</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w:t>
      </w:r>
      <w:r w:rsidRPr="000202F9">
        <w:rPr>
          <w:rStyle w:val="HideTWBExt"/>
          <w:b w:val="0"/>
        </w:rPr>
        <w:t>NumAm&gt;</w:t>
      </w:r>
      <w:r w:rsidRPr="000202F9">
        <w:t>90</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14 – ustęp 5</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5.</w:t>
            </w:r>
            <w:r w:rsidRPr="000202F9">
              <w:tab/>
              <w:t xml:space="preserve">Państwa członkowskie </w:t>
            </w:r>
            <w:r w:rsidRPr="000202F9">
              <w:rPr>
                <w:b/>
                <w:i/>
              </w:rPr>
              <w:t>zapewniają organom</w:t>
            </w:r>
            <w:r w:rsidRPr="000202F9">
              <w:t xml:space="preserve"> ds. równości </w:t>
            </w:r>
            <w:r w:rsidRPr="000202F9">
              <w:rPr>
                <w:b/>
                <w:i/>
              </w:rPr>
              <w:t xml:space="preserve">możliwość przeprowadzania niezależnych badań </w:t>
            </w:r>
            <w:r w:rsidRPr="000202F9">
              <w:rPr>
                <w:b/>
                <w:i/>
              </w:rPr>
              <w:t>dotyczących</w:t>
            </w:r>
            <w:r w:rsidRPr="000202F9">
              <w:t xml:space="preserve"> dyskryminacji.</w:t>
            </w:r>
          </w:p>
        </w:tc>
        <w:tc>
          <w:tcPr>
            <w:tcW w:w="4876" w:type="dxa"/>
            <w:hideMark/>
          </w:tcPr>
          <w:p w:rsidR="008429B6" w:rsidRPr="000202F9" w:rsidRDefault="0079015F" w:rsidP="00823CA1">
            <w:pPr>
              <w:pStyle w:val="Normal6"/>
              <w:rPr>
                <w:szCs w:val="24"/>
              </w:rPr>
            </w:pPr>
            <w:r w:rsidRPr="000202F9">
              <w:t>5.</w:t>
            </w:r>
            <w:r w:rsidRPr="000202F9">
              <w:tab/>
              <w:t xml:space="preserve">Państwa członkowskie </w:t>
            </w:r>
            <w:r w:rsidRPr="000202F9">
              <w:rPr>
                <w:b/>
                <w:i/>
              </w:rPr>
              <w:t>dopilnowują, by organy</w:t>
            </w:r>
            <w:r w:rsidRPr="000202F9">
              <w:t xml:space="preserve"> ds. równości </w:t>
            </w:r>
            <w:r w:rsidRPr="000202F9">
              <w:rPr>
                <w:b/>
                <w:i/>
              </w:rPr>
              <w:t>mogły prowadzić niezależne badania, sporządzać sprawozdania i badania dotyczące wszelkich form</w:t>
            </w:r>
            <w:r w:rsidRPr="000202F9">
              <w:t xml:space="preserve"> dyskryminacji</w:t>
            </w:r>
            <w:r w:rsidRPr="000202F9">
              <w:rPr>
                <w:b/>
                <w:i/>
              </w:rPr>
              <w:t xml:space="preserve">, w tym dyskryminacji krzyżowej, </w:t>
            </w:r>
            <w:r w:rsidRPr="000202F9">
              <w:rPr>
                <w:b/>
                <w:i/>
              </w:rPr>
              <w:lastRenderedPageBreak/>
              <w:t>strukturalnej lub systemowej</w:t>
            </w:r>
            <w:r w:rsidRPr="000202F9">
              <w:rPr>
                <w:b/>
                <w:i/>
              </w:rPr>
              <w:t>, dyskryminacji w internecie, a także, by dysponowały zasobami ludzkimi i finansowymi do tego niezbędnymi, jak również, by miały możliwość zlecania ich wykonania na zewnątrz, również z wykorzystaniem wsparcia ekspertów zapewnianego przez właściwe państwa c</w:t>
            </w:r>
            <w:r w:rsidRPr="000202F9">
              <w:rPr>
                <w:b/>
                <w:i/>
              </w:rPr>
              <w:t>złonkowskie i organy UE zajmujące się dyskryminacją, takie jak Agencja Praw Podstawowych Unii Europejskiej lub Europejski Instytut ds. Równości Kobiet i Mężczyzn</w:t>
            </w:r>
            <w:r w:rsidRPr="000202F9">
              <w:t>.</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91</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w:t>
      </w:r>
      <w:r w:rsidRPr="000202F9">
        <w:rPr>
          <w:rStyle w:val="HideTWBExt"/>
          <w:b w:val="0"/>
        </w:rPr>
        <w:t>&gt;</w:t>
      </w:r>
    </w:p>
    <w:p w:rsidR="008429B6" w:rsidRPr="000202F9" w:rsidRDefault="0079015F" w:rsidP="008429B6">
      <w:pPr>
        <w:pStyle w:val="NormalBold"/>
      </w:pPr>
      <w:r w:rsidRPr="000202F9">
        <w:rPr>
          <w:rStyle w:val="HideTWBExt"/>
          <w:b w:val="0"/>
        </w:rPr>
        <w:t>&lt;Article&gt;</w:t>
      </w:r>
      <w:r w:rsidRPr="000202F9">
        <w:t>Artykuł 15 – akapit 1 – litera c</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c)</w:t>
            </w:r>
            <w:r w:rsidRPr="000202F9">
              <w:tab/>
              <w:t xml:space="preserve">publikowały przynajmniej raz na </w:t>
            </w:r>
            <w:r w:rsidRPr="000202F9">
              <w:rPr>
                <w:b/>
                <w:i/>
              </w:rPr>
              <w:t>cztery</w:t>
            </w:r>
            <w:r w:rsidRPr="000202F9">
              <w:t xml:space="preserve"> lata sprawozdanie i zalecenia dotyczące sytuacji w zakresie równego traktowania i niedyskryminacji, w tym możliwych </w:t>
            </w:r>
            <w:r w:rsidRPr="000202F9">
              <w:rPr>
                <w:b/>
                <w:i/>
              </w:rPr>
              <w:t>problemów strukturalnych</w:t>
            </w:r>
            <w:r w:rsidRPr="000202F9">
              <w:t>, w danym państwie członkowskim.</w:t>
            </w:r>
          </w:p>
        </w:tc>
        <w:tc>
          <w:tcPr>
            <w:tcW w:w="4876" w:type="dxa"/>
            <w:hideMark/>
          </w:tcPr>
          <w:p w:rsidR="008429B6" w:rsidRPr="000202F9" w:rsidRDefault="0079015F" w:rsidP="00823CA1">
            <w:pPr>
              <w:pStyle w:val="Normal6"/>
              <w:rPr>
                <w:szCs w:val="24"/>
              </w:rPr>
            </w:pPr>
            <w:r w:rsidRPr="000202F9">
              <w:t>c)</w:t>
            </w:r>
            <w:r w:rsidRPr="000202F9">
              <w:tab/>
              <w:t xml:space="preserve">publikowały przynajmniej raz na </w:t>
            </w:r>
            <w:r w:rsidRPr="000202F9">
              <w:rPr>
                <w:b/>
                <w:i/>
              </w:rPr>
              <w:t>dwa</w:t>
            </w:r>
            <w:r w:rsidRPr="000202F9">
              <w:t xml:space="preserve"> lata sprawozdanie i zalecenia dotyczące sytuacji w zakresie </w:t>
            </w:r>
            <w:r w:rsidRPr="000202F9">
              <w:rPr>
                <w:b/>
                <w:i/>
              </w:rPr>
              <w:t xml:space="preserve">równouprawnienia płci, </w:t>
            </w:r>
            <w:r w:rsidRPr="000202F9">
              <w:t xml:space="preserve">równego traktowania i niedyskryminacji, w tym możliwych </w:t>
            </w:r>
            <w:r w:rsidRPr="000202F9">
              <w:rPr>
                <w:b/>
                <w:i/>
              </w:rPr>
              <w:t>przypadków dyskrymina</w:t>
            </w:r>
            <w:r w:rsidRPr="000202F9">
              <w:rPr>
                <w:b/>
                <w:i/>
              </w:rPr>
              <w:t>cji strukturalnej lub systemowej oraz dyskryminacji w internecie</w:t>
            </w:r>
            <w:r w:rsidRPr="000202F9">
              <w:t xml:space="preserve">, </w:t>
            </w:r>
            <w:r w:rsidRPr="000202F9">
              <w:rPr>
                <w:b/>
                <w:i/>
              </w:rPr>
              <w:t xml:space="preserve">jak również wszelkich działań lub prób mających na celu pogorszenie sytuacji w tym zakresie oraz zawierające analizę finansowania </w:t>
            </w:r>
            <w:r w:rsidRPr="000202F9">
              <w:t xml:space="preserve">w danym państwie członkowskim. </w:t>
            </w:r>
            <w:r w:rsidRPr="000202F9">
              <w:rPr>
                <w:b/>
                <w:i/>
              </w:rPr>
              <w:t>W sprawozdaniu tym należy rów</w:t>
            </w:r>
            <w:r w:rsidRPr="000202F9">
              <w:rPr>
                <w:b/>
                <w:i/>
              </w:rPr>
              <w:t>nież uwzględnić działania następcze podjęte w związku z wcześniejszymi zaleceniami oraz działania podjęte w tym zakresie. Sprawozdanie to zostanie przedstawione w odpowiednim parlamencie narodowym i przesłane do Parlamentu Europejskiego.</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w:t>
      </w:r>
      <w:r w:rsidRPr="000202F9">
        <w:t>oprawka</w:t>
      </w:r>
      <w:r w:rsidRPr="000202F9">
        <w:tab/>
      </w:r>
      <w:r w:rsidRPr="000202F9">
        <w:tab/>
      </w:r>
      <w:r w:rsidRPr="000202F9">
        <w:rPr>
          <w:rStyle w:val="HideTWBExt"/>
          <w:b w:val="0"/>
        </w:rPr>
        <w:t>&lt;NumAm&gt;</w:t>
      </w:r>
      <w:r w:rsidRPr="000202F9">
        <w:t>92</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15 – akapit 1 – litera c a (nowa)</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ca)</w:t>
            </w:r>
            <w:r w:rsidRPr="000202F9">
              <w:rPr>
                <w:b/>
                <w:i/>
              </w:rPr>
              <w:tab/>
              <w:t xml:space="preserve">angażowały się w trwały dialog z władzami rządowymi i innymi </w:t>
            </w:r>
            <w:r w:rsidRPr="000202F9">
              <w:rPr>
                <w:b/>
                <w:i/>
              </w:rPr>
              <w:t>organami, które biorą pod uwagę zalecenia organów ds. równości dotyczące przepisów, polityk, procedur, programów i praktyk oraz podejmują działania w określonych ramach czasowych.</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93</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 xml:space="preserve">Wniosek dotyczący </w:t>
      </w:r>
      <w:r w:rsidRPr="000202F9">
        <w:t>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16 – ustęp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w:t>
            </w:r>
            <w:r w:rsidRPr="000202F9">
              <w:tab/>
              <w:t xml:space="preserve">Komisja w drodze aktu </w:t>
            </w:r>
            <w:r w:rsidRPr="000202F9">
              <w:rPr>
                <w:b/>
                <w:i/>
              </w:rPr>
              <w:t>wykonawczego</w:t>
            </w:r>
            <w:r w:rsidRPr="000202F9">
              <w:t xml:space="preserve"> określa wykaz wspólnych wskaźników służących do pomiaru skutków praktycznych niniejszej dyrektywy. Podczas opraco</w:t>
            </w:r>
            <w:r w:rsidRPr="000202F9">
              <w:t xml:space="preserve">wywania wskaźników Komisja </w:t>
            </w:r>
            <w:r w:rsidRPr="000202F9">
              <w:rPr>
                <w:b/>
                <w:i/>
              </w:rPr>
              <w:t>może zasięgnąć</w:t>
            </w:r>
            <w:r w:rsidRPr="000202F9">
              <w:t xml:space="preserve"> rady Agencji Praw Podstawowych Unii Europejskiej oraz Europejskiego Instytutu ds. Równości Kobiet i Mężczyzn. Wskaźniki te obejmują </w:t>
            </w:r>
            <w:r w:rsidRPr="000202F9">
              <w:rPr>
                <w:b/>
                <w:i/>
              </w:rPr>
              <w:t>zasoby</w:t>
            </w:r>
            <w:r w:rsidRPr="000202F9">
              <w:t xml:space="preserve">, </w:t>
            </w:r>
            <w:r w:rsidRPr="000202F9">
              <w:rPr>
                <w:b/>
                <w:i/>
              </w:rPr>
              <w:t>niezależność</w:t>
            </w:r>
            <w:r w:rsidRPr="000202F9">
              <w:t xml:space="preserve">, działalność i skuteczność organów ds. równości, jak również </w:t>
            </w:r>
            <w:r w:rsidRPr="000202F9">
              <w:t>rozwój ich kompetencji, uprawnień lub struktury, w sposób zapewniający porównywalność, obiektywność i wiarygodność danych gromadzonych na poziomie krajowym.</w:t>
            </w:r>
          </w:p>
        </w:tc>
        <w:tc>
          <w:tcPr>
            <w:tcW w:w="4876" w:type="dxa"/>
            <w:hideMark/>
          </w:tcPr>
          <w:p w:rsidR="008429B6" w:rsidRPr="000202F9" w:rsidRDefault="0079015F" w:rsidP="00B659EF">
            <w:pPr>
              <w:pStyle w:val="Normal6"/>
              <w:rPr>
                <w:szCs w:val="24"/>
              </w:rPr>
            </w:pPr>
            <w:r w:rsidRPr="000202F9">
              <w:t>1.</w:t>
            </w:r>
            <w:r w:rsidRPr="000202F9">
              <w:tab/>
              <w:t xml:space="preserve">Komisja w drodze aktu </w:t>
            </w:r>
            <w:r w:rsidRPr="000202F9">
              <w:rPr>
                <w:b/>
                <w:i/>
              </w:rPr>
              <w:t>delegowanego</w:t>
            </w:r>
            <w:r w:rsidRPr="000202F9">
              <w:t xml:space="preserve"> określa wykaz wspólnych wskaźników </w:t>
            </w:r>
            <w:r w:rsidRPr="000202F9">
              <w:rPr>
                <w:b/>
                <w:i/>
              </w:rPr>
              <w:t xml:space="preserve">na szczeblu europejskim </w:t>
            </w:r>
            <w:r w:rsidRPr="000202F9">
              <w:t>sł</w:t>
            </w:r>
            <w:r w:rsidRPr="000202F9">
              <w:t xml:space="preserve">użących do pomiaru skutków praktycznych niniejszej dyrektywy. Podczas opracowywania wskaźników Komisja </w:t>
            </w:r>
            <w:r w:rsidRPr="000202F9">
              <w:rPr>
                <w:b/>
                <w:i/>
              </w:rPr>
              <w:t>zasięga</w:t>
            </w:r>
            <w:r w:rsidRPr="000202F9">
              <w:t xml:space="preserve"> rady Agencji Praw Podstawowych Unii Europejskiej oraz Europejskiego Instytutu ds. Równości Kobiet i Mężczyzn</w:t>
            </w:r>
            <w:r w:rsidRPr="000202F9">
              <w:rPr>
                <w:b/>
                <w:i/>
              </w:rPr>
              <w:t xml:space="preserve"> oraz europejskiej sieci krajowych or</w:t>
            </w:r>
            <w:r w:rsidRPr="000202F9">
              <w:rPr>
                <w:b/>
                <w:i/>
              </w:rPr>
              <w:t>ganów ds. równości (EQUINET)</w:t>
            </w:r>
            <w:r w:rsidRPr="000202F9">
              <w:t xml:space="preserve">. Wskaźniki te obejmują </w:t>
            </w:r>
            <w:r w:rsidRPr="000202F9">
              <w:rPr>
                <w:b/>
                <w:i/>
              </w:rPr>
              <w:t>adekwatność zasobów, w tym zasobów finansowych i kadrowych</w:t>
            </w:r>
            <w:r w:rsidRPr="000202F9">
              <w:t xml:space="preserve">, </w:t>
            </w:r>
            <w:r w:rsidRPr="000202F9">
              <w:rPr>
                <w:b/>
                <w:i/>
              </w:rPr>
              <w:t>kluczowe elementy niezależności</w:t>
            </w:r>
            <w:r w:rsidRPr="000202F9">
              <w:t>, działalność i skuteczność organów ds. równości, jak również rozwój ich kompetencji, uprawnień lub struktury, w </w:t>
            </w:r>
            <w:r w:rsidRPr="000202F9">
              <w:t>sposób zapewniający porównywalność, obiektywność i wiarygodność danych gromadzonych na poziomie krajowym.</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94</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16 – ustęp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 xml:space="preserve">Tekst </w:t>
            </w:r>
            <w:r w:rsidRPr="000202F9">
              <w:t>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w:t>
            </w:r>
            <w:r w:rsidRPr="000202F9">
              <w:tab/>
              <w:t>W terminie do [</w:t>
            </w:r>
            <w:r w:rsidRPr="000202F9">
              <w:rPr>
                <w:b/>
                <w:i/>
              </w:rPr>
              <w:t>5</w:t>
            </w:r>
            <w:r w:rsidRPr="000202F9">
              <w:t xml:space="preserve"> lat od daty transpozycji], a następnie co </w:t>
            </w:r>
            <w:r w:rsidRPr="000202F9">
              <w:rPr>
                <w:b/>
                <w:i/>
              </w:rPr>
              <w:t>5</w:t>
            </w:r>
            <w:r w:rsidRPr="000202F9">
              <w:t xml:space="preserve"> lat, państwa członkowskie dostarczają Komisji wszystkie istotne informacje na temat stosowania niniejszej dyrektywy, w tym dane dotyczące jej skutków praktycznych, gromadzone na podstawie wskaźników, o których mowa w ust. 1 niniejszego artykułu, w szczegó</w:t>
            </w:r>
            <w:r w:rsidRPr="000202F9">
              <w:t>lności uwzględniając sprawozdania sporządzane przez organy ds. równości na podstawie art. 14 lit. b) oraz c).</w:t>
            </w:r>
          </w:p>
        </w:tc>
        <w:tc>
          <w:tcPr>
            <w:tcW w:w="4876" w:type="dxa"/>
            <w:hideMark/>
          </w:tcPr>
          <w:p w:rsidR="008429B6" w:rsidRPr="000202F9" w:rsidRDefault="0079015F" w:rsidP="00823CA1">
            <w:pPr>
              <w:pStyle w:val="Normal6"/>
              <w:rPr>
                <w:szCs w:val="24"/>
              </w:rPr>
            </w:pPr>
            <w:r w:rsidRPr="000202F9">
              <w:t>2.</w:t>
            </w:r>
            <w:r w:rsidRPr="000202F9">
              <w:tab/>
              <w:t>W terminie do [</w:t>
            </w:r>
            <w:r w:rsidRPr="000202F9">
              <w:rPr>
                <w:b/>
                <w:i/>
              </w:rPr>
              <w:t>2</w:t>
            </w:r>
            <w:r w:rsidRPr="000202F9">
              <w:t xml:space="preserve"> lat od daty transpozycji], a następnie co </w:t>
            </w:r>
            <w:r w:rsidRPr="000202F9">
              <w:rPr>
                <w:b/>
                <w:i/>
              </w:rPr>
              <w:t>2</w:t>
            </w:r>
            <w:r w:rsidRPr="000202F9">
              <w:t xml:space="preserve"> lat, państwa członkowskie dostarczają Komisji wszystkie istotne informacje na tema</w:t>
            </w:r>
            <w:r w:rsidRPr="000202F9">
              <w:t>t stosowania niniejszej dyrektywy, w tym dane dotyczące jej skutków praktycznych, gromadzone na podstawie wskaźników, o których mowa w ust. 1 niniejszego artykułu, w szczególności uwzględniając sprawozdania sporządzane przez organy ds. równości na podstawi</w:t>
            </w:r>
            <w:r w:rsidRPr="000202F9">
              <w:t>e art. 14 lit. b) oraz c).</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95</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16 – ustęp 3</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3.</w:t>
            </w:r>
            <w:r w:rsidRPr="000202F9">
              <w:tab/>
              <w:t xml:space="preserve">Komisja sporządza sprawozdanie dotyczące </w:t>
            </w:r>
            <w:r w:rsidRPr="000202F9">
              <w:t>stosowania i skutków praktycznych niniejszej dyrektywy na podstawie informacji, o których mowa w ust. 2, oraz dodatkowych istotnych danych gromadzonych na poziomie krajowym i unijnym, w szczególności od zainteresowanych podmiotów, przez Agencję Praw Podsta</w:t>
            </w:r>
            <w:r w:rsidRPr="000202F9">
              <w:t>wowych Unii Europejskiej oraz Europejski Instytut ds. Równości Kobiet i Mężczyzn.</w:t>
            </w:r>
          </w:p>
        </w:tc>
        <w:tc>
          <w:tcPr>
            <w:tcW w:w="4876" w:type="dxa"/>
            <w:hideMark/>
          </w:tcPr>
          <w:p w:rsidR="008429B6" w:rsidRPr="000202F9" w:rsidRDefault="0079015F" w:rsidP="00823CA1">
            <w:pPr>
              <w:pStyle w:val="Normal6"/>
              <w:rPr>
                <w:szCs w:val="24"/>
              </w:rPr>
            </w:pPr>
            <w:r w:rsidRPr="000202F9">
              <w:t>3.</w:t>
            </w:r>
            <w:r w:rsidRPr="000202F9">
              <w:tab/>
              <w:t>Komisja sporządza sprawozdanie dotyczące stosowania i skutków praktycznych niniejszej dyrektywy na podstawie informacji, o których mowa w ust. 2, oraz dodatkowych istotnyc</w:t>
            </w:r>
            <w:r w:rsidRPr="000202F9">
              <w:t xml:space="preserve">h danych gromadzonych na poziomie krajowym i unijnym, w szczególności od </w:t>
            </w:r>
            <w:r w:rsidRPr="000202F9">
              <w:rPr>
                <w:b/>
                <w:i/>
              </w:rPr>
              <w:t xml:space="preserve">organów ds. równości, europejskiej sieci krajowych organów ds. równości (EQUINET), organizacji społeczeństwa obywatelskiego, </w:t>
            </w:r>
            <w:r w:rsidRPr="000202F9">
              <w:t>zainteresowanych podmiotów, przez Agencję Praw Podstawowyc</w:t>
            </w:r>
            <w:r w:rsidRPr="000202F9">
              <w:t xml:space="preserve">h Unii Europejskiej oraz Europejski Instytut ds. Równości Kobiet i Mężczyzn. </w:t>
            </w:r>
            <w:r w:rsidRPr="000202F9">
              <w:rPr>
                <w:b/>
                <w:i/>
              </w:rPr>
              <w:t>Sprawozdanie może zawierać szczegółową ocenę niezależnego funkcjonowania organów ds. równości. Skargi dotyczące wszelkich ingerencji można składać do Komisji, która będzie dalej b</w:t>
            </w:r>
            <w:r w:rsidRPr="000202F9">
              <w:rPr>
                <w:b/>
                <w:i/>
              </w:rPr>
              <w:t>adać zarzuty i oceniać je w swoim rocznym sprawozdaniu na temat praworządności w ramach kwestii instytucjonalnych związanych z mechanizmami kontroli i równowagi.</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96</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16 – ustęp 3 a (nowy)</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tcPr>
          <w:p w:rsidR="008429B6" w:rsidRPr="000202F9" w:rsidRDefault="008429B6" w:rsidP="00823CA1">
            <w:pPr>
              <w:pStyle w:val="Normal6"/>
            </w:pPr>
          </w:p>
        </w:tc>
        <w:tc>
          <w:tcPr>
            <w:tcW w:w="4876" w:type="dxa"/>
            <w:hideMark/>
          </w:tcPr>
          <w:p w:rsidR="008429B6" w:rsidRPr="000202F9" w:rsidRDefault="0079015F" w:rsidP="00823CA1">
            <w:pPr>
              <w:pStyle w:val="Normal6"/>
              <w:rPr>
                <w:szCs w:val="24"/>
              </w:rPr>
            </w:pPr>
            <w:r w:rsidRPr="000202F9">
              <w:rPr>
                <w:b/>
                <w:i/>
              </w:rPr>
              <w:t>3a.</w:t>
            </w:r>
            <w:r w:rsidRPr="000202F9">
              <w:rPr>
                <w:b/>
                <w:i/>
              </w:rPr>
              <w:tab/>
              <w:t>Komisja może wydawać zalecenia dotyczące działań następczych, w przypadku gdy w ramach monitorowania przeciwdziałania dyskryminacji w państwach członkowskich</w:t>
            </w:r>
            <w:r w:rsidRPr="000202F9">
              <w:rPr>
                <w:b/>
                <w:i/>
              </w:rPr>
              <w:t xml:space="preserve"> odnotuje niepokojące zmiany w danym państwie członkowskim.</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97</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18 – ustęp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1.</w:t>
            </w:r>
            <w:r w:rsidRPr="000202F9">
              <w:tab/>
              <w:t xml:space="preserve">Państwa </w:t>
            </w:r>
            <w:r w:rsidRPr="000202F9">
              <w:t>członkowskie zapewniają, aby organy ds. równości mogły gromadzić dane osobowe tylko wówczas, gdy jest to konieczne do wykonania zadań powierzonych im na mocy niniejszej dyrektywy.</w:t>
            </w:r>
          </w:p>
        </w:tc>
        <w:tc>
          <w:tcPr>
            <w:tcW w:w="4876" w:type="dxa"/>
            <w:hideMark/>
          </w:tcPr>
          <w:p w:rsidR="008429B6" w:rsidRPr="000202F9" w:rsidRDefault="0079015F" w:rsidP="00823CA1">
            <w:pPr>
              <w:pStyle w:val="Normal6"/>
              <w:rPr>
                <w:szCs w:val="24"/>
              </w:rPr>
            </w:pPr>
            <w:r w:rsidRPr="000202F9">
              <w:t>1.</w:t>
            </w:r>
            <w:r w:rsidRPr="000202F9">
              <w:tab/>
              <w:t xml:space="preserve">Państwa członkowskie zapewniają, aby organy ds. równości mogły gromadzić </w:t>
            </w:r>
            <w:r w:rsidRPr="000202F9">
              <w:rPr>
                <w:b/>
                <w:i/>
              </w:rPr>
              <w:t xml:space="preserve">i przetwarzać </w:t>
            </w:r>
            <w:r w:rsidRPr="000202F9">
              <w:t>dane osobowe tylko wówczas, gdy jest to konieczne do wykonania zadań powierzonych im na mocy niniejszej dyrektywy</w:t>
            </w:r>
            <w:r w:rsidRPr="000202F9">
              <w:rPr>
                <w:b/>
                <w:i/>
              </w:rPr>
              <w:t xml:space="preserve"> oraz w przypadku, gdy gromadzenie i przetwarzanie danych jest w pełni zgodne z rozporządzeniem (UE) 2016/679</w:t>
            </w:r>
            <w:r w:rsidRPr="000202F9">
              <w:t>.</w:t>
            </w:r>
          </w:p>
        </w:tc>
      </w:tr>
    </w:tbl>
    <w:p w:rsidR="008429B6" w:rsidRPr="000202F9" w:rsidRDefault="0079015F" w:rsidP="008429B6">
      <w:r w:rsidRPr="000202F9">
        <w:rPr>
          <w:rStyle w:val="HideTWBExt"/>
        </w:rPr>
        <w:t>&lt;/Amend&gt;</w:t>
      </w:r>
    </w:p>
    <w:p w:rsidR="008429B6" w:rsidRPr="000202F9" w:rsidRDefault="0079015F" w:rsidP="008429B6">
      <w:pPr>
        <w:pStyle w:val="AmNumberTabs"/>
      </w:pPr>
      <w:r w:rsidRPr="000202F9">
        <w:rPr>
          <w:rStyle w:val="HideTWBExt"/>
          <w:b w:val="0"/>
        </w:rPr>
        <w:t>&lt;Amend&gt;</w:t>
      </w:r>
      <w:r w:rsidRPr="000202F9">
        <w:t>P</w:t>
      </w:r>
      <w:r w:rsidRPr="000202F9">
        <w:t>oprawka</w:t>
      </w:r>
      <w:r w:rsidRPr="000202F9">
        <w:tab/>
      </w:r>
      <w:r w:rsidRPr="000202F9">
        <w:tab/>
      </w:r>
      <w:r w:rsidRPr="000202F9">
        <w:rPr>
          <w:rStyle w:val="HideTWBExt"/>
          <w:b w:val="0"/>
        </w:rPr>
        <w:t>&lt;NumAm&gt;</w:t>
      </w:r>
      <w:r w:rsidRPr="000202F9">
        <w:t>98</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18 – ustęp 2</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2.</w:t>
            </w:r>
            <w:r w:rsidRPr="000202F9">
              <w:tab/>
              <w:t xml:space="preserve">Państwa członkowskie dopilnowują, aby w przypadku gdy organy ds. równości przetwarzają </w:t>
            </w:r>
            <w:r w:rsidRPr="000202F9">
              <w:t xml:space="preserve">szczególne kategorie danych osobowych, mianowicie dane dotyczące pochodzenia rasowego lub etnicznego, religii lub przekonań, </w:t>
            </w:r>
            <w:r w:rsidRPr="000202F9">
              <w:lastRenderedPageBreak/>
              <w:t>niepełnosprawności lub orientacji seksualnej, zapewniono odpowiednie i konkretne środki zabezpieczające prawa podstawowe i interesy</w:t>
            </w:r>
            <w:r w:rsidRPr="000202F9">
              <w:t xml:space="preserve"> osób, których dane dotyczą.</w:t>
            </w:r>
          </w:p>
        </w:tc>
        <w:tc>
          <w:tcPr>
            <w:tcW w:w="4876" w:type="dxa"/>
            <w:hideMark/>
          </w:tcPr>
          <w:p w:rsidR="008429B6" w:rsidRPr="000202F9" w:rsidRDefault="0079015F" w:rsidP="00823CA1">
            <w:pPr>
              <w:pStyle w:val="Normal6"/>
              <w:rPr>
                <w:szCs w:val="24"/>
              </w:rPr>
            </w:pPr>
            <w:r w:rsidRPr="000202F9">
              <w:lastRenderedPageBreak/>
              <w:t>2.</w:t>
            </w:r>
            <w:r w:rsidRPr="000202F9">
              <w:tab/>
              <w:t>Państwa członkowskie dopilnowują, aby w przypadku gdy organy ds. równości przetwarzają szczególne kategorie danych osobowych</w:t>
            </w:r>
            <w:r w:rsidRPr="000202F9">
              <w:rPr>
                <w:b/>
                <w:i/>
              </w:rPr>
              <w:t xml:space="preserve"> w rozumieniu rozporządzenia (UE) 2016/679</w:t>
            </w:r>
            <w:r w:rsidRPr="000202F9">
              <w:t xml:space="preserve">, mianowicie dane dotyczące </w:t>
            </w:r>
            <w:r w:rsidRPr="000202F9">
              <w:lastRenderedPageBreak/>
              <w:t>pochodzenia rasowego lub etnic</w:t>
            </w:r>
            <w:r w:rsidRPr="000202F9">
              <w:t>znego, religii lub przekonań, niepełnosprawności</w:t>
            </w:r>
            <w:r w:rsidRPr="000202F9">
              <w:rPr>
                <w:b/>
                <w:i/>
              </w:rPr>
              <w:t>, życia seksualnego danej osoby</w:t>
            </w:r>
            <w:r w:rsidRPr="000202F9">
              <w:t xml:space="preserve"> lub </w:t>
            </w:r>
            <w:r w:rsidRPr="000202F9">
              <w:rPr>
                <w:b/>
                <w:i/>
              </w:rPr>
              <w:t xml:space="preserve">jej </w:t>
            </w:r>
            <w:r w:rsidRPr="000202F9">
              <w:t xml:space="preserve">orientacji seksualnej, </w:t>
            </w:r>
            <w:r w:rsidRPr="000202F9">
              <w:rPr>
                <w:b/>
                <w:i/>
              </w:rPr>
              <w:t>zdrowia, danych biometrycznych lub genetycznych, przetwarzanie to odbywało się w pełnej zgodności z art. 9 rozporządzenia (UE) 2016/679, oraz aby</w:t>
            </w:r>
            <w:r w:rsidRPr="000202F9">
              <w:rPr>
                <w:b/>
                <w:i/>
              </w:rPr>
              <w:t xml:space="preserve"> </w:t>
            </w:r>
            <w:r w:rsidRPr="000202F9">
              <w:t>zapewniono odpowiednie i konkretne środki zabezpieczające prawa podstawowe i interesy osób, których dane dotyczą</w:t>
            </w:r>
            <w:r w:rsidRPr="000202F9">
              <w:rPr>
                <w:b/>
                <w:i/>
              </w:rPr>
              <w:t>, zgodnie z art. 9 ust. 2 lit. g) rozporządzenia (UE) 2016/679</w:t>
            </w:r>
            <w:r w:rsidRPr="000202F9">
              <w:t>.</w:t>
            </w:r>
          </w:p>
        </w:tc>
      </w:tr>
    </w:tbl>
    <w:p w:rsidR="008429B6" w:rsidRPr="000202F9" w:rsidRDefault="0079015F" w:rsidP="008429B6">
      <w:r w:rsidRPr="000202F9">
        <w:rPr>
          <w:rStyle w:val="HideTWBExt"/>
        </w:rPr>
        <w:lastRenderedPageBreak/>
        <w:t>&lt;/Amend&gt;</w:t>
      </w:r>
    </w:p>
    <w:p w:rsidR="008429B6" w:rsidRPr="000202F9" w:rsidRDefault="0079015F" w:rsidP="008429B6">
      <w:pPr>
        <w:pStyle w:val="AmNumberTabs"/>
      </w:pPr>
      <w:r w:rsidRPr="000202F9">
        <w:rPr>
          <w:rStyle w:val="HideTWBExt"/>
          <w:b w:val="0"/>
        </w:rPr>
        <w:t>&lt;Amend&gt;</w:t>
      </w:r>
      <w:r w:rsidRPr="000202F9">
        <w:t>Poprawka</w:t>
      </w:r>
      <w:r w:rsidRPr="000202F9">
        <w:tab/>
      </w:r>
      <w:r w:rsidRPr="000202F9">
        <w:tab/>
      </w:r>
      <w:r w:rsidRPr="000202F9">
        <w:rPr>
          <w:rStyle w:val="HideTWBExt"/>
          <w:b w:val="0"/>
        </w:rPr>
        <w:t>&lt;NumAm&gt;</w:t>
      </w:r>
      <w:r w:rsidRPr="000202F9">
        <w:t>99</w:t>
      </w:r>
      <w:r w:rsidRPr="000202F9">
        <w:rPr>
          <w:rStyle w:val="HideTWBExt"/>
          <w:b w:val="0"/>
        </w:rPr>
        <w:t>&lt;/NumAm&gt;</w:t>
      </w:r>
    </w:p>
    <w:p w:rsidR="008429B6" w:rsidRPr="000202F9" w:rsidRDefault="008429B6" w:rsidP="008429B6"/>
    <w:p w:rsidR="008429B6" w:rsidRPr="000202F9" w:rsidRDefault="0079015F" w:rsidP="008429B6">
      <w:pPr>
        <w:pStyle w:val="NormalBold"/>
        <w:keepNext/>
      </w:pPr>
      <w:r w:rsidRPr="000202F9">
        <w:rPr>
          <w:rStyle w:val="HideTWBExt"/>
          <w:b w:val="0"/>
        </w:rPr>
        <w:t>&lt;DocAmend&gt;</w:t>
      </w:r>
      <w:r w:rsidRPr="000202F9">
        <w:t>Wniosek dotyczący dyrek</w:t>
      </w:r>
      <w:r w:rsidRPr="000202F9">
        <w:t>tywy</w:t>
      </w:r>
      <w:r w:rsidRPr="000202F9">
        <w:rPr>
          <w:rStyle w:val="HideTWBExt"/>
          <w:b w:val="0"/>
        </w:rPr>
        <w:t>&lt;/DocAmend&gt;</w:t>
      </w:r>
    </w:p>
    <w:p w:rsidR="008429B6" w:rsidRPr="000202F9" w:rsidRDefault="0079015F" w:rsidP="008429B6">
      <w:pPr>
        <w:pStyle w:val="NormalBold"/>
      </w:pPr>
      <w:r w:rsidRPr="000202F9">
        <w:rPr>
          <w:rStyle w:val="HideTWBExt"/>
          <w:b w:val="0"/>
        </w:rPr>
        <w:t>&lt;Article&gt;</w:t>
      </w:r>
      <w:r w:rsidRPr="000202F9">
        <w:t>Artykuł 20 – ustęp 1 – akapit 1</w:t>
      </w:r>
      <w:r w:rsidRPr="000202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13F61" w:rsidRPr="000202F9" w:rsidTr="00823CA1">
        <w:trPr>
          <w:jc w:val="center"/>
        </w:trPr>
        <w:tc>
          <w:tcPr>
            <w:tcW w:w="9752" w:type="dxa"/>
            <w:gridSpan w:val="2"/>
          </w:tcPr>
          <w:p w:rsidR="008429B6" w:rsidRPr="000202F9" w:rsidRDefault="008429B6" w:rsidP="00823CA1">
            <w:pPr>
              <w:keepNext/>
            </w:pPr>
          </w:p>
        </w:tc>
      </w:tr>
      <w:tr w:rsidR="00313F61" w:rsidRPr="000202F9" w:rsidTr="00823CA1">
        <w:trPr>
          <w:jc w:val="center"/>
        </w:trPr>
        <w:tc>
          <w:tcPr>
            <w:tcW w:w="4876" w:type="dxa"/>
            <w:hideMark/>
          </w:tcPr>
          <w:p w:rsidR="008429B6" w:rsidRPr="000202F9" w:rsidRDefault="0079015F" w:rsidP="00823CA1">
            <w:pPr>
              <w:pStyle w:val="ColumnHeading"/>
              <w:keepNext/>
            </w:pPr>
            <w:r w:rsidRPr="000202F9">
              <w:t>Tekst proponowany przez Komisję</w:t>
            </w:r>
          </w:p>
        </w:tc>
        <w:tc>
          <w:tcPr>
            <w:tcW w:w="4876" w:type="dxa"/>
            <w:hideMark/>
          </w:tcPr>
          <w:p w:rsidR="008429B6" w:rsidRPr="000202F9" w:rsidRDefault="0079015F" w:rsidP="00823CA1">
            <w:pPr>
              <w:pStyle w:val="ColumnHeading"/>
              <w:keepNext/>
            </w:pPr>
            <w:r w:rsidRPr="000202F9">
              <w:t>Poprawka</w:t>
            </w:r>
          </w:p>
        </w:tc>
      </w:tr>
      <w:tr w:rsidR="00313F61" w:rsidRPr="000202F9" w:rsidTr="00823CA1">
        <w:trPr>
          <w:jc w:val="center"/>
        </w:trPr>
        <w:tc>
          <w:tcPr>
            <w:tcW w:w="4876" w:type="dxa"/>
            <w:hideMark/>
          </w:tcPr>
          <w:p w:rsidR="008429B6" w:rsidRPr="000202F9" w:rsidRDefault="0079015F" w:rsidP="00823CA1">
            <w:pPr>
              <w:pStyle w:val="Normal6"/>
            </w:pPr>
            <w:r w:rsidRPr="000202F9">
              <w:t xml:space="preserve">Państwa członkowskie wprowadzają w życie przepisy ustawowe, wykonawcze i administracyjne niezbędne do wykonania niniejszej dyrektywy najpóźniej </w:t>
            </w:r>
            <w:r w:rsidRPr="000202F9">
              <w:t>w terminie [</w:t>
            </w:r>
            <w:r w:rsidRPr="000202F9">
              <w:rPr>
                <w:b/>
                <w:i/>
              </w:rPr>
              <w:t>18</w:t>
            </w:r>
            <w:r w:rsidRPr="000202F9">
              <w:t xml:space="preserve"> miesięcy]. Państwa członkowskie bezzwłocznie powiadamiają o tym Komisję.</w:t>
            </w:r>
          </w:p>
        </w:tc>
        <w:tc>
          <w:tcPr>
            <w:tcW w:w="4876" w:type="dxa"/>
            <w:hideMark/>
          </w:tcPr>
          <w:p w:rsidR="008429B6" w:rsidRPr="000202F9" w:rsidRDefault="0079015F" w:rsidP="00823CA1">
            <w:pPr>
              <w:pStyle w:val="Normal6"/>
              <w:rPr>
                <w:szCs w:val="24"/>
              </w:rPr>
            </w:pPr>
            <w:r w:rsidRPr="000202F9">
              <w:t>Państwa członkowskie wprowadzają w życie przepisy ustawowe, wykonawcze i administracyjne niezbędne do wykonania niniejszej dyrektywy najpóźniej w terminie [</w:t>
            </w:r>
            <w:r w:rsidRPr="000202F9">
              <w:rPr>
                <w:b/>
                <w:i/>
              </w:rPr>
              <w:t>12</w:t>
            </w:r>
            <w:r w:rsidRPr="000202F9">
              <w:t xml:space="preserve"> miesięcy]. Państwa członkowskie bezzwłocznie powiadamiają o tym Komisję.</w:t>
            </w:r>
          </w:p>
        </w:tc>
      </w:tr>
    </w:tbl>
    <w:p w:rsidR="008429B6" w:rsidRPr="000202F9" w:rsidRDefault="0079015F" w:rsidP="008429B6">
      <w:r w:rsidRPr="000202F9">
        <w:rPr>
          <w:rStyle w:val="HideTWBExt"/>
        </w:rPr>
        <w:t>&lt;/Amend&gt;</w:t>
      </w:r>
    </w:p>
    <w:p w:rsidR="008429B6" w:rsidRPr="000202F9" w:rsidRDefault="008429B6" w:rsidP="008429B6">
      <w:pPr>
        <w:rPr>
          <w:rStyle w:val="HideTWBExt"/>
          <w:szCs w:val="20"/>
        </w:rPr>
      </w:pPr>
    </w:p>
    <w:p w:rsidR="007D7414" w:rsidRPr="000202F9" w:rsidRDefault="0079015F" w:rsidP="007D7414">
      <w:r w:rsidRPr="000202F9">
        <w:rPr>
          <w:rStyle w:val="HideTWBExt"/>
        </w:rPr>
        <w:t>&lt;/RepeatBlock-Amend&gt;</w:t>
      </w:r>
    </w:p>
    <w:p w:rsidR="007D7414" w:rsidRPr="000202F9" w:rsidRDefault="007D7414" w:rsidP="00DB56E4"/>
    <w:p w:rsidR="00FE4134" w:rsidRPr="000202F9" w:rsidRDefault="00FE4134" w:rsidP="00DB56E4">
      <w:pPr>
        <w:sectPr w:rsidR="00FE4134" w:rsidRPr="000202F9" w:rsidSect="000202F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E4134" w:rsidRPr="000202F9" w:rsidRDefault="0079015F" w:rsidP="00FE4134">
      <w:pPr>
        <w:pStyle w:val="PageHeadingNotTOC"/>
      </w:pPr>
      <w:r w:rsidRPr="000202F9">
        <w:lastRenderedPageBreak/>
        <w:t>UZASADNIENIE</w:t>
      </w:r>
    </w:p>
    <w:p w:rsidR="008B113D" w:rsidRPr="000202F9" w:rsidRDefault="0079015F" w:rsidP="008B113D">
      <w:pPr>
        <w:pStyle w:val="PageHeadingNotTOC"/>
        <w:jc w:val="left"/>
        <w:rPr>
          <w:rFonts w:ascii="Times New Roman" w:hAnsi="Times New Roman" w:cs="Times New Roman"/>
          <w:b w:val="0"/>
          <w:szCs w:val="24"/>
        </w:rPr>
      </w:pPr>
      <w:r w:rsidRPr="000202F9">
        <w:rPr>
          <w:rFonts w:ascii="Times New Roman" w:hAnsi="Times New Roman"/>
          <w:b w:val="0"/>
        </w:rPr>
        <w:t xml:space="preserve">Wszystkie ofiary dyskryminacji zasługują na równą ochronę, wsparcie i dostęp do wymiaru sprawiedliwości. Prawo do równego traktowania </w:t>
      </w:r>
      <w:r w:rsidRPr="000202F9">
        <w:rPr>
          <w:rFonts w:ascii="Times New Roman" w:hAnsi="Times New Roman"/>
          <w:b w:val="0"/>
        </w:rPr>
        <w:t>i niedyskryminacji stanowi prawo zapisane w Karcie i w Traktatach i należy zapewnić jego pełne poszanowanie. Na świecie obserwuje się jednak gwałtownie rosnący sprzeciw wobec równouprawnienia płci i innych praw podstawowych, a Europa nie jest wyjątkiem. Te</w:t>
      </w:r>
      <w:r w:rsidRPr="000202F9">
        <w:rPr>
          <w:rFonts w:ascii="Times New Roman" w:hAnsi="Times New Roman"/>
          <w:b w:val="0"/>
        </w:rPr>
        <w:t>raz ważniejsze niż kiedykolwiek jest, aby UE wypełniła swój obowiązek aktywnego i zdecydowanego zwalczania dyskryminacji. W tym względzie wzmocnienie roli i niezależności krajowych organów ds. równości jest ważnym krokiem w kierunku Unii wolnej od dyskrymi</w:t>
      </w:r>
      <w:r w:rsidRPr="000202F9">
        <w:rPr>
          <w:rFonts w:ascii="Times New Roman" w:hAnsi="Times New Roman"/>
          <w:b w:val="0"/>
        </w:rPr>
        <w:t>nacji.</w:t>
      </w:r>
    </w:p>
    <w:p w:rsidR="008B113D" w:rsidRPr="000202F9" w:rsidRDefault="0079015F" w:rsidP="008B113D">
      <w:pPr>
        <w:pStyle w:val="PageHeadingNotTOC"/>
        <w:jc w:val="left"/>
        <w:rPr>
          <w:rFonts w:ascii="Times New Roman" w:hAnsi="Times New Roman" w:cs="Times New Roman"/>
          <w:b w:val="0"/>
          <w:szCs w:val="24"/>
        </w:rPr>
      </w:pPr>
      <w:r w:rsidRPr="000202F9">
        <w:rPr>
          <w:rFonts w:ascii="Times New Roman" w:hAnsi="Times New Roman"/>
          <w:b w:val="0"/>
        </w:rPr>
        <w:t>Co piąta osoba w UE doświadcza dyskryminacji lub nękania z różnych powodów lub z kilku powodów. Niestety unijne ramy antydyskryminacyjne są fragmentaryczne i tworzą sztuczną „hierarchię” chronionych podstaw, co prowadzi do nierównej ochrony ofiar. N</w:t>
      </w:r>
      <w:r w:rsidRPr="000202F9">
        <w:rPr>
          <w:rFonts w:ascii="Times New Roman" w:hAnsi="Times New Roman"/>
          <w:b w:val="0"/>
        </w:rPr>
        <w:t>ależy pilnie rozwiązać tę kwestię. Dlatego szczególnie niepokojące jest to, że pomimo ponawianych apeli ze strony Parlamentu Europejskiego horyzontalna dyrektywa antydyskryminacyjna jest nadal blokowana przez Radę, co utrudnia postęp w tworzeniu spójnych r</w:t>
      </w:r>
      <w:r w:rsidRPr="000202F9">
        <w:rPr>
          <w:rFonts w:ascii="Times New Roman" w:hAnsi="Times New Roman"/>
          <w:b w:val="0"/>
        </w:rPr>
        <w:t>am antydyskryminacyjnych na poziomie unijnym. W tym kontekście obecne dyrektywy są okazją do zwiększenia ambicji i zapewnienia silnej ochrony przed dyskryminacją oraz wsparcia dla ofiar we wszystkich państwach członkowskich.</w:t>
      </w:r>
    </w:p>
    <w:p w:rsidR="008B113D" w:rsidRPr="000202F9" w:rsidRDefault="0079015F" w:rsidP="008B113D">
      <w:pPr>
        <w:pStyle w:val="PageHeadingNotTOC"/>
        <w:jc w:val="left"/>
        <w:rPr>
          <w:rFonts w:ascii="Times New Roman" w:hAnsi="Times New Roman" w:cs="Times New Roman"/>
          <w:b w:val="0"/>
          <w:szCs w:val="24"/>
        </w:rPr>
      </w:pPr>
      <w:r w:rsidRPr="000202F9">
        <w:rPr>
          <w:rFonts w:ascii="Times New Roman" w:hAnsi="Times New Roman"/>
          <w:b w:val="0"/>
        </w:rPr>
        <w:t>Organy ds. równości odgrywają f</w:t>
      </w:r>
      <w:r w:rsidRPr="000202F9">
        <w:rPr>
          <w:rFonts w:ascii="Times New Roman" w:hAnsi="Times New Roman"/>
          <w:b w:val="0"/>
        </w:rPr>
        <w:t>undamentalną rolę w promowaniu równości i zwalczaniu dyskryminacji. W szczególności mają one kluczowe znaczenie dla zapewniania wsparcia i</w:t>
      </w:r>
      <w:r w:rsidR="0008572E">
        <w:rPr>
          <w:rFonts w:ascii="Times New Roman" w:hAnsi="Times New Roman"/>
          <w:b w:val="0"/>
        </w:rPr>
        <w:t> </w:t>
      </w:r>
      <w:r w:rsidRPr="000202F9">
        <w:rPr>
          <w:rFonts w:ascii="Times New Roman" w:hAnsi="Times New Roman"/>
          <w:b w:val="0"/>
        </w:rPr>
        <w:t>pomocy ofiarom, podnoszenia świadomości, przeprowadzania niezależnych ankiet, publikowania sprawozdań i prowadzenia b</w:t>
      </w:r>
      <w:r w:rsidRPr="000202F9">
        <w:rPr>
          <w:rFonts w:ascii="Times New Roman" w:hAnsi="Times New Roman"/>
          <w:b w:val="0"/>
        </w:rPr>
        <w:t>adań, gromadzenia danych, monitorowania tendencji, wydawania zaleceń i zapewnienia wdrażania unijnych przepisów antydyskryminacyjnych na szczeblu krajowym. Brak wiążących standardów dotyczących ich kompetencji przyczynił się do nierównej ochrony przed dysk</w:t>
      </w:r>
      <w:r w:rsidRPr="000202F9">
        <w:rPr>
          <w:rFonts w:ascii="Times New Roman" w:hAnsi="Times New Roman"/>
          <w:b w:val="0"/>
        </w:rPr>
        <w:t>ryminacją w różnych państwach członkowskich. Minimalne wiążące standardy dla organów ds. równości zapewniłyby osiągnięcie ich pełnego potencjału.</w:t>
      </w:r>
    </w:p>
    <w:p w:rsidR="008B113D" w:rsidRPr="000202F9" w:rsidRDefault="0079015F" w:rsidP="008B113D">
      <w:pPr>
        <w:pStyle w:val="PageHeadingNotTOC"/>
        <w:jc w:val="left"/>
        <w:rPr>
          <w:rFonts w:ascii="Times New Roman" w:hAnsi="Times New Roman" w:cs="Times New Roman"/>
          <w:b w:val="0"/>
          <w:szCs w:val="24"/>
        </w:rPr>
      </w:pPr>
      <w:r w:rsidRPr="000202F9">
        <w:rPr>
          <w:rFonts w:ascii="Times New Roman" w:hAnsi="Times New Roman"/>
          <w:b w:val="0"/>
        </w:rPr>
        <w:t>Konieczne jest znaczne wzmocnienie minimalnych kompetencji organów ds. równości dzięki nowym dyrektywom. Należ</w:t>
      </w:r>
      <w:r w:rsidRPr="000202F9">
        <w:rPr>
          <w:rFonts w:ascii="Times New Roman" w:hAnsi="Times New Roman"/>
          <w:b w:val="0"/>
        </w:rPr>
        <w:t>y zagwarantować im pełną niezależność i autonomię oraz zapewnić ochronę przed cięciami budżetowymi i wpływami ze strony władz państwowych. Ponadto organom ds. równości należy przyznać uprawnienia decyzyjne, w tym prawo do przyjmowania skarg, uprawnienia do</w:t>
      </w:r>
      <w:r w:rsidRPr="000202F9">
        <w:rPr>
          <w:rFonts w:ascii="Times New Roman" w:hAnsi="Times New Roman"/>
          <w:b w:val="0"/>
        </w:rPr>
        <w:t xml:space="preserve"> prowadzenia dochodzeń i postępowań sądowych oraz prawo do nakładania proporcjonalnych i odstraszających sankcji. Ponadto organy ds.</w:t>
      </w:r>
      <w:r w:rsidR="0008572E">
        <w:rPr>
          <w:rFonts w:ascii="Times New Roman" w:hAnsi="Times New Roman"/>
          <w:b w:val="0"/>
        </w:rPr>
        <w:t> </w:t>
      </w:r>
      <w:r w:rsidRPr="000202F9">
        <w:rPr>
          <w:rFonts w:ascii="Times New Roman" w:hAnsi="Times New Roman"/>
          <w:b w:val="0"/>
        </w:rPr>
        <w:t>równości powinny być w stanie podejmować prawnie wiążące decyzje i wydawać niewiążące opinie, a także opracowywać zalecenia</w:t>
      </w:r>
      <w:r w:rsidRPr="000202F9">
        <w:rPr>
          <w:rFonts w:ascii="Times New Roman" w:hAnsi="Times New Roman"/>
          <w:b w:val="0"/>
        </w:rPr>
        <w:t xml:space="preserve"> i prowadzić monit</w:t>
      </w:r>
      <w:r w:rsidR="0008572E">
        <w:rPr>
          <w:rFonts w:ascii="Times New Roman" w:hAnsi="Times New Roman"/>
          <w:b w:val="0"/>
        </w:rPr>
        <w:t>orowanie działań następczych.</w:t>
      </w:r>
    </w:p>
    <w:p w:rsidR="008B113D" w:rsidRPr="000202F9" w:rsidRDefault="0079015F" w:rsidP="008B113D">
      <w:pPr>
        <w:pStyle w:val="PageHeadingNotTOC"/>
        <w:jc w:val="left"/>
        <w:rPr>
          <w:rFonts w:ascii="Times New Roman" w:hAnsi="Times New Roman" w:cs="Times New Roman"/>
          <w:b w:val="0"/>
          <w:szCs w:val="24"/>
        </w:rPr>
      </w:pPr>
      <w:r w:rsidRPr="000202F9">
        <w:rPr>
          <w:rFonts w:ascii="Times New Roman" w:hAnsi="Times New Roman"/>
          <w:b w:val="0"/>
        </w:rPr>
        <w:t>Organy ds. równości powinny mieć prawo do rozpatrywania, z własnej inicjatywy, wszystkich spraw wchodzących w zakres ich kompetencji. Dotyczy to również dyskryminacji strukturalnej. Brak przepisów krajowyc</w:t>
      </w:r>
      <w:r w:rsidRPr="000202F9">
        <w:rPr>
          <w:rFonts w:ascii="Times New Roman" w:hAnsi="Times New Roman"/>
          <w:b w:val="0"/>
        </w:rPr>
        <w:t>h dotyczących dyskryminacji strukturalnej, w</w:t>
      </w:r>
      <w:r w:rsidR="0008572E">
        <w:rPr>
          <w:rFonts w:ascii="Times New Roman" w:hAnsi="Times New Roman"/>
          <w:b w:val="0"/>
        </w:rPr>
        <w:t> </w:t>
      </w:r>
      <w:r w:rsidRPr="000202F9">
        <w:rPr>
          <w:rFonts w:ascii="Times New Roman" w:hAnsi="Times New Roman"/>
          <w:b w:val="0"/>
        </w:rPr>
        <w:t xml:space="preserve">połączeniu z ograniczonymi uprawnieniami procesowymi, utrudnia organom ds. równości </w:t>
      </w:r>
      <w:r w:rsidRPr="000202F9">
        <w:rPr>
          <w:rFonts w:ascii="Times New Roman" w:hAnsi="Times New Roman"/>
          <w:b w:val="0"/>
        </w:rPr>
        <w:lastRenderedPageBreak/>
        <w:t>podejmowanie działań i rozwój nowego orzecznictwa. Ponieważ osoby narażone na dyskryminację często znajdują się w trudnej sytua</w:t>
      </w:r>
      <w:r w:rsidRPr="000202F9">
        <w:rPr>
          <w:rFonts w:ascii="Times New Roman" w:hAnsi="Times New Roman"/>
          <w:b w:val="0"/>
        </w:rPr>
        <w:t>cji i nie są w stanie samodzielnie zaradzić dyskryminacji strukturalnej, ważne jest, aby organy ds. równości miały prawo do prowadzenia dochodzeń, gromadzenia dowodów i wszczynania postępowań sądowych z</w:t>
      </w:r>
      <w:r w:rsidR="0008572E">
        <w:rPr>
          <w:rFonts w:ascii="Times New Roman" w:hAnsi="Times New Roman"/>
          <w:b w:val="0"/>
        </w:rPr>
        <w:t> </w:t>
      </w:r>
      <w:r w:rsidRPr="000202F9">
        <w:rPr>
          <w:rFonts w:ascii="Times New Roman" w:hAnsi="Times New Roman"/>
          <w:b w:val="0"/>
        </w:rPr>
        <w:t>własnej inicjatywy i we własnym imieniu w celu ujawni</w:t>
      </w:r>
      <w:r w:rsidRPr="000202F9">
        <w:rPr>
          <w:rFonts w:ascii="Times New Roman" w:hAnsi="Times New Roman"/>
          <w:b w:val="0"/>
        </w:rPr>
        <w:t>enia i zajęcia się, czasem niedostrzegalnymi, normami i procesami w instytucjach, które prowadzą do pogłębienia istniejących nierówności.</w:t>
      </w:r>
    </w:p>
    <w:p w:rsidR="008B113D" w:rsidRPr="000202F9" w:rsidRDefault="0079015F" w:rsidP="008B113D">
      <w:pPr>
        <w:pStyle w:val="PageHeadingNotTOC"/>
        <w:jc w:val="left"/>
        <w:rPr>
          <w:rFonts w:ascii="Times New Roman" w:hAnsi="Times New Roman" w:cs="Times New Roman"/>
          <w:b w:val="0"/>
          <w:szCs w:val="24"/>
        </w:rPr>
      </w:pPr>
      <w:r w:rsidRPr="000202F9">
        <w:rPr>
          <w:rFonts w:ascii="Times New Roman" w:hAnsi="Times New Roman"/>
          <w:b w:val="0"/>
        </w:rPr>
        <w:t>Ważne jest również monitorowanie szybkiego rozwoju technologii cyfrowych, w tym sztucznej inteligencji. Istnieją powsz</w:t>
      </w:r>
      <w:r w:rsidRPr="000202F9">
        <w:rPr>
          <w:rFonts w:ascii="Times New Roman" w:hAnsi="Times New Roman"/>
          <w:b w:val="0"/>
        </w:rPr>
        <w:t>echne dowody na ryzyko związane z takimi systemami dla osób z grup szczególnie wrażliwych, ponieważ technologie oparte na dużych zbiorach danych i sztucznej inteligencji pogłębiają nierówności, dyskryminację, wykluczenie i</w:t>
      </w:r>
      <w:r w:rsidR="0008572E">
        <w:rPr>
          <w:rFonts w:ascii="Times New Roman" w:hAnsi="Times New Roman"/>
          <w:b w:val="0"/>
        </w:rPr>
        <w:t> </w:t>
      </w:r>
      <w:r w:rsidRPr="000202F9">
        <w:rPr>
          <w:rFonts w:ascii="Times New Roman" w:hAnsi="Times New Roman"/>
          <w:b w:val="0"/>
        </w:rPr>
        <w:t>ubóstwo. Z tego powodu ważne jest</w:t>
      </w:r>
      <w:r w:rsidRPr="000202F9">
        <w:rPr>
          <w:rFonts w:ascii="Times New Roman" w:hAnsi="Times New Roman"/>
          <w:b w:val="0"/>
        </w:rPr>
        <w:t>, aby organy ds. równości były wyposażone w</w:t>
      </w:r>
      <w:r w:rsidR="0008572E">
        <w:rPr>
          <w:rFonts w:ascii="Times New Roman" w:hAnsi="Times New Roman"/>
          <w:b w:val="0"/>
        </w:rPr>
        <w:t> </w:t>
      </w:r>
      <w:r w:rsidRPr="000202F9">
        <w:rPr>
          <w:rFonts w:ascii="Times New Roman" w:hAnsi="Times New Roman"/>
          <w:b w:val="0"/>
        </w:rPr>
        <w:t>wykwalifikowany personel, który będzie w stanie ujawniać i zwalczać dyskryminację w</w:t>
      </w:r>
      <w:r w:rsidR="0008572E">
        <w:rPr>
          <w:rFonts w:ascii="Times New Roman" w:hAnsi="Times New Roman"/>
          <w:b w:val="0"/>
        </w:rPr>
        <w:t> </w:t>
      </w:r>
      <w:r w:rsidRPr="000202F9">
        <w:rPr>
          <w:rFonts w:ascii="Times New Roman" w:hAnsi="Times New Roman"/>
          <w:b w:val="0"/>
        </w:rPr>
        <w:t>internecie, w ty</w:t>
      </w:r>
      <w:r w:rsidR="0008572E">
        <w:rPr>
          <w:rFonts w:ascii="Times New Roman" w:hAnsi="Times New Roman"/>
          <w:b w:val="0"/>
        </w:rPr>
        <w:t>m dyskryminację algorytmiczną.</w:t>
      </w:r>
    </w:p>
    <w:p w:rsidR="008B113D" w:rsidRPr="000202F9" w:rsidRDefault="0079015F" w:rsidP="008B113D">
      <w:pPr>
        <w:pStyle w:val="PageHeadingNotTOC"/>
        <w:jc w:val="left"/>
        <w:rPr>
          <w:rFonts w:ascii="Times New Roman" w:hAnsi="Times New Roman" w:cs="Times New Roman"/>
          <w:b w:val="0"/>
          <w:szCs w:val="24"/>
        </w:rPr>
      </w:pPr>
      <w:r w:rsidRPr="000202F9">
        <w:rPr>
          <w:rFonts w:ascii="Times New Roman" w:hAnsi="Times New Roman"/>
          <w:b w:val="0"/>
        </w:rPr>
        <w:t>Niniejsza dyrektywa musi umożliwiać organom ds. równości przeciwdziałanie dyskr</w:t>
      </w:r>
      <w:r w:rsidRPr="000202F9">
        <w:rPr>
          <w:rFonts w:ascii="Times New Roman" w:hAnsi="Times New Roman"/>
          <w:b w:val="0"/>
        </w:rPr>
        <w:t>yminacji krzyżowej. We wszystkich podejmowanych zadaniach organy ds. równości powinny stosować perspektywę ukierunkowaną na ten rodzaj dyskryminacji. Przyjęcie takiej perspektywy na potrzeby zwalczania dyskryminacji ma kluczowe znaczenie dla właściwego uwz</w:t>
      </w:r>
      <w:r w:rsidRPr="000202F9">
        <w:rPr>
          <w:rFonts w:ascii="Times New Roman" w:hAnsi="Times New Roman"/>
          <w:b w:val="0"/>
        </w:rPr>
        <w:t>ględnienia wyraźnych i szczególnych form dyskryminacji, z jakimi spotykają się ofiary ze względu na dwie przesłanki lub większą ich liczbę. W związku z tym, zgodnie z orzecznictwem TSUE, zakres stosowania dyrektywy powinien być jak najszerszy. Państwa czło</w:t>
      </w:r>
      <w:r w:rsidRPr="000202F9">
        <w:rPr>
          <w:rFonts w:ascii="Times New Roman" w:hAnsi="Times New Roman"/>
          <w:b w:val="0"/>
        </w:rPr>
        <w:t>nkowskie powinny promować i finansować organy ds. równości, aby uwzględnić wszystkie przesłanki dyskryminacji zgodnie z klauzulą otwartą zawartą w art. 21 Karty. Nie można osiągnąć równouprawnienia płci, jeśli nie zostaną wyeliminowane i zrozumiane wszystk</w:t>
      </w:r>
      <w:r w:rsidRPr="000202F9">
        <w:rPr>
          <w:rFonts w:ascii="Times New Roman" w:hAnsi="Times New Roman"/>
          <w:b w:val="0"/>
        </w:rPr>
        <w:t>ie typy dyskryminacji krzyżowej – zamierzonej i niezamierzonej – w ich formie indywidualnej, strukturalnej, instytucjonalnej i historycznej.</w:t>
      </w:r>
    </w:p>
    <w:p w:rsidR="003046E5" w:rsidRPr="000202F9" w:rsidRDefault="0079015F" w:rsidP="008B113D">
      <w:r w:rsidRPr="000202F9">
        <w:t>Organy ds. równości wykonują swoją pracę w coraz bardziej wymagającym środowisku, w</w:t>
      </w:r>
      <w:r w:rsidR="0008572E">
        <w:t> </w:t>
      </w:r>
      <w:r w:rsidRPr="000202F9">
        <w:t>którym dyskryminujące traktowan</w:t>
      </w:r>
      <w:r w:rsidRPr="000202F9">
        <w:t>ie, polityka i działania są w coraz większym stopniu normalizowane w naszych społeczeństwach, co jest nie do przyjęcia. Pomimo trudnej sytuacji, w jakiej się znalazły organy ds. równości, udowodniły już swój ogromny potencjał. Dlatego teraz należy zapewnić</w:t>
      </w:r>
      <w:r w:rsidRPr="000202F9">
        <w:t xml:space="preserve"> im narzędzia potrzebne do zdecydowanego zwalczania wszelkich form dyskryminacji. Nie ma czasu do stracenia.</w:t>
      </w:r>
    </w:p>
    <w:p w:rsidR="00FE4134" w:rsidRPr="000202F9" w:rsidRDefault="00FE4134" w:rsidP="00823CA1"/>
    <w:sectPr w:rsidR="00FE4134" w:rsidRPr="000202F9" w:rsidSect="00FE413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202F9" w:rsidRDefault="0079015F">
      <w:r w:rsidRPr="000202F9">
        <w:separator/>
      </w:r>
    </w:p>
  </w:endnote>
  <w:endnote w:type="continuationSeparator" w:id="0">
    <w:p w:rsidR="00000000" w:rsidRPr="000202F9" w:rsidRDefault="0079015F">
      <w:r w:rsidRPr="000202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2F9" w:rsidRPr="000202F9" w:rsidRDefault="000202F9" w:rsidP="000202F9">
    <w:pPr>
      <w:pStyle w:val="EPFooter"/>
    </w:pPr>
    <w:r w:rsidRPr="000202F9">
      <w:t>PE</w:t>
    </w:r>
    <w:r w:rsidRPr="000202F9">
      <w:rPr>
        <w:rStyle w:val="HideTWBExt"/>
      </w:rPr>
      <w:t>&lt;NoPE&gt;</w:t>
    </w:r>
    <w:r w:rsidRPr="000202F9">
      <w:t>751.894</w:t>
    </w:r>
    <w:r w:rsidRPr="000202F9">
      <w:rPr>
        <w:rStyle w:val="HideTWBExt"/>
      </w:rPr>
      <w:t>&lt;/NoPE&gt;&lt;Version&gt;</w:t>
    </w:r>
    <w:r w:rsidRPr="000202F9">
      <w:t>v03-00</w:t>
    </w:r>
    <w:r w:rsidRPr="000202F9">
      <w:rPr>
        <w:rStyle w:val="HideTWBExt"/>
      </w:rPr>
      <w:t>&lt;/Version&gt;</w:t>
    </w:r>
    <w:r w:rsidRPr="000202F9">
      <w:tab/>
    </w:r>
    <w:r w:rsidRPr="000202F9">
      <w:fldChar w:fldCharType="begin"/>
    </w:r>
    <w:r w:rsidRPr="000202F9">
      <w:instrText xml:space="preserve"> PAGE  \* MERGEFORMAT </w:instrText>
    </w:r>
    <w:r w:rsidRPr="000202F9">
      <w:fldChar w:fldCharType="separate"/>
    </w:r>
    <w:r w:rsidR="0079015F">
      <w:rPr>
        <w:noProof/>
      </w:rPr>
      <w:t>2</w:t>
    </w:r>
    <w:r w:rsidRPr="000202F9">
      <w:fldChar w:fldCharType="end"/>
    </w:r>
    <w:r w:rsidRPr="000202F9">
      <w:t>/</w:t>
    </w:r>
    <w:fldSimple w:instr=" NUMPAGES  \* MERGEFORMAT ">
      <w:r w:rsidR="0079015F">
        <w:rPr>
          <w:noProof/>
        </w:rPr>
        <w:t>60</w:t>
      </w:r>
    </w:fldSimple>
    <w:r w:rsidRPr="000202F9">
      <w:tab/>
    </w:r>
    <w:r w:rsidRPr="000202F9">
      <w:rPr>
        <w:rStyle w:val="HideTWBExt"/>
      </w:rPr>
      <w:t>&lt;PathFdR&gt;</w:t>
    </w:r>
    <w:r w:rsidRPr="000202F9">
      <w:t>AD\1287675PL.docx</w:t>
    </w:r>
    <w:r w:rsidRPr="000202F9">
      <w:rPr>
        <w:rStyle w:val="HideTWBExt"/>
      </w:rPr>
      <w:t>&lt;/PathFdR&gt;</w:t>
    </w:r>
  </w:p>
  <w:p w:rsidR="00A57BFD" w:rsidRPr="000202F9" w:rsidRDefault="000202F9" w:rsidP="000202F9">
    <w:pPr>
      <w:pStyle w:val="EPFooter2"/>
    </w:pPr>
    <w:r w:rsidRPr="000202F9">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2F9" w:rsidRPr="000202F9" w:rsidRDefault="000202F9" w:rsidP="000202F9">
    <w:pPr>
      <w:pStyle w:val="EPFooter"/>
    </w:pPr>
    <w:r w:rsidRPr="000202F9">
      <w:rPr>
        <w:rStyle w:val="HideTWBExt"/>
      </w:rPr>
      <w:t>&lt;PathFdR&gt;</w:t>
    </w:r>
    <w:r w:rsidRPr="000202F9">
      <w:t>AD\1287675PL.docx</w:t>
    </w:r>
    <w:r w:rsidRPr="000202F9">
      <w:rPr>
        <w:rStyle w:val="HideTWBExt"/>
      </w:rPr>
      <w:t>&lt;/PathFdR&gt;</w:t>
    </w:r>
    <w:r w:rsidRPr="000202F9">
      <w:tab/>
    </w:r>
    <w:r w:rsidRPr="000202F9">
      <w:fldChar w:fldCharType="begin"/>
    </w:r>
    <w:r w:rsidRPr="000202F9">
      <w:instrText xml:space="preserve"> PAGE  \* MERGEFORMAT </w:instrText>
    </w:r>
    <w:r w:rsidRPr="000202F9">
      <w:fldChar w:fldCharType="separate"/>
    </w:r>
    <w:r w:rsidR="0079015F">
      <w:rPr>
        <w:noProof/>
      </w:rPr>
      <w:t>59</w:t>
    </w:r>
    <w:r w:rsidRPr="000202F9">
      <w:fldChar w:fldCharType="end"/>
    </w:r>
    <w:r w:rsidRPr="000202F9">
      <w:t>/</w:t>
    </w:r>
    <w:fldSimple w:instr=" NUMPAGES  \* MERGEFORMAT ">
      <w:r w:rsidR="0079015F">
        <w:rPr>
          <w:noProof/>
        </w:rPr>
        <w:t>60</w:t>
      </w:r>
    </w:fldSimple>
    <w:r w:rsidRPr="000202F9">
      <w:tab/>
      <w:t>PE</w:t>
    </w:r>
    <w:r w:rsidRPr="000202F9">
      <w:rPr>
        <w:rStyle w:val="HideTWBExt"/>
      </w:rPr>
      <w:t>&lt;NoPE&gt;</w:t>
    </w:r>
    <w:r w:rsidRPr="000202F9">
      <w:t>751.894</w:t>
    </w:r>
    <w:r w:rsidRPr="000202F9">
      <w:rPr>
        <w:rStyle w:val="HideTWBExt"/>
      </w:rPr>
      <w:t>&lt;/NoPE&gt;&lt;Version&gt;</w:t>
    </w:r>
    <w:r w:rsidRPr="000202F9">
      <w:t>v03-00</w:t>
    </w:r>
    <w:r w:rsidRPr="000202F9">
      <w:rPr>
        <w:rStyle w:val="HideTWBExt"/>
      </w:rPr>
      <w:t>&lt;/Version&gt;</w:t>
    </w:r>
  </w:p>
  <w:p w:rsidR="00A57BFD" w:rsidRPr="000202F9" w:rsidRDefault="000202F9" w:rsidP="000202F9">
    <w:pPr>
      <w:pStyle w:val="EPFooter2"/>
    </w:pPr>
    <w:r w:rsidRPr="000202F9">
      <w:tab/>
    </w:r>
    <w:r w:rsidRPr="000202F9">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2F9" w:rsidRPr="000202F9" w:rsidRDefault="000202F9" w:rsidP="000202F9">
    <w:pPr>
      <w:pStyle w:val="EPFooter"/>
    </w:pPr>
    <w:r w:rsidRPr="000202F9">
      <w:rPr>
        <w:rStyle w:val="HideTWBExt"/>
      </w:rPr>
      <w:t>&lt;PathFdR&gt;</w:t>
    </w:r>
    <w:r w:rsidRPr="000202F9">
      <w:t>AD\1287675PL.docx</w:t>
    </w:r>
    <w:r w:rsidRPr="000202F9">
      <w:rPr>
        <w:rStyle w:val="HideTWBExt"/>
      </w:rPr>
      <w:t>&lt;/PathFdR&gt;</w:t>
    </w:r>
    <w:r w:rsidRPr="000202F9">
      <w:tab/>
    </w:r>
    <w:r w:rsidRPr="000202F9">
      <w:tab/>
      <w:t>PE</w:t>
    </w:r>
    <w:r w:rsidRPr="000202F9">
      <w:rPr>
        <w:rStyle w:val="HideTWBExt"/>
      </w:rPr>
      <w:t>&lt;NoPE&gt;</w:t>
    </w:r>
    <w:r w:rsidRPr="000202F9">
      <w:t>751.894</w:t>
    </w:r>
    <w:r w:rsidRPr="000202F9">
      <w:rPr>
        <w:rStyle w:val="HideTWBExt"/>
      </w:rPr>
      <w:t>&lt;/NoPE&gt;&lt;Version&gt;</w:t>
    </w:r>
    <w:r w:rsidRPr="000202F9">
      <w:t>v03-00</w:t>
    </w:r>
    <w:r w:rsidRPr="000202F9">
      <w:rPr>
        <w:rStyle w:val="HideTWBExt"/>
      </w:rPr>
      <w:t>&lt;/Version&gt;</w:t>
    </w:r>
  </w:p>
  <w:p w:rsidR="00A57BFD" w:rsidRPr="000202F9" w:rsidRDefault="000202F9" w:rsidP="000202F9">
    <w:pPr>
      <w:pStyle w:val="EPFooter2"/>
    </w:pPr>
    <w:r w:rsidRPr="000202F9">
      <w:t>PL</w:t>
    </w:r>
    <w:r w:rsidRPr="000202F9">
      <w:tab/>
    </w:r>
    <w:r w:rsidRPr="000202F9">
      <w:rPr>
        <w:b w:val="0"/>
        <w:i/>
        <w:color w:val="C0C0C0"/>
        <w:sz w:val="22"/>
      </w:rPr>
      <w:t>Zjednoczona w różnorodności</w:t>
    </w:r>
    <w:r w:rsidRPr="000202F9">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202F9" w:rsidRDefault="0079015F">
      <w:r w:rsidRPr="000202F9">
        <w:separator/>
      </w:r>
    </w:p>
  </w:footnote>
  <w:footnote w:type="continuationSeparator" w:id="0">
    <w:p w:rsidR="00000000" w:rsidRPr="000202F9" w:rsidRDefault="0079015F">
      <w:r w:rsidRPr="000202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15F" w:rsidRDefault="00790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15F" w:rsidRDefault="007901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15F" w:rsidRDefault="007901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JMNU" w:val="2"/>
    <w:docVar w:name="CODEMNU" w:val=" 1"/>
    <w:docVar w:name="COM2KEY" w:val="CJ21"/>
    <w:docVar w:name="COMKEY" w:val="LIBE"/>
    <w:docVar w:name="Consolidate" w:val="True"/>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59437 HideTWBInt;}}{\*\rsidtbl \rsid24658\rsid223860\rsid735077\rsid1718133\rsid2640088\rsid2892074_x000d__x000a_\rsid3565327\rsid4666813\rsid5659437\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3\mo7\dy19\hr19\min38}{\revtim\yr2023\mo7\dy19\hr19\min38}{\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59437\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640088 \chftnsep _x000d__x000a_\par }}{\*\ftnsepc \ltrpar \pard\plain \ltrpar\ql \li0\ri0\widctlpar\wrapdefault\aspalpha\aspnum\faauto\adjustright\rin0\lin0\itap0 \rtlch\fcs1 \af0\afs20\alang1025 \ltrch\fcs0 \fs24\lang2057\langfe2057\cgrid\langnp2057\langfenp2057 {\rtlch\fcs1 \af0 _x000d__x000a_\ltrch\fcs0 \insrsid2640088 \chftnsepc _x000d__x000a_\par }}{\*\aftnsep \ltrpar \pard\plain \ltrpar\ql \li0\ri0\widctlpar\wrapdefault\aspalpha\aspnum\faauto\adjustright\rin0\lin0\itap0 \rtlch\fcs1 \af0\afs20\alang1025 \ltrch\fcs0 \fs24\lang2057\langfe2057\cgrid\langnp2057\langfenp2057 {\rtlch\fcs1 \af0 _x000d__x000a_\ltrch\fcs0 \insrsid2640088 \chftnsep _x000d__x000a_\par }}{\*\aftnsepc \ltrpar \pard\plain \ltrpar\ql \li0\ri0\widctlpar\wrapdefault\aspalpha\aspnum\faauto\adjustright\rin0\lin0\itap0 \rtlch\fcs1 \af0\afs20\alang1025 \ltrch\fcs0 \fs24\lang2057\langfe2057\cgrid\langnp2057\langfenp2057 {\rtlch\fcs1 \af0 _x000d__x000a_\ltrch\fcs0 \insrsid26400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59437\charrsid4681841 {\*\bkmkstart ReplaceBookmark}#}{\rtlch\fcs1 \af1 \ltrch\fcs0 _x000d__x000a_\cs17\v\f1\fs20\cf15\insrsid5659437\charrsid4681841 &gt;&gt;&gt;CVAR@@AmendA}{\rtlch\fcs1 \af0 \ltrch\fcs0 \insrsid5659437\charrsid468184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5_x000d__x000a_ddcb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5396 HideTWBExt;}{_x000d__x000a_\s18\ql \li0\ri0\sa120\nowidctlpar\wrapdefault\aspalpha\aspnum\faauto\adjustright\rin0\lin0\itap0 \rtlch\fcs1 \af0\afs20\alang1025 \ltrch\fcs0 \fs24\lang2057\langfe2057\cgrid\langnp2057\langfenp2057 \sbasedon0 \snext18 \spriority0 \styrsid14555396 _x000d__x000a_Normal6a;}{\s19\ql \li0\ri0\nowidctlpar\wrapdefault\aspalpha\aspnum\faauto\adjustright\rin0\lin0\itap0 \rtlch\fcs1 \af0\afs20\alang1025 \ltrch\fcs0 \b\fs24\lang2057\langfe2057\cgrid\langnp2057\langfenp2057 \sbasedon0 \snext19 \spriority0 \styrsid14555396 _x000d__x000a_NormalBold;}{\*\cs20 \additive \v\f1\fs20\cf15 \spriority0 \styrsid14555396 HideTWBInt;}{\s21\qr \li0\ri0\sb240\sa240\nowidctlpar\wrapdefault\aspalpha\aspnum\faauto\adjustright\rin0\lin0\itap0 \rtlch\fcs1 \af0\afs20\alang1025 \ltrch\fcs0 _x000d__x000a_\fs24\lang2057\langfe2057\cgrid\langnp2057\langfenp2057 \sbasedon0 \snext21 \spriority0 \styrsid14555396 AmOrLang;}{\s22\qc \li0\ri0\sa240\nowidctlpar\wrapdefault\aspalpha\aspnum\faauto\adjustright\rin0\lin0\itap0 \rtlch\fcs1 \af0\afs20\alang1025 _x000d__x000a_\ltrch\fcs0 \i\fs24\lang2057\langfe2057\cgrid\langnp2057\langfenp2057 \sbasedon0 \snext22 \spriority0 \styrsid1455539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555396 AmNumberTabs;}{\s24\ql \li0\ri0\sb240\nowidctlpar\wrapdefault\aspalpha\aspnum\faauto\adjustright\rin0\lin0\itap0 \rtlch\fcs1 _x000d__x000a_\af0\afs20\alang1025 \ltrch\fcs0 \b\fs24\lang2057\langfe2057\cgrid\langnp2057\langfenp2057 \sbasedon0 \snext24 \spriority0 \styrsid14555396 NormalBold12b;}}{\*\rsidtbl \rsid24658\rsid223860\rsid278057\rsid735077\rsid1718133\rsid2892074\rsid3565327_x000d__x000a_\rsid4666813\rsid6641733\rsid7823322\rsid9636012\rsid10377208\rsid11215221\rsid11549030\rsid12154954\rsid14382809\rsid14424199\rsid14555396\rsid15204470\rsid15285974\rsid15950462\rsid16324206\rsid16662270}{\mmathPr\mmathFont34\mbrkBin0\mbrkBinSub0_x000d__x000a_\msmallFrac0\mdispDef1\mlMargin0\mrMargin0\mdefJc1\mwrapIndent1440\mintLim0\mnaryLim1}{\info{\author KOVACS-MALYI Krisztina}{\operator KOVACS-MALYI Krisztina}{\creatim\yr2023\mo7\dy19\hr19\min32}{\revtim\yr2023\mo7\dy19\hr19\min32}{\version1}{\edmins0}_x000d__x000a_{\nofpages1}{\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5396\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78057 \chftnsep _x000d__x000a_\par }}{\*\ftnsepc \ltrpar \pard\plain \ltrpar\ql \li0\ri0\widctlpar\wrapdefault\aspalpha\aspnum\faauto\adjustright\rin0\lin0\itap0 \rtlch\fcs1 \af0\afs20\alang1025 \ltrch\fcs0 \fs24\lang2057\langfe2057\cgrid\langnp2057\langfenp2057 {\rtlch\fcs1 \af0 _x000d__x000a_\ltrch\fcs0 \insrsid278057 \chftnsepc _x000d__x000a_\par }}{\*\aftnsep \ltrpar \pard\plain \ltrpar\ql \li0\ri0\widctlpar\wrapdefault\aspalpha\aspnum\faauto\adjustright\rin0\lin0\itap0 \rtlch\fcs1 \af0\afs20\alang1025 \ltrch\fcs0 \fs24\lang2057\langfe2057\cgrid\langnp2057\langfenp2057 {\rtlch\fcs1 \af0 _x000d__x000a_\ltrch\fcs0 \insrsid278057 \chftnsep _x000d__x000a_\par }}{\*\aftnsepc \ltrpar \pard\plain \ltrpar\ql \li0\ri0\widctlpar\wrapdefault\aspalpha\aspnum\faauto\adjustright\rin0\lin0\itap0 \rtlch\fcs1 \af0\afs20\alang1025 \ltrch\fcs0 \fs24\lang2057\langfe2057\cgrid\langnp2057\langfenp2057 {\rtlch\fcs1 \af0 _x000d__x000a_\ltrch\fcs0 \insrsid2780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555396 \rtlch\fcs1 _x000d__x000a_\af0\afs20\alang1025 \ltrch\fcs0 \b\fs24\lang2057\langfe2057\cgrid\langnp2057\langfenp2057 {\rtlch\fcs1 \af0 \ltrch\fcs0 \cs17\b0\v\fs20\cf9\lang1024\langfe1024\loch\af1\hich\af1\dbch\af31501\noproof\insrsid14555396\charrsid4681841 {\*\bkmkstart restartA}_x000d__x000a_\hich\af1\dbch\af31501\loch\f1 &lt;AmendA&gt;}{\rtlch\fcs1 \af0 \ltrch\fcs0 \insrsid14555396\charrsid4681841 Amendment\tab \tab }{\rtlch\fcs1 \af0 \ltrch\fcs0 _x000d__x000a_\cs17\b0\v\fs20\cf9\lang1024\langfe1024\loch\af1\hich\af1\dbch\af31501\noproof\insrsid14555396\charrsid4681841 \hich\af1\dbch\af31501\loch\f1 &lt;NumAmA&gt;}{\rtlch\fcs1 \af0 \ltrch\fcs0 \insrsid14555396\charrsid4681841 #}{\rtlch\fcs1 \af1 \ltrch\fcs0 _x000d__x000a_\cs20\v\f1\fs20\cf15\insrsid14555396\charrsid4681841 ENMIENDA@NRAM@}{\rtlch\fcs1 \af0 \ltrch\fcs0 \insrsid14555396\charrsid4681841 #}{\rtlch\fcs1 \af0 \ltrch\fcs0 _x000d__x000a_\cs17\b0\v\fs20\cf9\lang1024\langfe1024\loch\af1\hich\af1\dbch\af31501\noproof\insrsid14555396\charrsid4681841 \hich\af1\dbch\af31501\loch\f1 &lt;/NumAmA&gt;}{\rtlch\fcs1 \af0 \ltrch\fcs0 \insrsid14555396\charrsid4681841 _x000d__x000a_\par }\pard\plain \ltrpar\s24\ql \li0\ri0\sb240\keepn\nowidctlpar\wrapdefault\aspalpha\aspnum\faauto\adjustright\rin0\lin0\itap0\pararsid14555396 \rtlch\fcs1 \af0\afs20\alang1025 \ltrch\fcs0 \b\fs24\lang2057\langfe2057\cgrid\langnp2057\langfenp2057 {_x000d__x000a_\rtlch\fcs1 \af0 \ltrch\fcs0 \cs17\b0\v\fs20\cf9\lang1024\langfe1024\loch\af1\hich\af1\dbch\af31501\noproof\insrsid14555396\charrsid4681841 \hich\af1\dbch\af31501\loch\f1 &lt;DocAmend&gt;}{\rtlch\fcs1 \af0 \ltrch\fcs0 \insrsid14555396\charrsid4681841 _x000d__x000a_Draft legislative resolution}{\rtlch\fcs1 \af0 \ltrch\fcs0 \cs17\b0\v\fs20\cf9\lang1024\langfe1024\loch\af1\hich\af1\dbch\af31501\noproof\insrsid14555396\charrsid4681841 \hich\af1\dbch\af31501\loch\f1 &lt;/DocAmend&gt;}{\rtlch\fcs1 \af0 \ltrch\fcs0 _x000d__x000a_\insrsid14555396\charrsid4681841 _x000d__x000a_\par }\pard\plain \ltrpar\s19\ql \li0\ri0\nowidctlpar\wrapdefault\aspalpha\aspnum\faauto\adjustright\rin0\lin0\itap0\pararsid14555396 \rtlch\fcs1 \af0\afs20\alang1025 \ltrch\fcs0 \b\fs24\lang2057\langfe2057\cgrid\langnp2057\langfenp2057 {\rtlch\fcs1 \af0 _x000d__x000a_\ltrch\fcs0 \cs17\b0\v\fs20\cf9\lang1024\langfe1024\loch\af1\hich\af1\dbch\af31501\noproof\insrsid14555396\charrsid4681841 \hich\af1\dbch\af31501\loch\f1 &lt;Article&gt;}{\rtlch\fcs1 \af0 \ltrch\fcs0 \cf10\insrsid14555396\charrsid4681841 \u9668\'3f}{_x000d__x000a_\rtlch\fcs1 \af0 \ltrch\fcs0 \insrsid14555396\charrsid4681841 #}{\rtlch\fcs1 \af1 \ltrch\fcs0 \cs20\v\f1\fs20\cf15\insrsid14555396\charrsid4681841 TVTRESPART@RESPART@}{\rtlch\fcs1 \af0 \ltrch\fcs0 \insrsid14555396\charrsid4681841 #}{\rtlch\fcs1 \af0 _x000d__x000a_\ltrch\fcs0 \cf10\insrsid14555396\charrsid4681841 \u9658\'3f}{\rtlch\fcs1 \af0 \ltrch\fcs0 \cs17\b0\v\fs20\cf9\lang1024\langfe1024\loch\af1\hich\af1\dbch\af31501\noproof\insrsid14555396\charrsid4681841 \hich\af1\dbch\af31501\loch\f1 &lt;/Article&gt;}{_x000d__x000a_\rtlch\fcs1 \af0 \ltrch\fcs0 \insrsid14555396\charrsid4681841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555396\charrsid4681841 \cell }\pard\plain \ltrpar\ql \li0\ri0\widctlpar\intbl\wrapdefault\aspalpha\aspnum\faauto\adjustright\rin0\lin0 \rtlch\fcs1 _x000d__x000a_\af0\afs20\alang1025 \ltrch\fcs0 \fs24\lang2057\langfe2057\cgrid\langnp2057\langfenp2057 {\rtlch\fcs1 \af0 \ltrch\fcs0 \insrsid14555396\charrsid4681841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4555396\charrsid4681841 Draft legislative resolution\cell Amendment\cell }\pard\plain \ltrpar_x000d__x000a_\ql \li0\ri0\widctlpar\intbl\wrapdefault\aspalpha\aspnum\faauto\adjustright\rin0\lin0 \rtlch\fcs1 \af0\afs20\alang1025 \ltrch\fcs0 \fs24\lang2057\langfe2057\cgrid\langnp2057\langfenp2057 {\rtlch\fcs1 \af0 \ltrch\fcs0 \insrsid14555396\charrsid4681841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555396\charrsid4681841 ##\cell ##}{\rtlch\fcs1 \af0\afs24 \ltrch\fcs0 \insrsid14555396\charrsid4681841 \cell }\pard\plain \ltrpar\ql \li0\ri0\widctlpar\intbl\wrapdefault\aspalpha\aspnum\faauto\adjustright\rin0\lin0 \rtlch\fcs1 _x000d__x000a_\af0\afs20\alang1025 \ltrch\fcs0 \fs24\lang2057\langfe2057\cgrid\langnp2057\langfenp2057 {\rtlch\fcs1 \af0 \ltrch\fcs0 \insrsid14555396\charrsid4681841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555396 \rtlch\fcs1 \af0\afs20\alang1025 \ltrch\fcs0 \fs24\lang2057\langfe2057\cgrid\langnp2057\langfenp2057 {\rtlch\fcs1 \af0 \ltrch\fcs0 _x000d__x000a_\insrsid14555396\charrsid4681841 Or. }{\rtlch\fcs1 \af0 \ltrch\fcs0 \cs17\v\fs20\cf9\lang1024\langfe1024\loch\af1\hich\af1\dbch\af31501\noproof\insrsid14555396\charrsid4681841 \hich\af1\dbch\af31501\loch\f1 &lt;Original&gt;}{\rtlch\fcs1 \af0 \ltrch\fcs0 _x000d__x000a_\insrsid14555396\charrsid4681841 #}{\rtlch\fcs1 \af1 \ltrch\fcs0 \cs20\v\f1\fs20\cf15\insrsid14555396\charrsid4681841 MNU[OPTORLANG][ORLANGMORE]@CHOICE@AMPLURMNU}{\rtlch\fcs1 \af0 \ltrch\fcs0 \insrsid14555396\charrsid4681841 #}{\rtlch\fcs1 \af0 _x000d__x000a_\ltrch\fcs0 \cs17\v\fs20\cf9\lang1024\langfe1024\loch\af1\hich\af1\dbch\af31501\noproof\insrsid14555396\charrsid4681841 \hich\af1\dbch\af31501\loch\f1 &lt;/Original&gt;}{\rtlch\fcs1 \af0 \ltrch\fcs0 \insrsid14555396\charrsid4681841 _x000d__x000a_\par }\pard\plain \ltrpar\ql \li0\ri0\widctlpar\wrapdefault\aspalpha\aspnum\faauto\adjustright\rin0\lin0\itap0\pararsid14555396 \rtlch\fcs1 \af0\afs20\alang1025 \ltrch\fcs0 \fs24\lang2057\langfe2057\cgrid\langnp2057\langfenp2057 {\rtlch\fcs1 \af0 \ltrch\fcs0 _x000d__x000a_\cs17\v\fs20\cf9\lang1024\langfe1024\loch\af1\hich\af1\dbch\af31501\noproof\insrsid14555396\charrsid468184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6d_x000d__x000a_300f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8414556\rsid9636012\rsid10377208_x000d__x000a_\rsid11215221\rsid11549030\rsid12154954\rsid12714749\rsid14382809\rsid14424199\rsid15204470\rsid15285974\rsid15950462\rsid16324206\rsid16662270}{\mmathPr\mmathFont34\mbrkBin0\mbrkBinSub0\msmallFrac0\mdispDef1\mlMargin0\mrMargin0\mdefJc1\mwrapIndent1440_x000d__x000a_\mintLim0\mnaryLim1}{\info{\author CIPRINI CORBUCCI Francesco}{\operator CIPRINI CORBUCCI Francesco}{\creatim\yr2023\mo10\dy9\hr14\min32}{\revtim\yr2023\mo10\dy9\hr14\min32}{\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14749\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8414556 \chftnsep _x000d__x000a_\par }}{\*\ftnsepc \ltrpar \pard\plain \ltrpar\ql \li0\ri0\widctlpar\wrapdefault\aspalpha\aspnum\faauto\adjustright\rin0\lin0\itap0 \rtlch\fcs1 \af0\afs20\alang1025 \ltrch\fcs0 \fs24\lang2057\langfe2057\cgrid\langnp2057\langfenp2057 {\rtlch\fcs1 \af0 _x000d__x000a_\ltrch\fcs0 \insrsid8414556 \chftnsepc _x000d__x000a_\par }}{\*\aftnsep \ltrpar \pard\plain \ltrpar\ql \li0\ri0\widctlpar\wrapdefault\aspalpha\aspnum\faauto\adjustright\rin0\lin0\itap0 \rtlch\fcs1 \af0\afs20\alang1025 \ltrch\fcs0 \fs24\lang2057\langfe2057\cgrid\langnp2057\langfenp2057 {\rtlch\fcs1 \af0 _x000d__x000a_\ltrch\fcs0 \insrsid8414556 \chftnsep _x000d__x000a_\par }}{\*\aftnsepc \ltrpar \pard\plain \ltrpar\ql \li0\ri0\widctlpar\wrapdefault\aspalpha\aspnum\faauto\adjustright\rin0\lin0\itap0 \rtlch\fcs1 \af0\afs20\alang1025 \ltrch\fcs0 \fs24\lang2057\langfe2057\cgrid\langnp2057\langfenp2057 {\rtlch\fcs1 \af0 _x000d__x000a_\ltrch\fcs0 \insrsid84145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2714749 _x000d__x000a_\rtlch\fcs1 \af0\afs20\alang1025 \ltrch\fcs0 \fs24\lang2057\langfe2057\cgrid\langnp2057\langfenp2057 {\rtlch\fcs1 \af0 \ltrch\fcs0 \insrsid12714749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e_x000d__x000a_98a8ac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254113 HideTWBExt;}{_x000d__x000a_\s18\ql \li0\ri0\sa120\nowidctlpar\wrapdefault\aspalpha\aspnum\faauto\adjustright\rin0\lin0\itap0 \rtlch\fcs1 \af0\afs20\alang1025 \ltrch\fcs0 \fs24\lang2057\langfe2057\cgrid\langnp2057\langfenp2057 \sbasedon0 \snext18 \spriority0 \styrsid9254113 _x000d__x000a_Normal6a;}{\s19\ql \li0\ri0\nowidctlpar\wrapdefault\aspalpha\aspnum\faauto\adjustright\rin0\lin0\itap0 \rtlch\fcs1 \af0\afs20\alang1025 \ltrch\fcs0 \b\fs24\lang2057\langfe2057\cgrid\langnp2057\langfenp2057 \sbasedon0 \snext19 \spriority0 \styrsid9254113 _x000d__x000a_NormalBold;}{\s20\ql \li0\ri0\sa240\nowidctlpar\wrapdefault\aspalpha\aspnum\faauto\adjustright\rin0\lin0\itap0 \rtlch\fcs1 \af0\afs20\alang1025 \ltrch\fcs0 \i\fs24\lang2057\langfe2057\cgrid\langnp2057\langfenp2057 _x000d__x000a_\sbasedon0 \snext20 \spriority0 \styrsid9254113 AmJustText;}{\s21\qc \li0\ri0\sb240\sa240\nowidctlpar\wrapdefault\aspalpha\aspnum\faauto\adjustright\rin0\lin0\itap0 \rtlch\fcs1 \af0\afs20\alang1025 \ltrch\fcs0 _x000d__x000a_\i\fs24\lang2057\langfe2057\cgrid\langnp2057\langfenp2057 \sbasedon0 \snext21 \spriority0 \styrsid9254113 AmCrossRef;}{\*\cs22 \additive \v\f1\fs20\cf15 \spriority0 \styrsid9254113 HideTWBInt;}{_x000d__x000a_\s23\qc \li0\ri0\sb240\sa240\keepn\nowidctlpar\wrapdefault\aspalpha\aspnum\faauto\adjustright\rin0\lin0\itap0 \rtlch\fcs1 \af0\afs20\alang1025 \ltrch\fcs0 \i\fs24\lang2057\langfe2057\cgrid\langnp2057\langfenp2057 _x000d__x000a_\sbasedon0 \snext20 \spriority0 \styrsid9254113 AmJustTitle;}{\s24\qr \li0\ri0\sb240\sa240\nowidctlpar\wrapdefault\aspalpha\aspnum\faauto\adjustright\rin0\lin0\itap0 \rtlch\fcs1 \af0\afs20\alang1025 \ltrch\fcs0 _x000d__x000a_\fs24\lang2057\langfe2057\cgrid\langnp2057\langfenp2057 \sbasedon0 \snext24 \spriority0 \styrsid9254113 AmOrLang;}{\s25\qc \li0\ri0\sa240\nowidctlpar\wrapdefault\aspalpha\aspnum\faauto\adjustright\rin0\lin0\itap0 \rtlch\fcs1 \af0\afs20\alang1025 _x000d__x000a_\ltrch\fcs0 \i\fs24\lang2057\langfe2057\cgrid\langnp2057\langfenp2057 \sbasedon0 \snext25 \spriority0 \styrsid92541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254113 AmNumberTabs;}{\s27\ql \li0\ri0\sb240\nowidctlpar\wrapdefault\aspalpha\aspnum\faauto\adjustright\rin0\lin0\itap0 \rtlch\fcs1 _x000d__x000a_\af0\afs20\alang1025 \ltrch\fcs0 \b\fs24\lang2057\langfe2057\cgrid\langnp2057\langfenp2057 \sbasedon0 \snext27 \spriority0 \styrsid9254113 NormalBold12b;}}{\*\rsidtbl \rsid24658\rsid223860\rsid735077\rsid1718133\rsid2892074\rsid3565327\rsid4666813_x000d__x000a_\rsid6030605\rsid6641733\rsid7823322\rsid925411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VACS-MALYI Krisztina}{\operator KOVACS-MALYI Krisztina}{\creatim\yr2023\mo7\dy19\hr19\min32}{\revtim\yr2023\mo7\dy19\hr19\min33}{\version1}{\edmins0}_x000d__x000a_{\nofpages1}{\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5411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6030605 \chftnsep _x000d__x000a_\par }}{\*\ftnsepc \ltrpar \pard\plain \ltrpar\ql \li0\ri0\widctlpar\wrapdefault\aspalpha\aspnum\faauto\adjustright\rin0\lin0\itap0 \rtlch\fcs1 \af0\afs20\alang1025 \ltrch\fcs0 \fs24\lang2057\langfe2057\cgrid\langnp2057\langfenp2057 {\rtlch\fcs1 \af0 _x000d__x000a_\ltrch\fcs0 \insrsid6030605 \chftnsepc _x000d__x000a_\par }}{\*\aftnsep \ltrpar \pard\plain \ltrpar\ql \li0\ri0\widctlpar\wrapdefault\aspalpha\aspnum\faauto\adjustright\rin0\lin0\itap0 \rtlch\fcs1 \af0\afs20\alang1025 \ltrch\fcs0 \fs24\lang2057\langfe2057\cgrid\langnp2057\langfenp2057 {\rtlch\fcs1 \af0 _x000d__x000a_\ltrch\fcs0 \insrsid6030605 \chftnsep _x000d__x000a_\par }}{\*\aftnsepc \ltrpar \pard\plain \ltrpar\ql \li0\ri0\widctlpar\wrapdefault\aspalpha\aspnum\faauto\adjustright\rin0\lin0\itap0 \rtlch\fcs1 \af0\afs20\alang1025 \ltrch\fcs0 \fs24\lang2057\langfe2057\cgrid\langnp2057\langfenp2057 {\rtlch\fcs1 \af0 _x000d__x000a_\ltrch\fcs0 \insrsid60306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254113 \rtlch\fcs1 _x000d__x000a_\af0\afs20\alang1025 \ltrch\fcs0 \b\fs24\lang2057\langfe2057\cgrid\langnp2057\langfenp2057 {\rtlch\fcs1 \af0 \ltrch\fcs0 \cs17\b0\v\fs20\cf9\lang1024\langfe1024\loch\af1\hich\af1\dbch\af31501\noproof\insrsid9254113\charrsid4681841 {\*\bkmkstart restartB}_x000d__x000a_\hich\af1\dbch\af31501\loch\f1 &lt;AmendB&gt;}{\rtlch\fcs1 \af0 \ltrch\fcs0 \insrsid9254113\charrsid4681841 Amendment\tab \tab }{\rtlch\fcs1 \af0 \ltrch\fcs0 _x000d__x000a_\cs17\b0\v\fs20\cf9\lang1024\langfe1024\loch\af1\hich\af1\dbch\af31501\noproof\insrsid9254113\charrsid4681841 \hich\af1\dbch\af31501\loch\f1 &lt;NumAmB&gt;}{\rtlch\fcs1 \af0 \ltrch\fcs0 \insrsid9254113\charrsid4681841 #}{\rtlch\fcs1 \af1 \ltrch\fcs0 _x000d__x000a_\cs22\v\f1\fs20\cf15\insrsid9254113\charrsid4681841 ENMIENDA@NRAM@}{\rtlch\fcs1 \af0 \ltrch\fcs0 \insrsid9254113\charrsid4681841 #}{\rtlch\fcs1 \af0 \ltrch\fcs0 _x000d__x000a_\cs17\b0\v\fs20\cf9\lang1024\langfe1024\loch\af1\hich\af1\dbch\af31501\noproof\insrsid9254113\charrsid4681841 \hich\af1\dbch\af31501\loch\f1 &lt;/NumAmB&gt;}{\rtlch\fcs1 \af0 \ltrch\fcs0 \insrsid9254113\charrsid4681841 _x000d__x000a_\par }\pard\plain \ltrpar\s27\ql \li0\ri0\sb240\keepn\nowidctlpar\wrapdefault\aspalpha\aspnum\faauto\adjustright\rin0\lin0\itap0\pararsid9254113 \rtlch\fcs1 \af0\afs20\alang1025 \ltrch\fcs0 \b\fs24\lang2057\langfe2057\cgrid\langnp2057\langfenp2057 {_x000d__x000a_\rtlch\fcs1 \af0 \ltrch\fcs0 \cs17\b0\v\fs20\cf9\lang1024\langfe1024\loch\af1\hich\af1\dbch\af31501\noproof\insrsid9254113\charrsid4681841 \hich\af1\dbch\af31501\loch\f1 &lt;DocAmend&gt;}{\rtlch\fcs1 \af0 \ltrch\fcs0 \insrsid9254113\charrsid4681841 #}{_x000d__x000a_\rtlch\fcs1 \af1 \ltrch\fcs0 \cs22\v\f1\fs20\cf15\insrsid9254113\charrsid4681841 MNU[OPTPROPOSALCOD][OPTPROPOSALCNS][OPTPROPOSALNLE][OPTPROPOSALINL]@CHOICE@CODEMNU}{\rtlch\fcs1 \af0 \ltrch\fcs0 \insrsid9254113\charrsid4681841 ##}{\rtlch\fcs1 \af1 _x000d__x000a_\ltrch\fcs0 \cs22\v\f1\fs20\cf15\insrsid9254113\charrsid4681841 MNU[AMACTYES][NOTAPP]@CHOICE@AMACTMNU}{\rtlch\fcs1 \af0 \ltrch\fcs0 \insrsid9254113\charrsid4681841 #}{\rtlch\fcs1 \af0 \ltrch\fcs0 _x000d__x000a_\cs17\b0\v\fs20\cf9\lang1024\langfe1024\loch\af1\hich\af1\dbch\af31501\noproof\insrsid9254113\charrsid4681841 \hich\af1\dbch\af31501\loch\f1 &lt;/DocAmend&gt;}{\rtlch\fcs1 \af0 \ltrch\fcs0 \insrsid9254113\charrsid4681841 _x000d__x000a_\par }\pard\plain \ltrpar\s19\ql \li0\ri0\keepn\nowidctlpar\wrapdefault\aspalpha\aspnum\faauto\adjustright\rin0\lin0\itap0\pararsid9254113 \rtlch\fcs1 \af0\afs20\alang1025 \ltrch\fcs0 \b\fs24\lang2057\langfe2057\cgrid\langnp2057\langfenp2057 {\rtlch\fcs1 \af0 _x000d__x000a_\ltrch\fcs0 \cs17\b0\v\fs20\cf9\lang1024\langfe1024\loch\af1\hich\af1\dbch\af31501\noproof\insrsid9254113\charrsid4681841 \hich\af1\dbch\af31501\loch\f1 &lt;Article&gt;}{\rtlch\fcs1 \af0 \ltrch\fcs0 \insrsid9254113\charrsid4681841 #}{\rtlch\fcs1 \af1 _x000d__x000a_\ltrch\fcs0 \cs22\v\f1\fs20\cf15\insrsid9254113\charrsid4681841 MNU[AMACTPARTYES][AMACTPARTNO]@CHOICE@AMACTMNU}{\rtlch\fcs1 \af0 \ltrch\fcs0 \insrsid9254113\charrsid4681841 #}{\rtlch\fcs1 \af0 \ltrch\fcs0 _x000d__x000a_\cs17\b0\v\fs20\cf9\lang1024\langfe1024\loch\af1\hich\af1\dbch\af31501\noproof\insrsid9254113\charrsid4681841 \hich\af1\dbch\af31501\loch\f1 &lt;/Article&gt;}{\rtlch\fcs1 \af0 \ltrch\fcs0 \insrsid9254113\charrsid4681841 _x000d__x000a_\par }\pard\plain \ltrpar\ql \li0\ri0\keepn\widctlpar\wrapdefault\aspalpha\aspnum\faauto\adjustright\rin0\lin0\itap0\pararsid9254113 \rtlch\fcs1 \af0\afs20\alang1025 \ltrch\fcs0 \fs24\lang2057\langfe2057\cgrid\langnp2057\langfenp2057 {\rtlch\fcs1 \af0 _x000d__x000a_\ltrch\fcs0 \cs17\v\fs20\cf9\lang1024\langfe1024\loch\af1\hich\af1\dbch\af31501\noproof\insrsid9254113\charrsid4681841 \hich\af1\dbch\af31501\loch\f1 &lt;DocAmend2&gt;&lt;OptDel&gt;}{\rtlch\fcs1 \af0 \ltrch\fcs0 \insrsid9254113\charrsid4681841 #}{\rtlch\fcs1 \af1 _x000d__x000a_\ltrch\fcs0 \cs22\v\f1\fs20\cf15\insrsid9254113\charrsid4681841 MNU[OPTNRACTYES][NOTAPP]@CHOICE@AMACTMNU}{\rtlch\fcs1 \af0 \ltrch\fcs0 \insrsid9254113\charrsid4681841 #}{\rtlch\fcs1 \af0 \ltrch\fcs0 _x000d__x000a_\cs17\v\fs20\cf9\lang1024\langfe1024\loch\af1\hich\af1\dbch\af31501\noproof\insrsid9254113\charrsid4681841 \hich\af1\dbch\af31501\loch\f1 &lt;/OptDel&gt;&lt;/DocAmend2&gt;}{\rtlch\fcs1 \af0 \ltrch\fcs0 \insrsid9254113\charrsid4681841 _x000d__x000a_\par }\pard \ltrpar\ql \li0\ri0\widctlpar\wrapdefault\aspalpha\aspnum\faauto\adjustright\rin0\lin0\itap0\pararsid9254113 {\rtlch\fcs1 \af0 \ltrch\fcs0 \cs17\v\fs20\cf9\lang1024\langfe1024\loch\af1\hich\af1\dbch\af31501\noproof\insrsid9254113\charrsid4681841 _x000d__x000a_\hich\af1\dbch\af31501\loch\f1 &lt;Article2&gt;&lt;OptDel&gt;}{\rtlch\fcs1 \af0 \ltrch\fcs0 \insrsid9254113\charrsid4681841 #}{\rtlch\fcs1 \af1 \ltrch\fcs0 \cs22\v\f1\fs20\cf15\insrsid9254113\charrsid4681841 MNU[OPTACTPARTYES][NOTAPP]@CHOICE@AMACTMNU}{\rtlch\fcs1 _x000d__x000a_\af0 \ltrch\fcs0 \insrsid9254113\charrsid4681841 #}{\rtlch\fcs1 \af0 \ltrch\fcs0 \cs17\v\fs20\cf9\lang1024\langfe1024\loch\af1\hich\af1\dbch\af31501\noproof\insrsid9254113\charrsid4681841 \hich\af1\dbch\af31501\loch\f1 &lt;/OptDel&gt;&lt;/Article2&gt;}{\rtlch\fcs1 _x000d__x000a_\af0 \ltrch\fcs0 \insrsid9254113\charrsid468184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9254113\charrsid4681841 \cell }\pard\plain \ltrpar\ql \li0\ri0\widctlpar\intbl\wrapdefault\aspalpha\aspnum\faauto\adjustright\rin0\lin0 \rtlch\fcs1 _x000d__x000a_\af0\afs20\alang1025 \ltrch\fcs0 \fs24\lang2057\langfe2057\cgrid\langnp2057\langfenp2057 {\rtlch\fcs1 \af0 \ltrch\fcs0 \insrsid9254113\charrsid468184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9254113\charrsid4681841 #}{\rtlch\fcs1 \af1 \ltrch\fcs0 \cs22\v\f1\fs20\cf15\insrsid9254113\charrsid4681841 MNU[OPTLEFTAMACT][LEFTPROP]@CHOICE@AMACTMNU}{\rtlch\fcs1 \af0 \ltrch\fcs0 \insrsid9254113\charrsid4681841 #\cell Amendment\cell _x000d__x000a_}\pard\plain \ltrpar\ql \li0\ri0\widctlpar\intbl\wrapdefault\aspalpha\aspnum\faauto\adjustright\rin0\lin0 \rtlch\fcs1 \af0\afs20\alang1025 \ltrch\fcs0 \fs24\lang2057\langfe2057\cgrid\langnp2057\langfenp2057 {\rtlch\fcs1 \af0 \ltrch\fcs0 _x000d__x000a_\insrsid9254113\charrsid468184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9254113\charrsid4681841 ##\cell ##}{\rtlch\fcs1 \af0\afs24 \ltrch\fcs0 \insrsid9254113\charrsid4681841 \cell }\pard\plain \ltrpar\ql \li0\ri0\widctlpar\intbl\wrapdefault\aspalpha\aspnum\faauto\adjustright\rin0\lin0 \rtlch\fcs1 _x000d__x000a_\af0\afs20\alang1025 \ltrch\fcs0 \fs24\lang2057\langfe2057\cgrid\langnp2057\langfenp2057 {\rtlch\fcs1 \af0 \ltrch\fcs0 \insrsid9254113\charrsid468184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254113 \rtlch\fcs1 \af0\afs20\alang1025 \ltrch\fcs0 \fs24\lang2057\langfe2057\cgrid\langnp2057\langfenp2057 {\rtlch\fcs1 \af0 \ltrch\fcs0 _x000d__x000a_\insrsid9254113\charrsid4681841 Or. }{\rtlch\fcs1 \af0 \ltrch\fcs0 \cs17\v\fs20\cf9\lang1024\langfe1024\loch\af1\hich\af1\dbch\af31501\noproof\insrsid9254113\charrsid4681841 \hich\af1\dbch\af31501\loch\f1 &lt;Original&gt;}{\rtlch\fcs1 \af0 \ltrch\fcs0 _x000d__x000a_\insrsid9254113\charrsid4681841 #}{\rtlch\fcs1 \af1 \ltrch\fcs0 \cs22\v\f1\fs20\cf15\insrsid9254113\charrsid4681841 MNU[OPTORLANG][ORLANGMORE]@CHOICE@AMPLURMNU}{\rtlch\fcs1 \af0 \ltrch\fcs0 \insrsid9254113\charrsid4681841 #}{\rtlch\fcs1 \af0 \ltrch\fcs0 _x000d__x000a_\cs17\v\fs20\cf9\lang1024\langfe1024\loch\af1\hich\af1\dbch\af31501\noproof\insrsid9254113\charrsid4681841 \hich\af1\dbch\af31501\loch\f1 &lt;/Original&gt;}{\rtlch\fcs1 \af0 \ltrch\fcs0 \insrsid9254113\charrsid4681841 _x000d__x000a_\par }\pard\plain \ltrpar\s21\qc \li0\ri0\sb240\sa240\nowidctlpar\wrapdefault\aspalpha\aspnum\faauto\adjustright\rin0\lin0\itap0\pararsid9254113 \rtlch\fcs1 \af0\afs20\alang1025 \ltrch\fcs0 \i\fs24\lang2057\langfe2057\cgrid\langnp2057\langfenp2057 {_x000d__x000a_\rtlch\fcs1 \af0 \ltrch\fcs0 \cs17\i0\v\fs20\cf9\lang1024\langfe1024\loch\af1\hich\af1\dbch\af31501\noproof\insrsid9254113\charrsid4681841 \hich\af1\dbch\af31501\loch\f1 &lt;OptDel&gt;}{\rtlch\fcs1 \af0 \ltrch\fcs0 \insrsid9254113\charrsid4681841 #}{_x000d__x000a_\rtlch\fcs1 \af1 \ltrch\fcs0 \cs22\v\f1\fs20\cf15\insrsid9254113\charrsid4681841 MNU[CROSSREFNO][CROSSREFYES]@CHOICE@}{\rtlch\fcs1 \af0 \ltrch\fcs0 \insrsid9254113\charrsid4681841 #}{\rtlch\fcs1 \af0 \ltrch\fcs0 _x000d__x000a_\cs17\i0\v\fs20\cf9\lang1024\langfe1024\loch\af1\hich\af1\dbch\af31501\noproof\insrsid9254113\charrsid4681841 \hich\af1\dbch\af31501\loch\f1 &lt;/OptDel&gt;}{\rtlch\fcs1 \af0 \ltrch\fcs0 \insrsid9254113\charrsid4681841 _x000d__x000a_\par }\pard\plain \ltrpar\s23\qc \li0\ri0\sb240\sa240\keepn\nowidctlpar\wrapdefault\aspalpha\aspnum\faauto\adjustright\rin0\lin0\itap0\pararsid9254113 \rtlch\fcs1 \af0\afs20\alang1025 \ltrch\fcs0 \i\fs24\lang2057\langfe2057\cgrid\langnp2057\langfenp2057 {_x000d__x000a_\rtlch\fcs1 \af0 \ltrch\fcs0 \cs17\i0\v\fs20\cf9\lang1024\langfe1024\loch\af1\hich\af1\dbch\af31501\noproof\insrsid9254113\charrsid4681841 \hich\af1\dbch\af31501\loch\f1 &lt;TitreJust&gt;}{\rtlch\fcs1 \af0 \ltrch\fcs0 \insrsid9254113\charrsid4681841 _x000d__x000a_Justification}{\rtlch\fcs1 \af0 \ltrch\fcs0 \cs17\i0\v\fs20\cf9\lang1024\langfe1024\loch\af1\hich\af1\dbch\af31501\noproof\insrsid9254113\charrsid4681841 \hich\af1\dbch\af31501\loch\f1 &lt;/TitreJust&gt;}{\rtlch\fcs1 \af0 \ltrch\fcs0 _x000d__x000a_\insrsid9254113\charrsid4681841 _x000d__x000a_\par }\pard\plain \ltrpar\s20\ql \li0\ri0\sa240\nowidctlpar\wrapdefault\aspalpha\aspnum\faauto\adjustright\rin0\lin0\itap0\pararsid9254113 \rtlch\fcs1 \af0\afs20\alang1025 \ltrch\fcs0 \i\fs24\lang2057\langfe2057\cgrid\langnp2057\langfenp2057 {\rtlch\fcs1 \af0 _x000d__x000a_\ltrch\fcs0 \cs17\i0\v\fs20\cf9\lang1024\langfe1024\loch\af1\hich\af1\dbch\af31501\noproof\insrsid9254113\charrsid4681841 \hich\af1\dbch\af31501\loch\f1 &lt;OptDelPrev&gt;}{\rtlch\fcs1 \af0 \ltrch\fcs0 \insrsid9254113\charrsid4681841 #}{\rtlch\fcs1 \af1 _x000d__x000a_\ltrch\fcs0 \cs22\v\f1\fs20\cf15\insrsid9254113\charrsid4681841 MNU[TEXTJUSTYES][TEXTJUSTNO]@CHOICE@}{\rtlch\fcs1 \af0 \ltrch\fcs0 \insrsid9254113\charrsid4681841 #}{\rtlch\fcs1 \af0 \ltrch\fcs0 _x000d__x000a_\cs17\i0\v\fs20\cf9\lang1024\langfe1024\loch\af1\hich\af1\dbch\af31501\noproof\insrsid9254113\charrsid4681841 \hich\af1\dbch\af31501\loch\f1 &lt;/OptDelPrev&gt;}{\rtlch\fcs1 \af0 \ltrch\fcs0 \insrsid9254113\charrsid4681841 _x000d__x000a_\par }\pard\plain \ltrpar\ql \li0\ri0\widctlpar\wrapdefault\aspalpha\aspnum\faauto\adjustright\rin0\lin0\itap0\pararsid9254113 \rtlch\fcs1 \af0\afs20\alang1025 \ltrch\fcs0 \fs24\lang2057\langfe2057\cgrid\langnp2057\langfenp2057 {\rtlch\fcs1 \af0 \ltrch\fcs0 _x000d__x000a_\cs17\v\fs20\cf9\lang1024\langfe1024\loch\af1\hich\af1\dbch\af31501\noproof\insrsid9254113\charrsid468184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4810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89454 HideTWBExt;}{_x000d__x000a_\s18\ql \li0\ri0\sa120\nowidctlpar\wrapdefault\aspalpha\aspnum\faauto\adjustright\rin0\lin0\itap0 \rtlch\fcs1 \af0\afs20\alang1025 \ltrch\fcs0 \fs24\lang2057\langfe2057\cgrid\langnp2057\langfenp2057 \sbasedon0 \snext18 \spriority0 \styrsid4089454 _x000d__x000a_Normal6a;}{\s19\ql \li0\ri0\nowidctlpar\wrapdefault\aspalpha\aspnum\faauto\adjustright\rin0\lin0\itap0 \rtlch\fcs1 \af0\afs20\alang1025 \ltrch\fcs0 \b\fs24\lang2057\langfe2057\cgrid\langnp2057\langfenp2057 \sbasedon0 \snext19 \spriority0 \styrsid4089454 _x000d__x000a_NormalBold;}{\s20\ql \li0\ri0\sa240\nowidctlpar\wrapdefault\aspalpha\aspnum\faauto\adjustright\rin0\lin0\itap0 \rtlch\fcs1 \af0\afs20\alang1025 \ltrch\fcs0 \i\fs24\lang2057\langfe2057\cgrid\langnp2057\langfenp2057 _x000d__x000a_\sbasedon0 \snext20 \spriority0 \styrsid4089454 AmJustText;}{\s21\qc \li0\ri0\sb240\sa240\nowidctlpar\wrapdefault\aspalpha\aspnum\faauto\adjustright\rin0\lin0\itap0 \rtlch\fcs1 \af0\afs20\alang1025 \ltrch\fcs0 _x000d__x000a_\i\fs24\lang2057\langfe2057\cgrid\langnp2057\langfenp2057 \sbasedon0 \snext21 \spriority0 \styrsid4089454 AmCrossRef;}{\*\cs22 \additive \v\f1\fs20\cf15 \spriority0 \styrsid4089454 HideTWBInt;}{_x000d__x000a_\s23\qc \li0\ri0\sb240\sa240\keepn\nowidctlpar\wrapdefault\aspalpha\aspnum\faauto\adjustright\rin0\lin0\itap0 \rtlch\fcs1 \af0\afs20\alang1025 \ltrch\fcs0 \i\fs24\lang2057\langfe2057\cgrid\langnp2057\langfenp2057 _x000d__x000a_\sbasedon0 \snext20 \spriority0 \styrsid4089454 AmJustTitle;}{\s24\qr \li0\ri0\sb240\sa240\nowidctlpar\wrapdefault\aspalpha\aspnum\faauto\adjustright\rin0\lin0\itap0 \rtlch\fcs1 \af0\afs20\alang1025 \ltrch\fcs0 _x000d__x000a_\fs24\lang2057\langfe2057\cgrid\langnp2057\langfenp2057 \sbasedon0 \snext24 \spriority0 \styrsid4089454 AmOrLang;}{\s25\qc \li0\ri0\sa240\nowidctlpar\wrapdefault\aspalpha\aspnum\faauto\adjustright\rin0\lin0\itap0 \rtlch\fcs1 \af0\afs20\alang1025 _x000d__x000a_\ltrch\fcs0 \i\fs24\lang2057\langfe2057\cgrid\langnp2057\langfenp2057 \sbasedon0 \snext25 \spriority0 \styrsid40894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89454 AmNumberTabs;}{\s27\ql \li0\ri0\sb240\nowidctlpar\wrapdefault\aspalpha\aspnum\faauto\adjustright\rin0\lin0\itap0 \rtlch\fcs1 _x000d__x000a_\af0\afs20\alang1025 \ltrch\fcs0 \b\fs24\lang2057\langfe2057\cgrid\langnp2057\langfenp2057 \sbasedon0 \snext27 \spriority0 \styrsid4089454 NormalBold12b;}}{\*\rsidtbl \rsid24658\rsid223860\rsid735077\rsid1718133\rsid2892074\rsid3565327\rsid4089454_x000d__x000a_\rsid4666813\rsid6641733\rsid7823322\rsid9636012\rsid10377208\rsid11215221\rsid11549030\rsid12154954\rsid14382809\rsid14424199\rsid15204470\rsid15285974\rsid15613387\rsid15950462\rsid16324206\rsid16662270}{\mmathPr\mmathFont34\mbrkBin0\mbrkBinSub0_x000d__x000a_\msmallFrac0\mdispDef1\mlMargin0\mrMargin0\mdefJc1\mwrapIndent1440\mintLim0\mnaryLim1}{\info{\author KOVACS-MALYI Krisztina}{\operator KOVACS-MALYI Krisztina}{\creatim\yr2023\mo7\dy19\hr19\min38}{\revtim\yr2023\mo7\dy19\hr19\min38}{\version1}{\edmins0}_x000d__x000a_{\nofpages1}{\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8945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613387 \chftnsep _x000d__x000a_\par }}{\*\ftnsepc \ltrpar \pard\plain \ltrpar\ql \li0\ri0\widctlpar\wrapdefault\aspalpha\aspnum\faauto\adjustright\rin0\lin0\itap0 \rtlch\fcs1 \af0\afs20\alang1025 \ltrch\fcs0 \fs24\lang2057\langfe2057\cgrid\langnp2057\langfenp2057 {\rtlch\fcs1 \af0 _x000d__x000a_\ltrch\fcs0 \insrsid15613387 \chftnsepc _x000d__x000a_\par }}{\*\aftnsep \ltrpar \pard\plain \ltrpar\ql \li0\ri0\widctlpar\wrapdefault\aspalpha\aspnum\faauto\adjustright\rin0\lin0\itap0 \rtlch\fcs1 \af0\afs20\alang1025 \ltrch\fcs0 \fs24\lang2057\langfe2057\cgrid\langnp2057\langfenp2057 {\rtlch\fcs1 \af0 _x000d__x000a_\ltrch\fcs0 \insrsid15613387 \chftnsep _x000d__x000a_\par }}{\*\aftnsepc \ltrpar \pard\plain \ltrpar\ql \li0\ri0\widctlpar\wrapdefault\aspalpha\aspnum\faauto\adjustright\rin0\lin0\itap0 \rtlch\fcs1 \af0\afs20\alang1025 \ltrch\fcs0 \fs24\lang2057\langfe2057\cgrid\langnp2057\langfenp2057 {\rtlch\fcs1 \af0 _x000d__x000a_\ltrch\fcs0 \insrsid15613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89454 \rtlch\fcs1 _x000d__x000a_\af0\afs20\alang1025 \ltrch\fcs0 \b\fs24\lang2057\langfe2057\cgrid\langnp2057\langfenp2057 {\rtlch\fcs1 \af0 \ltrch\fcs0 \cs17\b0\v\fs20\cf9\lang1024\langfe1024\loch\af1\hich\af1\dbch\af31501\noproof\insrsid4089454\charrsid4681841 {\*\bkmkstart restart}_x000d__x000a_\hich\af1\dbch\af31501\loch\f1 &lt;}{\rtlch\fcs1 \af0 \ltrch\fcs0 \cs17\b0\v\fs20\cf9\lang1024\langfe1024\loch\af1\hich\af1\dbch\af31501\noproof\insrsid4089454 \hich\af1\dbch\af31501\loch\f1 Amend}{\rtlch\fcs1 \af0 \ltrch\fcs0 _x000d__x000a_\cs17\b0\v\fs20\cf9\lang1024\langfe1024\loch\af1\hich\af1\dbch\af31501\noproof\insrsid4089454\charrsid4681841 \hich\af1\dbch\af31501\loch\f1 &gt;}{\rtlch\fcs1 \af0 \ltrch\fcs0 \insrsid4089454\charrsid4681841 Amendment\tab \tab }{\rtlch\fcs1 \af0 \ltrch\fcs0 _x000d__x000a_\cs17\b0\v\fs20\cf9\lang1024\langfe1024\loch\af1\hich\af1\dbch\af31501\noproof\insrsid4089454\charrsid4681841 \hich\af1\dbch\af31501\loch\f1 &lt;}{\rtlch\fcs1 \af0 \ltrch\fcs0 _x000d__x000a_\cs17\b0\v\fs20\cf9\lang1024\langfe1024\loch\af1\hich\af1\dbch\af31501\noproof\insrsid4089454 \hich\af1\dbch\af31501\loch\f1 NumAm&gt;}{\rtlch\fcs1 \af0 \ltrch\fcs0 \insrsid4089454\charrsid4681841 #}{\rtlch\fcs1 \af1 \ltrch\fcs0 _x000d__x000a_\cs22\v\f1\fs20\cf15\insrsid4089454\charrsid4681841 ENMIENDA@NRAM@}{\rtlch\fcs1 \af0 \ltrch\fcs0 \insrsid4089454\charrsid4681841 #}{\rtlch\fcs1 \af0 \ltrch\fcs0 _x000d__x000a_\cs17\b0\v\fs20\cf9\lang1024\langfe1024\loch\af1\hich\af1\dbch\af31501\noproof\insrsid4089454\charrsid4681841 \hich\af1\dbch\af31501\loch\f1 &lt;/}{\rtlch\fcs1 \af0 \ltrch\fcs0 _x000d__x000a_\cs17\b0\v\fs20\cf9\lang1024\langfe1024\loch\af1\hich\af1\dbch\af31501\noproof\insrsid4089454 \hich\af1\dbch\af31501\loch\f1 NumAm&gt;}{\rtlch\fcs1 \af0 \ltrch\fcs0 \insrsid4089454\charrsid4681841 _x000d__x000a_\par }\pard\plain \ltrpar\s27\ql \li0\ri0\sb240\keepn\nowidctlpar\wrapdefault\aspalpha\aspnum\faauto\adjustright\rin0\lin0\itap0\pararsid4089454 \rtlch\fcs1 \af0\afs20\alang1025 \ltrch\fcs0 \b\fs24\lang2057\langfe2057\cgrid\langnp2057\langfenp2057 {_x000d__x000a_\rtlch\fcs1 \af0 \ltrch\fcs0 \cs17\b0\v\fs20\cf9\lang1024\langfe1024\loch\af1\hich\af1\dbch\af31501\noproof\insrsid4089454\charrsid4681841 \hich\af1\dbch\af31501\loch\f1 &lt;DocAmend&gt;}{\rtlch\fcs1 \af0 \ltrch\fcs0 \insrsid4089454\charrsid4681841 #}{_x000d__x000a_\rtlch\fcs1 \af1 \ltrch\fcs0 \cs22\v\f1\fs20\cf15\insrsid4089454\charrsid4681841 MNU[OPTPROPOSALCOD][OPTPROPOSALCNS][OPTPROPOSALNLE][OPTPROPOSALINL]@CHOICE@CODEMNU}{\rtlch\fcs1 \af0 \ltrch\fcs0 \insrsid4089454\charrsid4681841 ##}{\rtlch\fcs1 \af1 _x000d__x000a_\ltrch\fcs0 \cs22\v\f1\fs20\cf15\insrsid4089454\charrsid4681841 MNU[AMACTYES][NOTAPP]@CHOICE@AMACTMNU}{\rtlch\fcs1 \af0 \ltrch\fcs0 \insrsid4089454\charrsid4681841 #}{\rtlch\fcs1 \af0 \ltrch\fcs0 _x000d__x000a_\cs17\b0\v\fs20\cf9\lang1024\langfe1024\loch\af1\hich\af1\dbch\af31501\noproof\insrsid4089454\charrsid4681841 \hich\af1\dbch\af31501\loch\f1 &lt;/DocAmend&gt;}{\rtlch\fcs1 \af0 \ltrch\fcs0 \insrsid4089454\charrsid4681841 _x000d__x000a_\par }\pard\plain \ltrpar\s19\ql \li0\ri0\keepn\nowidctlpar\wrapdefault\aspalpha\aspnum\faauto\adjustright\rin0\lin0\itap0\pararsid4089454 \rtlch\fcs1 \af0\afs20\alang1025 \ltrch\fcs0 \b\fs24\lang2057\langfe2057\cgrid\langnp2057\langfenp2057 {\rtlch\fcs1 \af0 _x000d__x000a_\ltrch\fcs0 \cs17\b0\v\fs20\cf9\lang1024\langfe1024\loch\af1\hich\af1\dbch\af31501\noproof\insrsid4089454\charrsid4681841 \hich\af1\dbch\af31501\loch\f1 &lt;Article&gt;}{\rtlch\fcs1 \af0 \ltrch\fcs0 \insrsid4089454\charrsid4681841 #}{\rtlch\fcs1 \af1 _x000d__x000a_\ltrch\fcs0 \cs22\v\f1\fs20\cf15\insrsid4089454\charrsid4681841 MNU[AMACTPARTYES][AMACTPARTNO]@CHOICE@AMACTMNU}{\rtlch\fcs1 \af0 \ltrch\fcs0 \insrsid4089454\charrsid4681841 #}{\rtlch\fcs1 \af0 \ltrch\fcs0 _x000d__x000a_\cs17\b0\v\fs20\cf9\lang1024\langfe1024\loch\af1\hich\af1\dbch\af31501\noproof\insrsid4089454\charrsid4681841 \hich\af1\dbch\af31501\loch\f1 &lt;/Article&gt;}{\rtlch\fcs1 \af0 \ltrch\fcs0 \insrsid4089454\charrsid4681841 _x000d__x000a_\par }\pard\plain \ltrpar\ql \li0\ri0\keepn\widctlpar\wrapdefault\aspalpha\aspnum\faauto\adjustright\rin0\lin0\itap0\pararsid4089454 \rtlch\fcs1 \af0\afs20\alang1025 \ltrch\fcs0 \fs24\lang2057\langfe2057\cgrid\langnp2057\langfenp2057 {\rtlch\fcs1 \af0 _x000d__x000a_\ltrch\fcs0 \cs17\v\fs20\cf9\lang1024\langfe1024\loch\af1\hich\af1\dbch\af31501\noproof\insrsid4089454\charrsid4681841 \hich\af1\dbch\af31501\loch\f1 &lt;DocAmend2&gt;&lt;OptDel&gt;}{\rtlch\fcs1 \af0 \ltrch\fcs0 \insrsid4089454\charrsid4681841 #}{\rtlch\fcs1 \af1 _x000d__x000a_\ltrch\fcs0 \cs22\v\f1\fs20\cf15\insrsid4089454\charrsid4681841 MNU[OPTNRACTYES][NOTAPP]@CHOICE@AMACTMNU}{\rtlch\fcs1 \af0 \ltrch\fcs0 \insrsid4089454\charrsid4681841 #}{\rtlch\fcs1 \af0 \ltrch\fcs0 _x000d__x000a_\cs17\v\fs20\cf9\lang1024\langfe1024\loch\af1\hich\af1\dbch\af31501\noproof\insrsid4089454\charrsid4681841 \hich\af1\dbch\af31501\loch\f1 &lt;/OptDel&gt;&lt;/DocAmend2&gt;}{\rtlch\fcs1 \af0 \ltrch\fcs0 \insrsid4089454\charrsid4681841 _x000d__x000a_\par }\pard \ltrpar\ql \li0\ri0\widctlpar\wrapdefault\aspalpha\aspnum\faauto\adjustright\rin0\lin0\itap0\pararsid4089454 {\rtlch\fcs1 \af0 \ltrch\fcs0 \cs17\v\fs20\cf9\lang1024\langfe1024\loch\af1\hich\af1\dbch\af31501\noproof\insrsid4089454\charrsid4681841 _x000d__x000a_\hich\af1\dbch\af31501\loch\f1 &lt;Article2&gt;&lt;OptDel&gt;}{\rtlch\fcs1 \af0 \ltrch\fcs0 \insrsid4089454\charrsid4681841 #}{\rtlch\fcs1 \af1 \ltrch\fcs0 \cs22\v\f1\fs20\cf15\insrsid4089454\charrsid4681841 MNU[OPTACTPARTYES][NOTAPP]@CHOICE@AMACTMNU}{\rtlch\fcs1 _x000d__x000a_\af0 \ltrch\fcs0 \insrsid4089454\charrsid4681841 #}{\rtlch\fcs1 \af0 \ltrch\fcs0 \cs17\v\fs20\cf9\lang1024\langfe1024\loch\af1\hich\af1\dbch\af31501\noproof\insrsid4089454\charrsid4681841 \hich\af1\dbch\af31501\loch\f1 &lt;/OptDel&gt;&lt;/Article2&gt;}{\rtlch\fcs1 _x000d__x000a_\af0 \ltrch\fcs0 \insrsid4089454\charrsid468184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089454\charrsid4681841 \cell }\pard\plain \ltrpar\ql \li0\ri0\widctlpar\intbl\wrapdefault\aspalpha\aspnum\faauto\adjustright\rin0\lin0 \rtlch\fcs1 _x000d__x000a_\af0\afs20\alang1025 \ltrch\fcs0 \fs24\lang2057\langfe2057\cgrid\langnp2057\langfenp2057 {\rtlch\fcs1 \af0 \ltrch\fcs0 \insrsid4089454\charrsid468184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089454\charrsid4681841 #}{\rtlch\fcs1 \af1 \ltrch\fcs0 \cs22\v\f1\fs20\cf15\insrsid4089454\charrsid4681841 MNU[OPTLEFTAMACT][LEFTPROP]@CHOICE@AMACTMNU}{\rtlch\fcs1 \af0 \ltrch\fcs0 \insrsid4089454\charrsid4681841 #\cell Amendment\cell _x000d__x000a_}\pard\plain \ltrpar\ql \li0\ri0\widctlpar\intbl\wrapdefault\aspalpha\aspnum\faauto\adjustright\rin0\lin0 \rtlch\fcs1 \af0\afs20\alang1025 \ltrch\fcs0 \fs24\lang2057\langfe2057\cgrid\langnp2057\langfenp2057 {\rtlch\fcs1 \af0 \ltrch\fcs0 _x000d__x000a_\insrsid4089454\charrsid4681841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089454\charrsid4681841 ##\cell ##}{\rtlch\fcs1 \af0\afs24 \ltrch\fcs0 \insrsid4089454\charrsid4681841 \cell }\pard\plain \ltrpar\ql \li0\ri0\widctlpar\intbl\wrapdefault\aspalpha\aspnum\faauto\adjustright\rin0\lin0 \rtlch\fcs1 _x000d__x000a_\af0\afs20\alang1025 \ltrch\fcs0 \fs24\lang2057\langfe2057\cgrid\langnp2057\langfenp2057 {\rtlch\fcs1 \af0 \ltrch\fcs0 \insrsid4089454\charrsid4681841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089454 \rtlch\fcs1 \af0\afs20\alang1025 \ltrch\fcs0 \fs24\lang2057\langfe2057\cgrid\langnp2057\langfenp2057 {\rtlch\fcs1 \af0 \ltrch\fcs0 _x000d__x000a_\insrsid4089454\charrsid4681841 Or. }{\rtlch\fcs1 \af0 \ltrch\fcs0 \cs17\v\fs20\cf9\lang1024\langfe1024\loch\af1\hich\af1\dbch\af31501\noproof\insrsid4089454\charrsid4681841 \hich\af1\dbch\af31501\loch\f1 &lt;Original&gt;}{\rtlch\fcs1 \af0 \ltrch\fcs0 _x000d__x000a_\insrsid4089454\charrsid4681841 #}{\rtlch\fcs1 \af1 \ltrch\fcs0 \cs22\v\f1\fs20\cf15\insrsid4089454\charrsid4681841 MNU[OPTORLANG][ORLANGMORE]@CHOICE@AMPLURMNU}{\rtlch\fcs1 \af0 \ltrch\fcs0 \insrsid4089454\charrsid4681841 #}{\rtlch\fcs1 \af0 \ltrch\fcs0 _x000d__x000a_\cs17\v\fs20\cf9\lang1024\langfe1024\loch\af1\hich\af1\dbch\af31501\noproof\insrsid4089454\charrsid4681841 \hich\af1\dbch\af31501\loch\f1 &lt;/Original&gt;}{\rtlch\fcs1 \af0 \ltrch\fcs0 \insrsid4089454\charrsid4681841 _x000d__x000a_\par }\pard\plain \ltrpar\s21\qc \li0\ri0\sb240\sa240\nowidctlpar\wrapdefault\aspalpha\aspnum\faauto\adjustright\rin0\lin0\itap0\pararsid4089454 \rtlch\fcs1 \af0\afs20\alang1025 \ltrch\fcs0 \i\fs24\lang2057\langfe2057\cgrid\langnp2057\langfenp2057 {_x000d__x000a_\rtlch\fcs1 \af0 \ltrch\fcs0 \cs17\i0\v\fs20\cf9\lang1024\langfe1024\loch\af1\hich\af1\dbch\af31501\noproof\insrsid4089454\charrsid4681841 \hich\af1\dbch\af31501\loch\f1 &lt;OptDel&gt;}{\rtlch\fcs1 \af0 \ltrch\fcs0 \insrsid4089454\charrsid4681841 #}{_x000d__x000a_\rtlch\fcs1 \af1 \ltrch\fcs0 \cs22\v\f1\fs20\cf15\insrsid4089454\charrsid4681841 MNU[CROSSREFNO][CROSSREFYES]@CHOICE@}{\rtlch\fcs1 \af0 \ltrch\fcs0 \insrsid4089454\charrsid4681841 #}{\rtlch\fcs1 \af0 \ltrch\fcs0 _x000d__x000a_\cs17\i0\v\fs20\cf9\lang1024\langfe1024\loch\af1\hich\af1\dbch\af31501\noproof\insrsid4089454\charrsid4681841 \hich\af1\dbch\af31501\loch\f1 &lt;/OptDel&gt;}{\rtlch\fcs1 \af0 \ltrch\fcs0 \insrsid4089454\charrsid4681841 _x000d__x000a_\par }\pard\plain \ltrpar\s23\qc \li0\ri0\sb240\sa240\keepn\nowidctlpar\wrapdefault\aspalpha\aspnum\faauto\adjustright\rin0\lin0\itap0\pararsid4089454 \rtlch\fcs1 \af0\afs20\alang1025 \ltrch\fcs0 \i\fs24\lang2057\langfe2057\cgrid\langnp2057\langfenp2057 {_x000d__x000a_\rtlch\fcs1 \af0 \ltrch\fcs0 \cs17\i0\v\fs20\cf9\lang1024\langfe1024\loch\af1\hich\af1\dbch\af31501\noproof\insrsid4089454\charrsid4681841 \hich\af1\dbch\af31501\loch\f1 &lt;TitreJust&gt;}{\rtlch\fcs1 \af0 \ltrch\fcs0 \insrsid4089454\charrsid4681841 _x000d__x000a_Justification}{\rtlch\fcs1 \af0 \ltrch\fcs0 \cs17\i0\v\fs20\cf9\lang1024\langfe1024\loch\af1\hich\af1\dbch\af31501\noproof\insrsid4089454\charrsid4681841 \hich\af1\dbch\af31501\loch\f1 &lt;/TitreJust&gt;}{\rtlch\fcs1 \af0 \ltrch\fcs0 _x000d__x000a_\insrsid4089454\charrsid4681841 _x000d__x000a_\par }\pard\plain \ltrpar\s20\ql \li0\ri0\sa240\nowidctlpar\wrapdefault\aspalpha\aspnum\faauto\adjustright\rin0\lin0\itap0\pararsid4089454 \rtlch\fcs1 \af0\afs20\alang1025 \ltrch\fcs0 \i\fs24\lang2057\langfe2057\cgrid\langnp2057\langfenp2057 {\rtlch\fcs1 \af0 _x000d__x000a_\ltrch\fcs0 \cs17\i0\v\fs20\cf9\lang1024\langfe1024\loch\af1\hich\af1\dbch\af31501\noproof\insrsid4089454\charrsid4681841 \hich\af1\dbch\af31501\loch\f1 &lt;OptDelPrev&gt;}{\rtlch\fcs1 \af0 \ltrch\fcs0 \insrsid4089454\charrsid4681841 #}{\rtlch\fcs1 \af1 _x000d__x000a_\ltrch\fcs0 \cs22\v\f1\fs20\cf15\insrsid4089454\charrsid4681841 MNU[TEXTJUSTYES][TEXTJUSTNO]@CHOICE@}{\rtlch\fcs1 \af0 \ltrch\fcs0 \insrsid4089454\charrsid4681841 #}{\rtlch\fcs1 \af0 \ltrch\fcs0 _x000d__x000a_\cs17\i0\v\fs20\cf9\lang1024\langfe1024\loch\af1\hich\af1\dbch\af31501\noproof\insrsid4089454\charrsid4681841 \hich\af1\dbch\af31501\loch\f1 &lt;/OptDelPrev&gt;}{\rtlch\fcs1 \af0 \ltrch\fcs0 \insrsid4089454\charrsid4681841 _x000d__x000a_\par }\pard\plain \ltrpar\ql \li0\ri0\widctlpar\wrapdefault\aspalpha\aspnum\faauto\adjustright\rin0\lin0\itap0\pararsid4089454 \rtlch\fcs1 \af0\afs20\alang1025 \ltrch\fcs0 \fs24\lang2057\langfe2057\cgrid\langnp2057\langfenp2057 {\rtlch\fcs1 \af0 \ltrch\fcs0 _x000d__x000a_\cs17\v\fs20\cf9\lang1024\langfe1024\loch\af1\hich\af1\dbch\af31501\noproof\insrsid4089454\charrsid4681841 \hich\af1\dbch\af31501\loch\f1 &lt;/}{\rtlch\fcs1 \af0 \ltrch\fcs0 _x000d__x000a_\cs17\v\fs20\cf9\lang1024\langfe1024\loch\af1\hich\af1\dbch\af31501\noproof\insrsid4089454 \hich\af1\dbch\af31501\loch\f1 Amend}{\rtlch\fcs1 \af0 \ltrch\fcs0 _x000d__x000a_\cs17\v\fs20\cf9\lang1024\langfe1024\loch\af1\hich\af1\dbch\af31501\noproof\insrsid4089454\charrsid468184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a_x000d__x000a_95cc67b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41209 HideTWBExt;}{_x000d__x000a_\s18\ql \li0\ri0\sa120\nowidctlpar\wrapdefault\aspalpha\aspnum\faauto\adjustright\rin0\lin0\itap0 \rtlch\fcs1 \af0\afs20\alang1025 \ltrch\fcs0 \fs24\lang2057\langfe2057\cgrid\langnp2057\langfenp2057 \sbasedon0 \snext18 \spriority0 \styrsid2241209 _x000d__x000a_Normal6a;}{\s19\ql \li0\ri0\nowidctlpar\wrapdefault\aspalpha\aspnum\faauto\adjustright\rin0\lin0\itap0 \rtlch\fcs1 \af0\afs20\alang1025 \ltrch\fcs0 \b\fs24\lang2057\langfe2057\cgrid\langnp2057\langfenp2057 \sbasedon0 \snext19 \spriority0 \styrsid2241209 _x000d__x000a_NormalBold;}{\s20\qc \li0\ri0\sa240\nowidctlpar\wrapdefault\aspalpha\aspnum\faauto\adjustright\rin0\lin0\itap0 \rtlch\fcs1 \af0\afs20\alang1025 \ltrch\fcs0 \i\fs24\lang2057\langfe2057\cgrid\langnp2057\langfenp2057 _x000d__x000a_\sbasedon0 \snext20 \spriority0 \styrsid224120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241209 AmNumberTabs;}{\s22\ql \li0\ri0\sb240\nowidctlpar\wrapdefault\aspalpha\aspnum\faauto\adjustright\rin0\lin0\itap0 \rtlch\fcs1 _x000d__x000a_\af0\afs20\alang1025 \ltrch\fcs0 \b\fs24\lang2057\langfe2057\cgrid\langnp2057\langfenp2057 \sbasedon0 \snext22 \spriority0 \styrsid2241209 NormalBold12b;}}{\*\rsidtbl \rsid24658\rsid223860\rsid735077\rsid1718133\rsid2241209\rsid2892074\rsid3565327_x000d__x000a_\rsid4666813\rsid6641733\rsid7823322\rsid9636012\rsid10377208\rsid11215221\rsid11549030\rsid12154954\rsid14382809\rsid14424199\rsid14447012\rsid15204470\rsid15285974\rsid15950462\rsid16324206\rsid16662270}{\mmathPr\mmathFont34\mbrkBin0\mbrkBinSub0_x000d__x000a_\msmallFrac0\mdispDef1\mlMargin0\mrMargin0\mdefJc1\mwrapIndent1440\mintLim0\mnaryLim1}{\info{\author CIPRINI CORBUCCI Francesco}{\operator CIPRINI CORBUCCI Francesco}{\creatim\yr2023\mo10\dy9\hr14\min32}{\revtim\yr2023\mo10\dy9\hr14\min32}{\version1}_x000d__x000a_{\edmins0}{\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1209\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14447012 \chftnsep _x000d__x000a_\par }}{\*\ftnsepc \ltrpar \pard\plain \ltrpar\ql \li0\ri0\widctlpar\wrapdefault\aspalpha\aspnum\faauto\adjustright\rin0\lin0\itap0 \rtlch\fcs1 \af0\afs20\alang1025 \ltrch\fcs0 \fs24\lang2057\langfe2057\cgrid\langnp2057\langfenp2057 {\rtlch\fcs1 \af0 _x000d__x000a_\ltrch\fcs0 \insrsid14447012 \chftnsepc _x000d__x000a_\par }}{\*\aftnsep \ltrpar \pard\plain \ltrpar\ql \li0\ri0\widctlpar\wrapdefault\aspalpha\aspnum\faauto\adjustright\rin0\lin0\itap0 \rtlch\fcs1 \af0\afs20\alang1025 \ltrch\fcs0 \fs24\lang2057\langfe2057\cgrid\langnp2057\langfenp2057 {\rtlch\fcs1 \af0 _x000d__x000a_\ltrch\fcs0 \insrsid14447012 \chftnsep _x000d__x000a_\par }}{\*\aftnsepc \ltrpar \pard\plain \ltrpar\ql \li0\ri0\widctlpar\wrapdefault\aspalpha\aspnum\faauto\adjustright\rin0\lin0\itap0 \rtlch\fcs1 \af0\afs20\alang1025 \ltrch\fcs0 \fs24\lang2057\langfe2057\cgrid\langnp2057\langfenp2057 {\rtlch\fcs1 \af0 _x000d__x000a_\ltrch\fcs0 \insrsid144470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2241209 \rtlch\fcs1 _x000d__x000a_\af0\afs20\alang1025 \ltrch\fcs0 \b\fs24\lang2057\langfe2057\cgrid\langnp2057\langfenp2057 {\rtlch\fcs1 \af0 \ltrch\fcs0 \cs17\b0\v\fs20\cf9\lang1024\langfe1024\loch\af1\hich\af1\dbch\af31501\noproof\insrsid2241209\charrsid15879488 {\*\bkmkstart restartA}_x000d__x000a_\hich\af1\dbch\af31501\loch\f1 &lt;AmendA&gt;}{\rtlch\fcs1 \af0 \ltrch\fcs0 \insrsid2241209\charrsid15879488 [ZAMENDMENT]\tab \tab }{\rtlch\fcs1 \af0 \ltrch\fcs0 _x000d__x000a_\cs17\b0\v\fs20\cf9\lang1024\langfe1024\loch\af1\hich\af1\dbch\af31501\noproof\insrsid2241209\charrsid15879488 \hich\af1\dbch\af31501\loch\f1 &lt;NumAmA&gt;}{\rtlch\fcs1 \af0 \ltrch\fcs0 \insrsid2241209\charrsid15879488 [ZNRAM]}{\rtlch\fcs1 \af0 \ltrch\fcs0 _x000d__x000a_\cs17\b0\v\fs20\cf9\lang1024\langfe1024\loch\af1\hich\af1\dbch\af31501\noproof\insrsid2241209\charrsid15879488 \hich\af1\dbch\af31501\loch\f1 &lt;/NumAmA&gt;}{\rtlch\fcs1 \af0 \ltrch\fcs0 \insrsid2241209\charrsid15879488 _x000d__x000a_\par }\pard\plain \ltrpar\s22\ql \li0\ri0\sb240\keepn\nowidctlpar\wrapdefault\aspalpha\aspnum\faauto\adjustright\rin0\lin0\itap0\pararsid2241209 \rtlch\fcs1 \af0\afs20\alang1025 \ltrch\fcs0 \b\fs24\lang2057\langfe2057\cgrid\langnp2057\langfenp2057 {_x000d__x000a_\rtlch\fcs1 \af0 \ltrch\fcs0 \cs17\b0\v\fs20\cf9\lang1024\langfe1024\loch\af1\hich\af1\dbch\af31501\noproof\langnp1036\insrsid2241209\charrsid11356624 \hich\af1\dbch\af31501\loch\f1 &lt;DocAmend&gt;}{\rtlch\fcs1 \af0 \ltrch\fcs0 _x000d__x000a_\lang1036\langfe2057\langnp1036\insrsid2241209\charrsid11356624 [ZRESOLUTION]}{\rtlch\fcs1 \af0 \ltrch\fcs0 \cs17\b0\v\fs20\cf9\lang1024\langfe1024\loch\af1\hich\af1\dbch\af31501\noproof\langnp1036\insrsid2241209\charrsid11356624 _x000d__x000a_\hich\af1\dbch\af31501\loch\f1 &lt;/DocAmend&gt;}{\rtlch\fcs1 \af0 \ltrch\fcs0 \lang1036\langfe2057\langnp1036\insrsid2241209\charrsid11356624 _x000d__x000a_\par }\pard\plain \ltrpar\s19\ql \li0\ri0\nowidctlpar\wrapdefault\aspalpha\aspnum\faauto\adjustright\rin0\lin0\itap0\pararsid2241209 \rtlch\fcs1 \af0\afs20\alang1025 \ltrch\fcs0 \b\fs24\lang2057\langfe2057\cgrid\langnp2057\langfenp2057 {\rtlch\fcs1 \af0 _x000d__x000a_\ltrch\fcs0 \cs17\b0\v\fs20\cf9\lang1024\langfe1024\loch\af1\hich\af1\dbch\af31501\noproof\langnp1036\insrsid2241209\charrsid11356624 \hich\af1\dbch\af31501\loch\f1 &lt;Article&gt;}{\rtlch\fcs1 \af0 \ltrch\fcs0 _x000d__x000a_\lang1036\langfe2057\langnp1036\insrsid2241209\charrsid11356624 [ZRESPART]}{\rtlch\fcs1 \af0 \ltrch\fcs0 \cs17\b0\v\fs20\cf9\lang1024\langfe1024\loch\af1\hich\af1\dbch\af31501\noproof\langnp1036\insrsid2241209\charrsid11356624 _x000d__x000a_\hich\af1\dbch\af31501\loch\f1 &lt;/Article&gt;}{\rtlch\fcs1 \af0 \ltrch\fcs0 \lang1036\langfe2057\langnp1036\insrsid224120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241209\charrsid11356624 \cell }\pard \ltrpar_x000d__x000a_\ql \li0\ri0\widctlpar\intbl\wrapdefault\aspalpha\aspnum\faauto\adjustright\rin0\lin0 {\rtlch\fcs1 \af0 \ltrch\fcs0 \insrsid224120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2241209\charrsid15879488 [ZLEFTA]\cell [ZRIGHT]\cell }\pard\plain \ltrpar\ql \li0\ri0\widctlpar\intbl\wrapdefault\aspalpha\aspnum\faauto\adjustright\rin0\lin0 _x000d__x000a_\rtlch\fcs1 \af0\afs20\alang1025 \ltrch\fcs0 \fs24\lang2057\langfe2057\cgrid\langnp2057\langfenp2057 {\rtlch\fcs1 \af0 \ltrch\fcs0 \insrsid224120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241209\charrsid15879488 [ZTEXTL]\cell [ZTEXTR]}{\rtlch\fcs1 \af0\afs24 \ltrch\fcs0 \insrsid2241209\charrsid15879488 \cell }\pard\plain \ltrpar\ql \li0\ri0\widctlpar\intbl\wrapdefault\aspalpha\aspnum\faauto\adjustright\rin0\lin0 \rtlch\fcs1 _x000d__x000a_\af0\afs20\alang1025 \ltrch\fcs0 \fs24\lang2057\langfe2057\cgrid\langnp2057\langfenp2057 {\rtlch\fcs1 \af0 \ltrch\fcs0 \insrsid224120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241209 {\rtlch\fcs1 \af0 \ltrch\fcs0 \cs17\v\fs20\cf9\lang1024\langfe1024\loch\af1\hich\af1\dbch\af31501\noproof\insrsid2241209\charrsid15879488 _x000d__x000a_\hich\af1\dbch\af31501\loch\f1 &lt;/AmendA&gt;}{\rtlch\fcs1 \af0 \ltrch\fcs0 \insrsid224120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cd_x000d__x000a_b1adac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546101 HideTWBExt;}{_x000d__x000a_\s18\ql \li0\ri0\sa120\nowidctlpar\wrapdefault\aspalpha\aspnum\faauto\adjustright\rin0\lin0\itap0 \rtlch\fcs1 \af0\afs20\alang1025 \ltrch\fcs0 \fs24\lang2057\langfe2057\cgrid\langnp2057\langfenp2057 \sbasedon0 \snext18 \spriority0 \styrsid15546101 _x000d__x000a_Normal6a;}{\s19\ql \li0\ri0\nowidctlpar\wrapdefault\aspalpha\aspnum\faauto\adjustright\rin0\lin0\itap0 \rtlch\fcs1 \af0\afs20\alang1025 \ltrch\fcs0 \b\fs24\lang2057\langfe2057\cgrid\langnp2057\langfenp2057 \sbasedon0 \snext19 \spriority0 \styrsid15546101 _x000d__x000a_NormalBold;}{\s20\ql \li0\ri0\sa240\nowidctlpar\wrapdefault\aspalpha\aspnum\faauto\adjustright\rin0\lin0\itap0 \rtlch\fcs1 \af0\afs20\alang1025 \ltrch\fcs0 \i\fs24\lang2057\langfe2057\cgrid\langnp2057\langfenp2057 _x000d__x000a_\sbasedon0 \snext20 \spriority0 \styrsid15546101 AmJustText;}{\s21\qc \li0\ri0\sb240\sa240\nowidctlpar\wrapdefault\aspalpha\aspnum\faauto\adjustright\rin0\lin0\itap0 \rtlch\fcs1 \af0\afs20\alang1025 \ltrch\fcs0 _x000d__x000a_\i\fs24\lang2057\langfe2057\cgrid\langnp2057\langfenp2057 \sbasedon0 \snext21 \spriority0 \styrsid15546101 AmCrossRef;}{\s22\qc \li0\ri0\sb240\sa240\keepn\nowidctlpar\wrapdefault\aspalpha\aspnum\faauto\adjustright\rin0\lin0\itap0 \rtlch\fcs1 _x000d__x000a_\af0\afs20\alang1025 \ltrch\fcs0 \i\fs24\lang2057\langfe2057\cgrid\langnp2057\langfenp2057 \sbasedon0 \snext20 \spriority0 \styrsid15546101 AmJustTitle;}{\s23\qc \li0\ri0\sa240\nowidctlpar\wrapdefault\aspalpha\aspnum\faauto\adjustright\rin0\lin0\itap0 _x000d__x000a_\rtlch\fcs1 \af0\afs20\alang1025 \ltrch\fcs0 \i\fs24\lang2057\langfe2057\cgrid\langnp2057\langfenp2057 \sbasedon0 \snext23 \spriority0 \styrsid1554610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546101 AmNumberTabs;}{\s25\ql \li0\ri0\sb240\nowidctlpar\wrapdefault\aspalpha\aspnum\faauto\adjustright\rin0\lin0\itap0 \rtlch\fcs1 _x000d__x000a_\af0\afs20\alang1025 \ltrch\fcs0 \b\fs24\lang2057\langfe2057\cgrid\langnp2057\langfenp2057 \sbasedon0 \snext25 \spriority0 \styrsid15546101 NormalBold12b;}}{\*\rsidtbl \rsid24658\rsid223860\rsid735077\rsid1718133\rsid2892074\rsid3565327\rsid4653321_x000d__x000a_\rsid4666813\rsid6641733\rsid7823322\rsid9636012\rsid10377208\rsid11215221\rsid11549030\rsid12154954\rsid14382809\rsid14424199\rsid15204470\rsid15285974\rsid15546101\rsid15950462\rsid16324206\rsid16662270}{\mmathPr\mmathFont34\mbrkBin0\mbrkBinSub0_x000d__x000a_\msmallFrac0\mdispDef1\mlMargin0\mrMargin0\mdefJc1\mwrapIndent1440\mintLim0\mnaryLim1}{\info{\author CIPRINI CORBUCCI Francesco}{\operator CIPRINI CORBUCCI Francesco}{\creatim\yr2023\mo10\dy9\hr14\min32}{\revtim\yr2023\mo10\dy9\hr14\min32}{\version1}_x000d__x000a_{\edmins0}{\nofpages1}{\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546101\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4653321 \chftnsep _x000d__x000a_\par }}{\*\ftnsepc \ltrpar \pard\plain \ltrpar\ql \li0\ri0\widctlpar\wrapdefault\aspalpha\aspnum\faauto\adjustright\rin0\lin0\itap0 \rtlch\fcs1 \af0\afs20\alang1025 \ltrch\fcs0 \fs24\lang2057\langfe2057\cgrid\langnp2057\langfenp2057 {\rtlch\fcs1 \af0 _x000d__x000a_\ltrch\fcs0 \insrsid4653321 \chftnsepc _x000d__x000a_\par }}{\*\aftnsep \ltrpar \pard\plain \ltrpar\ql \li0\ri0\widctlpar\wrapdefault\aspalpha\aspnum\faauto\adjustright\rin0\lin0\itap0 \rtlch\fcs1 \af0\afs20\alang1025 \ltrch\fcs0 \fs24\lang2057\langfe2057\cgrid\langnp2057\langfenp2057 {\rtlch\fcs1 \af0 _x000d__x000a_\ltrch\fcs0 \insrsid4653321 \chftnsep _x000d__x000a_\par }}{\*\aftnsepc \ltrpar \pard\plain \ltrpar\ql \li0\ri0\widctlpar\wrapdefault\aspalpha\aspnum\faauto\adjustright\rin0\lin0\itap0 \rtlch\fcs1 \af0\afs20\alang1025 \ltrch\fcs0 \fs24\lang2057\langfe2057\cgrid\langnp2057\langfenp2057 {\rtlch\fcs1 \af0 _x000d__x000a_\ltrch\fcs0 \insrsid46533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546101 \rtlch\fcs1 _x000d__x000a_\af0\afs20\alang1025 \ltrch\fcs0 \b\fs24\lang2057\langfe2057\cgrid\langnp2057\langfenp2057 {\rtlch\fcs1 \af0 \ltrch\fcs0 \cs17\b0\v\fs20\cf9\lang1024\langfe1024\loch\af1\hich\af1\dbch\af31501\noproof\insrsid15546101\charrsid15879488 {\*\bkmkstart restartB_x000d__x000a_}\hich\af1\dbch\af31501\loch\f1 &lt;AmendB&gt;}{\rtlch\fcs1 \af0 \ltrch\fcs0 \insrsid15546101\charrsid15879488 [ZAMENDMENT]\tab \tab }{\rtlch\fcs1 \af0 \ltrch\fcs0 _x000d__x000a_\cs17\b0\v\fs20\cf9\lang1024\langfe1024\loch\af1\hich\af1\dbch\af31501\noproof\insrsid15546101\charrsid15879488 \hich\af1\dbch\af31501\loch\f1 &lt;NumAmB&gt;}{\rtlch\fcs1 \af0 \ltrch\fcs0 \insrsid15546101\charrsid15879488 [ZNRAM]}{\rtlch\fcs1 \af0 \ltrch\fcs0 _x000d__x000a_\cs17\b0\v\fs20\cf9\lang1024\langfe1024\loch\af1\hich\af1\dbch\af31501\noproof\insrsid15546101\charrsid15879488 \hich\af1\dbch\af31501\loch\f1 &lt;/NumAmB&gt;}{\rtlch\fcs1 \af0 \ltrch\fcs0 \insrsid15546101\charrsid15879488 _x000d__x000a_\par }\pard\plain \ltrpar\s25\ql \li0\ri0\sb240\keepn\nowidctlpar\wrapdefault\aspalpha\aspnum\faauto\adjustright\rin0\lin0\itap0\pararsid15546101 \rtlch\fcs1 \af0\afs20\alang1025 \ltrch\fcs0 \b\fs24\lang2057\langfe2057\cgrid\langnp2057\langfenp2057 {_x000d__x000a_\rtlch\fcs1 \af0 \ltrch\fcs0 \cs17\b0\v\fs20\cf9\lang1024\langfe1024\loch\af1\hich\af1\dbch\af31501\noproof\insrsid15546101\charrsid15879488 \hich\af1\dbch\af31501\loch\f1 &lt;DocAmend&gt;}{\rtlch\fcs1 \af0 \ltrch\fcs0 \insrsid15546101\charrsid15879488 _x000d__x000a_[ZPROPOSAL][ZAMACT]}{\rtlch\fcs1 \af0 \ltrch\fcs0 \cs17\b0\v\fs20\cf9\lang1024\langfe1024\loch\af1\hich\af1\dbch\af31501\noproof\insrsid15546101\charrsid15879488 \hich\af1\dbch\af31501\loch\f1 &lt;/DocAmend&gt;}{\rtlch\fcs1 \af0 \ltrch\fcs0 _x000d__x000a_\insrsid15546101\charrsid15879488 _x000d__x000a_\par }\pard\plain \ltrpar\s19\ql \li0\ri0\keepn\nowidctlpar\wrapdefault\aspalpha\aspnum\faauto\adjustright\rin0\lin0\itap0\pararsid15546101 \rtlch\fcs1 \af0\afs20\alang1025 \ltrch\fcs0 \b\fs24\lang2057\langfe2057\cgrid\langnp2057\langfenp2057 {\rtlch\fcs1 _x000d__x000a_\af0 \ltrch\fcs0 \cs17\b0\v\fs20\cf9\lang1024\langfe1024\loch\af1\hich\af1\dbch\af31501\noproof\insrsid15546101\charrsid15879488 \hich\af1\dbch\af31501\loch\f1 &lt;Article&gt;}{\rtlch\fcs1 \af0 \ltrch\fcs0 \insrsid15546101\charrsid15879488 [ZAMPART]}{_x000d__x000a_\rtlch\fcs1 \af0 \ltrch\fcs0 \cs17\b0\v\fs20\cf9\lang1024\langfe1024\loch\af1\hich\af1\dbch\af31501\noproof\insrsid15546101\charrsid15879488 \hich\af1\dbch\af31501\loch\f1 &lt;/Article&gt;}{\rtlch\fcs1 \af0 \ltrch\fcs0 \insrsid15546101\charrsid15879488 _x000d__x000a_\par }\pard\plain \ltrpar\ql \li0\ri0\keepn\widctlpar\wrapdefault\aspalpha\aspnum\faauto\adjustright\rin0\lin0\itap0\pararsid15546101 \rtlch\fcs1 \af0\afs20\alang1025 \ltrch\fcs0 \fs24\lang2057\langfe2057\cgrid\langnp2057\langfenp2057 {\rtlch\fcs1 \af0 _x000d__x000a_\ltrch\fcs0 \cs17\v\fs20\cf9\lang1024\langfe1024\loch\af1\hich\af1\dbch\af31501\noproof\insrsid15546101\charrsid15879488 \hich\af1\dbch\af31501\loch\f1 &lt;DocAmend2&gt;&lt;OptDel&gt;}{\rtlch\fcs1 \af0 \ltrch\fcs0 \insrsid15546101\charrsid15879488 [ZNRACT]}{_x000d__x000a_\rtlch\fcs1 \af0 \ltrch\fcs0 \cs17\v\fs20\cf9\lang1024\langfe1024\loch\af1\hich\af1\dbch\af31501\noproof\insrsid15546101\charrsid15879488 \hich\af1\dbch\af31501\loch\f1 &lt;/OptDel&gt;&lt;/DocAmend2&gt;}{\rtlch\fcs1 \af0 \ltrch\fcs0 \insrsid15546101\charrsid15879488 _x000d__x000a__x000d__x000a_\par }\pard \ltrpar\ql \li0\ri0\widctlpar\wrapdefault\aspalpha\aspnum\faauto\adjustright\rin0\lin0\itap0\pararsid15546101 {\rtlch\fcs1 \af0 \ltrch\fcs0 _x000d__x000a_\cs17\v\fs20\cf9\lang1024\langfe1024\loch\af1\hich\af1\dbch\af31501\noproof\langnp1036\insrsid15546101\charrsid11356624 \hich\af1\dbch\af31501\loch\f1 &lt;Article2&gt;&lt;OptDel&gt;}{\rtlch\fcs1 \af0 \ltrch\fcs0 _x000d__x000a_\lang1036\langfe2057\langnp1036\insrsid15546101\charrsid11356624 [ZACTPART]}{\rtlch\fcs1 \af0 \ltrch\fcs0 \cs17\v\fs20\cf9\lang1024\langfe1024\loch\af1\hich\af1\dbch\af31501\noproof\langnp1036\insrsid15546101\charrsid11356624 _x000d__x000a_\hich\af1\dbch\af31501\loch\f1 &lt;/OptDel&gt;&lt;/Article2&gt;}{\rtlch\fcs1 \af0 \ltrch\fcs0 \lang1036\langfe2057\langnp1036\insrsid1554610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546101\charrsid11356624 \cell }\pard \ltrpar\ql \li0\ri0\widctlpar\intbl\wrapdefault\aspalpha\aspnum\faauto\adjustright\rin0\lin0 {\rtlch\fcs1 \af0 \ltrch\fcs0 \insrsid1554610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546101\charrsid15879488 [ZLEFTB]\cell [ZRIGHT]\cell }\pard\plain \ltrpar\ql \li0\ri0\widctlpar\intbl\wrapdefault\aspalpha\aspnum\faauto\adjustright\rin0\lin0 \rtlch\fcs1 \af0\afs20\alang1025 \ltrch\fcs0 _x000d__x000a_\fs24\lang2057\langfe2057\cgrid\langnp2057\langfenp2057 {\rtlch\fcs1 \af0 \ltrch\fcs0 \insrsid1554610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546101\charrsid15879488 [ZTEXTL]\cell [ZTEXTR]}{\rtlch\fcs1 \af0\afs24 \ltrch\fcs0 \insrsid15546101\charrsid15879488 \cell }\pard\plain \ltrpar\ql \li0\ri0\widctlpar\intbl\wrapdefault\aspalpha\aspnum\faauto\adjustright\rin0\lin0 \rtlch\fcs1 _x000d__x000a_\af0\afs20\alang1025 \ltrch\fcs0 \fs24\lang2057\langfe2057\cgrid\langnp2057\langfenp2057 {\rtlch\fcs1 \af0 \ltrch\fcs0 \insrsid1554610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546101 \rtlch\fcs1 \af0\afs20\alang1025 \ltrch\fcs0 \i\fs24\lang2057\langfe2057\cgrid\langnp2057\langfenp2057 {\rtlch\fcs1 \af0 \ltrch\fcs0 _x000d__x000a_\cs17\i0\v\fs20\cf9\lang1024\langfe1024\loch\af1\hich\af1\dbch\af31501\noproof\insrsid15546101\charrsid15879488 \hich\af1\dbch\af31501\loch\f1 &lt;OptDel&gt;}{\rtlch\fcs1 \af0 \ltrch\fcs0 \insrsid15546101\charrsid15879488 [ZCROSSREF]}{\rtlch\fcs1 \af0 _x000d__x000a_\ltrch\fcs0 \cs17\i0\v\fs20\cf9\lang1024\langfe1024\loch\af1\hich\af1\dbch\af31501\noproof\insrsid15546101\charrsid15879488 \hich\af1\dbch\af31501\loch\f1 &lt;/OptDel&gt;}{\rtlch\fcs1 \af0 \ltrch\fcs0 \insrsid15546101\charrsid15879488 _x000d__x000a_\par }\pard\plain \ltrpar\s22\qc \li0\ri0\sb240\sa240\keepn\nowidctlpar\wrapdefault\aspalpha\aspnum\faauto\adjustright\rin0\lin0\itap0\pararsid15546101 \rtlch\fcs1 \af0\afs20\alang1025 \ltrch\fcs0 \i\fs24\lang2057\langfe2057\cgrid\langnp2057\langfenp2057 {_x000d__x000a_\rtlch\fcs1 \af0 \ltrch\fcs0 \cs17\i0\v\fs20\cf9\lang1024\langfe1024\loch\af1\hich\af1\dbch\af31501\noproof\insrsid15546101\charrsid15879488 \hich\af1\dbch\af31501\loch\f1 &lt;TitreJust&gt;}{\rtlch\fcs1 \af0 \ltrch\fcs0 \insrsid15546101\charrsid15879488 _x000d__x000a_[ZJUSTIFICATION]}{\rtlch\fcs1 \af0 \ltrch\fcs0 \cs17\i0\v\fs20\cf9\lang1024\langfe1024\loch\af1\hich\af1\dbch\af31501\noproof\insrsid15546101\charrsid15879488 \hich\af1\dbch\af31501\loch\f1 &lt;/TitreJust&gt;}{\rtlch\fcs1 \af0 \ltrch\fcs0 _x000d__x000a_\insrsid15546101\charrsid15879488 _x000d__x000a_\par }\pard\plain \ltrpar\s20\ql \li0\ri0\sa240\nowidctlpar\wrapdefault\aspalpha\aspnum\faauto\adjustright\rin0\lin0\itap0\pararsid15546101 \rtlch\fcs1 \af0\afs20\alang1025 \ltrch\fcs0 \i\fs24\lang2057\langfe2057\cgrid\langnp2057\langfenp2057 {\rtlch\fcs1 _x000d__x000a_\af0 \ltrch\fcs0 \cs17\i0\v\fs20\cf9\lang1024\langfe1024\loch\af1\hich\af1\dbch\af31501\noproof\insrsid15546101\charrsid15879488 \hich\af1\dbch\af31501\loch\f1 &lt;OptDelPrev&gt;}{\rtlch\fcs1 \af0 \ltrch\fcs0 \insrsid15546101\charrsid15879488 [ZTEXTJUST]}{_x000d__x000a_\rtlch\fcs1 \af0 \ltrch\fcs0 \cs17\i0\v\fs20\cf9\lang1024\langfe1024\loch\af1\hich\af1\dbch\af31501\noproof\insrsid15546101\charrsid15879488 \hich\af1\dbch\af31501\loch\f1 &lt;/OptDelPrev&gt;}{\rtlch\fcs1 \af0 \ltrch\fcs0 \insrsid15546101\charrsid15879488 _x000d__x000a__x000d__x000a_\par }\pard\plain \ltrpar\ql \li0\ri0\widctlpar\wrapdefault\aspalpha\aspnum\faauto\adjustright\rin0\lin0\itap0\pararsid15546101 \rtlch\fcs1 \af0\afs20\alang1025 \ltrch\fcs0 \fs24\lang2057\langfe2057\cgrid\langnp2057\langfenp2057 {\rtlch\fcs1 \af0 \ltrch\fcs0 _x000d__x000a_\cs17\v\fs20\cf9\lang1024\langfe1024\loch\af1\hich\af1\dbch\af31501\noproof\insrsid15546101\charrsid15879488 \hich\af1\dbch\af31501\loch\f1 &lt;/AmendB&gt;}{\rtlch\fcs1 \af0 \ltrch\fcs0 \insrsid1554610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9_x000d__x000a_46b0ac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82744 HideTWBExt;}{_x000d__x000a_\s18\ql \li0\ri0\sa120\nowidctlpar\wrapdefault\aspalpha\aspnum\faauto\adjustright\rin0\lin0\itap0 \rtlch\fcs1 \af0\afs20\alang1025 \ltrch\fcs0 \fs24\lang2057\langfe2057\cgrid\langnp2057\langfenp2057 \sbasedon0 \snext18 \spriority0 \styrsid3482744 _x000d__x000a_Normal6a;}{\s19\ql \li0\ri0\nowidctlpar\wrapdefault\aspalpha\aspnum\faauto\adjustright\rin0\lin0\itap0 \rtlch\fcs1 \af0\afs20\alang1025 \ltrch\fcs0 \b\fs24\lang2057\langfe2057\cgrid\langnp2057\langfenp2057 \sbasedon0 \snext19 \spriority0 \styrsid3482744 _x000d__x000a_NormalBold;}{\s20\ql \li0\ri0\sa240\nowidctlpar\wrapdefault\aspalpha\aspnum\faauto\adjustright\rin0\lin0\itap0 \rtlch\fcs1 \af0\afs20\alang1025 \ltrch\fcs0 \i\fs24\lang2057\langfe2057\cgrid\langnp2057\langfenp2057 _x000d__x000a_\sbasedon0 \snext20 \spriority0 \styrsid3482744 AmJustText;}{\s21\qc \li0\ri0\sb240\sa240\nowidctlpar\wrapdefault\aspalpha\aspnum\faauto\adjustright\rin0\lin0\itap0 \rtlch\fcs1 \af0\afs20\alang1025 \ltrch\fcs0 _x000d__x000a_\i\fs24\lang2057\langfe2057\cgrid\langnp2057\langfenp2057 \sbasedon0 \snext21 \spriority0 \styrsid3482744 AmCrossRef;}{\s22\qc \li0\ri0\sb240\sa240\keepn\nowidctlpar\wrapdefault\aspalpha\aspnum\faauto\adjustright\rin0\lin0\itap0 \rtlch\fcs1 _x000d__x000a_\af0\afs20\alang1025 \ltrch\fcs0 \i\fs24\lang2057\langfe2057\cgrid\langnp2057\langfenp2057 \sbasedon0 \snext20 \spriority0 \styrsid3482744 AmJustTitle;}{\s23\qc \li0\ri0\sa240\nowidctlpar\wrapdefault\aspalpha\aspnum\faauto\adjustright\rin0\lin0\itap0 _x000d__x000a_\rtlch\fcs1 \af0\afs20\alang1025 \ltrch\fcs0 \i\fs24\lang2057\langfe2057\cgrid\langnp2057\langfenp2057 \sbasedon0 \snext23 \spriority0 \styrsid348274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3482744 AmNumberTabs;}{\s25\ql \li0\ri0\sb240\nowidctlpar\wrapdefault\aspalpha\aspnum\faauto\adjustright\rin0\lin0\itap0 \rtlch\fcs1 _x000d__x000a_\af0\afs20\alang1025 \ltrch\fcs0 \b\fs24\lang2057\langfe2057\cgrid\langnp2057\langfenp2057 \sbasedon0 \snext25 \spriority0 \styrsid3482744 NormalBold12b;}}{\*\rsidtbl \rsid24658\rsid223860\rsid458874\rsid735077\rsid1718133\rsid2892074\rsid348274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IPRINI CORBUCCI Francesco}{\operator CIPRINI CORBUCCI Francesco}{\creatim\yr2023\mo10\dy9\hr14\min32}{\revtim\yr2023\mo10\dy9\hr14\min32}{\version1}_x000d__x000a_{\edmins0}{\nofpages1}{\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82744\newtblstyruls\nogrowautofit\usenormstyforlist\noindnmbrts\felnbrelev\nocxsptable\indrlsweleven\noafcnsttbl\afelev\utinl\hwelev\spltpgpar\notcvasp\notbrkcnstfrctbl\notvatxbx\krnprsnet\cachedcolbal _x000d__x000a_\nouicompat \fet0{\*\wgrffmtfilter 013f}\nofeaturethrottle1\ilfomacatclnup0{\*\template C:\\Users\\fciprini\\AppData\\Local\\Temp\\Blank1.dotx}{\*\ftnsep \ltrpar \pard\plain \ltrpar_x000d__x000a_\ql \li0\ri0\widctlpar\wrapdefault\aspalpha\aspnum\faauto\adjustright\rin0\lin0\itap0 \rtlch\fcs1 \af0\afs20\alang1025 \ltrch\fcs0 \fs24\lang2057\langfe2057\cgrid\langnp2057\langfenp2057 {\rtlch\fcs1 \af0 \ltrch\fcs0 \insrsid458874 \chftnsep _x000d__x000a_\par }}{\*\ftnsepc \ltrpar \pard\plain \ltrpar\ql \li0\ri0\widctlpar\wrapdefault\aspalpha\aspnum\faauto\adjustright\rin0\lin0\itap0 \rtlch\fcs1 \af0\afs20\alang1025 \ltrch\fcs0 \fs24\lang2057\langfe2057\cgrid\langnp2057\langfenp2057 {\rtlch\fcs1 \af0 _x000d__x000a_\ltrch\fcs0 \insrsid458874 \chftnsepc _x000d__x000a_\par }}{\*\aftnsep \ltrpar \pard\plain \ltrpar\ql \li0\ri0\widctlpar\wrapdefault\aspalpha\aspnum\faauto\adjustright\rin0\lin0\itap0 \rtlch\fcs1 \af0\afs20\alang1025 \ltrch\fcs0 \fs24\lang2057\langfe2057\cgrid\langnp2057\langfenp2057 {\rtlch\fcs1 \af0 _x000d__x000a_\ltrch\fcs0 \insrsid458874 \chftnsep _x000d__x000a_\par }}{\*\aftnsepc \ltrpar \pard\plain \ltrpar\ql \li0\ri0\widctlpar\wrapdefault\aspalpha\aspnum\faauto\adjustright\rin0\lin0\itap0 \rtlch\fcs1 \af0\afs20\alang1025 \ltrch\fcs0 \fs24\lang2057\langfe2057\cgrid\langnp2057\langfenp2057 {\rtlch\fcs1 \af0 _x000d__x000a_\ltrch\fcs0 \insrsid45887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3482744 \rtlch\fcs1 _x000d__x000a_\af0\afs20\alang1025 \ltrch\fcs0 \b\fs24\lang2057\langfe2057\cgrid\langnp2057\langfenp2057 {\rtlch\fcs1 \af0 \ltrch\fcs0 \cs17\b0\v\fs20\cf9\lang1024\langfe1024\loch\af1\hich\af1\dbch\af31501\noproof\insrsid3482744\charrsid15879488 {\*\bkmkstart restartB}_x000d__x000a_\hich\af1\dbch\af31501\loch\f1 &lt;AmendB&gt;}{\rtlch\fcs1 \af0 \ltrch\fcs0 \insrsid3482744\charrsid15879488 [ZAMENDMENT]\tab \tab }{\rtlch\fcs1 \af0 \ltrch\fcs0 _x000d__x000a_\cs17\b0\v\fs20\cf9\lang1024\langfe1024\loch\af1\hich\af1\dbch\af31501\noproof\insrsid3482744\charrsid15879488 \hich\af1\dbch\af31501\loch\f1 &lt;NumAmB&gt;}{\rtlch\fcs1 \af0 \ltrch\fcs0 \insrsid3482744\charrsid15879488 [ZNRAM]}{\rtlch\fcs1 \af0 \ltrch\fcs0 _x000d__x000a_\cs17\b0\v\fs20\cf9\lang1024\langfe1024\loch\af1\hich\af1\dbch\af31501\noproof\insrsid3482744\charrsid15879488 \hich\af1\dbch\af31501\loch\f1 &lt;/NumAmB&gt;}{\rtlch\fcs1 \af0 \ltrch\fcs0 \insrsid3482744\charrsid15879488 _x000d__x000a_\par }\pard\plain \ltrpar\s25\ql \li0\ri0\sb240\keepn\nowidctlpar\wrapdefault\aspalpha\aspnum\faauto\adjustright\rin0\lin0\itap0\pararsid3482744 \rtlch\fcs1 \af0\afs20\alang1025 \ltrch\fcs0 \b\fs24\lang2057\langfe2057\cgrid\langnp2057\langfenp2057 {_x000d__x000a_\rtlch\fcs1 \af0 \ltrch\fcs0 \cs17\b0\v\fs20\cf9\lang1024\langfe1024\loch\af1\hich\af1\dbch\af31501\noproof\insrsid3482744\charrsid15879488 \hich\af1\dbch\af31501\loch\f1 &lt;DocAmend&gt;}{\rtlch\fcs1 \af0 \ltrch\fcs0 \insrsid3482744\charrsid15879488 _x000d__x000a_[ZPROPOSAL][ZAMACT]}{\rtlch\fcs1 \af0 \ltrch\fcs0 \cs17\b0\v\fs20\cf9\lang1024\langfe1024\loch\af1\hich\af1\dbch\af31501\noproof\insrsid3482744\charrsid15879488 \hich\af1\dbch\af31501\loch\f1 &lt;/DocAmend&gt;}{\rtlch\fcs1 \af0 \ltrch\fcs0 _x000d__x000a_\insrsid3482744\charrsid15879488 _x000d__x000a_\par }\pard\plain \ltrpar\s19\ql \li0\ri0\keepn\nowidctlpar\wrapdefault\aspalpha\aspnum\faauto\adjustright\rin0\lin0\itap0\pararsid3482744 \rtlch\fcs1 \af0\afs20\alang1025 \ltrch\fcs0 \b\fs24\lang2057\langfe2057\cgrid\langnp2057\langfenp2057 {\rtlch\fcs1 \af0 _x000d__x000a_\ltrch\fcs0 \cs17\b0\v\fs20\cf9\lang1024\langfe1024\loch\af1\hich\af1\dbch\af31501\noproof\insrsid3482744\charrsid15879488 \hich\af1\dbch\af31501\loch\f1 &lt;Article&gt;}{\rtlch\fcs1 \af0 \ltrch\fcs0 \insrsid3482744\charrsid15879488 [ZAMPART]}{\rtlch\fcs1 \af0 _x000d__x000a_\ltrch\fcs0 \cs17\b0\v\fs20\cf9\lang1024\langfe1024\loch\af1\hich\af1\dbch\af31501\noproof\insrsid3482744\charrsid15879488 \hich\af1\dbch\af31501\loch\f1 &lt;/Article&gt;}{\rtlch\fcs1 \af0 \ltrch\fcs0 \insrsid3482744\charrsid15879488 _x000d__x000a_\par }\pard\plain \ltrpar\ql \li0\ri0\keepn\widctlpar\wrapdefault\aspalpha\aspnum\faauto\adjustright\rin0\lin0\itap0\pararsid3482744 \rtlch\fcs1 \af0\afs20\alang1025 \ltrch\fcs0 \fs24\lang2057\langfe2057\cgrid\langnp2057\langfenp2057 {\rtlch\fcs1 \af0 _x000d__x000a_\ltrch\fcs0 \cs17\v\fs20\cf9\lang1024\langfe1024\loch\af1\hich\af1\dbch\af31501\noproof\insrsid3482744\charrsid15879488 \hich\af1\dbch\af31501\loch\f1 &lt;DocAmend2&gt;&lt;OptDel&gt;}{\rtlch\fcs1 \af0 \ltrch\fcs0 \insrsid3482744\charrsid15879488 [ZNRACT]}{_x000d__x000a_\rtlch\fcs1 \af0 \ltrch\fcs0 \cs17\v\fs20\cf9\lang1024\langfe1024\loch\af1\hich\af1\dbch\af31501\noproof\insrsid3482744\charrsid15879488 \hich\af1\dbch\af31501\loch\f1 &lt;/OptDel&gt;&lt;/DocAmend2&gt;}{\rtlch\fcs1 \af0 \ltrch\fcs0 \insrsid3482744\charrsid15879488 _x000d__x000a__x000d__x000a_\par }\pard \ltrpar\ql \li0\ri0\widctlpar\wrapdefault\aspalpha\aspnum\faauto\adjustright\rin0\lin0\itap0\pararsid3482744 {\rtlch\fcs1 \af0 \ltrch\fcs0 _x000d__x000a_\cs17\v\fs20\cf9\lang1024\langfe1024\loch\af1\hich\af1\dbch\af31501\noproof\langnp1036\insrsid3482744\charrsid11356624 \hich\af1\dbch\af31501\loch\f1 &lt;Article2&gt;&lt;OptDel&gt;}{\rtlch\fcs1 \af0 \ltrch\fcs0 _x000d__x000a_\lang1036\langfe2057\langnp1036\insrsid3482744\charrsid11356624 [ZACTPART]}{\rtlch\fcs1 \af0 \ltrch\fcs0 \cs17\v\fs20\cf9\lang1024\langfe1024\loch\af1\hich\af1\dbch\af31501\noproof\langnp1036\insrsid3482744\charrsid11356624 \hich\af1\dbch\af31501\loch\f1 _x000d__x000a_&lt;/OptDel&gt;&lt;/Article2&gt;}{\rtlch\fcs1 \af0 \ltrch\fcs0 \lang1036\langfe2057\langnp1036\insrsid348274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3482744\charrsid11356624 \cell }\pard \ltrpar\ql \li0\ri0\widctlpar\intbl\wrapdefault\aspalpha\aspnum\faauto\adjustright\rin0\lin0 {\rtlch\fcs1 \af0 \ltrch\fcs0 \insrsid348274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3482744\charrsid15879488 [ZLEFTB]\cell [ZRIGHT]\cell }\pard\plain \ltrpar\ql \li0\ri0\widctlpar\intbl\wrapdefault\aspalpha\aspnum\faauto\adjustright\rin0\lin0 \rtlch\fcs1 \af0\afs20\alang1025 \ltrch\fcs0 _x000d__x000a_\fs24\lang2057\langfe2057\cgrid\langnp2057\langfenp2057 {\rtlch\fcs1 \af0 \ltrch\fcs0 \insrsid348274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482744\charrsid15879488 [ZTEXTL]\cell [ZTEXTR]}{\rtlch\fcs1 \af0\afs24 \ltrch\fcs0 \insrsid3482744\charrsid15879488 \cell }\pard\plain \ltrpar\ql \li0\ri0\widctlpar\intbl\wrapdefault\aspalpha\aspnum\faauto\adjustright\rin0\lin0 \rtlch\fcs1 _x000d__x000a_\af0\afs20\alang1025 \ltrch\fcs0 \fs24\lang2057\langfe2057\cgrid\langnp2057\langfenp2057 {\rtlch\fcs1 \af0 \ltrch\fcs0 \insrsid348274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3482744 \rtlch\fcs1 \af0\afs20\alang1025 \ltrch\fcs0 \i\fs24\lang2057\langfe2057\cgrid\langnp2057\langfenp2057 {\rtlch\fcs1 \af0 \ltrch\fcs0 _x000d__x000a_\cs17\i0\v\fs20\cf9\lang1024\langfe1024\loch\af1\hich\af1\dbch\af31501\noproof\insrsid3482744\charrsid15879488 \hich\af1\dbch\af31501\loch\f1 &lt;OptDel&gt;}{\rtlch\fcs1 \af0 \ltrch\fcs0 \insrsid3482744\charrsid15879488 [ZCROSSREF]}{\rtlch\fcs1 \af0 _x000d__x000a_\ltrch\fcs0 \cs17\i0\v\fs20\cf9\lang1024\langfe1024\loch\af1\hich\af1\dbch\af31501\noproof\insrsid3482744\charrsid15879488 \hich\af1\dbch\af31501\loch\f1 &lt;/OptDel&gt;}{\rtlch\fcs1 \af0 \ltrch\fcs0 \insrsid3482744\charrsid15879488 _x000d__x000a_\par }\pard\plain \ltrpar\s22\qc \li0\ri0\sb240\sa240\keepn\nowidctlpar\wrapdefault\aspalpha\aspnum\faauto\adjustright\rin0\lin0\itap0\pararsid3482744 \rtlch\fcs1 \af0\afs20\alang1025 \ltrch\fcs0 \i\fs24\lang2057\langfe2057\cgrid\langnp2057\langfenp2057 {_x000d__x000a_\rtlch\fcs1 \af0 \ltrch\fcs0 \cs17\i0\v\fs20\cf9\lang1024\langfe1024\loch\af1\hich\af1\dbch\af31501\noproof\insrsid3482744\charrsid15879488 \hich\af1\dbch\af31501\loch\f1 &lt;TitreJust&gt;}{\rtlch\fcs1 \af0 \ltrch\fcs0 \insrsid3482744\charrsid15879488 _x000d__x000a_[ZJUSTIFICATION]}{\rtlch\fcs1 \af0 \ltrch\fcs0 \cs17\i0\v\fs20\cf9\lang1024\langfe1024\loch\af1\hich\af1\dbch\af31501\noproof\insrsid3482744\charrsid15879488 \hich\af1\dbch\af31501\loch\f1 &lt;/TitreJust&gt;}{\rtlch\fcs1 \af0 \ltrch\fcs0 _x000d__x000a_\insrsid3482744\charrsid15879488 _x000d__x000a_\par }\pard\plain \ltrpar\s20\ql \li0\ri0\sa240\nowidctlpar\wrapdefault\aspalpha\aspnum\faauto\adjustright\rin0\lin0\itap0\pararsid3482744 \rtlch\fcs1 \af0\afs20\alang1025 \ltrch\fcs0 \i\fs24\lang2057\langfe2057\cgrid\langnp2057\langfenp2057 {\rtlch\fcs1 \af0 _x000d__x000a_\ltrch\fcs0 \cs17\i0\v\fs20\cf9\lang1024\langfe1024\loch\af1\hich\af1\dbch\af31501\noproof\insrsid3482744\charrsid15879488 \hich\af1\dbch\af31501\loch\f1 &lt;OptDelPrev&gt;}{\rtlch\fcs1 \af0 \ltrch\fcs0 \insrsid3482744\charrsid15879488 [ZTEXTJUST]}{\rtlch\fcs1 _x000d__x000a_\af0 \ltrch\fcs0 \cs17\i0\v\fs20\cf9\lang1024\langfe1024\loch\af1\hich\af1\dbch\af31501\noproof\insrsid3482744\charrsid15879488 \hich\af1\dbch\af31501\loch\f1 &lt;/OptDelPrev&gt;}{\rtlch\fcs1 \af0 \ltrch\fcs0 \insrsid3482744\charrsid15879488 _x000d__x000a_\par }\pard\plain \ltrpar\ql \li0\ri0\widctlpar\wrapdefault\aspalpha\aspnum\faauto\adjustright\rin0\lin0\itap0\pararsid3482744 \rtlch\fcs1 \af0\afs20\alang1025 \ltrch\fcs0 \fs24\lang2057\langfe2057\cgrid\langnp2057\langfenp2057 {\rtlch\fcs1 \af0 \ltrch\fcs0 _x000d__x000a_\cs17\v\fs20\cf9\lang1024\langfe1024\loch\af1\hich\af1\dbch\af31501\noproof\insrsid3482744\charrsid15879488 \hich\af1\dbch\af31501\loch\f1 &lt;/AmendB&gt;}{\rtlch\fcs1 \af0 \ltrch\fcs0 \insrsid348274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3_x000d__x000a_3eabacf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7"/>
    <w:docVar w:name="TITLECODMNU" w:val=" 1"/>
    <w:docVar w:name="TVTAMPART" w:val="1"/>
    <w:docVar w:name="TXTLANGUE" w:val="PL"/>
    <w:docVar w:name="TXTLANGUEMIN" w:val="pl"/>
    <w:docVar w:name="TXTNRC" w:val="0409/2022"/>
    <w:docVar w:name="TXTNRCOM" w:val="(2022)0688"/>
    <w:docVar w:name="TXTNRFIRSTAM" w:val="1"/>
    <w:docVar w:name="TXTNRLASTAM" w:val="99"/>
    <w:docVar w:name="TXTNRPE" w:val="751.894"/>
    <w:docVar w:name="TXTNRPROC" w:val="2022/0400"/>
    <w:docVar w:name="TXTPEorAP" w:val="PE"/>
    <w:docVar w:name="TXTROUTE" w:val="AD\1287675PL.docx"/>
    <w:docVar w:name="TXTVERSION" w:val="03-00"/>
  </w:docVars>
  <w:rsids>
    <w:rsidRoot w:val="00477071"/>
    <w:rsid w:val="00006096"/>
    <w:rsid w:val="000202F9"/>
    <w:rsid w:val="00026559"/>
    <w:rsid w:val="00027FA8"/>
    <w:rsid w:val="0004474F"/>
    <w:rsid w:val="000728F9"/>
    <w:rsid w:val="00074EC8"/>
    <w:rsid w:val="00082EC4"/>
    <w:rsid w:val="0008572E"/>
    <w:rsid w:val="000B7AA7"/>
    <w:rsid w:val="000D352B"/>
    <w:rsid w:val="000D3569"/>
    <w:rsid w:val="000D44A6"/>
    <w:rsid w:val="000E25B0"/>
    <w:rsid w:val="0011190E"/>
    <w:rsid w:val="00122C05"/>
    <w:rsid w:val="001320E6"/>
    <w:rsid w:val="00134974"/>
    <w:rsid w:val="00141CD7"/>
    <w:rsid w:val="001616BD"/>
    <w:rsid w:val="001820A9"/>
    <w:rsid w:val="00186597"/>
    <w:rsid w:val="001A0556"/>
    <w:rsid w:val="001B0A1E"/>
    <w:rsid w:val="001C0886"/>
    <w:rsid w:val="001D5154"/>
    <w:rsid w:val="001E3AC4"/>
    <w:rsid w:val="0020077A"/>
    <w:rsid w:val="0023131B"/>
    <w:rsid w:val="002A6463"/>
    <w:rsid w:val="002A67EE"/>
    <w:rsid w:val="002C1D57"/>
    <w:rsid w:val="002F405F"/>
    <w:rsid w:val="003046E5"/>
    <w:rsid w:val="00304EA8"/>
    <w:rsid w:val="00313F61"/>
    <w:rsid w:val="00334B3E"/>
    <w:rsid w:val="00341A99"/>
    <w:rsid w:val="00360FAA"/>
    <w:rsid w:val="00371038"/>
    <w:rsid w:val="0038294E"/>
    <w:rsid w:val="003A2F84"/>
    <w:rsid w:val="003B67A3"/>
    <w:rsid w:val="003C7390"/>
    <w:rsid w:val="003E1280"/>
    <w:rsid w:val="003F128E"/>
    <w:rsid w:val="0040055C"/>
    <w:rsid w:val="0042492D"/>
    <w:rsid w:val="00425FC7"/>
    <w:rsid w:val="00464F6C"/>
    <w:rsid w:val="00477071"/>
    <w:rsid w:val="00487596"/>
    <w:rsid w:val="004B3A53"/>
    <w:rsid w:val="004C2A0D"/>
    <w:rsid w:val="004C3989"/>
    <w:rsid w:val="004E5D64"/>
    <w:rsid w:val="004E7856"/>
    <w:rsid w:val="004F1D2F"/>
    <w:rsid w:val="00502B76"/>
    <w:rsid w:val="00513F6F"/>
    <w:rsid w:val="00522B51"/>
    <w:rsid w:val="00524707"/>
    <w:rsid w:val="005539B7"/>
    <w:rsid w:val="0055718F"/>
    <w:rsid w:val="00571233"/>
    <w:rsid w:val="005B627F"/>
    <w:rsid w:val="00613134"/>
    <w:rsid w:val="00626D52"/>
    <w:rsid w:val="00643DA8"/>
    <w:rsid w:val="0065259B"/>
    <w:rsid w:val="00657D5C"/>
    <w:rsid w:val="00683DD1"/>
    <w:rsid w:val="006918D7"/>
    <w:rsid w:val="00691B1C"/>
    <w:rsid w:val="006A0F0A"/>
    <w:rsid w:val="006A2026"/>
    <w:rsid w:val="006A48AA"/>
    <w:rsid w:val="006B1267"/>
    <w:rsid w:val="006D292E"/>
    <w:rsid w:val="00705534"/>
    <w:rsid w:val="00712462"/>
    <w:rsid w:val="00716BAA"/>
    <w:rsid w:val="00736930"/>
    <w:rsid w:val="00745EAE"/>
    <w:rsid w:val="00754B09"/>
    <w:rsid w:val="0078548A"/>
    <w:rsid w:val="0079015F"/>
    <w:rsid w:val="00793DDA"/>
    <w:rsid w:val="007B7CE3"/>
    <w:rsid w:val="007D7414"/>
    <w:rsid w:val="007E1546"/>
    <w:rsid w:val="007F187F"/>
    <w:rsid w:val="00817D13"/>
    <w:rsid w:val="00820C7D"/>
    <w:rsid w:val="00823CA1"/>
    <w:rsid w:val="00833D11"/>
    <w:rsid w:val="00834CA2"/>
    <w:rsid w:val="00836FD3"/>
    <w:rsid w:val="008375A8"/>
    <w:rsid w:val="008429B6"/>
    <w:rsid w:val="00872A52"/>
    <w:rsid w:val="00876A73"/>
    <w:rsid w:val="0089388A"/>
    <w:rsid w:val="008B113D"/>
    <w:rsid w:val="008F3DB0"/>
    <w:rsid w:val="00904864"/>
    <w:rsid w:val="009052FE"/>
    <w:rsid w:val="009215FC"/>
    <w:rsid w:val="00924555"/>
    <w:rsid w:val="009368B3"/>
    <w:rsid w:val="00954E12"/>
    <w:rsid w:val="00982B83"/>
    <w:rsid w:val="009857B4"/>
    <w:rsid w:val="009E7319"/>
    <w:rsid w:val="00A30A6E"/>
    <w:rsid w:val="00A36EE1"/>
    <w:rsid w:val="00A37A1A"/>
    <w:rsid w:val="00A57BFD"/>
    <w:rsid w:val="00A71228"/>
    <w:rsid w:val="00A74E25"/>
    <w:rsid w:val="00A77529"/>
    <w:rsid w:val="00AC2A60"/>
    <w:rsid w:val="00AD49D0"/>
    <w:rsid w:val="00B00EE6"/>
    <w:rsid w:val="00B035B6"/>
    <w:rsid w:val="00B0362B"/>
    <w:rsid w:val="00B418CA"/>
    <w:rsid w:val="00B476DC"/>
    <w:rsid w:val="00B51F27"/>
    <w:rsid w:val="00B5291D"/>
    <w:rsid w:val="00B556CD"/>
    <w:rsid w:val="00B62D4B"/>
    <w:rsid w:val="00B659EF"/>
    <w:rsid w:val="00B904FA"/>
    <w:rsid w:val="00BA3E40"/>
    <w:rsid w:val="00BB3E75"/>
    <w:rsid w:val="00BD1F76"/>
    <w:rsid w:val="00BE20CF"/>
    <w:rsid w:val="00C22327"/>
    <w:rsid w:val="00C335C6"/>
    <w:rsid w:val="00C4219C"/>
    <w:rsid w:val="00C52A28"/>
    <w:rsid w:val="00C709B7"/>
    <w:rsid w:val="00C75E98"/>
    <w:rsid w:val="00C81C5B"/>
    <w:rsid w:val="00C83B35"/>
    <w:rsid w:val="00C83F57"/>
    <w:rsid w:val="00C974B1"/>
    <w:rsid w:val="00D25CF2"/>
    <w:rsid w:val="00D325B2"/>
    <w:rsid w:val="00D56CE0"/>
    <w:rsid w:val="00D6254D"/>
    <w:rsid w:val="00D67D0A"/>
    <w:rsid w:val="00D74FD1"/>
    <w:rsid w:val="00D922A7"/>
    <w:rsid w:val="00D943A5"/>
    <w:rsid w:val="00D9581F"/>
    <w:rsid w:val="00DB56E4"/>
    <w:rsid w:val="00DB7EE6"/>
    <w:rsid w:val="00DD6E60"/>
    <w:rsid w:val="00E01C82"/>
    <w:rsid w:val="00E27F01"/>
    <w:rsid w:val="00E32700"/>
    <w:rsid w:val="00E77FF5"/>
    <w:rsid w:val="00E94D64"/>
    <w:rsid w:val="00EA3802"/>
    <w:rsid w:val="00EF1432"/>
    <w:rsid w:val="00EF33D5"/>
    <w:rsid w:val="00F15744"/>
    <w:rsid w:val="00F15ED4"/>
    <w:rsid w:val="00F24D40"/>
    <w:rsid w:val="00FE413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50B3C"/>
  <w15:chartTrackingRefBased/>
  <w15:docId w15:val="{FBA3FE26-CF74-440D-AF6B-96B82756B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7D7414"/>
    <w:pPr>
      <w:widowControl/>
      <w:spacing w:before="100" w:beforeAutospacing="1" w:after="100" w:afterAutospacing="1"/>
    </w:pPr>
  </w:style>
  <w:style w:type="paragraph" w:styleId="Footer">
    <w:name w:val="footer"/>
    <w:link w:val="FooterChar"/>
    <w:unhideWhenUsed/>
    <w:rsid w:val="007D7414"/>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7D7414"/>
    <w:rPr>
      <w:sz w:val="22"/>
    </w:rPr>
  </w:style>
  <w:style w:type="character" w:customStyle="1" w:styleId="Normal12Char">
    <w:name w:val="Normal12 Char"/>
    <w:basedOn w:val="DefaultParagraphFont"/>
    <w:link w:val="Normal12"/>
    <w:locked/>
    <w:rsid w:val="007D7414"/>
    <w:rPr>
      <w:noProof/>
      <w:sz w:val="24"/>
    </w:rPr>
  </w:style>
  <w:style w:type="paragraph" w:customStyle="1" w:styleId="Normal12">
    <w:name w:val="Normal12"/>
    <w:basedOn w:val="Normal"/>
    <w:link w:val="Normal12Char"/>
    <w:rsid w:val="007D7414"/>
    <w:pPr>
      <w:spacing w:after="240"/>
    </w:pPr>
    <w:rPr>
      <w:noProof/>
      <w:szCs w:val="20"/>
    </w:rPr>
  </w:style>
  <w:style w:type="paragraph" w:customStyle="1" w:styleId="CommitteeAM">
    <w:name w:val="CommitteeAM"/>
    <w:basedOn w:val="Normal"/>
    <w:rsid w:val="007D7414"/>
    <w:pPr>
      <w:spacing w:before="240" w:after="600"/>
      <w:jc w:val="center"/>
    </w:pPr>
    <w:rPr>
      <w:i/>
      <w:szCs w:val="20"/>
    </w:rPr>
  </w:style>
  <w:style w:type="paragraph" w:customStyle="1" w:styleId="ZDateAM">
    <w:name w:val="ZDateAM"/>
    <w:basedOn w:val="Normal"/>
    <w:rsid w:val="007D7414"/>
    <w:pPr>
      <w:tabs>
        <w:tab w:val="right" w:pos="9356"/>
      </w:tabs>
      <w:spacing w:after="480"/>
    </w:pPr>
    <w:rPr>
      <w:noProof/>
      <w:szCs w:val="20"/>
    </w:rPr>
  </w:style>
  <w:style w:type="paragraph" w:customStyle="1" w:styleId="ProjRap">
    <w:name w:val="ProjRap"/>
    <w:basedOn w:val="Normal"/>
    <w:rsid w:val="007D7414"/>
    <w:pPr>
      <w:tabs>
        <w:tab w:val="right" w:pos="9356"/>
      </w:tabs>
    </w:pPr>
    <w:rPr>
      <w:b/>
      <w:noProof/>
      <w:szCs w:val="20"/>
    </w:rPr>
  </w:style>
  <w:style w:type="paragraph" w:customStyle="1" w:styleId="PELeft">
    <w:name w:val="PELeft"/>
    <w:basedOn w:val="Normal"/>
    <w:rsid w:val="007D7414"/>
    <w:pPr>
      <w:spacing w:before="40" w:after="40"/>
    </w:pPr>
    <w:rPr>
      <w:rFonts w:ascii="Arial" w:hAnsi="Arial" w:cs="Arial"/>
      <w:sz w:val="22"/>
      <w:szCs w:val="22"/>
    </w:rPr>
  </w:style>
  <w:style w:type="paragraph" w:customStyle="1" w:styleId="PERight">
    <w:name w:val="PERight"/>
    <w:basedOn w:val="Normal"/>
    <w:next w:val="Normal"/>
    <w:rsid w:val="007D7414"/>
    <w:pPr>
      <w:jc w:val="right"/>
    </w:pPr>
    <w:rPr>
      <w:rFonts w:ascii="Arial" w:hAnsi="Arial" w:cs="Arial"/>
      <w:sz w:val="22"/>
      <w:szCs w:val="22"/>
    </w:rPr>
  </w:style>
  <w:style w:type="character" w:customStyle="1" w:styleId="Normal6Char">
    <w:name w:val="Normal6 Char"/>
    <w:basedOn w:val="DefaultParagraphFont"/>
    <w:link w:val="Normal6"/>
    <w:locked/>
    <w:rsid w:val="007D7414"/>
    <w:rPr>
      <w:sz w:val="24"/>
      <w:lang w:val="pl-PL"/>
    </w:rPr>
  </w:style>
  <w:style w:type="paragraph" w:customStyle="1" w:styleId="Normal6">
    <w:name w:val="Normal6"/>
    <w:basedOn w:val="Normal"/>
    <w:link w:val="Normal6Char"/>
    <w:rsid w:val="007D7414"/>
    <w:pPr>
      <w:spacing w:after="120"/>
    </w:pPr>
    <w:rPr>
      <w:szCs w:val="20"/>
    </w:rPr>
  </w:style>
  <w:style w:type="character" w:customStyle="1" w:styleId="NormalBoldChar">
    <w:name w:val="NormalBold Char"/>
    <w:basedOn w:val="DefaultParagraphFont"/>
    <w:link w:val="NormalBold"/>
    <w:locked/>
    <w:rsid w:val="007D7414"/>
    <w:rPr>
      <w:b/>
      <w:sz w:val="24"/>
    </w:rPr>
  </w:style>
  <w:style w:type="paragraph" w:customStyle="1" w:styleId="Normal12Italic">
    <w:name w:val="Normal12Italic"/>
    <w:basedOn w:val="Normal12"/>
    <w:rsid w:val="007D7414"/>
    <w:rPr>
      <w:i/>
    </w:rPr>
  </w:style>
  <w:style w:type="paragraph" w:customStyle="1" w:styleId="JustificationTitle">
    <w:name w:val="JustificationTitle"/>
    <w:basedOn w:val="Normal"/>
    <w:next w:val="Normal12"/>
    <w:rsid w:val="007D7414"/>
    <w:pPr>
      <w:keepNext/>
      <w:spacing w:before="240" w:after="240"/>
      <w:jc w:val="center"/>
    </w:pPr>
    <w:rPr>
      <w:i/>
      <w:noProof/>
      <w:szCs w:val="20"/>
    </w:rPr>
  </w:style>
  <w:style w:type="paragraph" w:customStyle="1" w:styleId="Olang">
    <w:name w:val="Olang"/>
    <w:basedOn w:val="Normal"/>
    <w:rsid w:val="007D7414"/>
    <w:pPr>
      <w:spacing w:before="240" w:after="240"/>
      <w:jc w:val="right"/>
    </w:pPr>
    <w:rPr>
      <w:noProof/>
    </w:rPr>
  </w:style>
  <w:style w:type="paragraph" w:customStyle="1" w:styleId="ColumnHeading">
    <w:name w:val="ColumnHeading"/>
    <w:basedOn w:val="Normal"/>
    <w:rsid w:val="007D7414"/>
    <w:pPr>
      <w:spacing w:after="240"/>
      <w:jc w:val="center"/>
    </w:pPr>
    <w:rPr>
      <w:i/>
      <w:szCs w:val="20"/>
    </w:rPr>
  </w:style>
  <w:style w:type="paragraph" w:customStyle="1" w:styleId="AMNumberTabs0">
    <w:name w:val="AMNumberTabs"/>
    <w:basedOn w:val="Normal"/>
    <w:rsid w:val="007D74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7D7414"/>
    <w:pPr>
      <w:spacing w:before="240"/>
      <w:jc w:val="center"/>
    </w:pPr>
    <w:rPr>
      <w:i/>
      <w:szCs w:val="20"/>
    </w:rPr>
  </w:style>
  <w:style w:type="paragraph" w:customStyle="1" w:styleId="Footer2">
    <w:name w:val="Footer2"/>
    <w:basedOn w:val="Normal12"/>
    <w:rsid w:val="007D7414"/>
    <w:pPr>
      <w:tabs>
        <w:tab w:val="center" w:pos="4535"/>
        <w:tab w:val="right" w:pos="9923"/>
      </w:tabs>
      <w:spacing w:line="480" w:lineRule="auto"/>
      <w:ind w:left="-851"/>
    </w:pPr>
    <w:rPr>
      <w:rFonts w:ascii="Arial" w:cs="Arial"/>
      <w:b/>
      <w:sz w:val="48"/>
    </w:rPr>
  </w:style>
  <w:style w:type="character" w:customStyle="1" w:styleId="Footer2Middle">
    <w:name w:val="Footer2Middle"/>
    <w:rsid w:val="007D7414"/>
    <w:rPr>
      <w:rFonts w:ascii="Arial" w:hAnsi="Arial" w:cs="Arial" w:hint="default"/>
      <w:b w:val="0"/>
      <w:bCs w:val="0"/>
      <w:i/>
      <w:iCs w:val="0"/>
      <w:color w:val="C0C0C0"/>
      <w:sz w:val="22"/>
    </w:rPr>
  </w:style>
  <w:style w:type="paragraph" w:customStyle="1" w:styleId="EntPE">
    <w:name w:val="EntPE"/>
    <w:basedOn w:val="Normal12"/>
    <w:rsid w:val="007D7414"/>
    <w:pPr>
      <w:jc w:val="center"/>
    </w:pPr>
    <w:rPr>
      <w:noProof w:val="0"/>
      <w:sz w:val="56"/>
    </w:rPr>
  </w:style>
  <w:style w:type="paragraph" w:styleId="BalloonText">
    <w:name w:val="Balloon Text"/>
    <w:basedOn w:val="Normal"/>
    <w:link w:val="BalloonTextChar"/>
    <w:semiHidden/>
    <w:unhideWhenUsed/>
    <w:rsid w:val="008B113D"/>
    <w:rPr>
      <w:rFonts w:ascii="Segoe UI" w:hAnsi="Segoe UI" w:cs="Segoe UI"/>
      <w:sz w:val="18"/>
      <w:szCs w:val="18"/>
    </w:rPr>
  </w:style>
  <w:style w:type="character" w:customStyle="1" w:styleId="BalloonTextChar">
    <w:name w:val="Balloon Text Char"/>
    <w:basedOn w:val="DefaultParagraphFont"/>
    <w:link w:val="BalloonText"/>
    <w:semiHidden/>
    <w:rsid w:val="008B113D"/>
    <w:rPr>
      <w:rFonts w:ascii="Segoe UI" w:hAnsi="Segoe UI" w:cs="Segoe UI"/>
      <w:sz w:val="18"/>
      <w:szCs w:val="18"/>
    </w:rPr>
  </w:style>
  <w:style w:type="paragraph" w:styleId="Revision">
    <w:name w:val="Revision"/>
    <w:hidden/>
    <w:uiPriority w:val="99"/>
    <w:semiHidden/>
    <w:rsid w:val="004249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8387E-FF96-400B-BE18-DF05152DF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14096</Words>
  <Characters>95053</Characters>
  <Application>Microsoft Office Word</Application>
  <DocSecurity>0</DocSecurity>
  <Lines>3617</Lines>
  <Paragraphs>759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2023-10-10T13:48:00Z</cp:lastPrinted>
  <dcterms:created xsi:type="dcterms:W3CDTF">2023-11-06T10:29:00Z</dcterms:created>
  <dcterms:modified xsi:type="dcterms:W3CDTF">2023-11-06T10:29:00Z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1287675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AD\1287675PL.docx</vt:lpwstr>
  </property>
  <property fmtid="{D5CDD505-2E9C-101B-9397-08002B2CF9AE}" pid="10" name="LastEdited with">
    <vt:lpwstr>9.16.1 Build [20230915]</vt:lpwstr>
  </property>
  <property fmtid="{D5CDD505-2E9C-101B-9397-08002B2CF9AE}" pid="11" name="PE number">
    <vt:lpwstr>751.894</vt:lpwstr>
  </property>
  <property fmtid="{D5CDD505-2E9C-101B-9397-08002B2CF9AE}" pid="12" name="SDLStudio">
    <vt:lpwstr/>
  </property>
  <property fmtid="{D5CDD505-2E9C-101B-9397-08002B2CF9AE}" pid="13" name="SendToEpades">
    <vt:lpwstr>OK - 2023/10/12 17:52</vt:lpwstr>
  </property>
  <property fmtid="{D5CDD505-2E9C-101B-9397-08002B2CF9AE}" pid="14" name="Bookout">
    <vt:lpwstr>OK - 2023/11/06 11:28</vt:lpwstr>
  </property>
</Properties>
</file>